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16C16" w14:textId="77777777" w:rsidR="00DF0134" w:rsidRDefault="0061075E" w:rsidP="0061075E">
      <w:pPr>
        <w:pStyle w:val="PartHeading"/>
        <w:spacing w:after="1920"/>
      </w:pPr>
      <w:bookmarkStart w:id="0" w:name="_Toc444523520"/>
      <w:r>
        <w:t xml:space="preserve">Comcare, </w:t>
      </w:r>
      <w:r>
        <w:br/>
        <w:t>the Safety, Rehabilitation and Compensation Commission, and the Seafarers Safety, Rehabilitation and Compensation Authority</w:t>
      </w:r>
    </w:p>
    <w:p w14:paraId="76C16C17" w14:textId="77777777" w:rsidR="00DF0134" w:rsidRDefault="00DF0134" w:rsidP="00DF0134">
      <w:pPr>
        <w:pStyle w:val="PartHeading-TOC"/>
      </w:pPr>
      <w:bookmarkStart w:id="1" w:name="_Toc3373940"/>
      <w:r>
        <w:t>Entity resources and planned performance</w:t>
      </w:r>
      <w:bookmarkEnd w:id="1"/>
    </w:p>
    <w:p w14:paraId="76C16C18" w14:textId="77777777" w:rsidR="00DF0134" w:rsidRDefault="00DF0134" w:rsidP="00DF0134">
      <w:pPr>
        <w:pStyle w:val="PartHeading"/>
        <w:sectPr w:rsidR="00DF0134" w:rsidSect="005A7C0B">
          <w:footerReference w:type="even" r:id="rId12"/>
          <w:footerReference w:type="default" r:id="rId13"/>
          <w:headerReference w:type="first" r:id="rId14"/>
          <w:footerReference w:type="first" r:id="rId15"/>
          <w:type w:val="oddPage"/>
          <w:pgSz w:w="11906" w:h="16838" w:code="9"/>
          <w:pgMar w:top="2466" w:right="2098" w:bottom="2466" w:left="2098" w:header="1899" w:footer="1899" w:gutter="0"/>
          <w:cols w:space="708"/>
          <w:vAlign w:val="center"/>
          <w:titlePg/>
          <w:docGrid w:linePitch="360"/>
        </w:sectPr>
      </w:pPr>
    </w:p>
    <w:p w14:paraId="76C16C19" w14:textId="77777777" w:rsidR="00DF0134" w:rsidRPr="002A32FD" w:rsidRDefault="00B0207F" w:rsidP="00DF0134">
      <w:pPr>
        <w:pStyle w:val="ContentsHeading"/>
      </w:pPr>
      <w:r>
        <w:lastRenderedPageBreak/>
        <w:t xml:space="preserve">Comcare, </w:t>
      </w:r>
      <w:r>
        <w:br/>
        <w:t>the Safety, Rehabilitation and Compensation Commission, and the Seafarers Safety, Rehabilitation and Compensation Authority</w:t>
      </w:r>
    </w:p>
    <w:p w14:paraId="76C16C1A" w14:textId="77777777" w:rsidR="00DF0134" w:rsidRDefault="00DF0134" w:rsidP="00DF0134">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520085" w:history="1">
        <w:r w:rsidRPr="00751A29">
          <w:rPr>
            <w:rStyle w:val="Hyperlink"/>
            <w:noProof/>
          </w:rPr>
          <w:t>Section 1: Entity overview and resources</w:t>
        </w:r>
        <w:r>
          <w:rPr>
            <w:noProof/>
            <w:webHidden/>
          </w:rPr>
          <w:tab/>
        </w:r>
      </w:hyperlink>
      <w:r w:rsidR="00A10AAD">
        <w:rPr>
          <w:noProof/>
        </w:rPr>
        <w:t>91</w:t>
      </w:r>
    </w:p>
    <w:p w14:paraId="76C16C1B" w14:textId="77777777" w:rsidR="00DF0134" w:rsidRDefault="009363E4" w:rsidP="00DF0134">
      <w:pPr>
        <w:pStyle w:val="TOC2"/>
        <w:tabs>
          <w:tab w:val="left" w:pos="800"/>
        </w:tabs>
        <w:rPr>
          <w:rFonts w:asciiTheme="minorHAnsi" w:eastAsiaTheme="minorEastAsia" w:hAnsiTheme="minorHAnsi" w:cstheme="minorBidi"/>
          <w:noProof/>
          <w:sz w:val="22"/>
          <w:szCs w:val="22"/>
        </w:rPr>
      </w:pPr>
      <w:hyperlink w:anchor="_Toc520086" w:history="1">
        <w:r w:rsidR="00DF0134" w:rsidRPr="00751A29">
          <w:rPr>
            <w:rStyle w:val="Hyperlink"/>
            <w:noProof/>
          </w:rPr>
          <w:t>1.1</w:t>
        </w:r>
        <w:r w:rsidR="00DF0134">
          <w:rPr>
            <w:rFonts w:asciiTheme="minorHAnsi" w:eastAsiaTheme="minorEastAsia" w:hAnsiTheme="minorHAnsi" w:cstheme="minorBidi"/>
            <w:noProof/>
            <w:sz w:val="22"/>
            <w:szCs w:val="22"/>
          </w:rPr>
          <w:tab/>
        </w:r>
        <w:r w:rsidR="00DF0134" w:rsidRPr="00751A29">
          <w:rPr>
            <w:rStyle w:val="Hyperlink"/>
            <w:noProof/>
          </w:rPr>
          <w:t>Strategic direction statement</w:t>
        </w:r>
        <w:r w:rsidR="00DF0134">
          <w:rPr>
            <w:noProof/>
            <w:webHidden/>
          </w:rPr>
          <w:tab/>
        </w:r>
      </w:hyperlink>
      <w:r w:rsidR="00A10AAD">
        <w:rPr>
          <w:noProof/>
        </w:rPr>
        <w:t>91</w:t>
      </w:r>
    </w:p>
    <w:p w14:paraId="76C16C1C" w14:textId="77777777" w:rsidR="00DF0134" w:rsidRDefault="009363E4" w:rsidP="00DF0134">
      <w:pPr>
        <w:pStyle w:val="TOC2"/>
        <w:tabs>
          <w:tab w:val="left" w:pos="800"/>
        </w:tabs>
        <w:rPr>
          <w:rFonts w:asciiTheme="minorHAnsi" w:eastAsiaTheme="minorEastAsia" w:hAnsiTheme="minorHAnsi" w:cstheme="minorBidi"/>
          <w:noProof/>
          <w:sz w:val="22"/>
          <w:szCs w:val="22"/>
        </w:rPr>
      </w:pPr>
      <w:hyperlink w:anchor="_Toc520087" w:history="1">
        <w:r w:rsidR="00DF0134" w:rsidRPr="00751A29">
          <w:rPr>
            <w:rStyle w:val="Hyperlink"/>
            <w:noProof/>
          </w:rPr>
          <w:t>1.2</w:t>
        </w:r>
        <w:r w:rsidR="00DF0134">
          <w:rPr>
            <w:rFonts w:asciiTheme="minorHAnsi" w:eastAsiaTheme="minorEastAsia" w:hAnsiTheme="minorHAnsi" w:cstheme="minorBidi"/>
            <w:noProof/>
            <w:sz w:val="22"/>
            <w:szCs w:val="22"/>
          </w:rPr>
          <w:tab/>
        </w:r>
        <w:r w:rsidR="00DF0134" w:rsidRPr="00751A29">
          <w:rPr>
            <w:rStyle w:val="Hyperlink"/>
            <w:noProof/>
          </w:rPr>
          <w:t>Entity resource statement</w:t>
        </w:r>
        <w:r w:rsidR="00DF0134">
          <w:rPr>
            <w:noProof/>
            <w:webHidden/>
          </w:rPr>
          <w:tab/>
        </w:r>
      </w:hyperlink>
      <w:r w:rsidR="00A10AAD">
        <w:rPr>
          <w:noProof/>
        </w:rPr>
        <w:t>92</w:t>
      </w:r>
    </w:p>
    <w:p w14:paraId="76C16C1D" w14:textId="77777777" w:rsidR="00DF0134" w:rsidRDefault="009363E4" w:rsidP="00DF0134">
      <w:pPr>
        <w:pStyle w:val="TOC2"/>
        <w:tabs>
          <w:tab w:val="left" w:pos="800"/>
        </w:tabs>
        <w:rPr>
          <w:rFonts w:asciiTheme="minorHAnsi" w:eastAsiaTheme="minorEastAsia" w:hAnsiTheme="minorHAnsi" w:cstheme="minorBidi"/>
          <w:noProof/>
          <w:sz w:val="22"/>
          <w:szCs w:val="22"/>
        </w:rPr>
      </w:pPr>
      <w:hyperlink w:anchor="_Toc520088" w:history="1">
        <w:r w:rsidR="00DF0134" w:rsidRPr="00751A29">
          <w:rPr>
            <w:rStyle w:val="Hyperlink"/>
            <w:noProof/>
          </w:rPr>
          <w:t>1.3</w:t>
        </w:r>
        <w:r w:rsidR="00DF0134">
          <w:rPr>
            <w:rFonts w:asciiTheme="minorHAnsi" w:eastAsiaTheme="minorEastAsia" w:hAnsiTheme="minorHAnsi" w:cstheme="minorBidi"/>
            <w:noProof/>
            <w:sz w:val="22"/>
            <w:szCs w:val="22"/>
          </w:rPr>
          <w:tab/>
        </w:r>
        <w:r w:rsidR="00DF0134" w:rsidRPr="00751A29">
          <w:rPr>
            <w:rStyle w:val="Hyperlink"/>
            <w:noProof/>
          </w:rPr>
          <w:t>Budget measures</w:t>
        </w:r>
        <w:r w:rsidR="00DF0134">
          <w:rPr>
            <w:noProof/>
            <w:webHidden/>
          </w:rPr>
          <w:tab/>
        </w:r>
      </w:hyperlink>
      <w:r w:rsidR="00A10AAD">
        <w:rPr>
          <w:noProof/>
        </w:rPr>
        <w:t>93</w:t>
      </w:r>
    </w:p>
    <w:p w14:paraId="76C16C1E" w14:textId="77777777" w:rsidR="00DF0134" w:rsidRDefault="009363E4" w:rsidP="00DF0134">
      <w:pPr>
        <w:pStyle w:val="TOC1"/>
        <w:rPr>
          <w:rFonts w:asciiTheme="minorHAnsi" w:eastAsiaTheme="minorEastAsia" w:hAnsiTheme="minorHAnsi" w:cstheme="minorBidi"/>
          <w:b w:val="0"/>
          <w:caps w:val="0"/>
          <w:noProof/>
          <w:sz w:val="22"/>
          <w:szCs w:val="22"/>
        </w:rPr>
      </w:pPr>
      <w:hyperlink w:anchor="_Toc520089" w:history="1">
        <w:r w:rsidR="00DF0134" w:rsidRPr="00751A29">
          <w:rPr>
            <w:rStyle w:val="Hyperlink"/>
            <w:noProof/>
          </w:rPr>
          <w:t>Section 2: Outcomes and planned performance</w:t>
        </w:r>
        <w:r w:rsidR="00DF0134">
          <w:rPr>
            <w:noProof/>
            <w:webHidden/>
          </w:rPr>
          <w:tab/>
        </w:r>
      </w:hyperlink>
      <w:r w:rsidR="00A10AAD">
        <w:rPr>
          <w:noProof/>
        </w:rPr>
        <w:t>94</w:t>
      </w:r>
    </w:p>
    <w:p w14:paraId="76C16C1F" w14:textId="77777777" w:rsidR="00DF0134" w:rsidRDefault="009363E4" w:rsidP="00DF0134">
      <w:pPr>
        <w:pStyle w:val="TOC2"/>
        <w:tabs>
          <w:tab w:val="left" w:pos="800"/>
        </w:tabs>
        <w:rPr>
          <w:rFonts w:asciiTheme="minorHAnsi" w:eastAsiaTheme="minorEastAsia" w:hAnsiTheme="minorHAnsi" w:cstheme="minorBidi"/>
          <w:noProof/>
          <w:sz w:val="22"/>
          <w:szCs w:val="22"/>
        </w:rPr>
      </w:pPr>
      <w:hyperlink w:anchor="_Toc520090" w:history="1">
        <w:r w:rsidR="00DF0134" w:rsidRPr="00751A29">
          <w:rPr>
            <w:rStyle w:val="Hyperlink"/>
            <w:noProof/>
          </w:rPr>
          <w:t xml:space="preserve">2.1 </w:t>
        </w:r>
        <w:r w:rsidR="00DF0134">
          <w:rPr>
            <w:rFonts w:asciiTheme="minorHAnsi" w:eastAsiaTheme="minorEastAsia" w:hAnsiTheme="minorHAnsi" w:cstheme="minorBidi"/>
            <w:noProof/>
            <w:sz w:val="22"/>
            <w:szCs w:val="22"/>
          </w:rPr>
          <w:tab/>
        </w:r>
        <w:r w:rsidR="00DF0134" w:rsidRPr="00751A29">
          <w:rPr>
            <w:rStyle w:val="Hyperlink"/>
            <w:noProof/>
          </w:rPr>
          <w:t>Budgeted expens</w:t>
        </w:r>
        <w:r w:rsidR="009F1602">
          <w:rPr>
            <w:rStyle w:val="Hyperlink"/>
            <w:noProof/>
          </w:rPr>
          <w:t>es and performance for Outcome 1</w:t>
        </w:r>
        <w:r w:rsidR="00DF0134">
          <w:rPr>
            <w:noProof/>
            <w:webHidden/>
          </w:rPr>
          <w:tab/>
        </w:r>
      </w:hyperlink>
      <w:r w:rsidR="00A10AAD">
        <w:rPr>
          <w:noProof/>
        </w:rPr>
        <w:t>95</w:t>
      </w:r>
    </w:p>
    <w:p w14:paraId="76C16C20" w14:textId="77777777" w:rsidR="00DF0134" w:rsidRDefault="009363E4" w:rsidP="00DF0134">
      <w:pPr>
        <w:pStyle w:val="TOC1"/>
        <w:rPr>
          <w:rFonts w:asciiTheme="minorHAnsi" w:eastAsiaTheme="minorEastAsia" w:hAnsiTheme="minorHAnsi" w:cstheme="minorBidi"/>
          <w:b w:val="0"/>
          <w:caps w:val="0"/>
          <w:noProof/>
          <w:sz w:val="22"/>
          <w:szCs w:val="22"/>
        </w:rPr>
      </w:pPr>
      <w:hyperlink w:anchor="_Toc520091" w:history="1">
        <w:r w:rsidR="00DF0134" w:rsidRPr="00751A29">
          <w:rPr>
            <w:rStyle w:val="Hyperlink"/>
            <w:noProof/>
          </w:rPr>
          <w:t>Section 3: Budgeted financial statements</w:t>
        </w:r>
        <w:r w:rsidR="00DF0134">
          <w:rPr>
            <w:noProof/>
            <w:webHidden/>
          </w:rPr>
          <w:tab/>
        </w:r>
      </w:hyperlink>
      <w:r w:rsidR="00693FFB">
        <w:rPr>
          <w:noProof/>
        </w:rPr>
        <w:t>104</w:t>
      </w:r>
    </w:p>
    <w:p w14:paraId="76C16C21" w14:textId="77777777" w:rsidR="00DF0134" w:rsidRDefault="009363E4" w:rsidP="00DF0134">
      <w:pPr>
        <w:pStyle w:val="TOC2"/>
        <w:tabs>
          <w:tab w:val="left" w:pos="800"/>
        </w:tabs>
        <w:rPr>
          <w:noProof/>
        </w:rPr>
      </w:pPr>
      <w:hyperlink w:anchor="_Toc520092" w:history="1">
        <w:r w:rsidR="00DF0134" w:rsidRPr="00751A29">
          <w:rPr>
            <w:rStyle w:val="Hyperlink"/>
            <w:noProof/>
          </w:rPr>
          <w:t>3.1</w:t>
        </w:r>
        <w:r w:rsidR="00DF0134">
          <w:rPr>
            <w:rFonts w:asciiTheme="minorHAnsi" w:eastAsiaTheme="minorEastAsia" w:hAnsiTheme="minorHAnsi" w:cstheme="minorBidi"/>
            <w:noProof/>
            <w:sz w:val="22"/>
            <w:szCs w:val="22"/>
          </w:rPr>
          <w:tab/>
        </w:r>
        <w:r w:rsidR="00DF0134" w:rsidRPr="00751A29">
          <w:rPr>
            <w:rStyle w:val="Hyperlink"/>
            <w:noProof/>
          </w:rPr>
          <w:t>Budgeted financial statements</w:t>
        </w:r>
        <w:r w:rsidR="00DF0134">
          <w:rPr>
            <w:noProof/>
            <w:webHidden/>
          </w:rPr>
          <w:tab/>
        </w:r>
      </w:hyperlink>
      <w:r w:rsidR="00693FFB">
        <w:rPr>
          <w:noProof/>
        </w:rPr>
        <w:t>104</w:t>
      </w:r>
    </w:p>
    <w:p w14:paraId="76C16C22" w14:textId="582BE564" w:rsidR="009F1602" w:rsidRDefault="009363E4" w:rsidP="009F1602">
      <w:pPr>
        <w:pStyle w:val="TOC2"/>
        <w:tabs>
          <w:tab w:val="left" w:pos="800"/>
        </w:tabs>
        <w:rPr>
          <w:rStyle w:val="Hyperlink"/>
          <w:noProof/>
        </w:rPr>
      </w:pPr>
      <w:hyperlink w:anchor="_Toc520092" w:history="1">
        <w:r w:rsidR="009F1602">
          <w:rPr>
            <w:rStyle w:val="Hyperlink"/>
            <w:noProof/>
          </w:rPr>
          <w:t>3.2</w:t>
        </w:r>
        <w:r w:rsidR="009F1602" w:rsidRPr="002036F6">
          <w:rPr>
            <w:rStyle w:val="Hyperlink"/>
            <w:noProof/>
          </w:rPr>
          <w:tab/>
        </w:r>
        <w:r w:rsidR="009F1602" w:rsidRPr="00751A29">
          <w:rPr>
            <w:rStyle w:val="Hyperlink"/>
            <w:noProof/>
          </w:rPr>
          <w:t>Budgeted financial statements</w:t>
        </w:r>
        <w:r w:rsidR="0003226D">
          <w:rPr>
            <w:rStyle w:val="Hyperlink"/>
            <w:noProof/>
          </w:rPr>
          <w:t xml:space="preserve"> t</w:t>
        </w:r>
        <w:r w:rsidR="009F1602">
          <w:rPr>
            <w:rStyle w:val="Hyperlink"/>
            <w:noProof/>
          </w:rPr>
          <w:t>ables</w:t>
        </w:r>
        <w:r w:rsidR="009F1602" w:rsidRPr="002036F6">
          <w:rPr>
            <w:rStyle w:val="Hyperlink"/>
            <w:noProof/>
            <w:webHidden/>
          </w:rPr>
          <w:tab/>
        </w:r>
      </w:hyperlink>
      <w:r w:rsidR="00693FFB">
        <w:rPr>
          <w:rStyle w:val="Hyperlink"/>
          <w:noProof/>
        </w:rPr>
        <w:t>106</w:t>
      </w:r>
    </w:p>
    <w:p w14:paraId="76C16C23" w14:textId="77777777" w:rsidR="009F1602" w:rsidRDefault="009363E4" w:rsidP="009F1602">
      <w:pPr>
        <w:pStyle w:val="TOC2"/>
        <w:tabs>
          <w:tab w:val="left" w:pos="800"/>
        </w:tabs>
        <w:rPr>
          <w:rFonts w:asciiTheme="minorHAnsi" w:eastAsiaTheme="minorEastAsia" w:hAnsiTheme="minorHAnsi" w:cstheme="minorBidi"/>
          <w:noProof/>
          <w:sz w:val="22"/>
          <w:szCs w:val="22"/>
        </w:rPr>
      </w:pPr>
      <w:hyperlink w:anchor="_Toc520092" w:history="1">
        <w:r w:rsidR="009F1602">
          <w:rPr>
            <w:rStyle w:val="Hyperlink"/>
            <w:noProof/>
          </w:rPr>
          <w:t>3.3</w:t>
        </w:r>
        <w:r w:rsidR="009F1602" w:rsidRPr="00E947B8">
          <w:rPr>
            <w:rStyle w:val="Hyperlink"/>
          </w:rPr>
          <w:tab/>
          <w:t>Notes to the Financial Statements</w:t>
        </w:r>
        <w:r w:rsidR="009F1602" w:rsidRPr="00E947B8">
          <w:rPr>
            <w:rStyle w:val="Hyperlink"/>
            <w:webHidden/>
          </w:rPr>
          <w:tab/>
        </w:r>
        <w:r w:rsidR="00693FFB">
          <w:rPr>
            <w:rStyle w:val="Hyperlink"/>
            <w:webHidden/>
          </w:rPr>
          <w:t>112</w:t>
        </w:r>
      </w:hyperlink>
    </w:p>
    <w:p w14:paraId="76C16C24" w14:textId="77777777" w:rsidR="00DF0134" w:rsidRPr="008B5AFD" w:rsidRDefault="00DF0134" w:rsidP="00693FFB">
      <w:pPr>
        <w:pStyle w:val="TOC2"/>
        <w:tabs>
          <w:tab w:val="left" w:pos="800"/>
        </w:tabs>
      </w:pPr>
      <w:r>
        <w:fldChar w:fldCharType="end"/>
      </w:r>
    </w:p>
    <w:p w14:paraId="76C16C25" w14:textId="77777777" w:rsidR="00DF0134" w:rsidRDefault="00DF0134" w:rsidP="00DF0134">
      <w:pPr>
        <w:sectPr w:rsidR="00DF0134" w:rsidSect="00A4181B">
          <w:footerReference w:type="first" r:id="rId16"/>
          <w:type w:val="oddPage"/>
          <w:pgSz w:w="11906" w:h="16838" w:code="9"/>
          <w:pgMar w:top="2466" w:right="2098" w:bottom="2466" w:left="2098" w:header="1899" w:footer="1899" w:gutter="0"/>
          <w:pgNumType w:start="89"/>
          <w:cols w:space="708"/>
          <w:titlePg/>
          <w:docGrid w:linePitch="360"/>
        </w:sectPr>
      </w:pPr>
    </w:p>
    <w:p w14:paraId="76C16C26" w14:textId="21649896" w:rsidR="00DC71D5" w:rsidRDefault="008F1A42" w:rsidP="00902798">
      <w:pPr>
        <w:pStyle w:val="Heading1"/>
      </w:pPr>
      <w:bookmarkStart w:id="2" w:name="_Toc2860306"/>
      <w:bookmarkStart w:id="3" w:name="_Toc3373941"/>
      <w:r>
        <w:lastRenderedPageBreak/>
        <w:t>Comcare, t</w:t>
      </w:r>
      <w:r w:rsidR="00DC71D5">
        <w:t>he Safety, Rehabilitation and Compensation Commission, and the Seafarers Safety, rehabilitation and Compensation Authority</w:t>
      </w:r>
      <w:bookmarkEnd w:id="2"/>
      <w:bookmarkEnd w:id="3"/>
    </w:p>
    <w:p w14:paraId="76C16C27" w14:textId="77777777" w:rsidR="00DF0134" w:rsidRPr="002C4D41" w:rsidRDefault="00DF0134" w:rsidP="00DF0134">
      <w:pPr>
        <w:pStyle w:val="Heading2"/>
      </w:pPr>
      <w:r w:rsidRPr="002C4D41">
        <w:t>Section 1: Entity overview and resources</w:t>
      </w:r>
    </w:p>
    <w:p w14:paraId="76C16C28" w14:textId="77777777" w:rsidR="00DF0134" w:rsidRDefault="00DF0134" w:rsidP="00DF0134">
      <w:pPr>
        <w:pStyle w:val="Heading3"/>
      </w:pPr>
      <w:r>
        <w:t>1.1</w:t>
      </w:r>
      <w:r>
        <w:tab/>
        <w:t>Strategic direction statement</w:t>
      </w:r>
    </w:p>
    <w:p w14:paraId="76C16C29" w14:textId="77777777" w:rsidR="00DC71D5" w:rsidRPr="00D91727" w:rsidRDefault="00DC71D5" w:rsidP="00DC71D5">
      <w:pPr>
        <w:rPr>
          <w:rFonts w:cs="Arial"/>
        </w:rPr>
      </w:pPr>
      <w:r w:rsidRPr="00D91727">
        <w:rPr>
          <w:rFonts w:cs="Arial"/>
        </w:rPr>
        <w:t>Comcare is the national workers’ compensation and work health and safety authority. We are committed to supporting participation and productivity through healthy and safe workplaces that minimise the impact of harm.</w:t>
      </w:r>
    </w:p>
    <w:p w14:paraId="76C16C2A" w14:textId="6A7F8083" w:rsidR="00DC71D5" w:rsidRPr="00D91727" w:rsidRDefault="00DC71D5" w:rsidP="00DC71D5">
      <w:pPr>
        <w:rPr>
          <w:rFonts w:cs="Arial"/>
        </w:rPr>
      </w:pPr>
      <w:r w:rsidRPr="00D91727">
        <w:rPr>
          <w:rFonts w:cs="Arial"/>
        </w:rPr>
        <w:t xml:space="preserve">Comcare administers an integrated, national scheme providing work health and safety regulation, insurance, claims management, self-insurance, policy, guidance, research and innovation. These services are delivered as per the </w:t>
      </w:r>
      <w:r w:rsidRPr="00D91727">
        <w:rPr>
          <w:rFonts w:cs="Arial"/>
          <w:i/>
        </w:rPr>
        <w:t>Work Health and Safety Act 2011</w:t>
      </w:r>
      <w:r w:rsidRPr="00D91727">
        <w:rPr>
          <w:rFonts w:cs="Arial"/>
        </w:rPr>
        <w:t xml:space="preserve"> (WHS Act) and the </w:t>
      </w:r>
      <w:r w:rsidRPr="00D91727">
        <w:rPr>
          <w:rFonts w:cs="Arial"/>
          <w:i/>
        </w:rPr>
        <w:t>Safety, Rehabilitation and Compensation Act 1988</w:t>
      </w:r>
      <w:r w:rsidRPr="00D91727">
        <w:rPr>
          <w:rFonts w:cs="Arial"/>
        </w:rPr>
        <w:t xml:space="preserve"> (SRC Act). </w:t>
      </w:r>
      <w:r w:rsidR="00EA1BC5">
        <w:rPr>
          <w:rFonts w:cs="Arial"/>
        </w:rPr>
        <w:t>Comcare</w:t>
      </w:r>
      <w:r w:rsidRPr="00D91727">
        <w:rPr>
          <w:rFonts w:cs="Arial"/>
        </w:rPr>
        <w:t xml:space="preserve"> also manage claims in relation to the </w:t>
      </w:r>
      <w:r w:rsidRPr="00D91727">
        <w:rPr>
          <w:rFonts w:cs="Arial"/>
          <w:i/>
        </w:rPr>
        <w:t>Asbestos-related Claims (Management of Commonwealth Liabilities) Act 2005</w:t>
      </w:r>
      <w:r w:rsidRPr="00D91727">
        <w:rPr>
          <w:rFonts w:cs="Arial"/>
        </w:rPr>
        <w:t xml:space="preserve"> (ARC Act).</w:t>
      </w:r>
    </w:p>
    <w:p w14:paraId="76C16C2B" w14:textId="77777777" w:rsidR="00DC71D5" w:rsidRPr="00D91727" w:rsidRDefault="00DC71D5" w:rsidP="00DC71D5">
      <w:pPr>
        <w:rPr>
          <w:rFonts w:cs="Arial"/>
        </w:rPr>
      </w:pPr>
      <w:r w:rsidRPr="00D91727">
        <w:rPr>
          <w:rFonts w:cs="Arial"/>
        </w:rPr>
        <w:t>The Comcare Corporate Plan 2019—2023 outlines our strategic focus in driving innovation to deliver better practice in:</w:t>
      </w:r>
    </w:p>
    <w:p w14:paraId="76C16C2C" w14:textId="77777777" w:rsidR="00DC71D5" w:rsidRPr="00E80D04" w:rsidRDefault="00DC71D5" w:rsidP="00EA1BC5">
      <w:pPr>
        <w:pStyle w:val="Bullet"/>
        <w:spacing w:after="160"/>
        <w:ind w:left="284" w:hanging="284"/>
        <w:jc w:val="left"/>
        <w:rPr>
          <w:rFonts w:cstheme="minorHAnsi"/>
        </w:rPr>
      </w:pPr>
      <w:r w:rsidRPr="00E80D04">
        <w:rPr>
          <w:rFonts w:cstheme="minorHAnsi"/>
        </w:rPr>
        <w:t>promoting healthy and safe workplaces</w:t>
      </w:r>
    </w:p>
    <w:p w14:paraId="76C16C2D" w14:textId="77777777" w:rsidR="00DC71D5" w:rsidRPr="00E80D04" w:rsidRDefault="00DC71D5" w:rsidP="00EA1BC5">
      <w:pPr>
        <w:pStyle w:val="Bullet"/>
        <w:spacing w:after="160"/>
        <w:ind w:left="284" w:hanging="284"/>
        <w:jc w:val="left"/>
        <w:rPr>
          <w:rFonts w:cstheme="minorHAnsi"/>
        </w:rPr>
      </w:pPr>
      <w:r w:rsidRPr="00E80D04">
        <w:rPr>
          <w:rFonts w:cstheme="minorHAnsi"/>
        </w:rPr>
        <w:t>reducing illness and injury in workplaces</w:t>
      </w:r>
    </w:p>
    <w:p w14:paraId="76C16C2E" w14:textId="77777777" w:rsidR="00DC71D5" w:rsidRPr="00E80D04" w:rsidRDefault="00DC71D5" w:rsidP="00EA1BC5">
      <w:pPr>
        <w:pStyle w:val="Bullet"/>
        <w:spacing w:after="160"/>
        <w:ind w:left="284" w:hanging="284"/>
        <w:jc w:val="left"/>
        <w:rPr>
          <w:rFonts w:cstheme="minorHAnsi"/>
        </w:rPr>
      </w:pPr>
      <w:r w:rsidRPr="00E80D04">
        <w:rPr>
          <w:rFonts w:cstheme="minorHAnsi"/>
        </w:rPr>
        <w:t xml:space="preserve">supporting work participation through improving recovery at and return to work </w:t>
      </w:r>
    </w:p>
    <w:p w14:paraId="76C16C2F" w14:textId="2BE8E19C" w:rsidR="00DC71D5" w:rsidRPr="00E80D04" w:rsidRDefault="00ED2FF6" w:rsidP="00EA1BC5">
      <w:pPr>
        <w:pStyle w:val="Bullet"/>
        <w:spacing w:after="160"/>
        <w:ind w:left="284" w:hanging="284"/>
        <w:jc w:val="left"/>
        <w:rPr>
          <w:rFonts w:cstheme="minorHAnsi"/>
        </w:rPr>
      </w:pPr>
      <w:r>
        <w:rPr>
          <w:rFonts w:cstheme="minorHAnsi"/>
        </w:rPr>
        <w:t>reducing premiums and worker</w:t>
      </w:r>
      <w:r w:rsidR="00DC71D5" w:rsidRPr="00E80D04">
        <w:rPr>
          <w:rFonts w:cstheme="minorHAnsi"/>
        </w:rPr>
        <w:t>s</w:t>
      </w:r>
      <w:r>
        <w:rPr>
          <w:rFonts w:cstheme="minorHAnsi"/>
          <w:lang w:val="en-AU"/>
        </w:rPr>
        <w:t>’</w:t>
      </w:r>
      <w:r w:rsidR="00DC71D5" w:rsidRPr="00E80D04">
        <w:rPr>
          <w:rFonts w:cstheme="minorHAnsi"/>
        </w:rPr>
        <w:t xml:space="preserve"> compensation liabilities</w:t>
      </w:r>
      <w:r w:rsidR="008C19F6">
        <w:rPr>
          <w:rFonts w:cstheme="minorHAnsi"/>
          <w:lang w:val="en-AU"/>
        </w:rPr>
        <w:t>, and</w:t>
      </w:r>
    </w:p>
    <w:p w14:paraId="76C16C30" w14:textId="77777777" w:rsidR="00DC71D5" w:rsidRPr="00E80D04" w:rsidRDefault="00DC71D5" w:rsidP="00EA1BC5">
      <w:pPr>
        <w:pStyle w:val="Bullet"/>
        <w:spacing w:after="160"/>
        <w:ind w:left="284" w:hanging="284"/>
        <w:jc w:val="left"/>
        <w:rPr>
          <w:rFonts w:cstheme="minorHAnsi"/>
        </w:rPr>
      </w:pPr>
      <w:r w:rsidRPr="00E80D04">
        <w:rPr>
          <w:rFonts w:cstheme="minorHAnsi"/>
        </w:rPr>
        <w:t>sharing what works nationally.</w:t>
      </w:r>
    </w:p>
    <w:p w14:paraId="76C16C31" w14:textId="345914FE" w:rsidR="00DC71D5" w:rsidRPr="00D91727" w:rsidRDefault="00DC71D5" w:rsidP="00DC71D5">
      <w:pPr>
        <w:rPr>
          <w:rFonts w:cs="Arial"/>
        </w:rPr>
      </w:pPr>
      <w:r w:rsidRPr="00D91727">
        <w:rPr>
          <w:rFonts w:cs="Arial"/>
        </w:rPr>
        <w:t xml:space="preserve">Using our partnerships, research and initiatives </w:t>
      </w:r>
      <w:r w:rsidR="00EA1BC5">
        <w:rPr>
          <w:rFonts w:cs="Arial"/>
        </w:rPr>
        <w:t>Comcare</w:t>
      </w:r>
      <w:r w:rsidRPr="00D91727">
        <w:rPr>
          <w:rFonts w:cs="Arial"/>
        </w:rPr>
        <w:t xml:space="preserve"> provide</w:t>
      </w:r>
      <w:r w:rsidR="00EA1BC5">
        <w:rPr>
          <w:rFonts w:cs="Arial"/>
        </w:rPr>
        <w:t>s</w:t>
      </w:r>
      <w:r w:rsidRPr="00D91727">
        <w:rPr>
          <w:rFonts w:cs="Arial"/>
        </w:rPr>
        <w:t xml:space="preserve"> expert advice and services to a wide variety of stakeholders including the Safety, Rehabilitation and Compensation Commission and the Seafarers Safety, Rehabilitation and Compensation Authority.</w:t>
      </w:r>
    </w:p>
    <w:p w14:paraId="76C16C32" w14:textId="77777777" w:rsidR="00DF0134" w:rsidRDefault="00DF0134" w:rsidP="00DF0134">
      <w:pPr>
        <w:pStyle w:val="Heading3"/>
      </w:pPr>
      <w:r w:rsidRPr="0079797F">
        <w:br w:type="page"/>
      </w:r>
      <w:r>
        <w:lastRenderedPageBreak/>
        <w:t>1.2</w:t>
      </w:r>
      <w:r>
        <w:tab/>
        <w:t>Entity resource statement</w:t>
      </w:r>
    </w:p>
    <w:p w14:paraId="76C16C33" w14:textId="77777777" w:rsidR="00DF0134" w:rsidRDefault="00DF0134" w:rsidP="007C05BB">
      <w:pPr>
        <w:spacing w:line="250" w:lineRule="exact"/>
      </w:pPr>
      <w:r>
        <w:t>Table 1.1 shows the total funding from all sources available to the entity for its operations and to deliver programs and services on behalf of the Government.</w:t>
      </w:r>
    </w:p>
    <w:p w14:paraId="76C16C34" w14:textId="77777777" w:rsidR="00DF0134" w:rsidRDefault="00DF0134" w:rsidP="007C05BB">
      <w:pPr>
        <w:spacing w:line="250" w:lineRule="exact"/>
      </w:pPr>
      <w:r>
        <w:t>The table summarises how resources will be applied by outcome (government strategic policy objectives) and by administered (on behalf of the Government or the public) and departmental (for the entity’s operations) classification.</w:t>
      </w:r>
    </w:p>
    <w:p w14:paraId="76C16C35" w14:textId="77777777" w:rsidR="00DF0134" w:rsidRDefault="00DF0134" w:rsidP="007C05BB">
      <w:pPr>
        <w:spacing w:line="250" w:lineRule="exact"/>
      </w:pPr>
      <w:r>
        <w:t xml:space="preserve">For more detailed information on special accounts and special appropriations, please refer to </w:t>
      </w:r>
      <w:r w:rsidRPr="00412C0B">
        <w:rPr>
          <w:i/>
        </w:rPr>
        <w:t>Budget Paper No. 4 – Agency Resourcing</w:t>
      </w:r>
      <w:r>
        <w:t>.</w:t>
      </w:r>
    </w:p>
    <w:p w14:paraId="76C16C36" w14:textId="13D0D294" w:rsidR="00DF0134" w:rsidRDefault="00DF0134" w:rsidP="007C05BB">
      <w:pPr>
        <w:spacing w:after="120" w:line="250" w:lineRule="exact"/>
      </w:pPr>
      <w:r>
        <w:t xml:space="preserve">Information in this table is presented on a resourcing (that is, appropriations/cash available) basis, whilst the </w:t>
      </w:r>
      <w:r w:rsidR="00097938">
        <w:t>‘</w:t>
      </w:r>
      <w:r>
        <w:t>Budgeted expenses by Outcome</w:t>
      </w:r>
      <w:r w:rsidR="00097938">
        <w:t>’</w:t>
      </w:r>
      <w:r>
        <w:t xml:space="preserve"> tables in Section 2 and the financial statements in Section 3 are presented on an accrual basis.</w:t>
      </w:r>
    </w:p>
    <w:p w14:paraId="76C16C37" w14:textId="15164B08" w:rsidR="00DC71D5" w:rsidRPr="00DC71D5" w:rsidRDefault="00DC71D5" w:rsidP="007C05BB">
      <w:pPr>
        <w:pStyle w:val="TableGraphic"/>
        <w:jc w:val="left"/>
        <w:rPr>
          <w:lang w:eastAsia="x-none"/>
        </w:rPr>
      </w:pPr>
      <w:r w:rsidRPr="00D154DE">
        <w:rPr>
          <w:rFonts w:ascii="Arial" w:hAnsi="Arial" w:cs="Arial"/>
          <w:b/>
        </w:rPr>
        <w:t>Table 1.1: Comcare resource statement</w:t>
      </w:r>
      <w:r w:rsidR="008C3E08">
        <w:rPr>
          <w:rFonts w:ascii="Arial" w:hAnsi="Arial" w:cs="Arial"/>
          <w:b/>
        </w:rPr>
        <w:t xml:space="preserve"> </w:t>
      </w:r>
      <w:r w:rsidRPr="00D154DE">
        <w:rPr>
          <w:rFonts w:ascii="Arial" w:hAnsi="Arial" w:cs="Arial"/>
          <w:b/>
        </w:rPr>
        <w:t>—</w:t>
      </w:r>
      <w:r w:rsidR="008C3E08">
        <w:rPr>
          <w:rFonts w:ascii="Arial" w:hAnsi="Arial" w:cs="Arial"/>
          <w:b/>
        </w:rPr>
        <w:t xml:space="preserve"> </w:t>
      </w:r>
      <w:r w:rsidRPr="00D154DE">
        <w:rPr>
          <w:rFonts w:ascii="Arial" w:hAnsi="Arial" w:cs="Arial"/>
          <w:b/>
        </w:rPr>
        <w:t xml:space="preserve">Budget estimates for </w:t>
      </w:r>
      <w:r w:rsidR="009A4174">
        <w:rPr>
          <w:rFonts w:ascii="Arial" w:hAnsi="Arial" w:cs="Arial"/>
          <w:b/>
        </w:rPr>
        <w:t>2019–20</w:t>
      </w:r>
      <w:r w:rsidRPr="00D154DE">
        <w:rPr>
          <w:rFonts w:ascii="Arial" w:hAnsi="Arial" w:cs="Arial"/>
          <w:b/>
        </w:rPr>
        <w:t xml:space="preserve"> as at Budget </w:t>
      </w:r>
      <w:r>
        <w:rPr>
          <w:rFonts w:ascii="Arial" w:hAnsi="Arial" w:cs="Arial"/>
          <w:b/>
        </w:rPr>
        <w:t>April 2019</w:t>
      </w:r>
    </w:p>
    <w:tbl>
      <w:tblPr>
        <w:tblW w:w="7600" w:type="dxa"/>
        <w:tblLook w:val="04A0" w:firstRow="1" w:lastRow="0" w:firstColumn="1" w:lastColumn="0" w:noHBand="0" w:noVBand="1"/>
      </w:tblPr>
      <w:tblGrid>
        <w:gridCol w:w="5240"/>
        <w:gridCol w:w="1180"/>
        <w:gridCol w:w="1180"/>
      </w:tblGrid>
      <w:tr w:rsidR="001A35DC" w:rsidRPr="001A35DC" w14:paraId="76C16C3B" w14:textId="77777777" w:rsidTr="009F1602">
        <w:trPr>
          <w:trHeight w:val="657"/>
        </w:trPr>
        <w:tc>
          <w:tcPr>
            <w:tcW w:w="5240" w:type="dxa"/>
            <w:tcBorders>
              <w:top w:val="single" w:sz="4" w:space="0" w:color="auto"/>
              <w:left w:val="nil"/>
              <w:bottom w:val="nil"/>
              <w:right w:val="nil"/>
            </w:tcBorders>
            <w:shd w:val="clear" w:color="000000" w:fill="FFFFFF"/>
            <w:noWrap/>
            <w:vAlign w:val="bottom"/>
            <w:hideMark/>
          </w:tcPr>
          <w:p w14:paraId="76C16C38" w14:textId="77777777" w:rsidR="001A35DC" w:rsidRPr="001A35DC" w:rsidRDefault="001A35DC" w:rsidP="001A35DC">
            <w:pPr>
              <w:spacing w:after="0" w:line="240" w:lineRule="auto"/>
              <w:jc w:val="left"/>
              <w:rPr>
                <w:rFonts w:ascii="Arial" w:hAnsi="Arial" w:cs="Arial"/>
                <w:color w:val="000000"/>
                <w:sz w:val="16"/>
                <w:szCs w:val="16"/>
              </w:rPr>
            </w:pPr>
            <w:r w:rsidRPr="001A35DC">
              <w:rPr>
                <w:rFonts w:ascii="Arial" w:hAnsi="Arial" w:cs="Arial"/>
                <w:color w:val="000000"/>
                <w:sz w:val="16"/>
                <w:szCs w:val="16"/>
              </w:rPr>
              <w:t> </w:t>
            </w:r>
          </w:p>
        </w:tc>
        <w:tc>
          <w:tcPr>
            <w:tcW w:w="1180" w:type="dxa"/>
            <w:tcBorders>
              <w:top w:val="single" w:sz="4" w:space="0" w:color="auto"/>
              <w:left w:val="nil"/>
              <w:bottom w:val="single" w:sz="4" w:space="0" w:color="auto"/>
              <w:right w:val="nil"/>
            </w:tcBorders>
            <w:shd w:val="clear" w:color="000000" w:fill="FFFFFF"/>
            <w:hideMark/>
          </w:tcPr>
          <w:p w14:paraId="76C16C39" w14:textId="4BF9C933" w:rsidR="001A35DC" w:rsidRPr="001A35DC" w:rsidRDefault="009A4174" w:rsidP="001A35DC">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2018–19 </w:t>
            </w:r>
            <w:r w:rsidR="00BE31FB">
              <w:rPr>
                <w:rFonts w:ascii="Arial" w:hAnsi="Arial" w:cs="Arial"/>
                <w:i/>
                <w:iCs/>
                <w:color w:val="000000"/>
                <w:sz w:val="16"/>
                <w:szCs w:val="16"/>
              </w:rPr>
              <w:t>(a)</w:t>
            </w:r>
            <w:r w:rsidR="001A35DC" w:rsidRPr="001A35DC">
              <w:rPr>
                <w:rFonts w:ascii="Arial" w:hAnsi="Arial" w:cs="Arial"/>
                <w:i/>
                <w:iCs/>
                <w:color w:val="000000"/>
                <w:sz w:val="16"/>
                <w:szCs w:val="16"/>
              </w:rPr>
              <w:t xml:space="preserve"> Estimated actual</w:t>
            </w:r>
            <w:r w:rsidR="001A35DC" w:rsidRPr="001A35DC">
              <w:rPr>
                <w:rFonts w:ascii="Arial" w:hAnsi="Arial" w:cs="Arial"/>
                <w:i/>
                <w:iCs/>
                <w:color w:val="000000"/>
                <w:sz w:val="16"/>
                <w:szCs w:val="16"/>
              </w:rPr>
              <w:br/>
              <w:t>$'000</w:t>
            </w:r>
          </w:p>
        </w:tc>
        <w:tc>
          <w:tcPr>
            <w:tcW w:w="1180" w:type="dxa"/>
            <w:tcBorders>
              <w:top w:val="single" w:sz="4" w:space="0" w:color="auto"/>
              <w:left w:val="nil"/>
              <w:bottom w:val="single" w:sz="4" w:space="0" w:color="auto"/>
              <w:right w:val="nil"/>
            </w:tcBorders>
            <w:shd w:val="clear" w:color="000000" w:fill="E6E6E6"/>
            <w:hideMark/>
          </w:tcPr>
          <w:p w14:paraId="76C16C3A" w14:textId="77777777" w:rsidR="001A35DC" w:rsidRPr="001A35DC" w:rsidRDefault="009A4174" w:rsidP="001A35DC">
            <w:pPr>
              <w:spacing w:after="0" w:line="240" w:lineRule="auto"/>
              <w:jc w:val="right"/>
              <w:rPr>
                <w:rFonts w:ascii="Arial" w:hAnsi="Arial" w:cs="Arial"/>
                <w:color w:val="000000"/>
                <w:sz w:val="16"/>
                <w:szCs w:val="16"/>
              </w:rPr>
            </w:pPr>
            <w:r>
              <w:rPr>
                <w:rFonts w:ascii="Arial" w:hAnsi="Arial" w:cs="Arial"/>
                <w:color w:val="000000"/>
                <w:sz w:val="16"/>
                <w:szCs w:val="16"/>
              </w:rPr>
              <w:t>2019–20</w:t>
            </w:r>
            <w:r w:rsidR="001A35DC" w:rsidRPr="001A35DC">
              <w:rPr>
                <w:rFonts w:ascii="Arial" w:hAnsi="Arial" w:cs="Arial"/>
                <w:color w:val="000000"/>
                <w:sz w:val="16"/>
                <w:szCs w:val="16"/>
              </w:rPr>
              <w:t xml:space="preserve"> Estimate</w:t>
            </w:r>
            <w:r w:rsidR="001A35DC" w:rsidRPr="001A35DC">
              <w:rPr>
                <w:rFonts w:ascii="Arial" w:hAnsi="Arial" w:cs="Arial"/>
                <w:color w:val="000000"/>
                <w:sz w:val="16"/>
                <w:szCs w:val="16"/>
              </w:rPr>
              <w:br/>
            </w:r>
            <w:r w:rsidR="001A35DC" w:rsidRPr="001A35DC">
              <w:rPr>
                <w:rFonts w:ascii="Arial" w:hAnsi="Arial" w:cs="Arial"/>
                <w:color w:val="000000"/>
                <w:sz w:val="16"/>
                <w:szCs w:val="16"/>
              </w:rPr>
              <w:br/>
              <w:t>$'000</w:t>
            </w:r>
          </w:p>
        </w:tc>
      </w:tr>
      <w:tr w:rsidR="001A35DC" w:rsidRPr="001A35DC" w14:paraId="76C16C3F" w14:textId="77777777" w:rsidTr="001A35DC">
        <w:trPr>
          <w:trHeight w:val="210"/>
        </w:trPr>
        <w:tc>
          <w:tcPr>
            <w:tcW w:w="5240" w:type="dxa"/>
            <w:tcBorders>
              <w:top w:val="nil"/>
              <w:left w:val="nil"/>
              <w:bottom w:val="nil"/>
              <w:right w:val="nil"/>
            </w:tcBorders>
            <w:shd w:val="clear" w:color="000000" w:fill="FFFFFF"/>
            <w:noWrap/>
            <w:vAlign w:val="bottom"/>
            <w:hideMark/>
          </w:tcPr>
          <w:p w14:paraId="76C16C3C" w14:textId="77777777" w:rsidR="001A35DC" w:rsidRPr="00BB2FD5" w:rsidRDefault="001A35DC" w:rsidP="00BB2FD5">
            <w:pPr>
              <w:spacing w:after="0" w:line="240" w:lineRule="auto"/>
              <w:ind w:left="180" w:hanging="180"/>
              <w:jc w:val="left"/>
              <w:rPr>
                <w:rFonts w:ascii="Arial" w:hAnsi="Arial" w:cs="Arial"/>
                <w:b/>
                <w:bCs/>
                <w:sz w:val="16"/>
                <w:szCs w:val="16"/>
              </w:rPr>
            </w:pPr>
            <w:r w:rsidRPr="00BB2FD5">
              <w:rPr>
                <w:rFonts w:ascii="Arial" w:hAnsi="Arial" w:cs="Arial"/>
                <w:b/>
                <w:bCs/>
                <w:sz w:val="16"/>
                <w:szCs w:val="16"/>
              </w:rPr>
              <w:t>Opening balance/cash reserves at 1 July</w:t>
            </w:r>
          </w:p>
        </w:tc>
        <w:tc>
          <w:tcPr>
            <w:tcW w:w="1180" w:type="dxa"/>
            <w:tcBorders>
              <w:top w:val="nil"/>
              <w:left w:val="nil"/>
              <w:bottom w:val="single" w:sz="4" w:space="0" w:color="auto"/>
              <w:right w:val="nil"/>
            </w:tcBorders>
            <w:shd w:val="clear" w:color="000000" w:fill="FFFFFF"/>
            <w:noWrap/>
            <w:vAlign w:val="bottom"/>
            <w:hideMark/>
          </w:tcPr>
          <w:p w14:paraId="76C16C3D"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xml:space="preserve">1,028,241 </w:t>
            </w:r>
          </w:p>
        </w:tc>
        <w:tc>
          <w:tcPr>
            <w:tcW w:w="1180" w:type="dxa"/>
            <w:tcBorders>
              <w:top w:val="nil"/>
              <w:left w:val="nil"/>
              <w:bottom w:val="single" w:sz="4" w:space="0" w:color="auto"/>
              <w:right w:val="nil"/>
            </w:tcBorders>
            <w:shd w:val="clear" w:color="000000" w:fill="E6E6E6"/>
            <w:noWrap/>
            <w:vAlign w:val="bottom"/>
            <w:hideMark/>
          </w:tcPr>
          <w:p w14:paraId="76C16C3E" w14:textId="77777777" w:rsidR="001A35DC" w:rsidRPr="001A35DC" w:rsidRDefault="001A35DC" w:rsidP="001A35DC">
            <w:pPr>
              <w:spacing w:after="0" w:line="240" w:lineRule="auto"/>
              <w:jc w:val="right"/>
              <w:rPr>
                <w:rFonts w:ascii="Arial" w:hAnsi="Arial" w:cs="Arial"/>
                <w:color w:val="000000"/>
                <w:sz w:val="16"/>
                <w:szCs w:val="16"/>
              </w:rPr>
            </w:pPr>
            <w:r w:rsidRPr="001A35DC">
              <w:rPr>
                <w:rFonts w:ascii="Arial" w:hAnsi="Arial" w:cs="Arial"/>
                <w:color w:val="000000"/>
                <w:sz w:val="16"/>
                <w:szCs w:val="16"/>
              </w:rPr>
              <w:t xml:space="preserve">979,071 </w:t>
            </w:r>
          </w:p>
        </w:tc>
      </w:tr>
      <w:tr w:rsidR="001A35DC" w:rsidRPr="001A35DC" w14:paraId="76C16C43" w14:textId="77777777" w:rsidTr="001A35DC">
        <w:trPr>
          <w:trHeight w:val="210"/>
        </w:trPr>
        <w:tc>
          <w:tcPr>
            <w:tcW w:w="5240" w:type="dxa"/>
            <w:tcBorders>
              <w:top w:val="nil"/>
              <w:left w:val="nil"/>
              <w:bottom w:val="nil"/>
              <w:right w:val="nil"/>
            </w:tcBorders>
            <w:shd w:val="clear" w:color="000000" w:fill="FFFFFF"/>
            <w:vAlign w:val="bottom"/>
            <w:hideMark/>
          </w:tcPr>
          <w:p w14:paraId="76C16C40" w14:textId="77777777" w:rsidR="001A35DC" w:rsidRPr="00BB2FD5" w:rsidRDefault="001A35DC" w:rsidP="00BB2FD5">
            <w:pPr>
              <w:spacing w:after="0" w:line="240" w:lineRule="auto"/>
              <w:ind w:left="180" w:hanging="180"/>
              <w:jc w:val="left"/>
              <w:rPr>
                <w:rFonts w:ascii="Arial" w:hAnsi="Arial" w:cs="Arial"/>
                <w:b/>
                <w:bCs/>
                <w:sz w:val="16"/>
                <w:szCs w:val="16"/>
              </w:rPr>
            </w:pPr>
            <w:r w:rsidRPr="00BB2FD5">
              <w:rPr>
                <w:rFonts w:ascii="Arial" w:hAnsi="Arial" w:cs="Arial"/>
                <w:b/>
                <w:bCs/>
                <w:sz w:val="16"/>
                <w:szCs w:val="16"/>
              </w:rPr>
              <w:t>Funds from Government</w:t>
            </w:r>
          </w:p>
        </w:tc>
        <w:tc>
          <w:tcPr>
            <w:tcW w:w="1180" w:type="dxa"/>
            <w:tcBorders>
              <w:top w:val="nil"/>
              <w:left w:val="nil"/>
              <w:bottom w:val="nil"/>
              <w:right w:val="nil"/>
            </w:tcBorders>
            <w:shd w:val="clear" w:color="000000" w:fill="FFFFFF"/>
            <w:noWrap/>
            <w:vAlign w:val="bottom"/>
            <w:hideMark/>
          </w:tcPr>
          <w:p w14:paraId="76C16C41"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w:t>
            </w:r>
          </w:p>
        </w:tc>
        <w:tc>
          <w:tcPr>
            <w:tcW w:w="1180" w:type="dxa"/>
            <w:tcBorders>
              <w:top w:val="nil"/>
              <w:left w:val="nil"/>
              <w:bottom w:val="nil"/>
              <w:right w:val="nil"/>
            </w:tcBorders>
            <w:shd w:val="clear" w:color="000000" w:fill="E6E6E6"/>
            <w:noWrap/>
            <w:vAlign w:val="bottom"/>
            <w:hideMark/>
          </w:tcPr>
          <w:p w14:paraId="76C16C42" w14:textId="77777777" w:rsidR="001A35DC" w:rsidRPr="001A35DC" w:rsidRDefault="001A35DC" w:rsidP="001A35DC">
            <w:pPr>
              <w:spacing w:after="0" w:line="240" w:lineRule="auto"/>
              <w:jc w:val="right"/>
              <w:rPr>
                <w:rFonts w:ascii="Arial" w:hAnsi="Arial" w:cs="Arial"/>
                <w:color w:val="000000"/>
                <w:sz w:val="16"/>
                <w:szCs w:val="16"/>
              </w:rPr>
            </w:pPr>
            <w:r w:rsidRPr="001A35DC">
              <w:rPr>
                <w:rFonts w:ascii="Arial" w:hAnsi="Arial" w:cs="Arial"/>
                <w:color w:val="000000"/>
                <w:sz w:val="16"/>
                <w:szCs w:val="16"/>
              </w:rPr>
              <w:t> </w:t>
            </w:r>
          </w:p>
        </w:tc>
      </w:tr>
      <w:tr w:rsidR="001A35DC" w:rsidRPr="001A35DC" w14:paraId="76C16C47" w14:textId="77777777" w:rsidTr="001A35DC">
        <w:trPr>
          <w:trHeight w:val="200"/>
        </w:trPr>
        <w:tc>
          <w:tcPr>
            <w:tcW w:w="5240" w:type="dxa"/>
            <w:tcBorders>
              <w:top w:val="nil"/>
              <w:left w:val="nil"/>
              <w:bottom w:val="nil"/>
              <w:right w:val="nil"/>
            </w:tcBorders>
            <w:shd w:val="clear" w:color="000000" w:fill="FFFFFF"/>
            <w:vAlign w:val="bottom"/>
            <w:hideMark/>
          </w:tcPr>
          <w:p w14:paraId="76C16C44" w14:textId="77777777" w:rsidR="001A35DC" w:rsidRPr="001A35DC" w:rsidRDefault="001A35DC" w:rsidP="001A35DC">
            <w:pPr>
              <w:spacing w:after="0" w:line="240" w:lineRule="auto"/>
              <w:jc w:val="left"/>
              <w:rPr>
                <w:rFonts w:ascii="Arial" w:hAnsi="Arial" w:cs="Arial"/>
                <w:color w:val="000000"/>
                <w:sz w:val="16"/>
                <w:szCs w:val="16"/>
              </w:rPr>
            </w:pPr>
            <w:r w:rsidRPr="001A35DC">
              <w:rPr>
                <w:rFonts w:ascii="Arial" w:hAnsi="Arial" w:cs="Arial"/>
                <w:color w:val="000000"/>
                <w:sz w:val="16"/>
                <w:szCs w:val="16"/>
              </w:rPr>
              <w:t>Annual appropriatio</w:t>
            </w:r>
            <w:r w:rsidR="00DD0F20">
              <w:rPr>
                <w:rFonts w:ascii="Arial" w:hAnsi="Arial" w:cs="Arial"/>
                <w:color w:val="000000"/>
                <w:sz w:val="16"/>
                <w:szCs w:val="16"/>
              </w:rPr>
              <w:t>ns - ordinary annual services (b</w:t>
            </w:r>
            <w:r w:rsidRPr="001A35DC">
              <w:rPr>
                <w:rFonts w:ascii="Arial" w:hAnsi="Arial" w:cs="Arial"/>
                <w:color w:val="000000"/>
                <w:sz w:val="16"/>
                <w:szCs w:val="16"/>
              </w:rPr>
              <w:t>)</w:t>
            </w:r>
          </w:p>
        </w:tc>
        <w:tc>
          <w:tcPr>
            <w:tcW w:w="1180" w:type="dxa"/>
            <w:tcBorders>
              <w:top w:val="nil"/>
              <w:left w:val="nil"/>
              <w:bottom w:val="nil"/>
              <w:right w:val="nil"/>
            </w:tcBorders>
            <w:shd w:val="clear" w:color="000000" w:fill="FFFFFF"/>
            <w:noWrap/>
            <w:vAlign w:val="bottom"/>
            <w:hideMark/>
          </w:tcPr>
          <w:p w14:paraId="76C16C45"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w:t>
            </w:r>
          </w:p>
        </w:tc>
        <w:tc>
          <w:tcPr>
            <w:tcW w:w="1180" w:type="dxa"/>
            <w:tcBorders>
              <w:top w:val="nil"/>
              <w:left w:val="nil"/>
              <w:bottom w:val="nil"/>
              <w:right w:val="nil"/>
            </w:tcBorders>
            <w:shd w:val="clear" w:color="000000" w:fill="E6E6E6"/>
            <w:noWrap/>
            <w:vAlign w:val="bottom"/>
            <w:hideMark/>
          </w:tcPr>
          <w:p w14:paraId="76C16C46" w14:textId="77777777" w:rsidR="001A35DC" w:rsidRPr="001A35DC" w:rsidRDefault="001A35DC" w:rsidP="001A35DC">
            <w:pPr>
              <w:spacing w:after="0" w:line="240" w:lineRule="auto"/>
              <w:jc w:val="right"/>
              <w:rPr>
                <w:rFonts w:ascii="Arial" w:hAnsi="Arial" w:cs="Arial"/>
                <w:color w:val="000000"/>
                <w:sz w:val="16"/>
                <w:szCs w:val="16"/>
              </w:rPr>
            </w:pPr>
            <w:r w:rsidRPr="001A35DC">
              <w:rPr>
                <w:rFonts w:ascii="Arial" w:hAnsi="Arial" w:cs="Arial"/>
                <w:color w:val="000000"/>
                <w:sz w:val="16"/>
                <w:szCs w:val="16"/>
              </w:rPr>
              <w:t> </w:t>
            </w:r>
          </w:p>
        </w:tc>
      </w:tr>
      <w:tr w:rsidR="001A35DC" w:rsidRPr="001A35DC" w14:paraId="76C16C4B" w14:textId="77777777" w:rsidTr="009F1602">
        <w:trPr>
          <w:trHeight w:val="133"/>
        </w:trPr>
        <w:tc>
          <w:tcPr>
            <w:tcW w:w="5240" w:type="dxa"/>
            <w:tcBorders>
              <w:top w:val="nil"/>
              <w:left w:val="nil"/>
              <w:bottom w:val="nil"/>
              <w:right w:val="nil"/>
            </w:tcBorders>
            <w:shd w:val="clear" w:color="000000" w:fill="FFFFFF"/>
            <w:vAlign w:val="bottom"/>
            <w:hideMark/>
          </w:tcPr>
          <w:p w14:paraId="76C16C48" w14:textId="77777777" w:rsidR="001A35DC" w:rsidRPr="001A35DC" w:rsidRDefault="001A35DC" w:rsidP="001A35DC">
            <w:pPr>
              <w:spacing w:after="0" w:line="240" w:lineRule="auto"/>
              <w:ind w:firstLineChars="100" w:firstLine="160"/>
              <w:jc w:val="left"/>
              <w:rPr>
                <w:rFonts w:ascii="Arial" w:hAnsi="Arial" w:cs="Arial"/>
                <w:color w:val="000000"/>
                <w:sz w:val="16"/>
                <w:szCs w:val="16"/>
              </w:rPr>
            </w:pPr>
            <w:r w:rsidRPr="001A35DC">
              <w:rPr>
                <w:rFonts w:ascii="Arial" w:hAnsi="Arial" w:cs="Arial"/>
                <w:color w:val="000000"/>
                <w:sz w:val="16"/>
                <w:szCs w:val="16"/>
              </w:rPr>
              <w:t>Outcome 1</w:t>
            </w:r>
          </w:p>
        </w:tc>
        <w:tc>
          <w:tcPr>
            <w:tcW w:w="1180" w:type="dxa"/>
            <w:tcBorders>
              <w:top w:val="nil"/>
              <w:left w:val="nil"/>
              <w:bottom w:val="nil"/>
              <w:right w:val="nil"/>
            </w:tcBorders>
            <w:shd w:val="clear" w:color="000000" w:fill="FFFFFF"/>
            <w:noWrap/>
            <w:vAlign w:val="bottom"/>
            <w:hideMark/>
          </w:tcPr>
          <w:p w14:paraId="76C16C49"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xml:space="preserve">5,989 </w:t>
            </w:r>
          </w:p>
        </w:tc>
        <w:tc>
          <w:tcPr>
            <w:tcW w:w="1180" w:type="dxa"/>
            <w:tcBorders>
              <w:top w:val="nil"/>
              <w:left w:val="nil"/>
              <w:bottom w:val="nil"/>
              <w:right w:val="nil"/>
            </w:tcBorders>
            <w:shd w:val="clear" w:color="000000" w:fill="E6E6E6"/>
            <w:noWrap/>
            <w:vAlign w:val="bottom"/>
            <w:hideMark/>
          </w:tcPr>
          <w:p w14:paraId="76C16C4A" w14:textId="77777777" w:rsidR="001A35DC" w:rsidRPr="001A35DC" w:rsidRDefault="001A35DC" w:rsidP="001A35DC">
            <w:pPr>
              <w:spacing w:after="0" w:line="240" w:lineRule="auto"/>
              <w:jc w:val="right"/>
              <w:rPr>
                <w:rFonts w:ascii="Arial" w:hAnsi="Arial" w:cs="Arial"/>
                <w:color w:val="000000"/>
                <w:sz w:val="16"/>
                <w:szCs w:val="16"/>
              </w:rPr>
            </w:pPr>
            <w:r w:rsidRPr="001A35DC">
              <w:rPr>
                <w:rFonts w:ascii="Arial" w:hAnsi="Arial" w:cs="Arial"/>
                <w:color w:val="000000"/>
                <w:sz w:val="16"/>
                <w:szCs w:val="16"/>
              </w:rPr>
              <w:t xml:space="preserve">5,989 </w:t>
            </w:r>
          </w:p>
        </w:tc>
      </w:tr>
      <w:tr w:rsidR="001A35DC" w:rsidRPr="001A35DC" w14:paraId="76C16C4F" w14:textId="77777777" w:rsidTr="001A35DC">
        <w:trPr>
          <w:trHeight w:val="200"/>
        </w:trPr>
        <w:tc>
          <w:tcPr>
            <w:tcW w:w="5240" w:type="dxa"/>
            <w:tcBorders>
              <w:top w:val="nil"/>
              <w:left w:val="nil"/>
              <w:bottom w:val="nil"/>
              <w:right w:val="nil"/>
            </w:tcBorders>
            <w:shd w:val="clear" w:color="000000" w:fill="FFFFFF"/>
            <w:vAlign w:val="bottom"/>
            <w:hideMark/>
          </w:tcPr>
          <w:p w14:paraId="76C16C4C" w14:textId="77777777" w:rsidR="001A35DC" w:rsidRPr="001A35DC" w:rsidRDefault="001A35DC" w:rsidP="001A35DC">
            <w:pPr>
              <w:spacing w:after="0" w:line="240" w:lineRule="auto"/>
              <w:jc w:val="left"/>
              <w:rPr>
                <w:rFonts w:ascii="Arial" w:hAnsi="Arial" w:cs="Arial"/>
                <w:color w:val="000000"/>
                <w:sz w:val="16"/>
                <w:szCs w:val="16"/>
              </w:rPr>
            </w:pPr>
            <w:r w:rsidRPr="001A35DC">
              <w:rPr>
                <w:rFonts w:ascii="Arial" w:hAnsi="Arial" w:cs="Arial"/>
                <w:color w:val="000000"/>
                <w:sz w:val="16"/>
                <w:szCs w:val="16"/>
              </w:rPr>
              <w:t>Total annual appropriations</w:t>
            </w:r>
          </w:p>
        </w:tc>
        <w:tc>
          <w:tcPr>
            <w:tcW w:w="1180" w:type="dxa"/>
            <w:tcBorders>
              <w:top w:val="single" w:sz="4" w:space="0" w:color="auto"/>
              <w:left w:val="nil"/>
              <w:bottom w:val="single" w:sz="4" w:space="0" w:color="auto"/>
              <w:right w:val="nil"/>
            </w:tcBorders>
            <w:shd w:val="clear" w:color="000000" w:fill="FFFFFF"/>
            <w:noWrap/>
            <w:vAlign w:val="bottom"/>
            <w:hideMark/>
          </w:tcPr>
          <w:p w14:paraId="76C16C4D"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xml:space="preserve">5,989 </w:t>
            </w:r>
          </w:p>
        </w:tc>
        <w:tc>
          <w:tcPr>
            <w:tcW w:w="1180" w:type="dxa"/>
            <w:tcBorders>
              <w:top w:val="single" w:sz="4" w:space="0" w:color="auto"/>
              <w:left w:val="nil"/>
              <w:bottom w:val="single" w:sz="4" w:space="0" w:color="auto"/>
              <w:right w:val="nil"/>
            </w:tcBorders>
            <w:shd w:val="clear" w:color="000000" w:fill="E6E6E6"/>
            <w:noWrap/>
            <w:vAlign w:val="bottom"/>
            <w:hideMark/>
          </w:tcPr>
          <w:p w14:paraId="76C16C4E"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xml:space="preserve">5,989 </w:t>
            </w:r>
          </w:p>
        </w:tc>
      </w:tr>
      <w:tr w:rsidR="001A35DC" w:rsidRPr="001A35DC" w14:paraId="76C16C53" w14:textId="77777777" w:rsidTr="001A35DC">
        <w:trPr>
          <w:trHeight w:val="200"/>
        </w:trPr>
        <w:tc>
          <w:tcPr>
            <w:tcW w:w="5240" w:type="dxa"/>
            <w:tcBorders>
              <w:top w:val="nil"/>
              <w:left w:val="nil"/>
              <w:bottom w:val="nil"/>
              <w:right w:val="nil"/>
            </w:tcBorders>
            <w:shd w:val="clear" w:color="000000" w:fill="FFFFFF"/>
            <w:vAlign w:val="bottom"/>
            <w:hideMark/>
          </w:tcPr>
          <w:p w14:paraId="76C16C50" w14:textId="77777777" w:rsidR="001A35DC" w:rsidRPr="001A35DC" w:rsidRDefault="001A35DC" w:rsidP="001A35DC">
            <w:pPr>
              <w:spacing w:after="0" w:line="240" w:lineRule="auto"/>
              <w:jc w:val="left"/>
              <w:rPr>
                <w:rFonts w:ascii="Arial" w:hAnsi="Arial" w:cs="Arial"/>
                <w:color w:val="000000"/>
                <w:sz w:val="16"/>
                <w:szCs w:val="16"/>
              </w:rPr>
            </w:pPr>
            <w:r w:rsidRPr="001A35DC">
              <w:rPr>
                <w:rFonts w:ascii="Arial" w:hAnsi="Arial" w:cs="Arial"/>
                <w:color w:val="000000"/>
                <w:sz w:val="16"/>
                <w:szCs w:val="16"/>
              </w:rPr>
              <w:t>Amounts received from related entities</w:t>
            </w:r>
          </w:p>
        </w:tc>
        <w:tc>
          <w:tcPr>
            <w:tcW w:w="1180" w:type="dxa"/>
            <w:tcBorders>
              <w:top w:val="nil"/>
              <w:left w:val="nil"/>
              <w:bottom w:val="nil"/>
              <w:right w:val="nil"/>
            </w:tcBorders>
            <w:shd w:val="clear" w:color="000000" w:fill="FFFFFF"/>
            <w:noWrap/>
            <w:vAlign w:val="bottom"/>
            <w:hideMark/>
          </w:tcPr>
          <w:p w14:paraId="76C16C51"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w:t>
            </w:r>
          </w:p>
        </w:tc>
        <w:tc>
          <w:tcPr>
            <w:tcW w:w="1180" w:type="dxa"/>
            <w:tcBorders>
              <w:top w:val="nil"/>
              <w:left w:val="nil"/>
              <w:bottom w:val="nil"/>
              <w:right w:val="nil"/>
            </w:tcBorders>
            <w:shd w:val="clear" w:color="000000" w:fill="E6E6E6"/>
            <w:noWrap/>
            <w:vAlign w:val="bottom"/>
            <w:hideMark/>
          </w:tcPr>
          <w:p w14:paraId="76C16C52" w14:textId="77777777" w:rsidR="001A35DC" w:rsidRPr="001A35DC" w:rsidRDefault="001A35DC" w:rsidP="001A35DC">
            <w:pPr>
              <w:spacing w:after="0" w:line="240" w:lineRule="auto"/>
              <w:jc w:val="right"/>
              <w:rPr>
                <w:rFonts w:ascii="Arial" w:hAnsi="Arial" w:cs="Arial"/>
                <w:color w:val="000000"/>
                <w:sz w:val="16"/>
                <w:szCs w:val="16"/>
              </w:rPr>
            </w:pPr>
            <w:r w:rsidRPr="001A35DC">
              <w:rPr>
                <w:rFonts w:ascii="Arial" w:hAnsi="Arial" w:cs="Arial"/>
                <w:color w:val="000000"/>
                <w:sz w:val="16"/>
                <w:szCs w:val="16"/>
              </w:rPr>
              <w:t> </w:t>
            </w:r>
          </w:p>
        </w:tc>
      </w:tr>
      <w:tr w:rsidR="001A35DC" w:rsidRPr="001A35DC" w14:paraId="76C16C57" w14:textId="77777777" w:rsidTr="001A35DC">
        <w:trPr>
          <w:trHeight w:val="210"/>
        </w:trPr>
        <w:tc>
          <w:tcPr>
            <w:tcW w:w="5240" w:type="dxa"/>
            <w:tcBorders>
              <w:top w:val="nil"/>
              <w:left w:val="nil"/>
              <w:bottom w:val="nil"/>
              <w:right w:val="nil"/>
            </w:tcBorders>
            <w:shd w:val="clear" w:color="000000" w:fill="FFFFFF"/>
            <w:vAlign w:val="bottom"/>
            <w:hideMark/>
          </w:tcPr>
          <w:p w14:paraId="76C16C54" w14:textId="77777777" w:rsidR="001A35DC" w:rsidRPr="001A35DC" w:rsidRDefault="001A35DC" w:rsidP="001A35DC">
            <w:pPr>
              <w:spacing w:after="0" w:line="240" w:lineRule="auto"/>
              <w:ind w:firstLineChars="100" w:firstLine="160"/>
              <w:jc w:val="left"/>
              <w:rPr>
                <w:rFonts w:ascii="Arial" w:hAnsi="Arial" w:cs="Arial"/>
                <w:color w:val="000000"/>
                <w:sz w:val="16"/>
                <w:szCs w:val="16"/>
              </w:rPr>
            </w:pPr>
            <w:r w:rsidRPr="001A35DC">
              <w:rPr>
                <w:rFonts w:ascii="Arial" w:hAnsi="Arial" w:cs="Arial"/>
                <w:color w:val="000000"/>
                <w:sz w:val="16"/>
                <w:szCs w:val="16"/>
              </w:rPr>
              <w:t>Amou</w:t>
            </w:r>
            <w:r w:rsidR="00DD0F20">
              <w:rPr>
                <w:rFonts w:ascii="Arial" w:hAnsi="Arial" w:cs="Arial"/>
                <w:color w:val="000000"/>
                <w:sz w:val="16"/>
                <w:szCs w:val="16"/>
              </w:rPr>
              <w:t>nts from portfolio department (c</w:t>
            </w:r>
            <w:r w:rsidRPr="001A35DC">
              <w:rPr>
                <w:rFonts w:ascii="Arial" w:hAnsi="Arial" w:cs="Arial"/>
                <w:color w:val="000000"/>
                <w:sz w:val="16"/>
                <w:szCs w:val="16"/>
              </w:rPr>
              <w:t>)</w:t>
            </w:r>
          </w:p>
        </w:tc>
        <w:tc>
          <w:tcPr>
            <w:tcW w:w="1180" w:type="dxa"/>
            <w:tcBorders>
              <w:top w:val="nil"/>
              <w:left w:val="nil"/>
              <w:bottom w:val="nil"/>
              <w:right w:val="nil"/>
            </w:tcBorders>
            <w:shd w:val="clear" w:color="000000" w:fill="FFFFFF"/>
            <w:noWrap/>
            <w:vAlign w:val="bottom"/>
            <w:hideMark/>
          </w:tcPr>
          <w:p w14:paraId="76C16C55"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xml:space="preserve">60,083 </w:t>
            </w:r>
          </w:p>
        </w:tc>
        <w:tc>
          <w:tcPr>
            <w:tcW w:w="1180" w:type="dxa"/>
            <w:tcBorders>
              <w:top w:val="nil"/>
              <w:left w:val="nil"/>
              <w:bottom w:val="nil"/>
              <w:right w:val="nil"/>
            </w:tcBorders>
            <w:shd w:val="clear" w:color="000000" w:fill="E6E6E6"/>
            <w:noWrap/>
            <w:vAlign w:val="bottom"/>
            <w:hideMark/>
          </w:tcPr>
          <w:p w14:paraId="76C16C56" w14:textId="77777777" w:rsidR="001A35DC" w:rsidRPr="001A35DC" w:rsidRDefault="001A35DC" w:rsidP="001A35DC">
            <w:pPr>
              <w:spacing w:after="0" w:line="240" w:lineRule="auto"/>
              <w:jc w:val="right"/>
              <w:rPr>
                <w:rFonts w:ascii="Arial" w:hAnsi="Arial" w:cs="Arial"/>
                <w:color w:val="000000"/>
                <w:sz w:val="16"/>
                <w:szCs w:val="16"/>
              </w:rPr>
            </w:pPr>
            <w:r w:rsidRPr="001A35DC">
              <w:rPr>
                <w:rFonts w:ascii="Arial" w:hAnsi="Arial" w:cs="Arial"/>
                <w:color w:val="000000"/>
                <w:sz w:val="16"/>
                <w:szCs w:val="16"/>
              </w:rPr>
              <w:t xml:space="preserve">55,188 </w:t>
            </w:r>
          </w:p>
        </w:tc>
      </w:tr>
      <w:tr w:rsidR="001A35DC" w:rsidRPr="001A35DC" w14:paraId="76C16C5B" w14:textId="77777777" w:rsidTr="001A35DC">
        <w:trPr>
          <w:trHeight w:val="200"/>
        </w:trPr>
        <w:tc>
          <w:tcPr>
            <w:tcW w:w="5240" w:type="dxa"/>
            <w:tcBorders>
              <w:top w:val="nil"/>
              <w:left w:val="nil"/>
              <w:bottom w:val="nil"/>
              <w:right w:val="nil"/>
            </w:tcBorders>
            <w:shd w:val="clear" w:color="000000" w:fill="FFFFFF"/>
            <w:vAlign w:val="bottom"/>
            <w:hideMark/>
          </w:tcPr>
          <w:p w14:paraId="76C16C58" w14:textId="77777777" w:rsidR="001A35DC" w:rsidRPr="001A35DC" w:rsidRDefault="001A35DC" w:rsidP="001A35DC">
            <w:pPr>
              <w:spacing w:after="0" w:line="240" w:lineRule="auto"/>
              <w:jc w:val="left"/>
              <w:rPr>
                <w:rFonts w:ascii="Arial" w:hAnsi="Arial" w:cs="Arial"/>
                <w:color w:val="000000"/>
                <w:sz w:val="16"/>
                <w:szCs w:val="16"/>
              </w:rPr>
            </w:pPr>
            <w:r w:rsidRPr="001A35DC">
              <w:rPr>
                <w:rFonts w:ascii="Arial" w:hAnsi="Arial" w:cs="Arial"/>
                <w:color w:val="000000"/>
                <w:sz w:val="16"/>
                <w:szCs w:val="16"/>
              </w:rPr>
              <w:t>Total amounts received from related entities</w:t>
            </w:r>
          </w:p>
        </w:tc>
        <w:tc>
          <w:tcPr>
            <w:tcW w:w="1180" w:type="dxa"/>
            <w:tcBorders>
              <w:top w:val="single" w:sz="4" w:space="0" w:color="auto"/>
              <w:left w:val="nil"/>
              <w:bottom w:val="single" w:sz="4" w:space="0" w:color="auto"/>
              <w:right w:val="nil"/>
            </w:tcBorders>
            <w:shd w:val="clear" w:color="000000" w:fill="FFFFFF"/>
            <w:noWrap/>
            <w:vAlign w:val="bottom"/>
            <w:hideMark/>
          </w:tcPr>
          <w:p w14:paraId="76C16C59"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xml:space="preserve">60,083 </w:t>
            </w:r>
          </w:p>
        </w:tc>
        <w:tc>
          <w:tcPr>
            <w:tcW w:w="1180" w:type="dxa"/>
            <w:tcBorders>
              <w:top w:val="single" w:sz="4" w:space="0" w:color="auto"/>
              <w:left w:val="nil"/>
              <w:bottom w:val="single" w:sz="4" w:space="0" w:color="auto"/>
              <w:right w:val="nil"/>
            </w:tcBorders>
            <w:shd w:val="clear" w:color="000000" w:fill="E6E6E6"/>
            <w:noWrap/>
            <w:vAlign w:val="bottom"/>
            <w:hideMark/>
          </w:tcPr>
          <w:p w14:paraId="76C16C5A" w14:textId="77777777" w:rsidR="001A35DC" w:rsidRPr="001A35DC" w:rsidRDefault="001A35DC" w:rsidP="001A35DC">
            <w:pPr>
              <w:spacing w:after="0" w:line="240" w:lineRule="auto"/>
              <w:jc w:val="right"/>
              <w:rPr>
                <w:rFonts w:ascii="Arial" w:hAnsi="Arial" w:cs="Arial"/>
                <w:color w:val="000000"/>
                <w:sz w:val="16"/>
                <w:szCs w:val="16"/>
              </w:rPr>
            </w:pPr>
            <w:r w:rsidRPr="001A35DC">
              <w:rPr>
                <w:rFonts w:ascii="Arial" w:hAnsi="Arial" w:cs="Arial"/>
                <w:color w:val="000000"/>
                <w:sz w:val="16"/>
                <w:szCs w:val="16"/>
              </w:rPr>
              <w:t xml:space="preserve">55,188 </w:t>
            </w:r>
          </w:p>
        </w:tc>
      </w:tr>
      <w:tr w:rsidR="001A35DC" w:rsidRPr="001A35DC" w14:paraId="76C16C5F" w14:textId="77777777" w:rsidTr="001A35DC">
        <w:trPr>
          <w:trHeight w:val="210"/>
        </w:trPr>
        <w:tc>
          <w:tcPr>
            <w:tcW w:w="5240" w:type="dxa"/>
            <w:tcBorders>
              <w:top w:val="nil"/>
              <w:left w:val="nil"/>
              <w:bottom w:val="nil"/>
              <w:right w:val="nil"/>
            </w:tcBorders>
            <w:shd w:val="clear" w:color="000000" w:fill="FFFFFF"/>
            <w:vAlign w:val="bottom"/>
            <w:hideMark/>
          </w:tcPr>
          <w:p w14:paraId="76C16C5C" w14:textId="77777777" w:rsidR="001A35DC" w:rsidRPr="00BB2FD5" w:rsidRDefault="001A35DC" w:rsidP="00BB2FD5">
            <w:pPr>
              <w:spacing w:after="0" w:line="240" w:lineRule="auto"/>
              <w:ind w:left="180" w:hanging="180"/>
              <w:jc w:val="left"/>
              <w:rPr>
                <w:rFonts w:ascii="Arial" w:hAnsi="Arial" w:cs="Arial"/>
                <w:b/>
                <w:bCs/>
                <w:sz w:val="16"/>
                <w:szCs w:val="16"/>
              </w:rPr>
            </w:pPr>
            <w:r w:rsidRPr="00BB2FD5">
              <w:rPr>
                <w:rFonts w:ascii="Arial" w:hAnsi="Arial" w:cs="Arial"/>
                <w:b/>
                <w:bCs/>
                <w:sz w:val="16"/>
                <w:szCs w:val="16"/>
              </w:rPr>
              <w:t>Total funds from Government</w:t>
            </w:r>
          </w:p>
        </w:tc>
        <w:tc>
          <w:tcPr>
            <w:tcW w:w="1180" w:type="dxa"/>
            <w:tcBorders>
              <w:top w:val="nil"/>
              <w:left w:val="nil"/>
              <w:bottom w:val="single" w:sz="4" w:space="0" w:color="auto"/>
              <w:right w:val="nil"/>
            </w:tcBorders>
            <w:shd w:val="clear" w:color="000000" w:fill="FFFFFF"/>
            <w:noWrap/>
            <w:vAlign w:val="bottom"/>
            <w:hideMark/>
          </w:tcPr>
          <w:p w14:paraId="76C16C5D" w14:textId="77777777" w:rsidR="001A35DC" w:rsidRPr="001A35DC" w:rsidRDefault="001A35DC" w:rsidP="001A35DC">
            <w:pPr>
              <w:spacing w:after="0" w:line="240" w:lineRule="auto"/>
              <w:jc w:val="right"/>
              <w:rPr>
                <w:rFonts w:ascii="Arial" w:hAnsi="Arial" w:cs="Arial"/>
                <w:b/>
                <w:bCs/>
                <w:i/>
                <w:iCs/>
                <w:color w:val="000000"/>
                <w:sz w:val="16"/>
                <w:szCs w:val="16"/>
              </w:rPr>
            </w:pPr>
            <w:r w:rsidRPr="001A35DC">
              <w:rPr>
                <w:rFonts w:ascii="Arial" w:hAnsi="Arial" w:cs="Arial"/>
                <w:b/>
                <w:bCs/>
                <w:i/>
                <w:iCs/>
                <w:color w:val="000000"/>
                <w:sz w:val="16"/>
                <w:szCs w:val="16"/>
              </w:rPr>
              <w:t xml:space="preserve">66,072 </w:t>
            </w:r>
          </w:p>
        </w:tc>
        <w:tc>
          <w:tcPr>
            <w:tcW w:w="1180" w:type="dxa"/>
            <w:tcBorders>
              <w:top w:val="nil"/>
              <w:left w:val="nil"/>
              <w:bottom w:val="single" w:sz="4" w:space="0" w:color="auto"/>
              <w:right w:val="nil"/>
            </w:tcBorders>
            <w:shd w:val="clear" w:color="000000" w:fill="E6E6E6"/>
            <w:noWrap/>
            <w:vAlign w:val="bottom"/>
            <w:hideMark/>
          </w:tcPr>
          <w:p w14:paraId="76C16C5E" w14:textId="77777777" w:rsidR="001A35DC" w:rsidRPr="001A35DC" w:rsidRDefault="001A35DC" w:rsidP="001A35DC">
            <w:pPr>
              <w:spacing w:after="0" w:line="240" w:lineRule="auto"/>
              <w:jc w:val="right"/>
              <w:rPr>
                <w:rFonts w:ascii="Arial" w:hAnsi="Arial" w:cs="Arial"/>
                <w:b/>
                <w:bCs/>
                <w:color w:val="000000"/>
                <w:sz w:val="16"/>
                <w:szCs w:val="16"/>
              </w:rPr>
            </w:pPr>
            <w:r w:rsidRPr="001A35DC">
              <w:rPr>
                <w:rFonts w:ascii="Arial" w:hAnsi="Arial" w:cs="Arial"/>
                <w:b/>
                <w:bCs/>
                <w:color w:val="000000"/>
                <w:sz w:val="16"/>
                <w:szCs w:val="16"/>
              </w:rPr>
              <w:t xml:space="preserve">61,177 </w:t>
            </w:r>
          </w:p>
        </w:tc>
      </w:tr>
      <w:tr w:rsidR="001A35DC" w:rsidRPr="001A35DC" w14:paraId="76C16C63" w14:textId="77777777" w:rsidTr="001A35DC">
        <w:trPr>
          <w:trHeight w:val="210"/>
        </w:trPr>
        <w:tc>
          <w:tcPr>
            <w:tcW w:w="5240" w:type="dxa"/>
            <w:tcBorders>
              <w:top w:val="nil"/>
              <w:left w:val="nil"/>
              <w:bottom w:val="nil"/>
              <w:right w:val="nil"/>
            </w:tcBorders>
            <w:shd w:val="clear" w:color="000000" w:fill="FFFFFF"/>
            <w:vAlign w:val="bottom"/>
            <w:hideMark/>
          </w:tcPr>
          <w:p w14:paraId="76C16C60" w14:textId="77777777" w:rsidR="001A35DC" w:rsidRPr="00BB2FD5" w:rsidRDefault="001A35DC" w:rsidP="00BB2FD5">
            <w:pPr>
              <w:spacing w:after="0" w:line="240" w:lineRule="auto"/>
              <w:ind w:left="180" w:hanging="180"/>
              <w:jc w:val="left"/>
              <w:rPr>
                <w:rFonts w:ascii="Arial" w:hAnsi="Arial" w:cs="Arial"/>
                <w:b/>
                <w:bCs/>
                <w:sz w:val="16"/>
                <w:szCs w:val="16"/>
              </w:rPr>
            </w:pPr>
            <w:r w:rsidRPr="00BB2FD5">
              <w:rPr>
                <w:rFonts w:ascii="Arial" w:hAnsi="Arial" w:cs="Arial"/>
                <w:b/>
                <w:bCs/>
                <w:sz w:val="16"/>
                <w:szCs w:val="16"/>
              </w:rPr>
              <w:t>Funds from industry sources</w:t>
            </w:r>
          </w:p>
        </w:tc>
        <w:tc>
          <w:tcPr>
            <w:tcW w:w="1180" w:type="dxa"/>
            <w:tcBorders>
              <w:top w:val="nil"/>
              <w:left w:val="nil"/>
              <w:bottom w:val="nil"/>
              <w:right w:val="nil"/>
            </w:tcBorders>
            <w:shd w:val="clear" w:color="000000" w:fill="FFFFFF"/>
            <w:noWrap/>
            <w:vAlign w:val="bottom"/>
            <w:hideMark/>
          </w:tcPr>
          <w:p w14:paraId="76C16C61"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w:t>
            </w:r>
          </w:p>
        </w:tc>
        <w:tc>
          <w:tcPr>
            <w:tcW w:w="1180" w:type="dxa"/>
            <w:tcBorders>
              <w:top w:val="nil"/>
              <w:left w:val="nil"/>
              <w:bottom w:val="nil"/>
              <w:right w:val="nil"/>
            </w:tcBorders>
            <w:shd w:val="clear" w:color="000000" w:fill="E6E6E6"/>
            <w:noWrap/>
            <w:vAlign w:val="bottom"/>
            <w:hideMark/>
          </w:tcPr>
          <w:p w14:paraId="76C16C62" w14:textId="77777777" w:rsidR="001A35DC" w:rsidRPr="001A35DC" w:rsidRDefault="001A35DC" w:rsidP="001A35DC">
            <w:pPr>
              <w:spacing w:after="0" w:line="240" w:lineRule="auto"/>
              <w:jc w:val="right"/>
              <w:rPr>
                <w:rFonts w:ascii="Arial" w:hAnsi="Arial" w:cs="Arial"/>
                <w:color w:val="000000"/>
                <w:sz w:val="16"/>
                <w:szCs w:val="16"/>
              </w:rPr>
            </w:pPr>
            <w:r w:rsidRPr="001A35DC">
              <w:rPr>
                <w:rFonts w:ascii="Arial" w:hAnsi="Arial" w:cs="Arial"/>
                <w:color w:val="000000"/>
                <w:sz w:val="16"/>
                <w:szCs w:val="16"/>
              </w:rPr>
              <w:t> </w:t>
            </w:r>
          </w:p>
        </w:tc>
      </w:tr>
      <w:tr w:rsidR="001A35DC" w:rsidRPr="001A35DC" w14:paraId="76C16C67" w14:textId="77777777" w:rsidTr="001A35DC">
        <w:trPr>
          <w:trHeight w:val="210"/>
        </w:trPr>
        <w:tc>
          <w:tcPr>
            <w:tcW w:w="5240" w:type="dxa"/>
            <w:tcBorders>
              <w:top w:val="nil"/>
              <w:left w:val="nil"/>
              <w:bottom w:val="nil"/>
              <w:right w:val="nil"/>
            </w:tcBorders>
            <w:shd w:val="clear" w:color="000000" w:fill="FFFFFF"/>
            <w:vAlign w:val="bottom"/>
            <w:hideMark/>
          </w:tcPr>
          <w:p w14:paraId="76C16C64" w14:textId="77777777" w:rsidR="001A35DC" w:rsidRPr="001A35DC" w:rsidRDefault="001A35DC" w:rsidP="001A35DC">
            <w:pPr>
              <w:spacing w:after="0" w:line="240" w:lineRule="auto"/>
              <w:ind w:firstLineChars="100" w:firstLine="160"/>
              <w:jc w:val="left"/>
              <w:rPr>
                <w:rFonts w:ascii="Arial" w:hAnsi="Arial" w:cs="Arial"/>
                <w:color w:val="000000"/>
                <w:sz w:val="16"/>
                <w:szCs w:val="16"/>
              </w:rPr>
            </w:pPr>
            <w:r w:rsidRPr="001A35DC">
              <w:rPr>
                <w:rFonts w:ascii="Arial" w:hAnsi="Arial" w:cs="Arial"/>
                <w:color w:val="000000"/>
                <w:sz w:val="16"/>
                <w:szCs w:val="16"/>
              </w:rPr>
              <w:t>License fees</w:t>
            </w:r>
          </w:p>
        </w:tc>
        <w:tc>
          <w:tcPr>
            <w:tcW w:w="1180" w:type="dxa"/>
            <w:tcBorders>
              <w:top w:val="nil"/>
              <w:left w:val="nil"/>
              <w:bottom w:val="nil"/>
              <w:right w:val="nil"/>
            </w:tcBorders>
            <w:shd w:val="clear" w:color="000000" w:fill="FFFFFF"/>
            <w:noWrap/>
            <w:vAlign w:val="bottom"/>
            <w:hideMark/>
          </w:tcPr>
          <w:p w14:paraId="76C16C65"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xml:space="preserve">15,998 </w:t>
            </w:r>
          </w:p>
        </w:tc>
        <w:tc>
          <w:tcPr>
            <w:tcW w:w="1180" w:type="dxa"/>
            <w:tcBorders>
              <w:top w:val="nil"/>
              <w:left w:val="nil"/>
              <w:bottom w:val="nil"/>
              <w:right w:val="nil"/>
            </w:tcBorders>
            <w:shd w:val="clear" w:color="000000" w:fill="E6E6E6"/>
            <w:noWrap/>
            <w:vAlign w:val="bottom"/>
            <w:hideMark/>
          </w:tcPr>
          <w:p w14:paraId="76C16C66" w14:textId="77777777" w:rsidR="001A35DC" w:rsidRPr="001A35DC" w:rsidRDefault="001A35DC" w:rsidP="001A35DC">
            <w:pPr>
              <w:spacing w:after="0" w:line="240" w:lineRule="auto"/>
              <w:jc w:val="right"/>
              <w:rPr>
                <w:rFonts w:ascii="Arial" w:hAnsi="Arial" w:cs="Arial"/>
                <w:color w:val="000000"/>
                <w:sz w:val="16"/>
                <w:szCs w:val="16"/>
              </w:rPr>
            </w:pPr>
            <w:r w:rsidRPr="001A35DC">
              <w:rPr>
                <w:rFonts w:ascii="Arial" w:hAnsi="Arial" w:cs="Arial"/>
                <w:color w:val="000000"/>
                <w:sz w:val="16"/>
                <w:szCs w:val="16"/>
              </w:rPr>
              <w:t xml:space="preserve">16,298 </w:t>
            </w:r>
          </w:p>
        </w:tc>
      </w:tr>
      <w:tr w:rsidR="001A35DC" w:rsidRPr="001A35DC" w14:paraId="76C16C6B" w14:textId="77777777" w:rsidTr="001A35DC">
        <w:trPr>
          <w:trHeight w:val="210"/>
        </w:trPr>
        <w:tc>
          <w:tcPr>
            <w:tcW w:w="5240" w:type="dxa"/>
            <w:tcBorders>
              <w:top w:val="nil"/>
              <w:left w:val="nil"/>
              <w:bottom w:val="nil"/>
              <w:right w:val="nil"/>
            </w:tcBorders>
            <w:shd w:val="clear" w:color="000000" w:fill="FFFFFF"/>
            <w:noWrap/>
            <w:vAlign w:val="bottom"/>
            <w:hideMark/>
          </w:tcPr>
          <w:p w14:paraId="76C16C68" w14:textId="77777777" w:rsidR="001A35DC" w:rsidRPr="00BB2FD5" w:rsidRDefault="001A35DC" w:rsidP="00BB2FD5">
            <w:pPr>
              <w:spacing w:after="0" w:line="240" w:lineRule="auto"/>
              <w:ind w:left="180" w:hanging="180"/>
              <w:jc w:val="left"/>
              <w:rPr>
                <w:rFonts w:ascii="Arial" w:hAnsi="Arial" w:cs="Arial"/>
                <w:b/>
                <w:bCs/>
                <w:sz w:val="16"/>
                <w:szCs w:val="16"/>
              </w:rPr>
            </w:pPr>
            <w:r w:rsidRPr="00BB2FD5">
              <w:rPr>
                <w:rFonts w:ascii="Arial" w:hAnsi="Arial" w:cs="Arial"/>
                <w:b/>
                <w:bCs/>
                <w:sz w:val="16"/>
                <w:szCs w:val="16"/>
              </w:rPr>
              <w:t>Total funds from industry sources</w:t>
            </w:r>
          </w:p>
        </w:tc>
        <w:tc>
          <w:tcPr>
            <w:tcW w:w="1180" w:type="dxa"/>
            <w:tcBorders>
              <w:top w:val="single" w:sz="4" w:space="0" w:color="auto"/>
              <w:left w:val="nil"/>
              <w:bottom w:val="single" w:sz="4" w:space="0" w:color="auto"/>
              <w:right w:val="nil"/>
            </w:tcBorders>
            <w:shd w:val="clear" w:color="000000" w:fill="FFFFFF"/>
            <w:noWrap/>
            <w:vAlign w:val="bottom"/>
            <w:hideMark/>
          </w:tcPr>
          <w:p w14:paraId="76C16C69" w14:textId="77777777" w:rsidR="001A35DC" w:rsidRPr="001A35DC" w:rsidRDefault="001A35DC" w:rsidP="001A35DC">
            <w:pPr>
              <w:spacing w:after="0" w:line="240" w:lineRule="auto"/>
              <w:jc w:val="right"/>
              <w:rPr>
                <w:rFonts w:ascii="Arial" w:hAnsi="Arial" w:cs="Arial"/>
                <w:b/>
                <w:bCs/>
                <w:i/>
                <w:iCs/>
                <w:color w:val="000000"/>
                <w:sz w:val="16"/>
                <w:szCs w:val="16"/>
              </w:rPr>
            </w:pPr>
            <w:r w:rsidRPr="001A35DC">
              <w:rPr>
                <w:rFonts w:ascii="Arial" w:hAnsi="Arial" w:cs="Arial"/>
                <w:b/>
                <w:bCs/>
                <w:i/>
                <w:iCs/>
                <w:color w:val="000000"/>
                <w:sz w:val="16"/>
                <w:szCs w:val="16"/>
              </w:rPr>
              <w:t xml:space="preserve">15,998 </w:t>
            </w:r>
          </w:p>
        </w:tc>
        <w:tc>
          <w:tcPr>
            <w:tcW w:w="1180" w:type="dxa"/>
            <w:tcBorders>
              <w:top w:val="single" w:sz="4" w:space="0" w:color="auto"/>
              <w:left w:val="nil"/>
              <w:bottom w:val="single" w:sz="4" w:space="0" w:color="auto"/>
              <w:right w:val="nil"/>
            </w:tcBorders>
            <w:shd w:val="clear" w:color="000000" w:fill="E6E6E6"/>
            <w:noWrap/>
            <w:vAlign w:val="bottom"/>
            <w:hideMark/>
          </w:tcPr>
          <w:p w14:paraId="76C16C6A" w14:textId="77777777" w:rsidR="001A35DC" w:rsidRPr="001A35DC" w:rsidRDefault="001A35DC" w:rsidP="001A35DC">
            <w:pPr>
              <w:spacing w:after="0" w:line="240" w:lineRule="auto"/>
              <w:jc w:val="right"/>
              <w:rPr>
                <w:rFonts w:ascii="Arial" w:hAnsi="Arial" w:cs="Arial"/>
                <w:b/>
                <w:bCs/>
                <w:color w:val="000000"/>
                <w:sz w:val="16"/>
                <w:szCs w:val="16"/>
              </w:rPr>
            </w:pPr>
            <w:r w:rsidRPr="001A35DC">
              <w:rPr>
                <w:rFonts w:ascii="Arial" w:hAnsi="Arial" w:cs="Arial"/>
                <w:b/>
                <w:bCs/>
                <w:color w:val="000000"/>
                <w:sz w:val="16"/>
                <w:szCs w:val="16"/>
              </w:rPr>
              <w:t xml:space="preserve">16,298 </w:t>
            </w:r>
          </w:p>
        </w:tc>
      </w:tr>
      <w:tr w:rsidR="001A35DC" w:rsidRPr="001A35DC" w14:paraId="76C16C6F" w14:textId="77777777" w:rsidTr="001A35DC">
        <w:trPr>
          <w:trHeight w:val="210"/>
        </w:trPr>
        <w:tc>
          <w:tcPr>
            <w:tcW w:w="5240" w:type="dxa"/>
            <w:tcBorders>
              <w:top w:val="nil"/>
              <w:left w:val="nil"/>
              <w:bottom w:val="nil"/>
              <w:right w:val="nil"/>
            </w:tcBorders>
            <w:shd w:val="clear" w:color="000000" w:fill="FFFFFF"/>
            <w:vAlign w:val="bottom"/>
            <w:hideMark/>
          </w:tcPr>
          <w:p w14:paraId="76C16C6C" w14:textId="77777777" w:rsidR="001A35DC" w:rsidRPr="00BB2FD5" w:rsidRDefault="001A35DC" w:rsidP="00BB2FD5">
            <w:pPr>
              <w:spacing w:after="0" w:line="240" w:lineRule="auto"/>
              <w:ind w:left="180" w:hanging="180"/>
              <w:jc w:val="left"/>
              <w:rPr>
                <w:rFonts w:ascii="Arial" w:hAnsi="Arial" w:cs="Arial"/>
                <w:b/>
                <w:bCs/>
                <w:sz w:val="16"/>
                <w:szCs w:val="16"/>
              </w:rPr>
            </w:pPr>
            <w:r w:rsidRPr="00BB2FD5">
              <w:rPr>
                <w:rFonts w:ascii="Arial" w:hAnsi="Arial" w:cs="Arial"/>
                <w:b/>
                <w:bCs/>
                <w:sz w:val="16"/>
                <w:szCs w:val="16"/>
              </w:rPr>
              <w:t>Funds from other sources</w:t>
            </w:r>
          </w:p>
        </w:tc>
        <w:tc>
          <w:tcPr>
            <w:tcW w:w="1180" w:type="dxa"/>
            <w:tcBorders>
              <w:top w:val="nil"/>
              <w:left w:val="nil"/>
              <w:bottom w:val="nil"/>
              <w:right w:val="nil"/>
            </w:tcBorders>
            <w:shd w:val="clear" w:color="000000" w:fill="FFFFFF"/>
            <w:noWrap/>
            <w:vAlign w:val="bottom"/>
            <w:hideMark/>
          </w:tcPr>
          <w:p w14:paraId="76C16C6D"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w:t>
            </w:r>
          </w:p>
        </w:tc>
        <w:tc>
          <w:tcPr>
            <w:tcW w:w="1180" w:type="dxa"/>
            <w:tcBorders>
              <w:top w:val="nil"/>
              <w:left w:val="nil"/>
              <w:bottom w:val="nil"/>
              <w:right w:val="nil"/>
            </w:tcBorders>
            <w:shd w:val="clear" w:color="000000" w:fill="E6E6E6"/>
            <w:noWrap/>
            <w:vAlign w:val="bottom"/>
            <w:hideMark/>
          </w:tcPr>
          <w:p w14:paraId="76C16C6E" w14:textId="77777777" w:rsidR="001A35DC" w:rsidRPr="001A35DC" w:rsidRDefault="001A35DC" w:rsidP="001A35DC">
            <w:pPr>
              <w:spacing w:after="0" w:line="240" w:lineRule="auto"/>
              <w:jc w:val="right"/>
              <w:rPr>
                <w:rFonts w:ascii="Arial" w:hAnsi="Arial" w:cs="Arial"/>
                <w:color w:val="000000"/>
                <w:sz w:val="16"/>
                <w:szCs w:val="16"/>
              </w:rPr>
            </w:pPr>
            <w:r w:rsidRPr="001A35DC">
              <w:rPr>
                <w:rFonts w:ascii="Arial" w:hAnsi="Arial" w:cs="Arial"/>
                <w:color w:val="000000"/>
                <w:sz w:val="16"/>
                <w:szCs w:val="16"/>
              </w:rPr>
              <w:t> </w:t>
            </w:r>
          </w:p>
        </w:tc>
      </w:tr>
      <w:tr w:rsidR="001A35DC" w:rsidRPr="001A35DC" w14:paraId="76C16C73" w14:textId="77777777" w:rsidTr="001A35DC">
        <w:trPr>
          <w:trHeight w:val="200"/>
        </w:trPr>
        <w:tc>
          <w:tcPr>
            <w:tcW w:w="5240" w:type="dxa"/>
            <w:tcBorders>
              <w:top w:val="nil"/>
              <w:left w:val="nil"/>
              <w:bottom w:val="nil"/>
              <w:right w:val="nil"/>
            </w:tcBorders>
            <w:shd w:val="clear" w:color="000000" w:fill="FFFFFF"/>
            <w:vAlign w:val="bottom"/>
            <w:hideMark/>
          </w:tcPr>
          <w:p w14:paraId="76C16C70" w14:textId="77777777" w:rsidR="001A35DC" w:rsidRPr="001A35DC" w:rsidRDefault="001A35DC" w:rsidP="001A35DC">
            <w:pPr>
              <w:spacing w:after="0" w:line="240" w:lineRule="auto"/>
              <w:ind w:firstLineChars="100" w:firstLine="160"/>
              <w:jc w:val="left"/>
              <w:rPr>
                <w:rFonts w:ascii="Arial" w:hAnsi="Arial" w:cs="Arial"/>
                <w:color w:val="000000"/>
                <w:sz w:val="16"/>
                <w:szCs w:val="16"/>
              </w:rPr>
            </w:pPr>
            <w:r w:rsidRPr="001A35DC">
              <w:rPr>
                <w:rFonts w:ascii="Arial" w:hAnsi="Arial" w:cs="Arial"/>
                <w:color w:val="000000"/>
                <w:sz w:val="16"/>
                <w:szCs w:val="16"/>
              </w:rPr>
              <w:t>Interest</w:t>
            </w:r>
          </w:p>
        </w:tc>
        <w:tc>
          <w:tcPr>
            <w:tcW w:w="1180" w:type="dxa"/>
            <w:tcBorders>
              <w:top w:val="nil"/>
              <w:left w:val="nil"/>
              <w:bottom w:val="nil"/>
              <w:right w:val="nil"/>
            </w:tcBorders>
            <w:shd w:val="clear" w:color="000000" w:fill="FFFFFF"/>
            <w:noWrap/>
            <w:vAlign w:val="bottom"/>
            <w:hideMark/>
          </w:tcPr>
          <w:p w14:paraId="76C16C71"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xml:space="preserve">30,048 </w:t>
            </w:r>
          </w:p>
        </w:tc>
        <w:tc>
          <w:tcPr>
            <w:tcW w:w="1180" w:type="dxa"/>
            <w:tcBorders>
              <w:top w:val="nil"/>
              <w:left w:val="nil"/>
              <w:bottom w:val="nil"/>
              <w:right w:val="nil"/>
            </w:tcBorders>
            <w:shd w:val="clear" w:color="000000" w:fill="E6E6E6"/>
            <w:noWrap/>
            <w:vAlign w:val="bottom"/>
            <w:hideMark/>
          </w:tcPr>
          <w:p w14:paraId="76C16C72" w14:textId="77777777" w:rsidR="001A35DC" w:rsidRPr="001A35DC" w:rsidRDefault="001A35DC" w:rsidP="001A35DC">
            <w:pPr>
              <w:spacing w:after="0" w:line="240" w:lineRule="auto"/>
              <w:jc w:val="right"/>
              <w:rPr>
                <w:rFonts w:ascii="Arial" w:hAnsi="Arial" w:cs="Arial"/>
                <w:color w:val="000000"/>
                <w:sz w:val="16"/>
                <w:szCs w:val="16"/>
              </w:rPr>
            </w:pPr>
            <w:r w:rsidRPr="001A35DC">
              <w:rPr>
                <w:rFonts w:ascii="Arial" w:hAnsi="Arial" w:cs="Arial"/>
                <w:color w:val="000000"/>
                <w:sz w:val="16"/>
                <w:szCs w:val="16"/>
              </w:rPr>
              <w:t xml:space="preserve">25,224 </w:t>
            </w:r>
          </w:p>
        </w:tc>
      </w:tr>
      <w:tr w:rsidR="001A35DC" w:rsidRPr="001A35DC" w14:paraId="76C16C77" w14:textId="77777777" w:rsidTr="001A35DC">
        <w:trPr>
          <w:trHeight w:val="200"/>
        </w:trPr>
        <w:tc>
          <w:tcPr>
            <w:tcW w:w="5240" w:type="dxa"/>
            <w:tcBorders>
              <w:top w:val="nil"/>
              <w:left w:val="nil"/>
              <w:bottom w:val="nil"/>
              <w:right w:val="nil"/>
            </w:tcBorders>
            <w:shd w:val="clear" w:color="000000" w:fill="FFFFFF"/>
            <w:vAlign w:val="bottom"/>
            <w:hideMark/>
          </w:tcPr>
          <w:p w14:paraId="76C16C74" w14:textId="77777777" w:rsidR="001A35DC" w:rsidRPr="001A35DC" w:rsidRDefault="001A35DC" w:rsidP="001A35DC">
            <w:pPr>
              <w:spacing w:after="0" w:line="240" w:lineRule="auto"/>
              <w:ind w:firstLineChars="100" w:firstLine="160"/>
              <w:jc w:val="left"/>
              <w:rPr>
                <w:rFonts w:ascii="Arial" w:hAnsi="Arial" w:cs="Arial"/>
                <w:color w:val="000000"/>
                <w:sz w:val="16"/>
                <w:szCs w:val="16"/>
              </w:rPr>
            </w:pPr>
            <w:r w:rsidRPr="001A35DC">
              <w:rPr>
                <w:rFonts w:ascii="Arial" w:hAnsi="Arial" w:cs="Arial"/>
                <w:color w:val="000000"/>
                <w:sz w:val="16"/>
                <w:szCs w:val="16"/>
              </w:rPr>
              <w:t>Sale of goods and services</w:t>
            </w:r>
          </w:p>
        </w:tc>
        <w:tc>
          <w:tcPr>
            <w:tcW w:w="1180" w:type="dxa"/>
            <w:tcBorders>
              <w:top w:val="nil"/>
              <w:left w:val="nil"/>
              <w:bottom w:val="nil"/>
              <w:right w:val="nil"/>
            </w:tcBorders>
            <w:shd w:val="clear" w:color="000000" w:fill="FFFFFF"/>
            <w:noWrap/>
            <w:vAlign w:val="bottom"/>
            <w:hideMark/>
          </w:tcPr>
          <w:p w14:paraId="76C16C75"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xml:space="preserve">4,170 </w:t>
            </w:r>
          </w:p>
        </w:tc>
        <w:tc>
          <w:tcPr>
            <w:tcW w:w="1180" w:type="dxa"/>
            <w:tcBorders>
              <w:top w:val="nil"/>
              <w:left w:val="nil"/>
              <w:bottom w:val="nil"/>
              <w:right w:val="nil"/>
            </w:tcBorders>
            <w:shd w:val="clear" w:color="000000" w:fill="E6E6E6"/>
            <w:noWrap/>
            <w:vAlign w:val="bottom"/>
            <w:hideMark/>
          </w:tcPr>
          <w:p w14:paraId="76C16C76" w14:textId="77777777" w:rsidR="001A35DC" w:rsidRPr="001A35DC" w:rsidRDefault="001A35DC" w:rsidP="001A35DC">
            <w:pPr>
              <w:spacing w:after="0" w:line="240" w:lineRule="auto"/>
              <w:jc w:val="right"/>
              <w:rPr>
                <w:rFonts w:ascii="Arial" w:hAnsi="Arial" w:cs="Arial"/>
                <w:color w:val="000000"/>
                <w:sz w:val="16"/>
                <w:szCs w:val="16"/>
              </w:rPr>
            </w:pPr>
            <w:r w:rsidRPr="001A35DC">
              <w:rPr>
                <w:rFonts w:ascii="Arial" w:hAnsi="Arial" w:cs="Arial"/>
                <w:color w:val="000000"/>
                <w:sz w:val="16"/>
                <w:szCs w:val="16"/>
              </w:rPr>
              <w:t xml:space="preserve">3,472 </w:t>
            </w:r>
          </w:p>
        </w:tc>
      </w:tr>
      <w:tr w:rsidR="001A35DC" w:rsidRPr="001A35DC" w14:paraId="76C16C7B" w14:textId="77777777" w:rsidTr="001A35DC">
        <w:trPr>
          <w:trHeight w:val="200"/>
        </w:trPr>
        <w:tc>
          <w:tcPr>
            <w:tcW w:w="5240" w:type="dxa"/>
            <w:tcBorders>
              <w:top w:val="nil"/>
              <w:left w:val="nil"/>
              <w:bottom w:val="nil"/>
              <w:right w:val="nil"/>
            </w:tcBorders>
            <w:shd w:val="clear" w:color="000000" w:fill="FFFFFF"/>
            <w:vAlign w:val="bottom"/>
            <w:hideMark/>
          </w:tcPr>
          <w:p w14:paraId="76C16C78" w14:textId="77777777" w:rsidR="001A35DC" w:rsidRPr="001A35DC" w:rsidRDefault="001A35DC" w:rsidP="001A35DC">
            <w:pPr>
              <w:spacing w:after="0" w:line="240" w:lineRule="auto"/>
              <w:ind w:firstLineChars="100" w:firstLine="160"/>
              <w:jc w:val="left"/>
              <w:rPr>
                <w:rFonts w:ascii="Arial" w:hAnsi="Arial" w:cs="Arial"/>
                <w:color w:val="000000"/>
                <w:sz w:val="16"/>
                <w:szCs w:val="16"/>
              </w:rPr>
            </w:pPr>
            <w:r w:rsidRPr="001A35DC">
              <w:rPr>
                <w:rFonts w:ascii="Arial" w:hAnsi="Arial" w:cs="Arial"/>
                <w:color w:val="000000"/>
                <w:sz w:val="16"/>
                <w:szCs w:val="16"/>
              </w:rPr>
              <w:t>Regulatory contributions</w:t>
            </w:r>
          </w:p>
        </w:tc>
        <w:tc>
          <w:tcPr>
            <w:tcW w:w="1180" w:type="dxa"/>
            <w:tcBorders>
              <w:top w:val="nil"/>
              <w:left w:val="nil"/>
              <w:bottom w:val="nil"/>
              <w:right w:val="nil"/>
            </w:tcBorders>
            <w:shd w:val="clear" w:color="000000" w:fill="FFFFFF"/>
            <w:noWrap/>
            <w:vAlign w:val="bottom"/>
            <w:hideMark/>
          </w:tcPr>
          <w:p w14:paraId="76C16C79"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xml:space="preserve">19,462 </w:t>
            </w:r>
          </w:p>
        </w:tc>
        <w:tc>
          <w:tcPr>
            <w:tcW w:w="1180" w:type="dxa"/>
            <w:tcBorders>
              <w:top w:val="nil"/>
              <w:left w:val="nil"/>
              <w:bottom w:val="nil"/>
              <w:right w:val="nil"/>
            </w:tcBorders>
            <w:shd w:val="clear" w:color="000000" w:fill="E6E6E6"/>
            <w:noWrap/>
            <w:vAlign w:val="bottom"/>
            <w:hideMark/>
          </w:tcPr>
          <w:p w14:paraId="76C16C7A" w14:textId="77777777" w:rsidR="001A35DC" w:rsidRPr="001A35DC" w:rsidRDefault="001A35DC" w:rsidP="001A35DC">
            <w:pPr>
              <w:spacing w:after="0" w:line="240" w:lineRule="auto"/>
              <w:jc w:val="right"/>
              <w:rPr>
                <w:rFonts w:ascii="Arial" w:hAnsi="Arial" w:cs="Arial"/>
                <w:color w:val="000000"/>
                <w:sz w:val="16"/>
                <w:szCs w:val="16"/>
              </w:rPr>
            </w:pPr>
            <w:r w:rsidRPr="001A35DC">
              <w:rPr>
                <w:rFonts w:ascii="Arial" w:hAnsi="Arial" w:cs="Arial"/>
                <w:color w:val="000000"/>
                <w:sz w:val="16"/>
                <w:szCs w:val="16"/>
              </w:rPr>
              <w:t xml:space="preserve">19,706 </w:t>
            </w:r>
          </w:p>
        </w:tc>
      </w:tr>
      <w:tr w:rsidR="001A35DC" w:rsidRPr="001A35DC" w14:paraId="76C16C7F" w14:textId="77777777" w:rsidTr="009F1602">
        <w:trPr>
          <w:trHeight w:val="115"/>
        </w:trPr>
        <w:tc>
          <w:tcPr>
            <w:tcW w:w="5240" w:type="dxa"/>
            <w:tcBorders>
              <w:top w:val="nil"/>
              <w:left w:val="nil"/>
              <w:bottom w:val="nil"/>
              <w:right w:val="nil"/>
            </w:tcBorders>
            <w:shd w:val="clear" w:color="000000" w:fill="FFFFFF"/>
            <w:vAlign w:val="bottom"/>
            <w:hideMark/>
          </w:tcPr>
          <w:p w14:paraId="76C16C7C" w14:textId="2129B97B" w:rsidR="001A35DC" w:rsidRPr="001A35DC" w:rsidRDefault="001A35DC" w:rsidP="001A35DC">
            <w:pPr>
              <w:spacing w:after="0" w:line="240" w:lineRule="auto"/>
              <w:ind w:firstLineChars="100" w:firstLine="160"/>
              <w:jc w:val="left"/>
              <w:rPr>
                <w:rFonts w:ascii="Arial" w:hAnsi="Arial" w:cs="Arial"/>
                <w:color w:val="000000"/>
                <w:sz w:val="16"/>
                <w:szCs w:val="16"/>
              </w:rPr>
            </w:pPr>
            <w:r w:rsidRPr="001A35DC">
              <w:rPr>
                <w:rFonts w:ascii="Arial" w:hAnsi="Arial" w:cs="Arial"/>
                <w:color w:val="000000"/>
                <w:sz w:val="16"/>
                <w:szCs w:val="16"/>
              </w:rPr>
              <w:t>Workers</w:t>
            </w:r>
            <w:r w:rsidR="00EC50CD">
              <w:rPr>
                <w:rFonts w:ascii="Arial" w:hAnsi="Arial" w:cs="Arial"/>
                <w:color w:val="000000"/>
                <w:sz w:val="16"/>
                <w:szCs w:val="16"/>
              </w:rPr>
              <w:t>’</w:t>
            </w:r>
            <w:r w:rsidRPr="001A35DC">
              <w:rPr>
                <w:rFonts w:ascii="Arial" w:hAnsi="Arial" w:cs="Arial"/>
                <w:color w:val="000000"/>
                <w:sz w:val="16"/>
                <w:szCs w:val="16"/>
              </w:rPr>
              <w:t xml:space="preserve"> Compensation premiums</w:t>
            </w:r>
          </w:p>
        </w:tc>
        <w:tc>
          <w:tcPr>
            <w:tcW w:w="1180" w:type="dxa"/>
            <w:tcBorders>
              <w:top w:val="nil"/>
              <w:left w:val="nil"/>
              <w:bottom w:val="nil"/>
              <w:right w:val="nil"/>
            </w:tcBorders>
            <w:shd w:val="clear" w:color="000000" w:fill="FFFFFF"/>
            <w:noWrap/>
            <w:vAlign w:val="bottom"/>
            <w:hideMark/>
          </w:tcPr>
          <w:p w14:paraId="76C16C7D" w14:textId="77777777" w:rsidR="001A35DC" w:rsidRPr="001A35DC" w:rsidRDefault="00520DB6" w:rsidP="001A35DC">
            <w:pPr>
              <w:spacing w:after="0" w:line="240" w:lineRule="auto"/>
              <w:jc w:val="right"/>
              <w:rPr>
                <w:rFonts w:ascii="Arial" w:hAnsi="Arial" w:cs="Arial"/>
                <w:i/>
                <w:iCs/>
                <w:color w:val="000000"/>
                <w:sz w:val="16"/>
                <w:szCs w:val="16"/>
              </w:rPr>
            </w:pPr>
            <w:r>
              <w:rPr>
                <w:rFonts w:ascii="Arial" w:hAnsi="Arial" w:cs="Arial"/>
                <w:i/>
                <w:iCs/>
                <w:color w:val="000000"/>
                <w:sz w:val="16"/>
                <w:szCs w:val="16"/>
              </w:rPr>
              <w:t>251,689</w:t>
            </w:r>
            <w:r w:rsidR="001A35DC" w:rsidRPr="001A35DC">
              <w:rPr>
                <w:rFonts w:ascii="Arial" w:hAnsi="Arial" w:cs="Arial"/>
                <w:i/>
                <w:iCs/>
                <w:color w:val="000000"/>
                <w:sz w:val="16"/>
                <w:szCs w:val="16"/>
              </w:rPr>
              <w:t xml:space="preserve"> </w:t>
            </w:r>
          </w:p>
        </w:tc>
        <w:tc>
          <w:tcPr>
            <w:tcW w:w="1180" w:type="dxa"/>
            <w:tcBorders>
              <w:top w:val="nil"/>
              <w:left w:val="nil"/>
              <w:bottom w:val="nil"/>
              <w:right w:val="nil"/>
            </w:tcBorders>
            <w:shd w:val="clear" w:color="000000" w:fill="E6E6E6"/>
            <w:noWrap/>
            <w:vAlign w:val="bottom"/>
            <w:hideMark/>
          </w:tcPr>
          <w:p w14:paraId="76C16C7E" w14:textId="77777777" w:rsidR="001A35DC" w:rsidRPr="001A35DC" w:rsidRDefault="00520DB6" w:rsidP="001A35DC">
            <w:pPr>
              <w:spacing w:after="0" w:line="240" w:lineRule="auto"/>
              <w:jc w:val="right"/>
              <w:rPr>
                <w:rFonts w:ascii="Arial" w:hAnsi="Arial" w:cs="Arial"/>
                <w:color w:val="000000"/>
                <w:sz w:val="16"/>
                <w:szCs w:val="16"/>
              </w:rPr>
            </w:pPr>
            <w:r>
              <w:rPr>
                <w:rFonts w:ascii="Arial" w:hAnsi="Arial" w:cs="Arial"/>
                <w:color w:val="000000"/>
                <w:sz w:val="16"/>
                <w:szCs w:val="16"/>
              </w:rPr>
              <w:t>160,999</w:t>
            </w:r>
            <w:r w:rsidR="001A35DC" w:rsidRPr="001A35DC">
              <w:rPr>
                <w:rFonts w:ascii="Arial" w:hAnsi="Arial" w:cs="Arial"/>
                <w:color w:val="000000"/>
                <w:sz w:val="16"/>
                <w:szCs w:val="16"/>
              </w:rPr>
              <w:t xml:space="preserve"> </w:t>
            </w:r>
          </w:p>
        </w:tc>
      </w:tr>
      <w:tr w:rsidR="001A35DC" w:rsidRPr="001A35DC" w14:paraId="76C16C83" w14:textId="77777777" w:rsidTr="001A35DC">
        <w:trPr>
          <w:trHeight w:val="210"/>
        </w:trPr>
        <w:tc>
          <w:tcPr>
            <w:tcW w:w="5240" w:type="dxa"/>
            <w:tcBorders>
              <w:top w:val="nil"/>
              <w:left w:val="nil"/>
              <w:bottom w:val="nil"/>
              <w:right w:val="nil"/>
            </w:tcBorders>
            <w:shd w:val="clear" w:color="000000" w:fill="FFFFFF"/>
            <w:noWrap/>
            <w:vAlign w:val="bottom"/>
            <w:hideMark/>
          </w:tcPr>
          <w:p w14:paraId="76C16C80" w14:textId="77777777" w:rsidR="001A35DC" w:rsidRPr="00BB2FD5" w:rsidRDefault="001A35DC" w:rsidP="00BB2FD5">
            <w:pPr>
              <w:spacing w:after="0" w:line="240" w:lineRule="auto"/>
              <w:ind w:left="180" w:hanging="180"/>
              <w:jc w:val="left"/>
              <w:rPr>
                <w:rFonts w:ascii="Arial" w:hAnsi="Arial" w:cs="Arial"/>
                <w:b/>
                <w:bCs/>
                <w:sz w:val="16"/>
                <w:szCs w:val="16"/>
              </w:rPr>
            </w:pPr>
            <w:r w:rsidRPr="00BB2FD5">
              <w:rPr>
                <w:rFonts w:ascii="Arial" w:hAnsi="Arial" w:cs="Arial"/>
                <w:b/>
                <w:bCs/>
                <w:sz w:val="16"/>
                <w:szCs w:val="16"/>
              </w:rPr>
              <w:t>Total funds from other sources</w:t>
            </w:r>
          </w:p>
        </w:tc>
        <w:tc>
          <w:tcPr>
            <w:tcW w:w="1180" w:type="dxa"/>
            <w:tcBorders>
              <w:top w:val="single" w:sz="4" w:space="0" w:color="auto"/>
              <w:left w:val="nil"/>
              <w:bottom w:val="single" w:sz="4" w:space="0" w:color="auto"/>
              <w:right w:val="nil"/>
            </w:tcBorders>
            <w:shd w:val="clear" w:color="000000" w:fill="FFFFFF"/>
            <w:noWrap/>
            <w:vAlign w:val="bottom"/>
            <w:hideMark/>
          </w:tcPr>
          <w:p w14:paraId="76C16C81" w14:textId="77777777" w:rsidR="001A35DC" w:rsidRPr="001A35DC" w:rsidRDefault="00520DB6" w:rsidP="001A35DC">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305,369</w:t>
            </w:r>
            <w:r w:rsidR="001A35DC" w:rsidRPr="001A35DC">
              <w:rPr>
                <w:rFonts w:ascii="Arial" w:hAnsi="Arial" w:cs="Arial"/>
                <w:b/>
                <w:bCs/>
                <w:i/>
                <w:iCs/>
                <w:color w:val="000000"/>
                <w:sz w:val="16"/>
                <w:szCs w:val="16"/>
              </w:rPr>
              <w:t xml:space="preserve"> </w:t>
            </w:r>
          </w:p>
        </w:tc>
        <w:tc>
          <w:tcPr>
            <w:tcW w:w="1180" w:type="dxa"/>
            <w:tcBorders>
              <w:top w:val="single" w:sz="4" w:space="0" w:color="auto"/>
              <w:left w:val="nil"/>
              <w:bottom w:val="single" w:sz="4" w:space="0" w:color="auto"/>
              <w:right w:val="nil"/>
            </w:tcBorders>
            <w:shd w:val="clear" w:color="000000" w:fill="E6E6E6"/>
            <w:noWrap/>
            <w:vAlign w:val="bottom"/>
            <w:hideMark/>
          </w:tcPr>
          <w:p w14:paraId="76C16C82" w14:textId="77777777" w:rsidR="001A35DC" w:rsidRPr="001A35DC" w:rsidRDefault="00520DB6" w:rsidP="001A35DC">
            <w:pPr>
              <w:spacing w:after="0" w:line="240" w:lineRule="auto"/>
              <w:jc w:val="right"/>
              <w:rPr>
                <w:rFonts w:ascii="Arial" w:hAnsi="Arial" w:cs="Arial"/>
                <w:b/>
                <w:bCs/>
                <w:color w:val="000000"/>
                <w:sz w:val="16"/>
                <w:szCs w:val="16"/>
              </w:rPr>
            </w:pPr>
            <w:r>
              <w:rPr>
                <w:rFonts w:ascii="Arial" w:hAnsi="Arial" w:cs="Arial"/>
                <w:b/>
                <w:bCs/>
                <w:color w:val="000000"/>
                <w:sz w:val="16"/>
                <w:szCs w:val="16"/>
              </w:rPr>
              <w:t>209,401</w:t>
            </w:r>
            <w:r w:rsidR="001A35DC" w:rsidRPr="001A35DC">
              <w:rPr>
                <w:rFonts w:ascii="Arial" w:hAnsi="Arial" w:cs="Arial"/>
                <w:b/>
                <w:bCs/>
                <w:color w:val="000000"/>
                <w:sz w:val="16"/>
                <w:szCs w:val="16"/>
              </w:rPr>
              <w:t xml:space="preserve"> </w:t>
            </w:r>
          </w:p>
        </w:tc>
      </w:tr>
      <w:tr w:rsidR="001A35DC" w:rsidRPr="001A35DC" w14:paraId="76C16C87" w14:textId="77777777" w:rsidTr="009F1602">
        <w:trPr>
          <w:trHeight w:val="126"/>
        </w:trPr>
        <w:tc>
          <w:tcPr>
            <w:tcW w:w="5240" w:type="dxa"/>
            <w:tcBorders>
              <w:top w:val="nil"/>
              <w:left w:val="nil"/>
              <w:bottom w:val="single" w:sz="4" w:space="0" w:color="auto"/>
              <w:right w:val="nil"/>
            </w:tcBorders>
            <w:shd w:val="clear" w:color="000000" w:fill="FFFFFF"/>
            <w:noWrap/>
            <w:vAlign w:val="bottom"/>
            <w:hideMark/>
          </w:tcPr>
          <w:p w14:paraId="76C16C84" w14:textId="77777777" w:rsidR="001A35DC" w:rsidRPr="00BB2FD5" w:rsidRDefault="001A35DC" w:rsidP="00BB2FD5">
            <w:pPr>
              <w:spacing w:after="0" w:line="240" w:lineRule="auto"/>
              <w:ind w:left="180" w:hanging="180"/>
              <w:jc w:val="left"/>
              <w:rPr>
                <w:rFonts w:ascii="Arial" w:hAnsi="Arial" w:cs="Arial"/>
                <w:b/>
                <w:bCs/>
                <w:sz w:val="16"/>
                <w:szCs w:val="16"/>
              </w:rPr>
            </w:pPr>
            <w:r w:rsidRPr="00BB2FD5">
              <w:rPr>
                <w:rFonts w:ascii="Arial" w:hAnsi="Arial" w:cs="Arial"/>
                <w:b/>
                <w:bCs/>
                <w:sz w:val="16"/>
                <w:szCs w:val="16"/>
              </w:rPr>
              <w:t>Total net resourcing for Comcare</w:t>
            </w:r>
          </w:p>
        </w:tc>
        <w:tc>
          <w:tcPr>
            <w:tcW w:w="1180" w:type="dxa"/>
            <w:tcBorders>
              <w:top w:val="nil"/>
              <w:left w:val="nil"/>
              <w:bottom w:val="single" w:sz="4" w:space="0" w:color="auto"/>
              <w:right w:val="nil"/>
            </w:tcBorders>
            <w:shd w:val="clear" w:color="000000" w:fill="FFFFFF"/>
            <w:noWrap/>
            <w:vAlign w:val="bottom"/>
            <w:hideMark/>
          </w:tcPr>
          <w:p w14:paraId="76C16C85" w14:textId="77777777" w:rsidR="001A35DC" w:rsidRPr="001A35DC" w:rsidRDefault="00520DB6" w:rsidP="001A35DC">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1,415,680</w:t>
            </w:r>
            <w:r w:rsidR="001A35DC" w:rsidRPr="001A35DC">
              <w:rPr>
                <w:rFonts w:ascii="Arial" w:hAnsi="Arial" w:cs="Arial"/>
                <w:b/>
                <w:bCs/>
                <w:i/>
                <w:iCs/>
                <w:color w:val="000000"/>
                <w:sz w:val="16"/>
                <w:szCs w:val="16"/>
              </w:rPr>
              <w:t xml:space="preserve"> </w:t>
            </w:r>
          </w:p>
        </w:tc>
        <w:tc>
          <w:tcPr>
            <w:tcW w:w="1180" w:type="dxa"/>
            <w:tcBorders>
              <w:top w:val="nil"/>
              <w:left w:val="nil"/>
              <w:bottom w:val="single" w:sz="4" w:space="0" w:color="auto"/>
              <w:right w:val="nil"/>
            </w:tcBorders>
            <w:shd w:val="clear" w:color="000000" w:fill="E6E6E6"/>
            <w:noWrap/>
            <w:vAlign w:val="bottom"/>
            <w:hideMark/>
          </w:tcPr>
          <w:p w14:paraId="76C16C86" w14:textId="77777777" w:rsidR="001A35DC" w:rsidRPr="001A35DC" w:rsidRDefault="001A35DC" w:rsidP="00520DB6">
            <w:pPr>
              <w:spacing w:after="0" w:line="240" w:lineRule="auto"/>
              <w:jc w:val="right"/>
              <w:rPr>
                <w:rFonts w:ascii="Arial" w:hAnsi="Arial" w:cs="Arial"/>
                <w:b/>
                <w:bCs/>
                <w:color w:val="000000"/>
                <w:sz w:val="16"/>
                <w:szCs w:val="16"/>
              </w:rPr>
            </w:pPr>
            <w:r w:rsidRPr="001A35DC">
              <w:rPr>
                <w:rFonts w:ascii="Arial" w:hAnsi="Arial" w:cs="Arial"/>
                <w:b/>
                <w:bCs/>
                <w:color w:val="000000"/>
                <w:sz w:val="16"/>
                <w:szCs w:val="16"/>
              </w:rPr>
              <w:t>1,26</w:t>
            </w:r>
            <w:r w:rsidR="00520DB6">
              <w:rPr>
                <w:rFonts w:ascii="Arial" w:hAnsi="Arial" w:cs="Arial"/>
                <w:b/>
                <w:bCs/>
                <w:color w:val="000000"/>
                <w:sz w:val="16"/>
                <w:szCs w:val="16"/>
              </w:rPr>
              <w:t>5</w:t>
            </w:r>
            <w:r w:rsidRPr="001A35DC">
              <w:rPr>
                <w:rFonts w:ascii="Arial" w:hAnsi="Arial" w:cs="Arial"/>
                <w:b/>
                <w:bCs/>
                <w:color w:val="000000"/>
                <w:sz w:val="16"/>
                <w:szCs w:val="16"/>
              </w:rPr>
              <w:t>,9</w:t>
            </w:r>
            <w:r w:rsidR="00520DB6">
              <w:rPr>
                <w:rFonts w:ascii="Arial" w:hAnsi="Arial" w:cs="Arial"/>
                <w:b/>
                <w:bCs/>
                <w:color w:val="000000"/>
                <w:sz w:val="16"/>
                <w:szCs w:val="16"/>
              </w:rPr>
              <w:t>47</w:t>
            </w:r>
            <w:r w:rsidRPr="001A35DC">
              <w:rPr>
                <w:rFonts w:ascii="Arial" w:hAnsi="Arial" w:cs="Arial"/>
                <w:b/>
                <w:bCs/>
                <w:color w:val="000000"/>
                <w:sz w:val="16"/>
                <w:szCs w:val="16"/>
              </w:rPr>
              <w:t xml:space="preserve"> </w:t>
            </w:r>
          </w:p>
        </w:tc>
      </w:tr>
      <w:tr w:rsidR="001A35DC" w:rsidRPr="001A35DC" w14:paraId="76C16C8B" w14:textId="77777777" w:rsidTr="001A35DC">
        <w:trPr>
          <w:trHeight w:val="100"/>
        </w:trPr>
        <w:tc>
          <w:tcPr>
            <w:tcW w:w="5240" w:type="dxa"/>
            <w:tcBorders>
              <w:top w:val="nil"/>
              <w:left w:val="nil"/>
              <w:bottom w:val="nil"/>
              <w:right w:val="nil"/>
            </w:tcBorders>
            <w:shd w:val="clear" w:color="000000" w:fill="FFFFFF"/>
            <w:noWrap/>
            <w:vAlign w:val="bottom"/>
            <w:hideMark/>
          </w:tcPr>
          <w:p w14:paraId="76C16C88" w14:textId="77777777" w:rsidR="001A35DC" w:rsidRPr="001A35DC" w:rsidRDefault="001A35DC" w:rsidP="001A35DC">
            <w:pPr>
              <w:spacing w:after="0" w:line="240" w:lineRule="auto"/>
              <w:jc w:val="left"/>
              <w:rPr>
                <w:rFonts w:ascii="Arial" w:hAnsi="Arial" w:cs="Arial"/>
                <w:color w:val="000000"/>
                <w:sz w:val="16"/>
                <w:szCs w:val="16"/>
              </w:rPr>
            </w:pPr>
            <w:r w:rsidRPr="001A35DC">
              <w:rPr>
                <w:rFonts w:ascii="Arial" w:hAnsi="Arial" w:cs="Arial"/>
                <w:color w:val="000000"/>
                <w:sz w:val="16"/>
                <w:szCs w:val="16"/>
              </w:rPr>
              <w:t> </w:t>
            </w:r>
          </w:p>
        </w:tc>
        <w:tc>
          <w:tcPr>
            <w:tcW w:w="1180" w:type="dxa"/>
            <w:tcBorders>
              <w:top w:val="nil"/>
              <w:left w:val="nil"/>
              <w:bottom w:val="nil"/>
              <w:right w:val="nil"/>
            </w:tcBorders>
            <w:shd w:val="clear" w:color="000000" w:fill="FFFFFF"/>
            <w:noWrap/>
            <w:vAlign w:val="bottom"/>
            <w:hideMark/>
          </w:tcPr>
          <w:p w14:paraId="76C16C89"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w:t>
            </w:r>
          </w:p>
        </w:tc>
        <w:tc>
          <w:tcPr>
            <w:tcW w:w="1180" w:type="dxa"/>
            <w:tcBorders>
              <w:top w:val="nil"/>
              <w:left w:val="nil"/>
              <w:bottom w:val="nil"/>
              <w:right w:val="nil"/>
            </w:tcBorders>
            <w:shd w:val="clear" w:color="000000" w:fill="FFFFFF"/>
            <w:noWrap/>
            <w:vAlign w:val="bottom"/>
            <w:hideMark/>
          </w:tcPr>
          <w:p w14:paraId="76C16C8A" w14:textId="77777777" w:rsidR="001A35DC" w:rsidRPr="001A35DC" w:rsidRDefault="001A35DC" w:rsidP="001A35DC">
            <w:pPr>
              <w:spacing w:after="0" w:line="240" w:lineRule="auto"/>
              <w:jc w:val="right"/>
              <w:rPr>
                <w:rFonts w:ascii="Arial" w:hAnsi="Arial" w:cs="Arial"/>
                <w:color w:val="000000"/>
                <w:sz w:val="16"/>
                <w:szCs w:val="16"/>
              </w:rPr>
            </w:pPr>
            <w:r w:rsidRPr="001A35DC">
              <w:rPr>
                <w:rFonts w:ascii="Arial" w:hAnsi="Arial" w:cs="Arial"/>
                <w:color w:val="000000"/>
                <w:sz w:val="16"/>
                <w:szCs w:val="16"/>
              </w:rPr>
              <w:t> </w:t>
            </w:r>
          </w:p>
        </w:tc>
      </w:tr>
      <w:tr w:rsidR="001A35DC" w:rsidRPr="001A35DC" w14:paraId="76C16C8F" w14:textId="77777777" w:rsidTr="001A35DC">
        <w:trPr>
          <w:trHeight w:val="200"/>
        </w:trPr>
        <w:tc>
          <w:tcPr>
            <w:tcW w:w="5240" w:type="dxa"/>
            <w:tcBorders>
              <w:top w:val="single" w:sz="4" w:space="0" w:color="auto"/>
              <w:left w:val="nil"/>
              <w:bottom w:val="nil"/>
              <w:right w:val="nil"/>
            </w:tcBorders>
            <w:shd w:val="clear" w:color="000000" w:fill="FFFFFF"/>
            <w:noWrap/>
            <w:vAlign w:val="bottom"/>
            <w:hideMark/>
          </w:tcPr>
          <w:p w14:paraId="76C16C8C" w14:textId="77777777" w:rsidR="001A35DC" w:rsidRPr="001A35DC" w:rsidRDefault="001A35DC" w:rsidP="001A35DC">
            <w:pPr>
              <w:spacing w:after="0" w:line="240" w:lineRule="auto"/>
              <w:jc w:val="left"/>
              <w:rPr>
                <w:rFonts w:ascii="Arial" w:hAnsi="Arial" w:cs="Arial"/>
                <w:color w:val="000000"/>
                <w:sz w:val="16"/>
                <w:szCs w:val="16"/>
              </w:rPr>
            </w:pPr>
            <w:r w:rsidRPr="001A35DC">
              <w:rPr>
                <w:rFonts w:ascii="Arial" w:hAnsi="Arial" w:cs="Arial"/>
                <w:color w:val="000000"/>
                <w:sz w:val="16"/>
                <w:szCs w:val="16"/>
              </w:rPr>
              <w:t> </w:t>
            </w:r>
          </w:p>
        </w:tc>
        <w:tc>
          <w:tcPr>
            <w:tcW w:w="1180" w:type="dxa"/>
            <w:tcBorders>
              <w:top w:val="single" w:sz="4" w:space="0" w:color="auto"/>
              <w:left w:val="nil"/>
              <w:bottom w:val="single" w:sz="4" w:space="0" w:color="auto"/>
              <w:right w:val="nil"/>
            </w:tcBorders>
            <w:shd w:val="clear" w:color="000000" w:fill="FFFFFF"/>
            <w:noWrap/>
            <w:vAlign w:val="bottom"/>
            <w:hideMark/>
          </w:tcPr>
          <w:p w14:paraId="76C16C8D" w14:textId="77777777" w:rsidR="001A35DC" w:rsidRPr="001A35DC" w:rsidRDefault="009A4174" w:rsidP="001A35DC">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2018–19 </w:t>
            </w:r>
          </w:p>
        </w:tc>
        <w:tc>
          <w:tcPr>
            <w:tcW w:w="1180" w:type="dxa"/>
            <w:tcBorders>
              <w:top w:val="single" w:sz="4" w:space="0" w:color="auto"/>
              <w:left w:val="nil"/>
              <w:bottom w:val="single" w:sz="4" w:space="0" w:color="auto"/>
              <w:right w:val="nil"/>
            </w:tcBorders>
            <w:shd w:val="clear" w:color="000000" w:fill="E6E6E6"/>
            <w:noWrap/>
            <w:vAlign w:val="bottom"/>
            <w:hideMark/>
          </w:tcPr>
          <w:p w14:paraId="76C16C8E" w14:textId="77777777" w:rsidR="001A35DC" w:rsidRPr="001A35DC" w:rsidRDefault="009A4174" w:rsidP="001A35DC">
            <w:pPr>
              <w:spacing w:after="0" w:line="240" w:lineRule="auto"/>
              <w:jc w:val="right"/>
              <w:rPr>
                <w:rFonts w:ascii="Arial" w:hAnsi="Arial" w:cs="Arial"/>
                <w:color w:val="000000"/>
                <w:sz w:val="16"/>
                <w:szCs w:val="16"/>
              </w:rPr>
            </w:pPr>
            <w:r>
              <w:rPr>
                <w:rFonts w:ascii="Arial" w:hAnsi="Arial" w:cs="Arial"/>
                <w:color w:val="000000"/>
                <w:sz w:val="16"/>
                <w:szCs w:val="16"/>
              </w:rPr>
              <w:t>2019–20</w:t>
            </w:r>
          </w:p>
        </w:tc>
      </w:tr>
      <w:tr w:rsidR="001A35DC" w:rsidRPr="001A35DC" w14:paraId="76C16C93" w14:textId="77777777" w:rsidTr="007C05BB">
        <w:trPr>
          <w:trHeight w:val="233"/>
        </w:trPr>
        <w:tc>
          <w:tcPr>
            <w:tcW w:w="5240" w:type="dxa"/>
            <w:tcBorders>
              <w:top w:val="nil"/>
              <w:left w:val="nil"/>
              <w:bottom w:val="single" w:sz="4" w:space="0" w:color="auto"/>
              <w:right w:val="nil"/>
            </w:tcBorders>
            <w:shd w:val="clear" w:color="000000" w:fill="FFFFFF"/>
            <w:noWrap/>
            <w:vAlign w:val="bottom"/>
            <w:hideMark/>
          </w:tcPr>
          <w:p w14:paraId="76C16C90" w14:textId="77777777" w:rsidR="001A35DC" w:rsidRPr="001A35DC" w:rsidRDefault="001A35DC" w:rsidP="001A35DC">
            <w:pPr>
              <w:spacing w:after="0" w:line="240" w:lineRule="auto"/>
              <w:jc w:val="left"/>
              <w:rPr>
                <w:rFonts w:ascii="Arial" w:hAnsi="Arial" w:cs="Arial"/>
                <w:b/>
                <w:bCs/>
                <w:color w:val="000000"/>
                <w:sz w:val="16"/>
                <w:szCs w:val="16"/>
              </w:rPr>
            </w:pPr>
            <w:r w:rsidRPr="001A35DC">
              <w:rPr>
                <w:rFonts w:ascii="Arial" w:hAnsi="Arial" w:cs="Arial"/>
                <w:b/>
                <w:bCs/>
                <w:color w:val="000000"/>
                <w:sz w:val="16"/>
                <w:szCs w:val="16"/>
              </w:rPr>
              <w:t>Average staffing level (number)</w:t>
            </w:r>
          </w:p>
        </w:tc>
        <w:tc>
          <w:tcPr>
            <w:tcW w:w="1180" w:type="dxa"/>
            <w:tcBorders>
              <w:top w:val="nil"/>
              <w:left w:val="nil"/>
              <w:bottom w:val="single" w:sz="4" w:space="0" w:color="auto"/>
              <w:right w:val="nil"/>
            </w:tcBorders>
            <w:shd w:val="clear" w:color="000000" w:fill="FFFFFF"/>
            <w:noWrap/>
            <w:vAlign w:val="bottom"/>
            <w:hideMark/>
          </w:tcPr>
          <w:p w14:paraId="76C16C91" w14:textId="77777777" w:rsidR="001A35DC" w:rsidRPr="001A35DC" w:rsidRDefault="001A35DC" w:rsidP="001A35DC">
            <w:pPr>
              <w:spacing w:after="0" w:line="240" w:lineRule="auto"/>
              <w:jc w:val="right"/>
              <w:rPr>
                <w:rFonts w:ascii="Arial" w:hAnsi="Arial" w:cs="Arial"/>
                <w:i/>
                <w:iCs/>
                <w:color w:val="000000"/>
                <w:sz w:val="16"/>
                <w:szCs w:val="16"/>
              </w:rPr>
            </w:pPr>
            <w:r w:rsidRPr="001A35DC">
              <w:rPr>
                <w:rFonts w:ascii="Arial" w:hAnsi="Arial" w:cs="Arial"/>
                <w:i/>
                <w:iCs/>
                <w:color w:val="000000"/>
                <w:sz w:val="16"/>
                <w:szCs w:val="16"/>
              </w:rPr>
              <w:t xml:space="preserve">630 </w:t>
            </w:r>
          </w:p>
        </w:tc>
        <w:tc>
          <w:tcPr>
            <w:tcW w:w="1180" w:type="dxa"/>
            <w:tcBorders>
              <w:top w:val="nil"/>
              <w:left w:val="nil"/>
              <w:bottom w:val="single" w:sz="4" w:space="0" w:color="auto"/>
              <w:right w:val="nil"/>
            </w:tcBorders>
            <w:shd w:val="clear" w:color="000000" w:fill="E6E6E6"/>
            <w:noWrap/>
            <w:vAlign w:val="bottom"/>
            <w:hideMark/>
          </w:tcPr>
          <w:p w14:paraId="76C16C92" w14:textId="77777777" w:rsidR="001A35DC" w:rsidRPr="001A35DC" w:rsidRDefault="001A35DC" w:rsidP="001A35DC">
            <w:pPr>
              <w:spacing w:after="0" w:line="240" w:lineRule="auto"/>
              <w:jc w:val="right"/>
              <w:rPr>
                <w:rFonts w:ascii="Arial" w:hAnsi="Arial" w:cs="Arial"/>
                <w:color w:val="000000"/>
                <w:sz w:val="16"/>
                <w:szCs w:val="16"/>
              </w:rPr>
            </w:pPr>
            <w:r w:rsidRPr="001A35DC">
              <w:rPr>
                <w:rFonts w:ascii="Arial" w:hAnsi="Arial" w:cs="Arial"/>
                <w:color w:val="000000"/>
                <w:sz w:val="16"/>
                <w:szCs w:val="16"/>
              </w:rPr>
              <w:t xml:space="preserve">630 </w:t>
            </w:r>
          </w:p>
        </w:tc>
      </w:tr>
    </w:tbl>
    <w:p w14:paraId="76C16C94" w14:textId="77777777" w:rsidR="00DC71D5" w:rsidRPr="00DB4961" w:rsidRDefault="00DC71D5" w:rsidP="00A13EE9">
      <w:pPr>
        <w:pStyle w:val="ChartandTableFootnote"/>
        <w:spacing w:before="120"/>
        <w:jc w:val="left"/>
        <w:rPr>
          <w:szCs w:val="16"/>
        </w:rPr>
      </w:pPr>
      <w:r w:rsidRPr="00DB4961">
        <w:rPr>
          <w:szCs w:val="16"/>
        </w:rPr>
        <w:t>Prepared on a resourcing (</w:t>
      </w:r>
      <w:r w:rsidRPr="00DB4961">
        <w:rPr>
          <w:szCs w:val="16"/>
          <w:lang w:val="en-AU"/>
        </w:rPr>
        <w:t>that is,</w:t>
      </w:r>
      <w:r w:rsidRPr="00DB4961">
        <w:rPr>
          <w:szCs w:val="16"/>
        </w:rPr>
        <w:t xml:space="preserve"> appropriations available) basis.</w:t>
      </w:r>
    </w:p>
    <w:p w14:paraId="76C16C95" w14:textId="77777777" w:rsidR="00DF0134" w:rsidRPr="00DB4961" w:rsidRDefault="006B08DD" w:rsidP="00A13EE9">
      <w:pPr>
        <w:pStyle w:val="ChartandTableFootnote"/>
        <w:jc w:val="left"/>
        <w:rPr>
          <w:szCs w:val="16"/>
        </w:rPr>
      </w:pPr>
      <w:r w:rsidRPr="00DB4961">
        <w:rPr>
          <w:szCs w:val="16"/>
          <w:lang w:val="en-AU"/>
        </w:rPr>
        <w:t xml:space="preserve">Note: </w:t>
      </w:r>
      <w:r w:rsidR="00DF0134" w:rsidRPr="00DB4961">
        <w:rPr>
          <w:szCs w:val="16"/>
        </w:rPr>
        <w:t>All figures shown above are GST exclusive - these may not match figures in the cash flow statement.</w:t>
      </w:r>
    </w:p>
    <w:p w14:paraId="76C16C96" w14:textId="77777777" w:rsidR="00BE31FB" w:rsidRPr="00DB4961" w:rsidRDefault="00BE31FB" w:rsidP="00A13EE9">
      <w:pPr>
        <w:pStyle w:val="ListParagraph"/>
        <w:numPr>
          <w:ilvl w:val="0"/>
          <w:numId w:val="45"/>
        </w:numPr>
        <w:spacing w:before="120" w:after="0" w:line="240" w:lineRule="auto"/>
        <w:rPr>
          <w:rFonts w:ascii="Arial" w:hAnsi="Arial" w:cs="Arial"/>
          <w:sz w:val="16"/>
          <w:szCs w:val="16"/>
        </w:rPr>
      </w:pPr>
      <w:r w:rsidRPr="00DB4961">
        <w:rPr>
          <w:rFonts w:ascii="Arial" w:hAnsi="Arial" w:cs="Arial"/>
          <w:sz w:val="16"/>
          <w:szCs w:val="16"/>
        </w:rPr>
        <w:t xml:space="preserve">Annual appropriation amounts appearing for </w:t>
      </w:r>
      <w:r w:rsidR="009A4174" w:rsidRPr="00DB4961">
        <w:rPr>
          <w:rFonts w:ascii="Arial" w:hAnsi="Arial" w:cs="Arial"/>
          <w:sz w:val="16"/>
          <w:szCs w:val="16"/>
        </w:rPr>
        <w:t xml:space="preserve">2018–19 </w:t>
      </w:r>
      <w:r w:rsidRPr="00DB4961">
        <w:rPr>
          <w:rFonts w:ascii="Arial" w:hAnsi="Arial" w:cs="Arial"/>
          <w:sz w:val="16"/>
          <w:szCs w:val="16"/>
        </w:rPr>
        <w:t>do not include the Appropriation Bills (No. 3) and (No. 4) 2018</w:t>
      </w:r>
      <w:r w:rsidR="009A4174" w:rsidRPr="00DB4961">
        <w:rPr>
          <w:rFonts w:ascii="Arial" w:hAnsi="Arial" w:cs="Arial"/>
          <w:sz w:val="16"/>
          <w:szCs w:val="16"/>
        </w:rPr>
        <w:t>–</w:t>
      </w:r>
      <w:r w:rsidRPr="00DB4961">
        <w:rPr>
          <w:rFonts w:ascii="Arial" w:hAnsi="Arial" w:cs="Arial"/>
          <w:sz w:val="16"/>
          <w:szCs w:val="16"/>
        </w:rPr>
        <w:t>2019, as they had not been enacted at the time of publication.</w:t>
      </w:r>
    </w:p>
    <w:p w14:paraId="76C16C97" w14:textId="77777777" w:rsidR="00DF0134" w:rsidRPr="00DB4961" w:rsidRDefault="00DF0134" w:rsidP="00A13EE9">
      <w:pPr>
        <w:pStyle w:val="ListParagraph"/>
        <w:numPr>
          <w:ilvl w:val="0"/>
          <w:numId w:val="45"/>
        </w:numPr>
        <w:spacing w:before="120" w:after="0" w:line="240" w:lineRule="auto"/>
        <w:rPr>
          <w:rFonts w:ascii="Arial" w:hAnsi="Arial" w:cs="Arial"/>
          <w:sz w:val="16"/>
          <w:szCs w:val="16"/>
        </w:rPr>
      </w:pPr>
      <w:r w:rsidRPr="00DB4961">
        <w:rPr>
          <w:rFonts w:ascii="Arial" w:hAnsi="Arial" w:cs="Arial"/>
          <w:sz w:val="16"/>
          <w:szCs w:val="16"/>
        </w:rPr>
        <w:t xml:space="preserve">Appropriation Bill (No. 1) </w:t>
      </w:r>
      <w:r w:rsidR="009A4174" w:rsidRPr="00DB4961">
        <w:rPr>
          <w:rFonts w:ascii="Arial" w:hAnsi="Arial" w:cs="Arial"/>
          <w:sz w:val="16"/>
          <w:szCs w:val="16"/>
        </w:rPr>
        <w:t>2019–20</w:t>
      </w:r>
      <w:r w:rsidRPr="00DB4961">
        <w:rPr>
          <w:rFonts w:ascii="Arial" w:hAnsi="Arial" w:cs="Arial"/>
          <w:sz w:val="16"/>
          <w:szCs w:val="16"/>
        </w:rPr>
        <w:t>.</w:t>
      </w:r>
    </w:p>
    <w:p w14:paraId="76C16C98" w14:textId="77777777" w:rsidR="002370F4" w:rsidRPr="00DB4961" w:rsidRDefault="00DC71D5" w:rsidP="00A13EE9">
      <w:pPr>
        <w:pStyle w:val="ListParagraph"/>
        <w:numPr>
          <w:ilvl w:val="0"/>
          <w:numId w:val="45"/>
        </w:numPr>
        <w:spacing w:before="120" w:after="0" w:line="240" w:lineRule="auto"/>
        <w:rPr>
          <w:rFonts w:ascii="Arial" w:hAnsi="Arial" w:cs="Arial"/>
          <w:sz w:val="16"/>
          <w:szCs w:val="16"/>
        </w:rPr>
      </w:pPr>
      <w:r w:rsidRPr="00DB4961">
        <w:rPr>
          <w:rFonts w:ascii="Arial" w:hAnsi="Arial" w:cs="Arial"/>
          <w:sz w:val="16"/>
          <w:szCs w:val="16"/>
        </w:rPr>
        <w:t xml:space="preserve">Comcare is not directly appropriated as it is a corporate Commonwealth entity. Grants from its portfolio department include special appropriations under the </w:t>
      </w:r>
      <w:r w:rsidRPr="00DB4961">
        <w:rPr>
          <w:rFonts w:ascii="Arial" w:hAnsi="Arial" w:cs="Arial"/>
          <w:i/>
          <w:sz w:val="16"/>
          <w:szCs w:val="16"/>
        </w:rPr>
        <w:t>Safety, Rehabilitation and Compensation Act 1988</w:t>
      </w:r>
      <w:r w:rsidRPr="00DB4961">
        <w:rPr>
          <w:rFonts w:ascii="Arial" w:hAnsi="Arial" w:cs="Arial"/>
          <w:sz w:val="16"/>
          <w:szCs w:val="16"/>
        </w:rPr>
        <w:t xml:space="preserve"> for the payment of pre-premium claims costs and the </w:t>
      </w:r>
      <w:r w:rsidRPr="00DB4961">
        <w:rPr>
          <w:rFonts w:ascii="Arial" w:hAnsi="Arial" w:cs="Arial"/>
          <w:i/>
          <w:sz w:val="16"/>
          <w:szCs w:val="16"/>
        </w:rPr>
        <w:t>Asbestos-related Claims (Management of Commonwealth Liabilities) Act 2005</w:t>
      </w:r>
      <w:r w:rsidRPr="00DB4961">
        <w:rPr>
          <w:rFonts w:ascii="Arial" w:hAnsi="Arial" w:cs="Arial"/>
          <w:sz w:val="16"/>
          <w:szCs w:val="16"/>
        </w:rPr>
        <w:t xml:space="preserve"> for asbe</w:t>
      </w:r>
      <w:r w:rsidR="006B08DD" w:rsidRPr="00DB4961">
        <w:rPr>
          <w:rFonts w:ascii="Arial" w:hAnsi="Arial" w:cs="Arial"/>
          <w:sz w:val="16"/>
          <w:szCs w:val="16"/>
        </w:rPr>
        <w:t>stos-related claims settlements.</w:t>
      </w:r>
    </w:p>
    <w:p w14:paraId="76C16C99" w14:textId="77777777" w:rsidR="00ED16A4" w:rsidRPr="00ED16A4" w:rsidRDefault="00ED16A4" w:rsidP="00ED16A4">
      <w:pPr>
        <w:pStyle w:val="ListParagraph"/>
        <w:spacing w:before="120" w:after="0" w:line="240" w:lineRule="auto"/>
        <w:ind w:left="360"/>
        <w:rPr>
          <w:rFonts w:ascii="Arial" w:hAnsi="Arial" w:cs="Arial"/>
          <w:sz w:val="16"/>
          <w:szCs w:val="16"/>
        </w:rPr>
      </w:pPr>
    </w:p>
    <w:p w14:paraId="76C16C9A" w14:textId="77777777" w:rsidR="002370F4" w:rsidRPr="002370F4" w:rsidRDefault="002370F4" w:rsidP="00D42D32">
      <w:pPr>
        <w:pStyle w:val="Heading3"/>
      </w:pPr>
      <w:bookmarkStart w:id="4" w:name="_Toc476145049"/>
      <w:r w:rsidRPr="00AB50AC">
        <w:lastRenderedPageBreak/>
        <w:t>1.3</w:t>
      </w:r>
      <w:r w:rsidRPr="00AB50AC">
        <w:tab/>
        <w:t>Budget measures</w:t>
      </w:r>
      <w:bookmarkEnd w:id="4"/>
      <w:r w:rsidRPr="002370F4">
        <w:t xml:space="preserve"> </w:t>
      </w:r>
    </w:p>
    <w:p w14:paraId="76C16C9B" w14:textId="77777777" w:rsidR="002370F4" w:rsidRDefault="002370F4" w:rsidP="000706C9">
      <w:pPr>
        <w:jc w:val="left"/>
      </w:pPr>
      <w:r w:rsidRPr="00DC32EC">
        <w:t xml:space="preserve">Budget measures </w:t>
      </w:r>
      <w:r>
        <w:t xml:space="preserve">in Part 1 </w:t>
      </w:r>
      <w:r w:rsidRPr="00DC32EC">
        <w:t>relating to</w:t>
      </w:r>
      <w:r>
        <w:t xml:space="preserve"> Comcare</w:t>
      </w:r>
      <w:r w:rsidRPr="00DC32EC">
        <w:t xml:space="preserve"> a</w:t>
      </w:r>
      <w:r>
        <w:t>re detailed in Budget Paper No. </w:t>
      </w:r>
      <w:r w:rsidRPr="00DC32EC">
        <w:t>2</w:t>
      </w:r>
      <w:r>
        <w:t xml:space="preserve"> and are summarised below.</w:t>
      </w:r>
    </w:p>
    <w:p w14:paraId="76C16C9C" w14:textId="77777777" w:rsidR="00DF0134" w:rsidRPr="009A40DD" w:rsidRDefault="00DF0134" w:rsidP="00DF0134">
      <w:pPr>
        <w:pStyle w:val="TableHeading"/>
      </w:pPr>
      <w:r w:rsidRPr="009A40DD">
        <w:t xml:space="preserve">Table 1.2: Entity </w:t>
      </w:r>
      <w:r w:rsidR="009A4174">
        <w:t>2019–20</w:t>
      </w:r>
      <w:r>
        <w:rPr>
          <w:lang w:val="en-AU"/>
        </w:rPr>
        <w:t xml:space="preserve"> </w:t>
      </w:r>
      <w:r w:rsidRPr="009A40DD">
        <w:t>Budget measures</w:t>
      </w:r>
    </w:p>
    <w:p w14:paraId="76C16C9D" w14:textId="538DA1CD" w:rsidR="00DF0134" w:rsidRPr="009A40DD" w:rsidRDefault="00DF0134" w:rsidP="00DF0134">
      <w:pPr>
        <w:pStyle w:val="TableHeadingcontinued"/>
      </w:pPr>
      <w:r w:rsidRPr="009A40DD">
        <w:t xml:space="preserve">Part 1: Measures announced since the </w:t>
      </w:r>
      <w:r w:rsidR="009A4174">
        <w:t>2018–19</w:t>
      </w:r>
      <w:r w:rsidRPr="009A40DD">
        <w:t xml:space="preserve"> Mid-Year Economic and Fiscal Outlook (MYEFO)</w:t>
      </w:r>
    </w:p>
    <w:p w14:paraId="76C16CE0" w14:textId="0CFAB77C" w:rsidR="002370F4" w:rsidRDefault="0072265D" w:rsidP="0072265D">
      <w:pPr>
        <w:jc w:val="left"/>
      </w:pPr>
      <w:r w:rsidRPr="0072265D">
        <w:t>Comcare have no measures announced since the 2018–</w:t>
      </w:r>
      <w:r>
        <w:t xml:space="preserve">19 MYEFO. For this reason, </w:t>
      </w:r>
      <w:r w:rsidRPr="0072265D">
        <w:t>Part</w:t>
      </w:r>
      <w:r>
        <w:t> </w:t>
      </w:r>
      <w:r w:rsidRPr="0072265D">
        <w:t>1 of Table 1.2 is not presented.</w:t>
      </w:r>
    </w:p>
    <w:p w14:paraId="466DEB6E" w14:textId="77777777" w:rsidR="0072265D" w:rsidRPr="0072265D" w:rsidRDefault="0072265D" w:rsidP="0072265D">
      <w:pPr>
        <w:pStyle w:val="TableGraphic"/>
      </w:pPr>
    </w:p>
    <w:p w14:paraId="1E46E56D" w14:textId="457AA001" w:rsidR="0072265D" w:rsidRDefault="00DF0134" w:rsidP="0072265D">
      <w:pPr>
        <w:pStyle w:val="TableHeadingcontinued"/>
      </w:pPr>
      <w:r w:rsidRPr="00E5444F">
        <w:t>Part 2: Other measures not previously re</w:t>
      </w:r>
      <w:r w:rsidR="0072265D">
        <w:t>ported in a portfolio statement</w:t>
      </w:r>
    </w:p>
    <w:tbl>
      <w:tblPr>
        <w:tblW w:w="7710" w:type="dxa"/>
        <w:tblCellMar>
          <w:left w:w="0" w:type="dxa"/>
          <w:right w:w="0" w:type="dxa"/>
        </w:tblCellMar>
        <w:tblLook w:val="04A0" w:firstRow="1" w:lastRow="0" w:firstColumn="1" w:lastColumn="0" w:noHBand="0" w:noVBand="1"/>
      </w:tblPr>
      <w:tblGrid>
        <w:gridCol w:w="2832"/>
        <w:gridCol w:w="748"/>
        <w:gridCol w:w="826"/>
        <w:gridCol w:w="826"/>
        <w:gridCol w:w="826"/>
        <w:gridCol w:w="826"/>
        <w:gridCol w:w="826"/>
      </w:tblGrid>
      <w:tr w:rsidR="0072265D" w:rsidRPr="002370F4" w14:paraId="6B9222E5" w14:textId="77777777" w:rsidTr="00822356">
        <w:trPr>
          <w:trHeight w:val="450"/>
        </w:trPr>
        <w:tc>
          <w:tcPr>
            <w:tcW w:w="2857" w:type="dxa"/>
            <w:tcBorders>
              <w:top w:val="single" w:sz="4" w:space="0" w:color="auto"/>
              <w:left w:val="nil"/>
              <w:bottom w:val="nil"/>
              <w:right w:val="nil"/>
            </w:tcBorders>
            <w:shd w:val="clear" w:color="auto" w:fill="auto"/>
            <w:noWrap/>
            <w:vAlign w:val="bottom"/>
            <w:hideMark/>
          </w:tcPr>
          <w:p w14:paraId="20DC5666" w14:textId="77777777" w:rsidR="0072265D" w:rsidRPr="002370F4" w:rsidRDefault="0072265D" w:rsidP="00861FBF">
            <w:pPr>
              <w:spacing w:after="0" w:line="240" w:lineRule="auto"/>
              <w:jc w:val="left"/>
              <w:rPr>
                <w:rFonts w:ascii="Arial" w:hAnsi="Arial" w:cs="Arial"/>
                <w:sz w:val="16"/>
                <w:szCs w:val="16"/>
              </w:rPr>
            </w:pPr>
            <w:r w:rsidRPr="002370F4">
              <w:rPr>
                <w:rFonts w:ascii="Arial" w:hAnsi="Arial" w:cs="Arial"/>
                <w:sz w:val="16"/>
                <w:szCs w:val="16"/>
              </w:rPr>
              <w:t> </w:t>
            </w:r>
          </w:p>
        </w:tc>
        <w:tc>
          <w:tcPr>
            <w:tcW w:w="743" w:type="dxa"/>
            <w:tcBorders>
              <w:top w:val="single" w:sz="4" w:space="0" w:color="auto"/>
              <w:left w:val="nil"/>
              <w:bottom w:val="single" w:sz="4" w:space="0" w:color="auto"/>
              <w:right w:val="nil"/>
            </w:tcBorders>
            <w:shd w:val="clear" w:color="auto" w:fill="auto"/>
            <w:noWrap/>
            <w:vAlign w:val="center"/>
            <w:hideMark/>
          </w:tcPr>
          <w:p w14:paraId="3FEB4BB0" w14:textId="77777777" w:rsidR="0072265D" w:rsidRPr="002370F4" w:rsidRDefault="0072265D" w:rsidP="00822356">
            <w:pPr>
              <w:spacing w:after="0" w:line="240" w:lineRule="auto"/>
              <w:jc w:val="center"/>
              <w:rPr>
                <w:rFonts w:ascii="Arial" w:hAnsi="Arial" w:cs="Arial"/>
                <w:sz w:val="16"/>
                <w:szCs w:val="16"/>
              </w:rPr>
            </w:pPr>
            <w:r w:rsidRPr="002370F4">
              <w:rPr>
                <w:rFonts w:ascii="Arial" w:hAnsi="Arial" w:cs="Arial"/>
                <w:sz w:val="16"/>
                <w:szCs w:val="16"/>
              </w:rPr>
              <w:t>Program</w:t>
            </w:r>
          </w:p>
        </w:tc>
        <w:tc>
          <w:tcPr>
            <w:tcW w:w="822" w:type="dxa"/>
            <w:tcBorders>
              <w:top w:val="single" w:sz="4" w:space="0" w:color="auto"/>
              <w:left w:val="nil"/>
              <w:bottom w:val="single" w:sz="4" w:space="0" w:color="auto"/>
              <w:right w:val="nil"/>
            </w:tcBorders>
            <w:shd w:val="clear" w:color="000000" w:fill="E6E6E6"/>
            <w:vAlign w:val="bottom"/>
            <w:hideMark/>
          </w:tcPr>
          <w:p w14:paraId="40C38776" w14:textId="77777777" w:rsidR="0072265D" w:rsidRPr="00DA2D67" w:rsidRDefault="0072265D" w:rsidP="00861FBF">
            <w:pPr>
              <w:spacing w:after="0" w:line="240" w:lineRule="auto"/>
              <w:jc w:val="right"/>
              <w:rPr>
                <w:rFonts w:ascii="Arial" w:hAnsi="Arial" w:cs="Arial"/>
                <w:sz w:val="16"/>
                <w:szCs w:val="16"/>
              </w:rPr>
            </w:pPr>
            <w:r w:rsidRPr="00DA2D67">
              <w:rPr>
                <w:rFonts w:ascii="Arial" w:hAnsi="Arial" w:cs="Arial"/>
                <w:sz w:val="16"/>
                <w:szCs w:val="16"/>
              </w:rPr>
              <w:t xml:space="preserve">2018–19 </w:t>
            </w:r>
            <w:r w:rsidRPr="00DA2D67">
              <w:rPr>
                <w:rFonts w:ascii="Arial" w:hAnsi="Arial" w:cs="Arial"/>
                <w:sz w:val="16"/>
                <w:szCs w:val="16"/>
              </w:rPr>
              <w:br/>
              <w:t>$'000</w:t>
            </w:r>
          </w:p>
        </w:tc>
        <w:tc>
          <w:tcPr>
            <w:tcW w:w="822" w:type="dxa"/>
            <w:tcBorders>
              <w:top w:val="single" w:sz="4" w:space="0" w:color="auto"/>
              <w:left w:val="nil"/>
              <w:bottom w:val="single" w:sz="4" w:space="0" w:color="auto"/>
              <w:right w:val="nil"/>
            </w:tcBorders>
            <w:shd w:val="clear" w:color="auto" w:fill="auto"/>
            <w:vAlign w:val="bottom"/>
            <w:hideMark/>
          </w:tcPr>
          <w:p w14:paraId="2830A29E" w14:textId="77777777" w:rsidR="0072265D" w:rsidRPr="00DA2D67" w:rsidRDefault="0072265D" w:rsidP="00861FBF">
            <w:pPr>
              <w:spacing w:after="0" w:line="240" w:lineRule="auto"/>
              <w:jc w:val="right"/>
              <w:rPr>
                <w:rFonts w:ascii="Arial" w:hAnsi="Arial" w:cs="Arial"/>
                <w:sz w:val="16"/>
                <w:szCs w:val="16"/>
              </w:rPr>
            </w:pPr>
            <w:r w:rsidRPr="00DA2D67">
              <w:rPr>
                <w:rFonts w:ascii="Arial" w:hAnsi="Arial" w:cs="Arial"/>
                <w:sz w:val="16"/>
                <w:szCs w:val="16"/>
              </w:rPr>
              <w:t>2019–20</w:t>
            </w:r>
            <w:r w:rsidRPr="00DA2D67">
              <w:rPr>
                <w:rFonts w:ascii="Arial" w:hAnsi="Arial" w:cs="Arial"/>
                <w:sz w:val="16"/>
                <w:szCs w:val="16"/>
              </w:rPr>
              <w:br/>
              <w:t>$'000</w:t>
            </w:r>
          </w:p>
        </w:tc>
        <w:tc>
          <w:tcPr>
            <w:tcW w:w="822" w:type="dxa"/>
            <w:tcBorders>
              <w:top w:val="single" w:sz="4" w:space="0" w:color="auto"/>
              <w:left w:val="nil"/>
              <w:bottom w:val="single" w:sz="4" w:space="0" w:color="auto"/>
              <w:right w:val="nil"/>
            </w:tcBorders>
            <w:shd w:val="clear" w:color="000000" w:fill="E6E6E6"/>
            <w:vAlign w:val="bottom"/>
            <w:hideMark/>
          </w:tcPr>
          <w:p w14:paraId="6CDB5EB0" w14:textId="77777777" w:rsidR="0072265D" w:rsidRPr="00DA2D67" w:rsidRDefault="0072265D" w:rsidP="00861FBF">
            <w:pPr>
              <w:spacing w:after="0" w:line="240" w:lineRule="auto"/>
              <w:jc w:val="right"/>
              <w:rPr>
                <w:rFonts w:ascii="Arial" w:hAnsi="Arial" w:cs="Arial"/>
                <w:sz w:val="16"/>
                <w:szCs w:val="16"/>
              </w:rPr>
            </w:pPr>
            <w:r w:rsidRPr="00DA2D67">
              <w:rPr>
                <w:rFonts w:ascii="Arial" w:hAnsi="Arial" w:cs="Arial"/>
                <w:sz w:val="16"/>
                <w:szCs w:val="16"/>
              </w:rPr>
              <w:t>2020–21</w:t>
            </w:r>
            <w:r w:rsidRPr="00DA2D67">
              <w:rPr>
                <w:rFonts w:ascii="Arial" w:hAnsi="Arial" w:cs="Arial"/>
                <w:sz w:val="16"/>
                <w:szCs w:val="16"/>
              </w:rPr>
              <w:br/>
              <w:t>$'000</w:t>
            </w:r>
          </w:p>
        </w:tc>
        <w:tc>
          <w:tcPr>
            <w:tcW w:w="822" w:type="dxa"/>
            <w:tcBorders>
              <w:top w:val="single" w:sz="4" w:space="0" w:color="auto"/>
              <w:left w:val="nil"/>
              <w:bottom w:val="single" w:sz="4" w:space="0" w:color="auto"/>
              <w:right w:val="nil"/>
            </w:tcBorders>
            <w:shd w:val="clear" w:color="auto" w:fill="auto"/>
            <w:vAlign w:val="bottom"/>
            <w:hideMark/>
          </w:tcPr>
          <w:p w14:paraId="36CC773B" w14:textId="77777777" w:rsidR="0072265D" w:rsidRPr="00DA2D67" w:rsidRDefault="0072265D" w:rsidP="00861FBF">
            <w:pPr>
              <w:spacing w:after="0" w:line="240" w:lineRule="auto"/>
              <w:jc w:val="right"/>
              <w:rPr>
                <w:rFonts w:ascii="Arial" w:hAnsi="Arial" w:cs="Arial"/>
                <w:sz w:val="16"/>
                <w:szCs w:val="16"/>
              </w:rPr>
            </w:pPr>
            <w:r w:rsidRPr="00DA2D67">
              <w:rPr>
                <w:rFonts w:ascii="Arial" w:hAnsi="Arial" w:cs="Arial"/>
                <w:sz w:val="16"/>
                <w:szCs w:val="16"/>
              </w:rPr>
              <w:t>2021–22</w:t>
            </w:r>
            <w:r w:rsidRPr="00DA2D67">
              <w:rPr>
                <w:rFonts w:ascii="Arial" w:hAnsi="Arial" w:cs="Arial"/>
                <w:sz w:val="16"/>
                <w:szCs w:val="16"/>
              </w:rPr>
              <w:br/>
              <w:t>$'000</w:t>
            </w:r>
          </w:p>
        </w:tc>
        <w:tc>
          <w:tcPr>
            <w:tcW w:w="822" w:type="dxa"/>
            <w:tcBorders>
              <w:top w:val="single" w:sz="4" w:space="0" w:color="auto"/>
              <w:left w:val="nil"/>
              <w:bottom w:val="single" w:sz="4" w:space="0" w:color="auto"/>
              <w:right w:val="nil"/>
            </w:tcBorders>
            <w:shd w:val="clear" w:color="000000" w:fill="E6E6E6"/>
            <w:vAlign w:val="bottom"/>
            <w:hideMark/>
          </w:tcPr>
          <w:p w14:paraId="5D06DE7C" w14:textId="77777777" w:rsidR="0072265D" w:rsidRPr="00DA2D67" w:rsidRDefault="0072265D" w:rsidP="00861FBF">
            <w:pPr>
              <w:spacing w:after="0" w:line="240" w:lineRule="auto"/>
              <w:jc w:val="right"/>
              <w:rPr>
                <w:rFonts w:ascii="Arial" w:hAnsi="Arial" w:cs="Arial"/>
                <w:sz w:val="16"/>
                <w:szCs w:val="16"/>
              </w:rPr>
            </w:pPr>
            <w:r w:rsidRPr="00DA2D67">
              <w:rPr>
                <w:rFonts w:ascii="Arial" w:hAnsi="Arial" w:cs="Arial"/>
                <w:sz w:val="16"/>
                <w:szCs w:val="16"/>
              </w:rPr>
              <w:t>2022–23</w:t>
            </w:r>
            <w:r w:rsidRPr="00DA2D67">
              <w:rPr>
                <w:rFonts w:ascii="Arial" w:hAnsi="Arial" w:cs="Arial"/>
                <w:sz w:val="16"/>
                <w:szCs w:val="16"/>
              </w:rPr>
              <w:br/>
              <w:t>$'000</w:t>
            </w:r>
          </w:p>
        </w:tc>
      </w:tr>
      <w:tr w:rsidR="0072265D" w:rsidRPr="002370F4" w14:paraId="5D67EB67" w14:textId="77777777" w:rsidTr="00822356">
        <w:trPr>
          <w:trHeight w:val="225"/>
        </w:trPr>
        <w:tc>
          <w:tcPr>
            <w:tcW w:w="2857" w:type="dxa"/>
            <w:tcBorders>
              <w:top w:val="nil"/>
              <w:left w:val="nil"/>
              <w:bottom w:val="nil"/>
              <w:right w:val="nil"/>
            </w:tcBorders>
            <w:shd w:val="clear" w:color="auto" w:fill="auto"/>
            <w:vAlign w:val="bottom"/>
            <w:hideMark/>
          </w:tcPr>
          <w:p w14:paraId="6051A1F3" w14:textId="77777777" w:rsidR="0072265D" w:rsidRPr="002370F4" w:rsidRDefault="0072265D" w:rsidP="00861FBF">
            <w:pPr>
              <w:spacing w:after="0" w:line="240" w:lineRule="auto"/>
              <w:ind w:left="284" w:hanging="180"/>
              <w:jc w:val="left"/>
              <w:rPr>
                <w:rFonts w:ascii="Arial" w:hAnsi="Arial" w:cs="Arial"/>
                <w:b/>
                <w:bCs/>
                <w:sz w:val="16"/>
                <w:szCs w:val="16"/>
              </w:rPr>
            </w:pPr>
            <w:r w:rsidRPr="002370F4">
              <w:rPr>
                <w:rFonts w:ascii="Arial" w:hAnsi="Arial" w:cs="Arial"/>
                <w:b/>
                <w:bCs/>
                <w:sz w:val="16"/>
                <w:szCs w:val="16"/>
              </w:rPr>
              <w:t>Expense measures</w:t>
            </w:r>
          </w:p>
        </w:tc>
        <w:tc>
          <w:tcPr>
            <w:tcW w:w="743" w:type="dxa"/>
            <w:tcBorders>
              <w:top w:val="nil"/>
              <w:left w:val="nil"/>
              <w:bottom w:val="nil"/>
              <w:right w:val="nil"/>
            </w:tcBorders>
            <w:shd w:val="clear" w:color="auto" w:fill="auto"/>
            <w:noWrap/>
            <w:vAlign w:val="bottom"/>
            <w:hideMark/>
          </w:tcPr>
          <w:p w14:paraId="36BEE3BC" w14:textId="77777777" w:rsidR="0072265D" w:rsidRPr="002370F4" w:rsidRDefault="0072265D" w:rsidP="00861FBF">
            <w:pPr>
              <w:spacing w:after="0" w:line="240" w:lineRule="auto"/>
              <w:jc w:val="left"/>
              <w:rPr>
                <w:rFonts w:ascii="Arial" w:hAnsi="Arial" w:cs="Arial"/>
                <w:b/>
                <w:bCs/>
                <w:sz w:val="16"/>
                <w:szCs w:val="16"/>
              </w:rPr>
            </w:pPr>
          </w:p>
        </w:tc>
        <w:tc>
          <w:tcPr>
            <w:tcW w:w="822" w:type="dxa"/>
            <w:tcBorders>
              <w:top w:val="nil"/>
              <w:left w:val="nil"/>
              <w:bottom w:val="nil"/>
              <w:right w:val="nil"/>
            </w:tcBorders>
            <w:shd w:val="clear" w:color="000000" w:fill="E6E6E6"/>
            <w:noWrap/>
            <w:vAlign w:val="bottom"/>
            <w:hideMark/>
          </w:tcPr>
          <w:p w14:paraId="543371D2" w14:textId="77777777" w:rsidR="0072265D" w:rsidRPr="002370F4" w:rsidRDefault="0072265D" w:rsidP="00861FBF">
            <w:pPr>
              <w:spacing w:after="0" w:line="240" w:lineRule="auto"/>
              <w:jc w:val="left"/>
              <w:rPr>
                <w:rFonts w:ascii="Arial" w:hAnsi="Arial" w:cs="Arial"/>
                <w:sz w:val="16"/>
                <w:szCs w:val="16"/>
              </w:rPr>
            </w:pPr>
            <w:r w:rsidRPr="002370F4">
              <w:rPr>
                <w:rFonts w:ascii="Arial" w:hAnsi="Arial" w:cs="Arial"/>
                <w:sz w:val="16"/>
                <w:szCs w:val="16"/>
              </w:rPr>
              <w:t> </w:t>
            </w:r>
          </w:p>
        </w:tc>
        <w:tc>
          <w:tcPr>
            <w:tcW w:w="822" w:type="dxa"/>
            <w:tcBorders>
              <w:top w:val="nil"/>
              <w:left w:val="nil"/>
              <w:bottom w:val="nil"/>
              <w:right w:val="nil"/>
            </w:tcBorders>
            <w:shd w:val="clear" w:color="auto" w:fill="auto"/>
            <w:noWrap/>
            <w:vAlign w:val="bottom"/>
            <w:hideMark/>
          </w:tcPr>
          <w:p w14:paraId="54A26CEA" w14:textId="77777777" w:rsidR="0072265D" w:rsidRPr="002370F4" w:rsidRDefault="0072265D" w:rsidP="00861FBF">
            <w:pPr>
              <w:spacing w:after="0" w:line="240" w:lineRule="auto"/>
              <w:jc w:val="left"/>
              <w:rPr>
                <w:rFonts w:ascii="Arial" w:hAnsi="Arial" w:cs="Arial"/>
                <w:sz w:val="16"/>
                <w:szCs w:val="16"/>
              </w:rPr>
            </w:pPr>
          </w:p>
        </w:tc>
        <w:tc>
          <w:tcPr>
            <w:tcW w:w="822" w:type="dxa"/>
            <w:tcBorders>
              <w:top w:val="nil"/>
              <w:left w:val="nil"/>
              <w:bottom w:val="nil"/>
              <w:right w:val="nil"/>
            </w:tcBorders>
            <w:shd w:val="clear" w:color="000000" w:fill="E6E6E6"/>
            <w:noWrap/>
            <w:vAlign w:val="bottom"/>
            <w:hideMark/>
          </w:tcPr>
          <w:p w14:paraId="76392EDC" w14:textId="77777777" w:rsidR="0072265D" w:rsidRPr="002370F4" w:rsidRDefault="0072265D" w:rsidP="00861FBF">
            <w:pPr>
              <w:spacing w:after="0" w:line="240" w:lineRule="auto"/>
              <w:jc w:val="left"/>
              <w:rPr>
                <w:rFonts w:ascii="Arial" w:hAnsi="Arial" w:cs="Arial"/>
                <w:sz w:val="16"/>
                <w:szCs w:val="16"/>
              </w:rPr>
            </w:pPr>
            <w:r w:rsidRPr="002370F4">
              <w:rPr>
                <w:rFonts w:ascii="Arial" w:hAnsi="Arial" w:cs="Arial"/>
                <w:sz w:val="16"/>
                <w:szCs w:val="16"/>
              </w:rPr>
              <w:t> </w:t>
            </w:r>
          </w:p>
        </w:tc>
        <w:tc>
          <w:tcPr>
            <w:tcW w:w="822" w:type="dxa"/>
            <w:tcBorders>
              <w:top w:val="nil"/>
              <w:left w:val="nil"/>
              <w:bottom w:val="nil"/>
              <w:right w:val="nil"/>
            </w:tcBorders>
            <w:shd w:val="clear" w:color="auto" w:fill="auto"/>
            <w:noWrap/>
            <w:vAlign w:val="bottom"/>
            <w:hideMark/>
          </w:tcPr>
          <w:p w14:paraId="0AC7B6AB" w14:textId="77777777" w:rsidR="0072265D" w:rsidRPr="002370F4" w:rsidRDefault="0072265D" w:rsidP="00861FBF">
            <w:pPr>
              <w:spacing w:after="0" w:line="240" w:lineRule="auto"/>
              <w:jc w:val="left"/>
              <w:rPr>
                <w:rFonts w:ascii="Arial" w:hAnsi="Arial" w:cs="Arial"/>
                <w:sz w:val="16"/>
                <w:szCs w:val="16"/>
              </w:rPr>
            </w:pPr>
          </w:p>
        </w:tc>
        <w:tc>
          <w:tcPr>
            <w:tcW w:w="822" w:type="dxa"/>
            <w:tcBorders>
              <w:top w:val="nil"/>
              <w:left w:val="nil"/>
              <w:bottom w:val="nil"/>
              <w:right w:val="nil"/>
            </w:tcBorders>
            <w:shd w:val="clear" w:color="000000" w:fill="E6E6E6"/>
            <w:noWrap/>
            <w:vAlign w:val="bottom"/>
            <w:hideMark/>
          </w:tcPr>
          <w:p w14:paraId="2AB784A1" w14:textId="77777777" w:rsidR="0072265D" w:rsidRPr="002370F4" w:rsidRDefault="0072265D" w:rsidP="00861FBF">
            <w:pPr>
              <w:spacing w:after="0" w:line="240" w:lineRule="auto"/>
              <w:jc w:val="left"/>
              <w:rPr>
                <w:rFonts w:ascii="Arial" w:hAnsi="Arial" w:cs="Arial"/>
                <w:sz w:val="16"/>
                <w:szCs w:val="16"/>
              </w:rPr>
            </w:pPr>
            <w:r w:rsidRPr="002370F4">
              <w:rPr>
                <w:rFonts w:ascii="Arial" w:hAnsi="Arial" w:cs="Arial"/>
                <w:sz w:val="16"/>
                <w:szCs w:val="16"/>
              </w:rPr>
              <w:t> </w:t>
            </w:r>
          </w:p>
        </w:tc>
      </w:tr>
      <w:tr w:rsidR="0072265D" w:rsidRPr="002370F4" w14:paraId="3F580AF3" w14:textId="77777777" w:rsidTr="00822356">
        <w:trPr>
          <w:trHeight w:val="450"/>
        </w:trPr>
        <w:tc>
          <w:tcPr>
            <w:tcW w:w="2857" w:type="dxa"/>
            <w:tcBorders>
              <w:top w:val="nil"/>
              <w:left w:val="nil"/>
              <w:bottom w:val="nil"/>
              <w:right w:val="nil"/>
            </w:tcBorders>
            <w:shd w:val="clear" w:color="auto" w:fill="auto"/>
            <w:vAlign w:val="bottom"/>
            <w:hideMark/>
          </w:tcPr>
          <w:p w14:paraId="76BEC33A" w14:textId="5FDF0049" w:rsidR="0072265D" w:rsidRPr="002370F4" w:rsidRDefault="0072265D" w:rsidP="007319C8">
            <w:pPr>
              <w:spacing w:after="0" w:line="240" w:lineRule="auto"/>
              <w:ind w:left="284" w:hanging="180"/>
              <w:jc w:val="left"/>
              <w:rPr>
                <w:rFonts w:ascii="Arial" w:hAnsi="Arial" w:cs="Arial"/>
                <w:sz w:val="16"/>
                <w:szCs w:val="16"/>
              </w:rPr>
            </w:pPr>
            <w:r w:rsidRPr="0072265D">
              <w:rPr>
                <w:rFonts w:ascii="Arial" w:hAnsi="Arial" w:cs="Arial"/>
                <w:sz w:val="16"/>
                <w:szCs w:val="16"/>
              </w:rPr>
              <w:t xml:space="preserve">Improved Access to Health Care for Australian Civilian Surgical </w:t>
            </w:r>
            <w:r w:rsidR="0051600C">
              <w:rPr>
                <w:rFonts w:ascii="Arial" w:hAnsi="Arial" w:cs="Arial"/>
                <w:sz w:val="16"/>
                <w:szCs w:val="16"/>
              </w:rPr>
              <w:t xml:space="preserve">and Medical </w:t>
            </w:r>
            <w:r w:rsidRPr="0072265D">
              <w:rPr>
                <w:rFonts w:ascii="Arial" w:hAnsi="Arial" w:cs="Arial"/>
                <w:sz w:val="16"/>
                <w:szCs w:val="16"/>
              </w:rPr>
              <w:t xml:space="preserve">Team </w:t>
            </w:r>
            <w:r w:rsidRPr="007319C8">
              <w:rPr>
                <w:rFonts w:ascii="Arial" w:hAnsi="Arial" w:cs="Arial"/>
                <w:bCs/>
                <w:sz w:val="16"/>
                <w:szCs w:val="16"/>
              </w:rPr>
              <w:t>members</w:t>
            </w:r>
            <w:r w:rsidRPr="0072265D">
              <w:rPr>
                <w:rFonts w:ascii="Arial" w:hAnsi="Arial" w:cs="Arial"/>
                <w:sz w:val="16"/>
                <w:szCs w:val="16"/>
              </w:rPr>
              <w:t xml:space="preserve"> who worked in Vietnam between 1964 and 1972 </w:t>
            </w:r>
            <w:r w:rsidRPr="002370F4">
              <w:rPr>
                <w:rFonts w:ascii="Arial" w:hAnsi="Arial" w:cs="Arial"/>
                <w:sz w:val="16"/>
                <w:szCs w:val="16"/>
              </w:rPr>
              <w:t>(a)</w:t>
            </w:r>
          </w:p>
        </w:tc>
        <w:tc>
          <w:tcPr>
            <w:tcW w:w="743" w:type="dxa"/>
            <w:tcBorders>
              <w:top w:val="nil"/>
              <w:left w:val="nil"/>
              <w:bottom w:val="nil"/>
              <w:right w:val="nil"/>
            </w:tcBorders>
            <w:shd w:val="clear" w:color="auto" w:fill="auto"/>
            <w:noWrap/>
            <w:vAlign w:val="center"/>
            <w:hideMark/>
          </w:tcPr>
          <w:p w14:paraId="0F548F18" w14:textId="556F6771" w:rsidR="0072265D" w:rsidRPr="002370F4" w:rsidRDefault="0072265D" w:rsidP="00840A5E">
            <w:pPr>
              <w:spacing w:after="0" w:line="240" w:lineRule="auto"/>
              <w:jc w:val="center"/>
              <w:rPr>
                <w:rFonts w:ascii="Arial" w:hAnsi="Arial" w:cs="Arial"/>
                <w:sz w:val="16"/>
                <w:szCs w:val="16"/>
              </w:rPr>
            </w:pPr>
            <w:r w:rsidRPr="002370F4">
              <w:rPr>
                <w:rFonts w:ascii="Arial" w:hAnsi="Arial" w:cs="Arial"/>
                <w:sz w:val="16"/>
                <w:szCs w:val="16"/>
              </w:rPr>
              <w:t>1.5</w:t>
            </w:r>
          </w:p>
        </w:tc>
        <w:tc>
          <w:tcPr>
            <w:tcW w:w="822" w:type="dxa"/>
            <w:tcBorders>
              <w:top w:val="nil"/>
              <w:left w:val="nil"/>
              <w:bottom w:val="nil"/>
              <w:right w:val="nil"/>
            </w:tcBorders>
            <w:shd w:val="clear" w:color="000000" w:fill="E6E6E6"/>
            <w:noWrap/>
            <w:vAlign w:val="bottom"/>
            <w:hideMark/>
          </w:tcPr>
          <w:p w14:paraId="3A024B7C" w14:textId="77777777" w:rsidR="0072265D" w:rsidRPr="002370F4" w:rsidRDefault="0072265D" w:rsidP="00861FBF">
            <w:pPr>
              <w:spacing w:after="0" w:line="240" w:lineRule="auto"/>
              <w:jc w:val="right"/>
              <w:rPr>
                <w:rFonts w:ascii="Arial" w:hAnsi="Arial" w:cs="Arial"/>
                <w:sz w:val="16"/>
                <w:szCs w:val="16"/>
              </w:rPr>
            </w:pPr>
            <w:r w:rsidRPr="002370F4">
              <w:rPr>
                <w:rFonts w:ascii="Arial" w:hAnsi="Arial" w:cs="Arial"/>
                <w:sz w:val="16"/>
                <w:szCs w:val="16"/>
              </w:rPr>
              <w:t> </w:t>
            </w:r>
          </w:p>
        </w:tc>
        <w:tc>
          <w:tcPr>
            <w:tcW w:w="822" w:type="dxa"/>
            <w:tcBorders>
              <w:top w:val="nil"/>
              <w:left w:val="nil"/>
              <w:bottom w:val="nil"/>
              <w:right w:val="nil"/>
            </w:tcBorders>
            <w:shd w:val="clear" w:color="auto" w:fill="auto"/>
            <w:noWrap/>
            <w:vAlign w:val="bottom"/>
            <w:hideMark/>
          </w:tcPr>
          <w:p w14:paraId="05169DA1" w14:textId="77777777" w:rsidR="0072265D" w:rsidRPr="002370F4" w:rsidRDefault="0072265D" w:rsidP="00861FBF">
            <w:pPr>
              <w:spacing w:after="0" w:line="240" w:lineRule="auto"/>
              <w:jc w:val="right"/>
              <w:rPr>
                <w:rFonts w:ascii="Arial" w:hAnsi="Arial" w:cs="Arial"/>
                <w:sz w:val="16"/>
                <w:szCs w:val="16"/>
              </w:rPr>
            </w:pPr>
          </w:p>
        </w:tc>
        <w:tc>
          <w:tcPr>
            <w:tcW w:w="822" w:type="dxa"/>
            <w:tcBorders>
              <w:top w:val="nil"/>
              <w:left w:val="nil"/>
              <w:bottom w:val="nil"/>
              <w:right w:val="nil"/>
            </w:tcBorders>
            <w:shd w:val="clear" w:color="000000" w:fill="E6E6E6"/>
            <w:noWrap/>
            <w:vAlign w:val="bottom"/>
            <w:hideMark/>
          </w:tcPr>
          <w:p w14:paraId="4FA9EB33" w14:textId="77777777" w:rsidR="0072265D" w:rsidRPr="002370F4" w:rsidRDefault="0072265D" w:rsidP="00861FBF">
            <w:pPr>
              <w:spacing w:after="0" w:line="240" w:lineRule="auto"/>
              <w:jc w:val="right"/>
              <w:rPr>
                <w:rFonts w:ascii="Arial" w:hAnsi="Arial" w:cs="Arial"/>
                <w:sz w:val="16"/>
                <w:szCs w:val="16"/>
              </w:rPr>
            </w:pPr>
            <w:r w:rsidRPr="002370F4">
              <w:rPr>
                <w:rFonts w:ascii="Arial" w:hAnsi="Arial" w:cs="Arial"/>
                <w:sz w:val="16"/>
                <w:szCs w:val="16"/>
              </w:rPr>
              <w:t> </w:t>
            </w:r>
          </w:p>
        </w:tc>
        <w:tc>
          <w:tcPr>
            <w:tcW w:w="822" w:type="dxa"/>
            <w:tcBorders>
              <w:top w:val="nil"/>
              <w:left w:val="nil"/>
              <w:bottom w:val="nil"/>
              <w:right w:val="nil"/>
            </w:tcBorders>
            <w:shd w:val="clear" w:color="auto" w:fill="auto"/>
            <w:noWrap/>
            <w:vAlign w:val="bottom"/>
            <w:hideMark/>
          </w:tcPr>
          <w:p w14:paraId="44B0E8D5" w14:textId="77777777" w:rsidR="0072265D" w:rsidRPr="002370F4" w:rsidRDefault="0072265D" w:rsidP="00861FBF">
            <w:pPr>
              <w:spacing w:after="0" w:line="240" w:lineRule="auto"/>
              <w:jc w:val="right"/>
              <w:rPr>
                <w:rFonts w:ascii="Arial" w:hAnsi="Arial" w:cs="Arial"/>
                <w:sz w:val="16"/>
                <w:szCs w:val="16"/>
              </w:rPr>
            </w:pPr>
          </w:p>
        </w:tc>
        <w:tc>
          <w:tcPr>
            <w:tcW w:w="822" w:type="dxa"/>
            <w:tcBorders>
              <w:top w:val="nil"/>
              <w:left w:val="nil"/>
              <w:bottom w:val="nil"/>
              <w:right w:val="nil"/>
            </w:tcBorders>
            <w:shd w:val="clear" w:color="000000" w:fill="E6E6E6"/>
            <w:noWrap/>
            <w:vAlign w:val="bottom"/>
            <w:hideMark/>
          </w:tcPr>
          <w:p w14:paraId="51E0FD08" w14:textId="77777777" w:rsidR="0072265D" w:rsidRPr="002370F4" w:rsidRDefault="0072265D" w:rsidP="00861FBF">
            <w:pPr>
              <w:spacing w:after="0" w:line="240" w:lineRule="auto"/>
              <w:jc w:val="right"/>
              <w:rPr>
                <w:rFonts w:ascii="Arial" w:hAnsi="Arial" w:cs="Arial"/>
                <w:sz w:val="16"/>
                <w:szCs w:val="16"/>
              </w:rPr>
            </w:pPr>
            <w:r w:rsidRPr="002370F4">
              <w:rPr>
                <w:rFonts w:ascii="Arial" w:hAnsi="Arial" w:cs="Arial"/>
                <w:sz w:val="16"/>
                <w:szCs w:val="16"/>
              </w:rPr>
              <w:t> </w:t>
            </w:r>
          </w:p>
        </w:tc>
      </w:tr>
      <w:tr w:rsidR="0072265D" w:rsidRPr="00220500" w14:paraId="04BBA9E8" w14:textId="77777777" w:rsidTr="00822356">
        <w:trPr>
          <w:trHeight w:val="225"/>
        </w:trPr>
        <w:tc>
          <w:tcPr>
            <w:tcW w:w="2857" w:type="dxa"/>
            <w:tcBorders>
              <w:top w:val="nil"/>
              <w:left w:val="nil"/>
              <w:bottom w:val="nil"/>
              <w:right w:val="nil"/>
            </w:tcBorders>
            <w:shd w:val="clear" w:color="auto" w:fill="auto"/>
            <w:noWrap/>
            <w:vAlign w:val="bottom"/>
          </w:tcPr>
          <w:p w14:paraId="2FA8ED76" w14:textId="37B88DC2" w:rsidR="0072265D" w:rsidRPr="002370F4" w:rsidRDefault="00822356" w:rsidP="00861FBF">
            <w:pPr>
              <w:spacing w:after="0" w:line="240" w:lineRule="auto"/>
              <w:ind w:left="426" w:hanging="142"/>
              <w:jc w:val="left"/>
              <w:rPr>
                <w:rFonts w:ascii="Arial" w:hAnsi="Arial" w:cs="Arial"/>
                <w:sz w:val="16"/>
                <w:szCs w:val="16"/>
              </w:rPr>
            </w:pPr>
            <w:r>
              <w:rPr>
                <w:rFonts w:ascii="Arial" w:hAnsi="Arial" w:cs="Arial"/>
                <w:sz w:val="16"/>
                <w:szCs w:val="16"/>
              </w:rPr>
              <w:t>Administered expenses</w:t>
            </w:r>
          </w:p>
        </w:tc>
        <w:tc>
          <w:tcPr>
            <w:tcW w:w="743" w:type="dxa"/>
            <w:tcBorders>
              <w:top w:val="nil"/>
              <w:left w:val="nil"/>
              <w:bottom w:val="nil"/>
              <w:right w:val="nil"/>
            </w:tcBorders>
            <w:shd w:val="clear" w:color="auto" w:fill="auto"/>
            <w:noWrap/>
            <w:vAlign w:val="bottom"/>
          </w:tcPr>
          <w:p w14:paraId="7EAA91E5" w14:textId="77777777" w:rsidR="0072265D" w:rsidRPr="002370F4" w:rsidRDefault="0072265D" w:rsidP="00822356">
            <w:pPr>
              <w:spacing w:after="0" w:line="240" w:lineRule="auto"/>
              <w:ind w:firstLineChars="100" w:firstLine="160"/>
              <w:jc w:val="center"/>
              <w:rPr>
                <w:rFonts w:ascii="Arial" w:hAnsi="Arial" w:cs="Arial"/>
                <w:sz w:val="16"/>
                <w:szCs w:val="16"/>
              </w:rPr>
            </w:pPr>
          </w:p>
        </w:tc>
        <w:tc>
          <w:tcPr>
            <w:tcW w:w="822" w:type="dxa"/>
            <w:tcBorders>
              <w:top w:val="nil"/>
              <w:left w:val="nil"/>
              <w:bottom w:val="nil"/>
              <w:right w:val="nil"/>
            </w:tcBorders>
            <w:shd w:val="clear" w:color="000000" w:fill="E6E6E6"/>
            <w:noWrap/>
            <w:vAlign w:val="center"/>
          </w:tcPr>
          <w:p w14:paraId="70ABE9B6" w14:textId="028F2514" w:rsidR="0072265D" w:rsidRPr="000A3BC4"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auto" w:fill="auto"/>
            <w:noWrap/>
            <w:vAlign w:val="center"/>
          </w:tcPr>
          <w:p w14:paraId="0E31DE23" w14:textId="2B43EA28" w:rsidR="0072265D" w:rsidRPr="000A3BC4"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000000" w:fill="E6E6E6"/>
            <w:noWrap/>
            <w:vAlign w:val="center"/>
          </w:tcPr>
          <w:p w14:paraId="2A23914D" w14:textId="277A23E1" w:rsidR="0072265D" w:rsidRPr="000A3BC4"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auto" w:fill="auto"/>
            <w:noWrap/>
            <w:vAlign w:val="center"/>
          </w:tcPr>
          <w:p w14:paraId="3189ED5F" w14:textId="4E6DB045" w:rsidR="0072265D" w:rsidRPr="000A3BC4"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000000" w:fill="E6E6E6"/>
            <w:noWrap/>
            <w:vAlign w:val="center"/>
          </w:tcPr>
          <w:p w14:paraId="13642A69" w14:textId="33C164C5" w:rsidR="0072265D" w:rsidRPr="000A3BC4" w:rsidRDefault="00822356" w:rsidP="00822356">
            <w:pPr>
              <w:spacing w:after="0" w:line="240" w:lineRule="auto"/>
              <w:jc w:val="center"/>
              <w:rPr>
                <w:rFonts w:ascii="Arial" w:hAnsi="Arial" w:cs="Arial"/>
                <w:sz w:val="16"/>
                <w:szCs w:val="16"/>
              </w:rPr>
            </w:pPr>
            <w:r>
              <w:rPr>
                <w:rFonts w:ascii="Arial" w:hAnsi="Arial" w:cs="Arial"/>
                <w:sz w:val="16"/>
                <w:szCs w:val="16"/>
              </w:rPr>
              <w:t>-</w:t>
            </w:r>
          </w:p>
        </w:tc>
      </w:tr>
      <w:tr w:rsidR="00822356" w:rsidRPr="00220500" w14:paraId="24CB52E1" w14:textId="77777777" w:rsidTr="00822356">
        <w:trPr>
          <w:trHeight w:val="225"/>
        </w:trPr>
        <w:tc>
          <w:tcPr>
            <w:tcW w:w="2857" w:type="dxa"/>
            <w:tcBorders>
              <w:top w:val="nil"/>
              <w:left w:val="nil"/>
              <w:bottom w:val="nil"/>
              <w:right w:val="nil"/>
            </w:tcBorders>
            <w:shd w:val="clear" w:color="auto" w:fill="auto"/>
            <w:noWrap/>
            <w:vAlign w:val="bottom"/>
          </w:tcPr>
          <w:p w14:paraId="4BB2ECBF" w14:textId="2C0D8E26" w:rsidR="00822356" w:rsidRPr="002370F4" w:rsidRDefault="00822356" w:rsidP="00822356">
            <w:pPr>
              <w:spacing w:after="0" w:line="240" w:lineRule="auto"/>
              <w:ind w:left="426" w:hanging="142"/>
              <w:jc w:val="left"/>
              <w:rPr>
                <w:rFonts w:ascii="Arial" w:hAnsi="Arial" w:cs="Arial"/>
                <w:sz w:val="16"/>
                <w:szCs w:val="16"/>
              </w:rPr>
            </w:pPr>
            <w:r w:rsidRPr="002370F4">
              <w:rPr>
                <w:rFonts w:ascii="Arial" w:hAnsi="Arial" w:cs="Arial"/>
                <w:sz w:val="16"/>
                <w:szCs w:val="16"/>
              </w:rPr>
              <w:t>Departmental expenses</w:t>
            </w:r>
          </w:p>
        </w:tc>
        <w:tc>
          <w:tcPr>
            <w:tcW w:w="743" w:type="dxa"/>
            <w:tcBorders>
              <w:top w:val="nil"/>
              <w:left w:val="nil"/>
              <w:bottom w:val="nil"/>
              <w:right w:val="nil"/>
            </w:tcBorders>
            <w:shd w:val="clear" w:color="auto" w:fill="auto"/>
            <w:noWrap/>
            <w:vAlign w:val="bottom"/>
          </w:tcPr>
          <w:p w14:paraId="2A313155" w14:textId="77777777" w:rsidR="00822356" w:rsidRPr="002370F4" w:rsidRDefault="00822356" w:rsidP="00822356">
            <w:pPr>
              <w:spacing w:after="0" w:line="240" w:lineRule="auto"/>
              <w:ind w:firstLineChars="100" w:firstLine="160"/>
              <w:jc w:val="left"/>
              <w:rPr>
                <w:rFonts w:ascii="Arial" w:hAnsi="Arial" w:cs="Arial"/>
                <w:sz w:val="16"/>
                <w:szCs w:val="16"/>
              </w:rPr>
            </w:pPr>
          </w:p>
        </w:tc>
        <w:tc>
          <w:tcPr>
            <w:tcW w:w="822" w:type="dxa"/>
            <w:tcBorders>
              <w:top w:val="nil"/>
              <w:left w:val="nil"/>
              <w:bottom w:val="nil"/>
              <w:right w:val="nil"/>
            </w:tcBorders>
            <w:shd w:val="clear" w:color="000000" w:fill="E6E6E6"/>
            <w:noWrap/>
            <w:vAlign w:val="center"/>
          </w:tcPr>
          <w:p w14:paraId="3C3E4A78" w14:textId="57F33636" w:rsidR="00822356" w:rsidRPr="000A3BC4"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auto" w:fill="auto"/>
            <w:noWrap/>
            <w:vAlign w:val="center"/>
          </w:tcPr>
          <w:p w14:paraId="3CBBA719" w14:textId="75EB7ACF" w:rsidR="00822356"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000000" w:fill="E6E6E6"/>
            <w:noWrap/>
            <w:vAlign w:val="center"/>
          </w:tcPr>
          <w:p w14:paraId="06064B31" w14:textId="7645EDC0" w:rsidR="00822356"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auto" w:fill="auto"/>
            <w:noWrap/>
            <w:vAlign w:val="center"/>
          </w:tcPr>
          <w:p w14:paraId="3A7F59DD" w14:textId="7B373713" w:rsidR="00822356"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000000" w:fill="E6E6E6"/>
            <w:noWrap/>
            <w:vAlign w:val="center"/>
          </w:tcPr>
          <w:p w14:paraId="42A73C91" w14:textId="6FA1C4F3" w:rsidR="00822356" w:rsidRDefault="00822356" w:rsidP="00822356">
            <w:pPr>
              <w:spacing w:after="0" w:line="240" w:lineRule="auto"/>
              <w:jc w:val="center"/>
              <w:rPr>
                <w:rFonts w:ascii="Arial" w:hAnsi="Arial" w:cs="Arial"/>
                <w:sz w:val="16"/>
                <w:szCs w:val="16"/>
              </w:rPr>
            </w:pPr>
            <w:r>
              <w:rPr>
                <w:rFonts w:ascii="Arial" w:hAnsi="Arial" w:cs="Arial"/>
                <w:sz w:val="16"/>
                <w:szCs w:val="16"/>
              </w:rPr>
              <w:t>-</w:t>
            </w:r>
          </w:p>
        </w:tc>
      </w:tr>
      <w:tr w:rsidR="00822356" w:rsidRPr="00220500" w14:paraId="79DA2C3E" w14:textId="77777777" w:rsidTr="00822356">
        <w:trPr>
          <w:trHeight w:val="282"/>
        </w:trPr>
        <w:tc>
          <w:tcPr>
            <w:tcW w:w="2857" w:type="dxa"/>
            <w:tcBorders>
              <w:top w:val="nil"/>
              <w:left w:val="nil"/>
              <w:bottom w:val="nil"/>
              <w:right w:val="nil"/>
            </w:tcBorders>
            <w:shd w:val="clear" w:color="auto" w:fill="auto"/>
            <w:noWrap/>
            <w:vAlign w:val="bottom"/>
            <w:hideMark/>
          </w:tcPr>
          <w:p w14:paraId="2E71DFC1" w14:textId="70F48511" w:rsidR="00822356" w:rsidRPr="002370F4" w:rsidRDefault="00822356" w:rsidP="00822356">
            <w:pPr>
              <w:spacing w:after="0" w:line="240" w:lineRule="auto"/>
              <w:ind w:left="284" w:hanging="180"/>
              <w:jc w:val="left"/>
              <w:rPr>
                <w:rFonts w:ascii="Arial" w:hAnsi="Arial" w:cs="Arial"/>
                <w:b/>
                <w:bCs/>
                <w:sz w:val="16"/>
                <w:szCs w:val="16"/>
              </w:rPr>
            </w:pPr>
            <w:r w:rsidRPr="002370F4">
              <w:rPr>
                <w:rFonts w:ascii="Arial" w:hAnsi="Arial" w:cs="Arial"/>
                <w:b/>
                <w:bCs/>
                <w:sz w:val="16"/>
                <w:szCs w:val="16"/>
              </w:rPr>
              <w:t xml:space="preserve">Total </w:t>
            </w:r>
          </w:p>
        </w:tc>
        <w:tc>
          <w:tcPr>
            <w:tcW w:w="743" w:type="dxa"/>
            <w:tcBorders>
              <w:top w:val="nil"/>
              <w:left w:val="nil"/>
              <w:bottom w:val="nil"/>
              <w:right w:val="nil"/>
            </w:tcBorders>
            <w:shd w:val="clear" w:color="auto" w:fill="auto"/>
            <w:noWrap/>
            <w:vAlign w:val="bottom"/>
            <w:hideMark/>
          </w:tcPr>
          <w:p w14:paraId="61A1CAF9" w14:textId="77777777" w:rsidR="00822356" w:rsidRPr="002370F4" w:rsidRDefault="00822356" w:rsidP="00822356">
            <w:pPr>
              <w:spacing w:after="0" w:line="240" w:lineRule="auto"/>
              <w:jc w:val="left"/>
              <w:rPr>
                <w:rFonts w:ascii="Arial" w:hAnsi="Arial" w:cs="Arial"/>
                <w:b/>
                <w:bCs/>
                <w:sz w:val="16"/>
                <w:szCs w:val="16"/>
              </w:rPr>
            </w:pPr>
          </w:p>
        </w:tc>
        <w:tc>
          <w:tcPr>
            <w:tcW w:w="822" w:type="dxa"/>
            <w:tcBorders>
              <w:top w:val="nil"/>
              <w:left w:val="nil"/>
              <w:bottom w:val="nil"/>
              <w:right w:val="nil"/>
            </w:tcBorders>
            <w:shd w:val="clear" w:color="000000" w:fill="E6E6E6"/>
            <w:noWrap/>
            <w:vAlign w:val="center"/>
            <w:hideMark/>
          </w:tcPr>
          <w:p w14:paraId="16F4A6D3" w14:textId="38546D4D" w:rsidR="00822356" w:rsidRPr="000A3BC4" w:rsidRDefault="00822356" w:rsidP="00822356">
            <w:pPr>
              <w:spacing w:after="0" w:line="240" w:lineRule="auto"/>
              <w:jc w:val="center"/>
              <w:rPr>
                <w:rFonts w:ascii="Arial" w:hAnsi="Arial" w:cs="Arial"/>
                <w:b/>
                <w:bCs/>
                <w:sz w:val="16"/>
                <w:szCs w:val="16"/>
              </w:rPr>
            </w:pPr>
            <w:r>
              <w:rPr>
                <w:rFonts w:ascii="Arial" w:hAnsi="Arial" w:cs="Arial"/>
                <w:sz w:val="16"/>
                <w:szCs w:val="16"/>
              </w:rPr>
              <w:t>-</w:t>
            </w:r>
          </w:p>
        </w:tc>
        <w:tc>
          <w:tcPr>
            <w:tcW w:w="822" w:type="dxa"/>
            <w:tcBorders>
              <w:top w:val="nil"/>
              <w:left w:val="nil"/>
              <w:bottom w:val="nil"/>
              <w:right w:val="nil"/>
            </w:tcBorders>
            <w:shd w:val="clear" w:color="auto" w:fill="auto"/>
            <w:noWrap/>
            <w:vAlign w:val="center"/>
            <w:hideMark/>
          </w:tcPr>
          <w:p w14:paraId="42B0A380" w14:textId="70AB09B1" w:rsidR="00822356" w:rsidRPr="000A3BC4" w:rsidRDefault="00822356" w:rsidP="00822356">
            <w:pPr>
              <w:spacing w:after="0" w:line="240" w:lineRule="auto"/>
              <w:jc w:val="center"/>
              <w:rPr>
                <w:rFonts w:ascii="Arial" w:hAnsi="Arial" w:cs="Arial"/>
                <w:b/>
                <w:bCs/>
                <w:sz w:val="16"/>
                <w:szCs w:val="16"/>
              </w:rPr>
            </w:pPr>
            <w:r>
              <w:rPr>
                <w:rFonts w:ascii="Arial" w:hAnsi="Arial" w:cs="Arial"/>
                <w:sz w:val="16"/>
                <w:szCs w:val="16"/>
              </w:rPr>
              <w:t>-</w:t>
            </w:r>
          </w:p>
        </w:tc>
        <w:tc>
          <w:tcPr>
            <w:tcW w:w="822" w:type="dxa"/>
            <w:tcBorders>
              <w:top w:val="nil"/>
              <w:left w:val="nil"/>
              <w:bottom w:val="nil"/>
              <w:right w:val="nil"/>
            </w:tcBorders>
            <w:shd w:val="clear" w:color="000000" w:fill="E6E6E6"/>
            <w:noWrap/>
            <w:vAlign w:val="center"/>
            <w:hideMark/>
          </w:tcPr>
          <w:p w14:paraId="0D7D3DD8" w14:textId="490708EB" w:rsidR="00822356" w:rsidRPr="000A3BC4" w:rsidRDefault="00822356" w:rsidP="00822356">
            <w:pPr>
              <w:spacing w:after="0" w:line="240" w:lineRule="auto"/>
              <w:jc w:val="center"/>
              <w:rPr>
                <w:rFonts w:ascii="Arial" w:hAnsi="Arial" w:cs="Arial"/>
                <w:b/>
                <w:bCs/>
                <w:sz w:val="16"/>
                <w:szCs w:val="16"/>
              </w:rPr>
            </w:pPr>
            <w:r>
              <w:rPr>
                <w:rFonts w:ascii="Arial" w:hAnsi="Arial" w:cs="Arial"/>
                <w:sz w:val="16"/>
                <w:szCs w:val="16"/>
              </w:rPr>
              <w:t>-</w:t>
            </w:r>
          </w:p>
        </w:tc>
        <w:tc>
          <w:tcPr>
            <w:tcW w:w="822" w:type="dxa"/>
            <w:tcBorders>
              <w:top w:val="nil"/>
              <w:left w:val="nil"/>
              <w:bottom w:val="nil"/>
              <w:right w:val="nil"/>
            </w:tcBorders>
            <w:shd w:val="clear" w:color="auto" w:fill="auto"/>
            <w:noWrap/>
            <w:vAlign w:val="center"/>
            <w:hideMark/>
          </w:tcPr>
          <w:p w14:paraId="18BA40DE" w14:textId="1DB7DBB4" w:rsidR="00822356" w:rsidRPr="000A3BC4" w:rsidRDefault="00822356" w:rsidP="00822356">
            <w:pPr>
              <w:spacing w:after="0" w:line="240" w:lineRule="auto"/>
              <w:jc w:val="center"/>
              <w:rPr>
                <w:rFonts w:ascii="Arial" w:hAnsi="Arial" w:cs="Arial"/>
                <w:b/>
                <w:bCs/>
                <w:sz w:val="16"/>
                <w:szCs w:val="16"/>
              </w:rPr>
            </w:pPr>
            <w:r>
              <w:rPr>
                <w:rFonts w:ascii="Arial" w:hAnsi="Arial" w:cs="Arial"/>
                <w:sz w:val="16"/>
                <w:szCs w:val="16"/>
              </w:rPr>
              <w:t>-</w:t>
            </w:r>
          </w:p>
        </w:tc>
        <w:tc>
          <w:tcPr>
            <w:tcW w:w="822" w:type="dxa"/>
            <w:tcBorders>
              <w:top w:val="nil"/>
              <w:left w:val="nil"/>
              <w:bottom w:val="nil"/>
              <w:right w:val="nil"/>
            </w:tcBorders>
            <w:shd w:val="clear" w:color="000000" w:fill="E6E6E6"/>
            <w:noWrap/>
            <w:vAlign w:val="center"/>
            <w:hideMark/>
          </w:tcPr>
          <w:p w14:paraId="3C573D5F" w14:textId="06D693E6" w:rsidR="00822356" w:rsidRPr="000A3BC4" w:rsidRDefault="00822356" w:rsidP="00822356">
            <w:pPr>
              <w:spacing w:after="0" w:line="240" w:lineRule="auto"/>
              <w:jc w:val="center"/>
              <w:rPr>
                <w:rFonts w:ascii="Arial" w:hAnsi="Arial" w:cs="Arial"/>
                <w:b/>
                <w:bCs/>
                <w:sz w:val="16"/>
                <w:szCs w:val="16"/>
              </w:rPr>
            </w:pPr>
            <w:r>
              <w:rPr>
                <w:rFonts w:ascii="Arial" w:hAnsi="Arial" w:cs="Arial"/>
                <w:sz w:val="16"/>
                <w:szCs w:val="16"/>
              </w:rPr>
              <w:t>-</w:t>
            </w:r>
          </w:p>
        </w:tc>
      </w:tr>
      <w:tr w:rsidR="00822356" w:rsidRPr="00220500" w14:paraId="589665E2" w14:textId="77777777" w:rsidTr="00822356">
        <w:trPr>
          <w:trHeight w:val="225"/>
        </w:trPr>
        <w:tc>
          <w:tcPr>
            <w:tcW w:w="2857" w:type="dxa"/>
            <w:tcBorders>
              <w:top w:val="nil"/>
              <w:left w:val="nil"/>
              <w:bottom w:val="nil"/>
              <w:right w:val="nil"/>
            </w:tcBorders>
            <w:shd w:val="clear" w:color="auto" w:fill="auto"/>
            <w:noWrap/>
            <w:vAlign w:val="bottom"/>
            <w:hideMark/>
          </w:tcPr>
          <w:p w14:paraId="41E03258" w14:textId="77777777" w:rsidR="00822356" w:rsidRPr="002370F4" w:rsidRDefault="00822356" w:rsidP="00822356">
            <w:pPr>
              <w:spacing w:after="0" w:line="240" w:lineRule="auto"/>
              <w:ind w:left="284" w:hanging="180"/>
              <w:jc w:val="left"/>
              <w:rPr>
                <w:rFonts w:ascii="Arial" w:hAnsi="Arial" w:cs="Arial"/>
                <w:b/>
                <w:bCs/>
                <w:sz w:val="16"/>
                <w:szCs w:val="16"/>
              </w:rPr>
            </w:pPr>
            <w:r w:rsidRPr="002370F4">
              <w:rPr>
                <w:rFonts w:ascii="Arial" w:hAnsi="Arial" w:cs="Arial"/>
                <w:b/>
                <w:bCs/>
                <w:sz w:val="16"/>
                <w:szCs w:val="16"/>
              </w:rPr>
              <w:t>Total expense measures</w:t>
            </w:r>
          </w:p>
        </w:tc>
        <w:tc>
          <w:tcPr>
            <w:tcW w:w="743" w:type="dxa"/>
            <w:tcBorders>
              <w:top w:val="nil"/>
              <w:left w:val="nil"/>
              <w:bottom w:val="nil"/>
              <w:right w:val="nil"/>
            </w:tcBorders>
            <w:shd w:val="clear" w:color="auto" w:fill="auto"/>
            <w:noWrap/>
            <w:vAlign w:val="bottom"/>
            <w:hideMark/>
          </w:tcPr>
          <w:p w14:paraId="50F8427E" w14:textId="77777777" w:rsidR="00822356" w:rsidRPr="002370F4" w:rsidRDefault="00822356" w:rsidP="00822356">
            <w:pPr>
              <w:spacing w:after="0" w:line="240" w:lineRule="auto"/>
              <w:jc w:val="left"/>
              <w:rPr>
                <w:rFonts w:ascii="Arial" w:hAnsi="Arial" w:cs="Arial"/>
                <w:b/>
                <w:bCs/>
                <w:sz w:val="16"/>
                <w:szCs w:val="16"/>
              </w:rPr>
            </w:pPr>
          </w:p>
        </w:tc>
        <w:tc>
          <w:tcPr>
            <w:tcW w:w="822" w:type="dxa"/>
            <w:tcBorders>
              <w:top w:val="nil"/>
              <w:left w:val="nil"/>
              <w:bottom w:val="nil"/>
              <w:right w:val="nil"/>
            </w:tcBorders>
            <w:shd w:val="clear" w:color="000000" w:fill="E6E6E6"/>
            <w:noWrap/>
            <w:vAlign w:val="center"/>
            <w:hideMark/>
          </w:tcPr>
          <w:p w14:paraId="5F1BC486" w14:textId="14ACF28E" w:rsidR="00822356" w:rsidRPr="000A3BC4" w:rsidRDefault="00822356" w:rsidP="00822356">
            <w:pPr>
              <w:spacing w:after="0" w:line="240" w:lineRule="auto"/>
              <w:jc w:val="center"/>
              <w:rPr>
                <w:rFonts w:ascii="Arial" w:hAnsi="Arial" w:cs="Arial"/>
                <w:sz w:val="16"/>
                <w:szCs w:val="16"/>
              </w:rPr>
            </w:pPr>
          </w:p>
        </w:tc>
        <w:tc>
          <w:tcPr>
            <w:tcW w:w="822" w:type="dxa"/>
            <w:tcBorders>
              <w:top w:val="nil"/>
              <w:left w:val="nil"/>
              <w:bottom w:val="nil"/>
              <w:right w:val="nil"/>
            </w:tcBorders>
            <w:shd w:val="clear" w:color="auto" w:fill="auto"/>
            <w:noWrap/>
            <w:vAlign w:val="center"/>
            <w:hideMark/>
          </w:tcPr>
          <w:p w14:paraId="474F1FF9" w14:textId="77777777" w:rsidR="00822356" w:rsidRPr="000A3BC4" w:rsidRDefault="00822356" w:rsidP="00822356">
            <w:pPr>
              <w:spacing w:after="0" w:line="240" w:lineRule="auto"/>
              <w:jc w:val="center"/>
              <w:rPr>
                <w:rFonts w:ascii="Arial" w:hAnsi="Arial" w:cs="Arial"/>
                <w:sz w:val="16"/>
                <w:szCs w:val="16"/>
              </w:rPr>
            </w:pPr>
          </w:p>
        </w:tc>
        <w:tc>
          <w:tcPr>
            <w:tcW w:w="822" w:type="dxa"/>
            <w:tcBorders>
              <w:top w:val="nil"/>
              <w:left w:val="nil"/>
              <w:bottom w:val="nil"/>
              <w:right w:val="nil"/>
            </w:tcBorders>
            <w:shd w:val="clear" w:color="000000" w:fill="E6E6E6"/>
            <w:noWrap/>
            <w:vAlign w:val="center"/>
            <w:hideMark/>
          </w:tcPr>
          <w:p w14:paraId="418A5E63" w14:textId="150643D1" w:rsidR="00822356" w:rsidRPr="000A3BC4" w:rsidRDefault="00822356" w:rsidP="00822356">
            <w:pPr>
              <w:spacing w:after="0" w:line="240" w:lineRule="auto"/>
              <w:jc w:val="center"/>
              <w:rPr>
                <w:rFonts w:ascii="Arial" w:hAnsi="Arial" w:cs="Arial"/>
                <w:sz w:val="16"/>
                <w:szCs w:val="16"/>
              </w:rPr>
            </w:pPr>
          </w:p>
        </w:tc>
        <w:tc>
          <w:tcPr>
            <w:tcW w:w="822" w:type="dxa"/>
            <w:tcBorders>
              <w:top w:val="nil"/>
              <w:left w:val="nil"/>
              <w:bottom w:val="nil"/>
              <w:right w:val="nil"/>
            </w:tcBorders>
            <w:shd w:val="clear" w:color="auto" w:fill="auto"/>
            <w:noWrap/>
            <w:vAlign w:val="center"/>
            <w:hideMark/>
          </w:tcPr>
          <w:p w14:paraId="7453C804" w14:textId="77777777" w:rsidR="00822356" w:rsidRPr="000A3BC4" w:rsidRDefault="00822356" w:rsidP="00822356">
            <w:pPr>
              <w:spacing w:after="0" w:line="240" w:lineRule="auto"/>
              <w:jc w:val="center"/>
              <w:rPr>
                <w:rFonts w:ascii="Arial" w:hAnsi="Arial" w:cs="Arial"/>
                <w:sz w:val="16"/>
                <w:szCs w:val="16"/>
              </w:rPr>
            </w:pPr>
          </w:p>
        </w:tc>
        <w:tc>
          <w:tcPr>
            <w:tcW w:w="822" w:type="dxa"/>
            <w:tcBorders>
              <w:top w:val="nil"/>
              <w:left w:val="nil"/>
              <w:bottom w:val="nil"/>
              <w:right w:val="nil"/>
            </w:tcBorders>
            <w:shd w:val="clear" w:color="000000" w:fill="E6E6E6"/>
            <w:noWrap/>
            <w:vAlign w:val="center"/>
            <w:hideMark/>
          </w:tcPr>
          <w:p w14:paraId="4D2D294E" w14:textId="2C6467F1" w:rsidR="00822356" w:rsidRPr="000A3BC4" w:rsidRDefault="00822356" w:rsidP="00822356">
            <w:pPr>
              <w:spacing w:after="0" w:line="240" w:lineRule="auto"/>
              <w:jc w:val="center"/>
              <w:rPr>
                <w:rFonts w:ascii="Arial" w:hAnsi="Arial" w:cs="Arial"/>
                <w:sz w:val="16"/>
                <w:szCs w:val="16"/>
              </w:rPr>
            </w:pPr>
          </w:p>
        </w:tc>
      </w:tr>
      <w:tr w:rsidR="00822356" w:rsidRPr="00220500" w14:paraId="3BA72C94" w14:textId="77777777" w:rsidTr="00822356">
        <w:trPr>
          <w:trHeight w:val="225"/>
        </w:trPr>
        <w:tc>
          <w:tcPr>
            <w:tcW w:w="2857" w:type="dxa"/>
            <w:tcBorders>
              <w:top w:val="nil"/>
              <w:left w:val="nil"/>
              <w:bottom w:val="nil"/>
              <w:right w:val="nil"/>
            </w:tcBorders>
            <w:shd w:val="clear" w:color="auto" w:fill="auto"/>
            <w:noWrap/>
            <w:vAlign w:val="bottom"/>
            <w:hideMark/>
          </w:tcPr>
          <w:p w14:paraId="1CCF730F" w14:textId="4A53B6FC" w:rsidR="00822356" w:rsidRPr="002370F4" w:rsidRDefault="00822356" w:rsidP="00822356">
            <w:pPr>
              <w:spacing w:after="0" w:line="240" w:lineRule="auto"/>
              <w:ind w:left="426" w:hanging="142"/>
              <w:jc w:val="left"/>
              <w:rPr>
                <w:rFonts w:ascii="Arial" w:hAnsi="Arial" w:cs="Arial"/>
                <w:sz w:val="16"/>
                <w:szCs w:val="16"/>
              </w:rPr>
            </w:pPr>
            <w:r>
              <w:rPr>
                <w:rFonts w:ascii="Arial" w:hAnsi="Arial" w:cs="Arial"/>
                <w:sz w:val="16"/>
                <w:szCs w:val="16"/>
              </w:rPr>
              <w:t>Administered</w:t>
            </w:r>
          </w:p>
        </w:tc>
        <w:tc>
          <w:tcPr>
            <w:tcW w:w="743" w:type="dxa"/>
            <w:tcBorders>
              <w:top w:val="nil"/>
              <w:left w:val="nil"/>
              <w:bottom w:val="nil"/>
              <w:right w:val="nil"/>
            </w:tcBorders>
            <w:shd w:val="clear" w:color="auto" w:fill="auto"/>
            <w:noWrap/>
            <w:vAlign w:val="bottom"/>
            <w:hideMark/>
          </w:tcPr>
          <w:p w14:paraId="5D7DC5C3" w14:textId="77777777" w:rsidR="00822356" w:rsidRPr="002370F4" w:rsidRDefault="00822356" w:rsidP="00822356">
            <w:pPr>
              <w:spacing w:after="0" w:line="240" w:lineRule="auto"/>
              <w:ind w:firstLineChars="100" w:firstLine="160"/>
              <w:jc w:val="left"/>
              <w:rPr>
                <w:rFonts w:ascii="Arial" w:hAnsi="Arial" w:cs="Arial"/>
                <w:sz w:val="16"/>
                <w:szCs w:val="16"/>
              </w:rPr>
            </w:pPr>
          </w:p>
        </w:tc>
        <w:tc>
          <w:tcPr>
            <w:tcW w:w="822" w:type="dxa"/>
            <w:tcBorders>
              <w:top w:val="nil"/>
              <w:left w:val="nil"/>
              <w:bottom w:val="nil"/>
              <w:right w:val="nil"/>
            </w:tcBorders>
            <w:shd w:val="clear" w:color="000000" w:fill="E6E6E6"/>
            <w:noWrap/>
            <w:vAlign w:val="center"/>
            <w:hideMark/>
          </w:tcPr>
          <w:p w14:paraId="3D18B656" w14:textId="33D1103F" w:rsidR="00822356" w:rsidRPr="000A3BC4"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auto" w:fill="auto"/>
            <w:noWrap/>
            <w:vAlign w:val="center"/>
            <w:hideMark/>
          </w:tcPr>
          <w:p w14:paraId="7817DBAD" w14:textId="396CA0A8" w:rsidR="00822356" w:rsidRPr="000A3BC4"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000000" w:fill="E6E6E6"/>
            <w:noWrap/>
            <w:vAlign w:val="center"/>
            <w:hideMark/>
          </w:tcPr>
          <w:p w14:paraId="46538544" w14:textId="44661508" w:rsidR="00822356" w:rsidRPr="000A3BC4"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auto" w:fill="auto"/>
            <w:noWrap/>
            <w:vAlign w:val="center"/>
            <w:hideMark/>
          </w:tcPr>
          <w:p w14:paraId="0D2C60A4" w14:textId="3F4C25BC" w:rsidR="00822356" w:rsidRPr="000A3BC4"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000000" w:fill="E6E6E6"/>
            <w:noWrap/>
            <w:vAlign w:val="center"/>
            <w:hideMark/>
          </w:tcPr>
          <w:p w14:paraId="7A842C5F" w14:textId="129E71E5" w:rsidR="00822356" w:rsidRPr="000A3BC4" w:rsidRDefault="00822356" w:rsidP="00822356">
            <w:pPr>
              <w:spacing w:after="0" w:line="240" w:lineRule="auto"/>
              <w:jc w:val="center"/>
              <w:rPr>
                <w:rFonts w:ascii="Arial" w:hAnsi="Arial" w:cs="Arial"/>
                <w:sz w:val="16"/>
                <w:szCs w:val="16"/>
              </w:rPr>
            </w:pPr>
            <w:r>
              <w:rPr>
                <w:rFonts w:ascii="Arial" w:hAnsi="Arial" w:cs="Arial"/>
                <w:sz w:val="16"/>
                <w:szCs w:val="16"/>
              </w:rPr>
              <w:t>-</w:t>
            </w:r>
          </w:p>
        </w:tc>
      </w:tr>
      <w:tr w:rsidR="00822356" w:rsidRPr="00220500" w14:paraId="5E707232" w14:textId="77777777" w:rsidTr="00822356">
        <w:trPr>
          <w:trHeight w:val="225"/>
        </w:trPr>
        <w:tc>
          <w:tcPr>
            <w:tcW w:w="2857" w:type="dxa"/>
            <w:tcBorders>
              <w:top w:val="nil"/>
              <w:left w:val="nil"/>
              <w:bottom w:val="nil"/>
              <w:right w:val="nil"/>
            </w:tcBorders>
            <w:shd w:val="clear" w:color="auto" w:fill="auto"/>
            <w:noWrap/>
            <w:vAlign w:val="bottom"/>
          </w:tcPr>
          <w:p w14:paraId="3277B630" w14:textId="2BC612B2" w:rsidR="00822356" w:rsidRPr="002370F4" w:rsidRDefault="00822356" w:rsidP="00822356">
            <w:pPr>
              <w:spacing w:after="0" w:line="240" w:lineRule="auto"/>
              <w:ind w:left="426" w:hanging="142"/>
              <w:jc w:val="left"/>
              <w:rPr>
                <w:rFonts w:ascii="Arial" w:hAnsi="Arial" w:cs="Arial"/>
                <w:sz w:val="16"/>
                <w:szCs w:val="16"/>
              </w:rPr>
            </w:pPr>
            <w:r w:rsidRPr="002370F4">
              <w:rPr>
                <w:rFonts w:ascii="Arial" w:hAnsi="Arial" w:cs="Arial"/>
                <w:sz w:val="16"/>
                <w:szCs w:val="16"/>
              </w:rPr>
              <w:t>Departmental</w:t>
            </w:r>
          </w:p>
        </w:tc>
        <w:tc>
          <w:tcPr>
            <w:tcW w:w="743" w:type="dxa"/>
            <w:tcBorders>
              <w:top w:val="nil"/>
              <w:left w:val="nil"/>
              <w:bottom w:val="nil"/>
              <w:right w:val="nil"/>
            </w:tcBorders>
            <w:shd w:val="clear" w:color="auto" w:fill="auto"/>
            <w:noWrap/>
            <w:vAlign w:val="bottom"/>
          </w:tcPr>
          <w:p w14:paraId="35952276" w14:textId="77777777" w:rsidR="00822356" w:rsidRPr="002370F4" w:rsidRDefault="00822356" w:rsidP="00822356">
            <w:pPr>
              <w:spacing w:after="0" w:line="240" w:lineRule="auto"/>
              <w:ind w:firstLineChars="100" w:firstLine="160"/>
              <w:jc w:val="left"/>
              <w:rPr>
                <w:rFonts w:ascii="Arial" w:hAnsi="Arial" w:cs="Arial"/>
                <w:sz w:val="16"/>
                <w:szCs w:val="16"/>
              </w:rPr>
            </w:pPr>
          </w:p>
        </w:tc>
        <w:tc>
          <w:tcPr>
            <w:tcW w:w="822" w:type="dxa"/>
            <w:tcBorders>
              <w:top w:val="nil"/>
              <w:left w:val="nil"/>
              <w:bottom w:val="nil"/>
              <w:right w:val="nil"/>
            </w:tcBorders>
            <w:shd w:val="clear" w:color="000000" w:fill="E6E6E6"/>
            <w:noWrap/>
            <w:vAlign w:val="center"/>
          </w:tcPr>
          <w:p w14:paraId="3557C63C" w14:textId="42C6F7AB" w:rsidR="00822356"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auto" w:fill="auto"/>
            <w:noWrap/>
            <w:vAlign w:val="center"/>
          </w:tcPr>
          <w:p w14:paraId="035CBC93" w14:textId="661824D9" w:rsidR="00822356"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000000" w:fill="E6E6E6"/>
            <w:noWrap/>
            <w:vAlign w:val="center"/>
          </w:tcPr>
          <w:p w14:paraId="17BAFF8A" w14:textId="474A8ED8" w:rsidR="00822356"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auto" w:fill="auto"/>
            <w:noWrap/>
            <w:vAlign w:val="center"/>
          </w:tcPr>
          <w:p w14:paraId="7BEA0415" w14:textId="1256D188" w:rsidR="00822356" w:rsidRDefault="00822356" w:rsidP="00822356">
            <w:pPr>
              <w:spacing w:after="0" w:line="240" w:lineRule="auto"/>
              <w:jc w:val="center"/>
              <w:rPr>
                <w:rFonts w:ascii="Arial" w:hAnsi="Arial" w:cs="Arial"/>
                <w:sz w:val="16"/>
                <w:szCs w:val="16"/>
              </w:rPr>
            </w:pPr>
            <w:r>
              <w:rPr>
                <w:rFonts w:ascii="Arial" w:hAnsi="Arial" w:cs="Arial"/>
                <w:sz w:val="16"/>
                <w:szCs w:val="16"/>
              </w:rPr>
              <w:t>-</w:t>
            </w:r>
          </w:p>
        </w:tc>
        <w:tc>
          <w:tcPr>
            <w:tcW w:w="822" w:type="dxa"/>
            <w:tcBorders>
              <w:top w:val="nil"/>
              <w:left w:val="nil"/>
              <w:bottom w:val="nil"/>
              <w:right w:val="nil"/>
            </w:tcBorders>
            <w:shd w:val="clear" w:color="000000" w:fill="E6E6E6"/>
            <w:noWrap/>
            <w:vAlign w:val="center"/>
          </w:tcPr>
          <w:p w14:paraId="5BAB873F" w14:textId="363AC82E" w:rsidR="00822356" w:rsidRDefault="00822356" w:rsidP="00822356">
            <w:pPr>
              <w:spacing w:after="0" w:line="240" w:lineRule="auto"/>
              <w:jc w:val="center"/>
              <w:rPr>
                <w:rFonts w:ascii="Arial" w:hAnsi="Arial" w:cs="Arial"/>
                <w:sz w:val="16"/>
                <w:szCs w:val="16"/>
              </w:rPr>
            </w:pPr>
            <w:r>
              <w:rPr>
                <w:rFonts w:ascii="Arial" w:hAnsi="Arial" w:cs="Arial"/>
                <w:sz w:val="16"/>
                <w:szCs w:val="16"/>
              </w:rPr>
              <w:t>-</w:t>
            </w:r>
          </w:p>
        </w:tc>
      </w:tr>
      <w:tr w:rsidR="00822356" w:rsidRPr="00220500" w14:paraId="4AF51930" w14:textId="77777777" w:rsidTr="00822356">
        <w:trPr>
          <w:trHeight w:val="282"/>
        </w:trPr>
        <w:tc>
          <w:tcPr>
            <w:tcW w:w="2857" w:type="dxa"/>
            <w:tcBorders>
              <w:top w:val="nil"/>
              <w:left w:val="nil"/>
              <w:bottom w:val="single" w:sz="4" w:space="0" w:color="auto"/>
              <w:right w:val="nil"/>
            </w:tcBorders>
            <w:shd w:val="clear" w:color="auto" w:fill="auto"/>
            <w:noWrap/>
            <w:vAlign w:val="bottom"/>
            <w:hideMark/>
          </w:tcPr>
          <w:p w14:paraId="1765EB2E" w14:textId="4109F64D" w:rsidR="00822356" w:rsidRPr="002370F4" w:rsidRDefault="00822356" w:rsidP="00822356">
            <w:pPr>
              <w:spacing w:after="0" w:line="240" w:lineRule="auto"/>
              <w:ind w:left="284" w:hanging="180"/>
              <w:jc w:val="left"/>
              <w:rPr>
                <w:rFonts w:ascii="Arial" w:hAnsi="Arial" w:cs="Arial"/>
                <w:b/>
                <w:bCs/>
                <w:sz w:val="16"/>
                <w:szCs w:val="16"/>
              </w:rPr>
            </w:pPr>
            <w:r w:rsidRPr="002370F4">
              <w:rPr>
                <w:rFonts w:ascii="Arial" w:hAnsi="Arial" w:cs="Arial"/>
                <w:b/>
                <w:bCs/>
                <w:sz w:val="16"/>
                <w:szCs w:val="16"/>
              </w:rPr>
              <w:t>Total</w:t>
            </w:r>
          </w:p>
        </w:tc>
        <w:tc>
          <w:tcPr>
            <w:tcW w:w="743" w:type="dxa"/>
            <w:tcBorders>
              <w:top w:val="nil"/>
              <w:left w:val="nil"/>
              <w:bottom w:val="single" w:sz="4" w:space="0" w:color="auto"/>
              <w:right w:val="nil"/>
            </w:tcBorders>
            <w:shd w:val="clear" w:color="auto" w:fill="auto"/>
            <w:noWrap/>
            <w:vAlign w:val="bottom"/>
            <w:hideMark/>
          </w:tcPr>
          <w:p w14:paraId="3BFC0D24" w14:textId="77777777" w:rsidR="00822356" w:rsidRPr="002370F4" w:rsidRDefault="00822356" w:rsidP="00822356">
            <w:pPr>
              <w:spacing w:after="0" w:line="240" w:lineRule="auto"/>
              <w:jc w:val="left"/>
              <w:rPr>
                <w:rFonts w:ascii="Arial" w:hAnsi="Arial" w:cs="Arial"/>
                <w:b/>
                <w:bCs/>
                <w:sz w:val="16"/>
                <w:szCs w:val="16"/>
              </w:rPr>
            </w:pPr>
            <w:r w:rsidRPr="002370F4">
              <w:rPr>
                <w:rFonts w:ascii="Arial" w:hAnsi="Arial" w:cs="Arial"/>
                <w:b/>
                <w:bCs/>
                <w:sz w:val="16"/>
                <w:szCs w:val="16"/>
              </w:rPr>
              <w:t> </w:t>
            </w:r>
          </w:p>
        </w:tc>
        <w:tc>
          <w:tcPr>
            <w:tcW w:w="822" w:type="dxa"/>
            <w:tcBorders>
              <w:top w:val="nil"/>
              <w:left w:val="nil"/>
              <w:bottom w:val="single" w:sz="4" w:space="0" w:color="auto"/>
              <w:right w:val="nil"/>
            </w:tcBorders>
            <w:shd w:val="clear" w:color="000000" w:fill="E6E6E6"/>
            <w:noWrap/>
            <w:vAlign w:val="center"/>
            <w:hideMark/>
          </w:tcPr>
          <w:p w14:paraId="4F90F837" w14:textId="7C98B30F" w:rsidR="00822356" w:rsidRPr="000A3BC4" w:rsidRDefault="00822356" w:rsidP="00822356">
            <w:pPr>
              <w:spacing w:after="0" w:line="240" w:lineRule="auto"/>
              <w:jc w:val="center"/>
              <w:rPr>
                <w:rFonts w:ascii="Arial" w:hAnsi="Arial" w:cs="Arial"/>
                <w:b/>
                <w:bCs/>
                <w:sz w:val="16"/>
                <w:szCs w:val="16"/>
              </w:rPr>
            </w:pPr>
            <w:r>
              <w:rPr>
                <w:rFonts w:ascii="Arial" w:hAnsi="Arial" w:cs="Arial"/>
                <w:sz w:val="16"/>
                <w:szCs w:val="16"/>
              </w:rPr>
              <w:t>-</w:t>
            </w:r>
          </w:p>
        </w:tc>
        <w:tc>
          <w:tcPr>
            <w:tcW w:w="822" w:type="dxa"/>
            <w:tcBorders>
              <w:top w:val="nil"/>
              <w:left w:val="nil"/>
              <w:bottom w:val="single" w:sz="4" w:space="0" w:color="auto"/>
              <w:right w:val="nil"/>
            </w:tcBorders>
            <w:shd w:val="clear" w:color="auto" w:fill="auto"/>
            <w:noWrap/>
            <w:vAlign w:val="center"/>
            <w:hideMark/>
          </w:tcPr>
          <w:p w14:paraId="078F4388" w14:textId="4D74A4AD" w:rsidR="00822356" w:rsidRPr="000A3BC4" w:rsidRDefault="00822356" w:rsidP="00822356">
            <w:pPr>
              <w:spacing w:after="0" w:line="240" w:lineRule="auto"/>
              <w:jc w:val="center"/>
              <w:rPr>
                <w:rFonts w:ascii="Arial" w:hAnsi="Arial" w:cs="Arial"/>
                <w:b/>
                <w:bCs/>
                <w:sz w:val="16"/>
                <w:szCs w:val="16"/>
              </w:rPr>
            </w:pPr>
            <w:r>
              <w:rPr>
                <w:rFonts w:ascii="Arial" w:hAnsi="Arial" w:cs="Arial"/>
                <w:sz w:val="16"/>
                <w:szCs w:val="16"/>
              </w:rPr>
              <w:t>-</w:t>
            </w:r>
          </w:p>
        </w:tc>
        <w:tc>
          <w:tcPr>
            <w:tcW w:w="822" w:type="dxa"/>
            <w:tcBorders>
              <w:top w:val="nil"/>
              <w:left w:val="nil"/>
              <w:bottom w:val="single" w:sz="4" w:space="0" w:color="auto"/>
              <w:right w:val="nil"/>
            </w:tcBorders>
            <w:shd w:val="clear" w:color="000000" w:fill="E6E6E6"/>
            <w:noWrap/>
            <w:vAlign w:val="center"/>
            <w:hideMark/>
          </w:tcPr>
          <w:p w14:paraId="1E1E5AF3" w14:textId="050D2F4F" w:rsidR="00822356" w:rsidRPr="000A3BC4" w:rsidRDefault="00822356" w:rsidP="00822356">
            <w:pPr>
              <w:spacing w:after="0" w:line="240" w:lineRule="auto"/>
              <w:jc w:val="center"/>
              <w:rPr>
                <w:rFonts w:ascii="Arial" w:hAnsi="Arial" w:cs="Arial"/>
                <w:b/>
                <w:bCs/>
                <w:sz w:val="16"/>
                <w:szCs w:val="16"/>
              </w:rPr>
            </w:pPr>
            <w:r>
              <w:rPr>
                <w:rFonts w:ascii="Arial" w:hAnsi="Arial" w:cs="Arial"/>
                <w:sz w:val="16"/>
                <w:szCs w:val="16"/>
              </w:rPr>
              <w:t>-</w:t>
            </w:r>
          </w:p>
        </w:tc>
        <w:tc>
          <w:tcPr>
            <w:tcW w:w="822" w:type="dxa"/>
            <w:tcBorders>
              <w:top w:val="nil"/>
              <w:left w:val="nil"/>
              <w:bottom w:val="single" w:sz="4" w:space="0" w:color="auto"/>
              <w:right w:val="nil"/>
            </w:tcBorders>
            <w:shd w:val="clear" w:color="auto" w:fill="auto"/>
            <w:noWrap/>
            <w:vAlign w:val="center"/>
            <w:hideMark/>
          </w:tcPr>
          <w:p w14:paraId="0D93EC01" w14:textId="5C3BB0DF" w:rsidR="00822356" w:rsidRPr="000A3BC4" w:rsidRDefault="00822356" w:rsidP="00822356">
            <w:pPr>
              <w:spacing w:after="0" w:line="240" w:lineRule="auto"/>
              <w:jc w:val="center"/>
              <w:rPr>
                <w:rFonts w:ascii="Arial" w:hAnsi="Arial" w:cs="Arial"/>
                <w:b/>
                <w:bCs/>
                <w:sz w:val="16"/>
                <w:szCs w:val="16"/>
              </w:rPr>
            </w:pPr>
            <w:r>
              <w:rPr>
                <w:rFonts w:ascii="Arial" w:hAnsi="Arial" w:cs="Arial"/>
                <w:sz w:val="16"/>
                <w:szCs w:val="16"/>
              </w:rPr>
              <w:t>-</w:t>
            </w:r>
          </w:p>
        </w:tc>
        <w:tc>
          <w:tcPr>
            <w:tcW w:w="822" w:type="dxa"/>
            <w:tcBorders>
              <w:top w:val="nil"/>
              <w:left w:val="nil"/>
              <w:bottom w:val="single" w:sz="4" w:space="0" w:color="auto"/>
              <w:right w:val="nil"/>
            </w:tcBorders>
            <w:shd w:val="clear" w:color="000000" w:fill="E6E6E6"/>
            <w:noWrap/>
            <w:vAlign w:val="center"/>
            <w:hideMark/>
          </w:tcPr>
          <w:p w14:paraId="7ED1A007" w14:textId="484CB008" w:rsidR="00822356" w:rsidRPr="000A3BC4" w:rsidRDefault="00822356" w:rsidP="00822356">
            <w:pPr>
              <w:spacing w:after="0" w:line="240" w:lineRule="auto"/>
              <w:jc w:val="center"/>
              <w:rPr>
                <w:rFonts w:ascii="Arial" w:hAnsi="Arial" w:cs="Arial"/>
                <w:b/>
                <w:bCs/>
                <w:sz w:val="16"/>
                <w:szCs w:val="16"/>
              </w:rPr>
            </w:pPr>
            <w:r>
              <w:rPr>
                <w:rFonts w:ascii="Arial" w:hAnsi="Arial" w:cs="Arial"/>
                <w:sz w:val="16"/>
                <w:szCs w:val="16"/>
              </w:rPr>
              <w:t>-</w:t>
            </w:r>
          </w:p>
        </w:tc>
      </w:tr>
    </w:tbl>
    <w:p w14:paraId="3D9A1B8F" w14:textId="77777777" w:rsidR="00837560" w:rsidRDefault="0072265D" w:rsidP="00837560">
      <w:pPr>
        <w:pStyle w:val="ChartandTableFootnote"/>
        <w:spacing w:before="120"/>
        <w:jc w:val="left"/>
      </w:pPr>
      <w:r w:rsidRPr="002B779E">
        <w:t>Pr</w:t>
      </w:r>
      <w:r>
        <w:t>epared on a Government Finance</w:t>
      </w:r>
      <w:r w:rsidRPr="002B779E">
        <w:t xml:space="preserve"> Statistics </w:t>
      </w:r>
      <w:r>
        <w:t xml:space="preserve">(fiscal) </w:t>
      </w:r>
      <w:r w:rsidRPr="002B779E">
        <w:t>basis</w:t>
      </w:r>
      <w:r>
        <w:t>. Figures displayed as a negative (-) represent a decrease in funds and a positive (+) represent an increase in funds.</w:t>
      </w:r>
    </w:p>
    <w:p w14:paraId="05AA167F" w14:textId="14BF32A6" w:rsidR="00720A6F" w:rsidRDefault="00AA3606" w:rsidP="00720A6F">
      <w:pPr>
        <w:pStyle w:val="ChartandTableFootnote"/>
        <w:numPr>
          <w:ilvl w:val="4"/>
          <w:numId w:val="2"/>
        </w:numPr>
        <w:spacing w:before="120"/>
        <w:jc w:val="left"/>
      </w:pPr>
      <w:r>
        <w:rPr>
          <w:lang w:val="en-AU"/>
        </w:rPr>
        <w:t>Lead entity for this meas</w:t>
      </w:r>
      <w:r w:rsidR="0051600C">
        <w:rPr>
          <w:lang w:val="en-AU"/>
        </w:rPr>
        <w:t>ure is the Department of Veterans’ Affairs</w:t>
      </w:r>
      <w:r>
        <w:rPr>
          <w:lang w:val="en-AU"/>
        </w:rPr>
        <w:t xml:space="preserve">. </w:t>
      </w:r>
      <w:r w:rsidR="00837560" w:rsidRPr="00837560">
        <w:t>Decision taken bu</w:t>
      </w:r>
      <w:r>
        <w:t>t not yet announced in the 2018</w:t>
      </w:r>
      <w:r>
        <w:rPr>
          <w:lang w:val="en-AU"/>
        </w:rPr>
        <w:t>–</w:t>
      </w:r>
      <w:r>
        <w:t>19 MYEFO</w:t>
      </w:r>
      <w:r>
        <w:rPr>
          <w:lang w:val="en-AU"/>
        </w:rPr>
        <w:t>.</w:t>
      </w:r>
      <w:r w:rsidR="00837560" w:rsidRPr="00837560">
        <w:t xml:space="preserve"> </w:t>
      </w:r>
      <w:r w:rsidR="00DF0134">
        <w:br w:type="page"/>
      </w:r>
    </w:p>
    <w:p w14:paraId="4BC6F75C" w14:textId="77777777" w:rsidR="00720A6F" w:rsidRPr="00772FF3" w:rsidRDefault="00720A6F" w:rsidP="00720A6F">
      <w:pPr>
        <w:pStyle w:val="Heading2"/>
      </w:pPr>
      <w:r w:rsidRPr="00772FF3">
        <w:lastRenderedPageBreak/>
        <w:t>Section 2: Outcomes and planned performance</w:t>
      </w:r>
    </w:p>
    <w:p w14:paraId="76C16CE4" w14:textId="191A8AA5" w:rsidR="00DF0134" w:rsidRPr="005E6F2B" w:rsidRDefault="00720A6F" w:rsidP="00DF0134">
      <w:r w:rsidRPr="005E6F2B">
        <w:t>Government outcomes are the intended results, impacts or consequences of actions by the Government on the Australian community.</w:t>
      </w:r>
      <w:r>
        <w:t xml:space="preserve"> </w:t>
      </w:r>
      <w:r w:rsidR="00DF0134" w:rsidRPr="005E6F2B">
        <w:t>Commonwealth programs are the primary vehicle by which government entities achieve the intended results of their outcome statements. Entities are required to identify the programs which contribute to government outcomes over the Budget and forward years.</w:t>
      </w:r>
    </w:p>
    <w:p w14:paraId="76C16CE5" w14:textId="77777777" w:rsidR="00DF0134" w:rsidRPr="005E6F2B" w:rsidRDefault="00DF0134" w:rsidP="00DF0134">
      <w:r w:rsidRPr="005E6F2B">
        <w:t xml:space="preserve">Each outcome is described below together with its related programs. The following provides detailed information on expenses for each outcome and program, further broken down by funding source. </w:t>
      </w:r>
    </w:p>
    <w:p w14:paraId="76C16CE6" w14:textId="77777777" w:rsidR="00DF0134" w:rsidRPr="006906E4" w:rsidRDefault="00DF0134" w:rsidP="00DF0134">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76C16CE7" w14:textId="77777777" w:rsidR="00DF0134" w:rsidRDefault="00DF0134" w:rsidP="00DF0134">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r w:rsidR="00426077">
        <w:t xml:space="preserve"> </w:t>
      </w:r>
    </w:p>
    <w:p w14:paraId="76C16CE8" w14:textId="77777777" w:rsidR="002370F4" w:rsidRPr="00100E57" w:rsidRDefault="002370F4" w:rsidP="002370F4">
      <w:pPr>
        <w:pBdr>
          <w:top w:val="single" w:sz="2" w:space="6" w:color="auto"/>
          <w:left w:val="single" w:sz="2" w:space="4" w:color="auto"/>
          <w:bottom w:val="single" w:sz="2" w:space="6" w:color="auto"/>
          <w:right w:val="single" w:sz="2" w:space="4" w:color="auto"/>
        </w:pBdr>
        <w:jc w:val="left"/>
      </w:pPr>
      <w:r w:rsidRPr="005B7A88">
        <w:t>The most recent corporate plan for (Comcare) can be found at:</w:t>
      </w:r>
      <w:r>
        <w:t xml:space="preserve"> </w:t>
      </w:r>
      <w:hyperlink r:id="rId17" w:history="1">
        <w:r w:rsidRPr="002370F4">
          <w:rPr>
            <w:rStyle w:val="Hyperlink"/>
            <w:u w:val="single"/>
          </w:rPr>
          <w:t>http://www.comcare.gov.au/Forms_and_Publications/publications/corporate_publications/comcare_2018-22_corporate_plan</w:t>
        </w:r>
      </w:hyperlink>
      <w:r>
        <w:t>.</w:t>
      </w:r>
    </w:p>
    <w:p w14:paraId="76C16CE9" w14:textId="77777777" w:rsidR="002370F4" w:rsidRDefault="002370F4" w:rsidP="002370F4">
      <w:pPr>
        <w:pBdr>
          <w:top w:val="single" w:sz="2" w:space="6" w:color="auto"/>
          <w:left w:val="single" w:sz="2" w:space="4" w:color="auto"/>
          <w:bottom w:val="single" w:sz="2" w:space="6" w:color="auto"/>
          <w:right w:val="single" w:sz="2" w:space="4" w:color="auto"/>
        </w:pBdr>
        <w:jc w:val="left"/>
      </w:pPr>
      <w:r>
        <w:t>The most recent annual performance statement can be found at:</w:t>
      </w:r>
      <w:r w:rsidRPr="008469AE">
        <w:t xml:space="preserve"> </w:t>
      </w:r>
      <w:hyperlink r:id="rId18" w:history="1">
        <w:r w:rsidRPr="00693FFB">
          <w:rPr>
            <w:rStyle w:val="Hyperlink"/>
            <w:u w:val="single"/>
          </w:rPr>
          <w:t>http://www.comcare.gov.au/annual_report/performance_statements</w:t>
        </w:r>
      </w:hyperlink>
      <w:r>
        <w:t xml:space="preserve">. </w:t>
      </w:r>
    </w:p>
    <w:p w14:paraId="76C16CEA" w14:textId="77777777" w:rsidR="00DF0134" w:rsidRDefault="00DF0134" w:rsidP="00DF0134">
      <w:pPr>
        <w:rPr>
          <w:highlight w:val="yellow"/>
        </w:rPr>
      </w:pPr>
    </w:p>
    <w:p w14:paraId="76C16CEB" w14:textId="77777777" w:rsidR="00DF0134" w:rsidRDefault="00DF0134" w:rsidP="00DF0134">
      <w:pPr>
        <w:pStyle w:val="Heading3"/>
        <w:sectPr w:rsidR="00DF0134" w:rsidSect="0050346A">
          <w:headerReference w:type="even" r:id="rId19"/>
          <w:headerReference w:type="default" r:id="rId20"/>
          <w:headerReference w:type="first" r:id="rId21"/>
          <w:footerReference w:type="first" r:id="rId22"/>
          <w:type w:val="oddPage"/>
          <w:pgSz w:w="11906" w:h="16838" w:code="9"/>
          <w:pgMar w:top="2466" w:right="2098" w:bottom="2466" w:left="2098" w:header="1899" w:footer="1899" w:gutter="0"/>
          <w:cols w:space="708"/>
          <w:titlePg/>
          <w:docGrid w:linePitch="360"/>
        </w:sectPr>
      </w:pPr>
    </w:p>
    <w:p w14:paraId="76C16CEC" w14:textId="77777777" w:rsidR="00DF0134" w:rsidRPr="00F743D8" w:rsidRDefault="00DF0134" w:rsidP="00DF0134">
      <w:pPr>
        <w:pStyle w:val="Heading3"/>
      </w:pPr>
      <w:r>
        <w:lastRenderedPageBreak/>
        <w:t>2.1</w:t>
      </w:r>
      <w:r w:rsidRPr="00F743D8">
        <w:t xml:space="preserve"> </w:t>
      </w:r>
      <w:r w:rsidRPr="00F743D8">
        <w:tab/>
        <w:t xml:space="preserve">Budgeted expenses and performance for Outcome </w:t>
      </w:r>
      <w:r w:rsidR="009804D6">
        <w:t>1</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DF0134" w:rsidRPr="005E6F2B" w14:paraId="76C16CEE" w14:textId="77777777" w:rsidTr="002370F4">
        <w:tc>
          <w:tcPr>
            <w:tcW w:w="7596" w:type="dxa"/>
            <w:shd w:val="clear" w:color="auto" w:fill="E6E6E6"/>
          </w:tcPr>
          <w:p w14:paraId="76C16CED" w14:textId="77777777" w:rsidR="00DF0134" w:rsidRPr="005E6F2B" w:rsidRDefault="002370F4" w:rsidP="003E1107">
            <w:pPr>
              <w:pStyle w:val="TableColumnHeadingLeft"/>
            </w:pPr>
            <w:r w:rsidRPr="005E6F2B">
              <w:t xml:space="preserve">Outcome </w:t>
            </w:r>
            <w:r>
              <w:t>1</w:t>
            </w:r>
            <w:r w:rsidRPr="005E6F2B">
              <w:t xml:space="preserve">: </w:t>
            </w:r>
            <w:r>
              <w:t>Support participation and productivity through healthy and safe workplaces that minimise the impact of harm in th</w:t>
            </w:r>
            <w:r w:rsidR="00655112">
              <w:t>e workplaces covered by Comcare.</w:t>
            </w:r>
          </w:p>
        </w:tc>
      </w:tr>
    </w:tbl>
    <w:p w14:paraId="76C16CEF" w14:textId="77777777" w:rsidR="00DF0134" w:rsidRPr="005E6F2B" w:rsidRDefault="00DF0134" w:rsidP="00DF0134">
      <w:pPr>
        <w:pStyle w:val="NoSpacing"/>
      </w:pPr>
    </w:p>
    <w:p w14:paraId="76C16CF0" w14:textId="77777777" w:rsidR="00DF0134" w:rsidRPr="00446612" w:rsidRDefault="00DF0134" w:rsidP="00DF0134">
      <w:pPr>
        <w:pStyle w:val="Heading5"/>
      </w:pPr>
      <w:r w:rsidRPr="00446612">
        <w:t xml:space="preserve">Budgeted expenses for Outcome </w:t>
      </w:r>
      <w:r w:rsidR="0058710C">
        <w:t>1</w:t>
      </w:r>
    </w:p>
    <w:p w14:paraId="76C16CF1" w14:textId="77777777" w:rsidR="00655112" w:rsidRDefault="00655112" w:rsidP="00655112">
      <w:pPr>
        <w:pStyle w:val="TableHeading"/>
        <w:rPr>
          <w:rFonts w:ascii="Book Antiqua" w:hAnsi="Book Antiqua"/>
          <w:b w:val="0"/>
          <w:color w:val="auto"/>
          <w:lang w:val="en-AU" w:eastAsia="en-AU"/>
        </w:rPr>
      </w:pPr>
      <w:r w:rsidRPr="00D154DE">
        <w:rPr>
          <w:rFonts w:ascii="Book Antiqua" w:hAnsi="Book Antiqua"/>
          <w:b w:val="0"/>
          <w:color w:val="auto"/>
          <w:lang w:val="en-AU" w:eastAsia="en-AU"/>
        </w:rPr>
        <w:t>This table shows how much Comcare intends to spend (on an accrual basis) on</w:t>
      </w:r>
      <w:r w:rsidRPr="00D154DE">
        <w:rPr>
          <w:b w:val="0"/>
        </w:rPr>
        <w:t xml:space="preserve"> </w:t>
      </w:r>
      <w:r w:rsidRPr="00D154DE">
        <w:rPr>
          <w:rFonts w:ascii="Book Antiqua" w:hAnsi="Book Antiqua"/>
          <w:b w:val="0"/>
          <w:color w:val="auto"/>
          <w:lang w:val="en-AU" w:eastAsia="en-AU"/>
        </w:rPr>
        <w:t xml:space="preserve">achieving the outcome, broken down by program. </w:t>
      </w:r>
    </w:p>
    <w:p w14:paraId="76C16CF2" w14:textId="77777777" w:rsidR="00655112" w:rsidRDefault="00655112" w:rsidP="00DF0134">
      <w:pPr>
        <w:pStyle w:val="TableHeading"/>
      </w:pPr>
    </w:p>
    <w:p w14:paraId="76C16CF3" w14:textId="77777777" w:rsidR="00DF0134" w:rsidRDefault="00DF0134" w:rsidP="00DF0134">
      <w:pPr>
        <w:pStyle w:val="TableHeading"/>
        <w:rPr>
          <w:lang w:val="en-AU"/>
        </w:rPr>
      </w:pPr>
      <w:r>
        <w:t>Table 2.</w:t>
      </w:r>
      <w:r w:rsidR="00655112">
        <w:rPr>
          <w:lang w:val="en-AU"/>
        </w:rPr>
        <w:t>1</w:t>
      </w:r>
      <w:r>
        <w:t xml:space="preserve">.1: Budgeted expenses for Outcome </w:t>
      </w:r>
      <w:r w:rsidR="00655112">
        <w:rPr>
          <w:lang w:val="en-AU"/>
        </w:rPr>
        <w:t>1</w:t>
      </w:r>
    </w:p>
    <w:tbl>
      <w:tblPr>
        <w:tblW w:w="7734" w:type="dxa"/>
        <w:tblLook w:val="04A0" w:firstRow="1" w:lastRow="0" w:firstColumn="1" w:lastColumn="0" w:noHBand="0" w:noVBand="1"/>
      </w:tblPr>
      <w:tblGrid>
        <w:gridCol w:w="3387"/>
        <w:gridCol w:w="960"/>
        <w:gridCol w:w="840"/>
        <w:gridCol w:w="849"/>
        <w:gridCol w:w="849"/>
        <w:gridCol w:w="849"/>
      </w:tblGrid>
      <w:tr w:rsidR="00655112" w:rsidRPr="00655112" w14:paraId="76C16CF5" w14:textId="77777777" w:rsidTr="00693FFB">
        <w:trPr>
          <w:trHeight w:val="564"/>
        </w:trPr>
        <w:tc>
          <w:tcPr>
            <w:tcW w:w="7300" w:type="dxa"/>
            <w:gridSpan w:val="6"/>
            <w:tcBorders>
              <w:top w:val="single" w:sz="4" w:space="0" w:color="auto"/>
              <w:left w:val="nil"/>
              <w:bottom w:val="single" w:sz="4" w:space="0" w:color="auto"/>
              <w:right w:val="nil"/>
            </w:tcBorders>
            <w:shd w:val="clear" w:color="auto" w:fill="auto"/>
            <w:vAlign w:val="center"/>
            <w:hideMark/>
          </w:tcPr>
          <w:p w14:paraId="76C16CF4" w14:textId="77777777" w:rsidR="00655112" w:rsidRPr="00655112" w:rsidRDefault="00655112" w:rsidP="00655112">
            <w:pPr>
              <w:spacing w:after="0" w:line="240" w:lineRule="auto"/>
              <w:jc w:val="left"/>
              <w:rPr>
                <w:rFonts w:ascii="Arial" w:hAnsi="Arial" w:cs="Arial"/>
                <w:b/>
                <w:bCs/>
                <w:color w:val="000000"/>
                <w:sz w:val="16"/>
                <w:szCs w:val="16"/>
              </w:rPr>
            </w:pPr>
            <w:r w:rsidRPr="00655112">
              <w:rPr>
                <w:rFonts w:ascii="Arial" w:hAnsi="Arial" w:cs="Arial"/>
                <w:b/>
                <w:bCs/>
                <w:color w:val="000000"/>
                <w:sz w:val="16"/>
                <w:szCs w:val="16"/>
              </w:rPr>
              <w:t>Outcome 1: Support participation and productivity through healthy and safe workplaces that minimise the impact of harm in workplaces covered by Comcare.</w:t>
            </w:r>
          </w:p>
        </w:tc>
      </w:tr>
      <w:tr w:rsidR="00655112" w:rsidRPr="00655112" w14:paraId="76C16CFC" w14:textId="77777777" w:rsidTr="00693FFB">
        <w:trPr>
          <w:trHeight w:val="900"/>
        </w:trPr>
        <w:tc>
          <w:tcPr>
            <w:tcW w:w="3273" w:type="dxa"/>
            <w:tcBorders>
              <w:top w:val="nil"/>
              <w:left w:val="nil"/>
              <w:bottom w:val="nil"/>
              <w:right w:val="nil"/>
            </w:tcBorders>
            <w:shd w:val="clear" w:color="auto" w:fill="auto"/>
            <w:vAlign w:val="center"/>
            <w:hideMark/>
          </w:tcPr>
          <w:p w14:paraId="76C16CF6" w14:textId="77777777" w:rsidR="00655112" w:rsidRPr="00655112" w:rsidRDefault="00655112" w:rsidP="00655112">
            <w:pPr>
              <w:spacing w:after="0" w:line="240" w:lineRule="auto"/>
              <w:jc w:val="left"/>
              <w:rPr>
                <w:rFonts w:ascii="Arial" w:hAnsi="Arial" w:cs="Arial"/>
                <w:b/>
                <w:bCs/>
                <w:color w:val="000000"/>
                <w:sz w:val="16"/>
                <w:szCs w:val="16"/>
              </w:rPr>
            </w:pPr>
          </w:p>
        </w:tc>
        <w:tc>
          <w:tcPr>
            <w:tcW w:w="834" w:type="dxa"/>
            <w:tcBorders>
              <w:top w:val="nil"/>
              <w:left w:val="nil"/>
              <w:bottom w:val="nil"/>
              <w:right w:val="nil"/>
            </w:tcBorders>
            <w:shd w:val="clear" w:color="auto" w:fill="auto"/>
            <w:hideMark/>
          </w:tcPr>
          <w:p w14:paraId="76C16CF7" w14:textId="77777777" w:rsidR="00655112" w:rsidRPr="00655112" w:rsidRDefault="009A4174" w:rsidP="00655112">
            <w:pPr>
              <w:spacing w:after="0" w:line="240" w:lineRule="auto"/>
              <w:jc w:val="right"/>
              <w:rPr>
                <w:rFonts w:ascii="Arial" w:hAnsi="Arial" w:cs="Arial"/>
                <w:sz w:val="16"/>
                <w:szCs w:val="16"/>
              </w:rPr>
            </w:pPr>
            <w:r>
              <w:rPr>
                <w:rFonts w:ascii="Arial" w:hAnsi="Arial" w:cs="Arial"/>
                <w:sz w:val="16"/>
                <w:szCs w:val="16"/>
              </w:rPr>
              <w:t xml:space="preserve">2018–19 </w:t>
            </w:r>
            <w:r w:rsidR="00655112" w:rsidRPr="00655112">
              <w:rPr>
                <w:rFonts w:ascii="Arial" w:hAnsi="Arial" w:cs="Arial"/>
                <w:sz w:val="16"/>
                <w:szCs w:val="16"/>
              </w:rPr>
              <w:t xml:space="preserve"> Estimated actual</w:t>
            </w:r>
            <w:r w:rsidR="00655112" w:rsidRPr="00655112">
              <w:rPr>
                <w:rFonts w:ascii="Arial" w:hAnsi="Arial" w:cs="Arial"/>
                <w:sz w:val="16"/>
                <w:szCs w:val="16"/>
              </w:rPr>
              <w:br/>
              <w:t>$'000</w:t>
            </w:r>
          </w:p>
        </w:tc>
        <w:tc>
          <w:tcPr>
            <w:tcW w:w="796" w:type="dxa"/>
            <w:tcBorders>
              <w:top w:val="nil"/>
              <w:left w:val="nil"/>
              <w:bottom w:val="nil"/>
              <w:right w:val="nil"/>
            </w:tcBorders>
            <w:shd w:val="clear" w:color="000000" w:fill="E6E6E6"/>
            <w:hideMark/>
          </w:tcPr>
          <w:p w14:paraId="76C16CF8" w14:textId="77777777" w:rsidR="00655112" w:rsidRPr="00655112" w:rsidRDefault="009A4174" w:rsidP="00655112">
            <w:pPr>
              <w:spacing w:after="0" w:line="240" w:lineRule="auto"/>
              <w:jc w:val="right"/>
              <w:rPr>
                <w:rFonts w:ascii="Arial" w:hAnsi="Arial" w:cs="Arial"/>
                <w:sz w:val="16"/>
                <w:szCs w:val="16"/>
              </w:rPr>
            </w:pPr>
            <w:r>
              <w:rPr>
                <w:rFonts w:ascii="Arial" w:hAnsi="Arial" w:cs="Arial"/>
                <w:sz w:val="16"/>
                <w:szCs w:val="16"/>
              </w:rPr>
              <w:t>2019–20</w:t>
            </w:r>
            <w:r w:rsidR="00655112" w:rsidRPr="00655112">
              <w:rPr>
                <w:rFonts w:ascii="Arial" w:hAnsi="Arial" w:cs="Arial"/>
                <w:sz w:val="16"/>
                <w:szCs w:val="16"/>
              </w:rPr>
              <w:br/>
              <w:t>Budget</w:t>
            </w:r>
            <w:r w:rsidR="00655112" w:rsidRPr="00655112">
              <w:rPr>
                <w:rFonts w:ascii="Arial" w:hAnsi="Arial" w:cs="Arial"/>
                <w:sz w:val="16"/>
                <w:szCs w:val="16"/>
              </w:rPr>
              <w:br/>
            </w:r>
            <w:r w:rsidR="00655112" w:rsidRPr="00655112">
              <w:rPr>
                <w:rFonts w:ascii="Arial" w:hAnsi="Arial" w:cs="Arial"/>
                <w:sz w:val="16"/>
                <w:szCs w:val="16"/>
              </w:rPr>
              <w:br/>
              <w:t>$'000</w:t>
            </w:r>
          </w:p>
        </w:tc>
        <w:tc>
          <w:tcPr>
            <w:tcW w:w="799" w:type="dxa"/>
            <w:tcBorders>
              <w:top w:val="nil"/>
              <w:left w:val="nil"/>
              <w:bottom w:val="nil"/>
              <w:right w:val="nil"/>
            </w:tcBorders>
            <w:shd w:val="clear" w:color="auto" w:fill="auto"/>
            <w:hideMark/>
          </w:tcPr>
          <w:p w14:paraId="76C16CF9" w14:textId="71E3271E" w:rsidR="00655112" w:rsidRPr="00655112" w:rsidRDefault="00014C66" w:rsidP="00655112">
            <w:pPr>
              <w:spacing w:after="0" w:line="240" w:lineRule="auto"/>
              <w:jc w:val="right"/>
              <w:rPr>
                <w:rFonts w:ascii="Arial" w:hAnsi="Arial" w:cs="Arial"/>
                <w:sz w:val="16"/>
                <w:szCs w:val="16"/>
              </w:rPr>
            </w:pPr>
            <w:r>
              <w:rPr>
                <w:rFonts w:ascii="Arial" w:hAnsi="Arial" w:cs="Arial"/>
                <w:sz w:val="16"/>
                <w:szCs w:val="16"/>
              </w:rPr>
              <w:t>2020–21</w:t>
            </w:r>
            <w:r w:rsidR="00655112" w:rsidRPr="00655112">
              <w:rPr>
                <w:rFonts w:ascii="Arial" w:hAnsi="Arial" w:cs="Arial"/>
                <w:sz w:val="16"/>
                <w:szCs w:val="16"/>
              </w:rPr>
              <w:t xml:space="preserve"> Forward estimate</w:t>
            </w:r>
            <w:r w:rsidR="00655112" w:rsidRPr="00655112">
              <w:rPr>
                <w:rFonts w:ascii="Arial" w:hAnsi="Arial" w:cs="Arial"/>
                <w:sz w:val="16"/>
                <w:szCs w:val="16"/>
              </w:rPr>
              <w:br/>
              <w:t>$'000</w:t>
            </w:r>
          </w:p>
        </w:tc>
        <w:tc>
          <w:tcPr>
            <w:tcW w:w="799" w:type="dxa"/>
            <w:tcBorders>
              <w:top w:val="nil"/>
              <w:left w:val="nil"/>
              <w:bottom w:val="nil"/>
              <w:right w:val="nil"/>
            </w:tcBorders>
            <w:shd w:val="clear" w:color="auto" w:fill="auto"/>
            <w:hideMark/>
          </w:tcPr>
          <w:p w14:paraId="76C16CFA" w14:textId="77777777" w:rsidR="00655112" w:rsidRPr="00655112" w:rsidRDefault="009A4174" w:rsidP="00655112">
            <w:pPr>
              <w:spacing w:after="0" w:line="240" w:lineRule="auto"/>
              <w:jc w:val="right"/>
              <w:rPr>
                <w:rFonts w:ascii="Arial" w:hAnsi="Arial" w:cs="Arial"/>
                <w:sz w:val="16"/>
                <w:szCs w:val="16"/>
              </w:rPr>
            </w:pPr>
            <w:r>
              <w:rPr>
                <w:rFonts w:ascii="Arial" w:hAnsi="Arial" w:cs="Arial"/>
                <w:sz w:val="16"/>
                <w:szCs w:val="16"/>
              </w:rPr>
              <w:t>2021–22</w:t>
            </w:r>
            <w:r w:rsidR="00655112" w:rsidRPr="00655112">
              <w:rPr>
                <w:rFonts w:ascii="Arial" w:hAnsi="Arial" w:cs="Arial"/>
                <w:sz w:val="16"/>
                <w:szCs w:val="16"/>
              </w:rPr>
              <w:t xml:space="preserve"> Forward estimate</w:t>
            </w:r>
            <w:r w:rsidR="00655112" w:rsidRPr="00655112">
              <w:rPr>
                <w:rFonts w:ascii="Arial" w:hAnsi="Arial" w:cs="Arial"/>
                <w:sz w:val="16"/>
                <w:szCs w:val="16"/>
              </w:rPr>
              <w:br/>
              <w:t>$'000</w:t>
            </w:r>
          </w:p>
        </w:tc>
        <w:tc>
          <w:tcPr>
            <w:tcW w:w="799" w:type="dxa"/>
            <w:tcBorders>
              <w:top w:val="nil"/>
              <w:left w:val="nil"/>
              <w:bottom w:val="nil"/>
              <w:right w:val="nil"/>
            </w:tcBorders>
            <w:shd w:val="clear" w:color="auto" w:fill="auto"/>
            <w:hideMark/>
          </w:tcPr>
          <w:p w14:paraId="76C16CFB" w14:textId="77777777" w:rsidR="00655112" w:rsidRPr="00655112" w:rsidRDefault="009A4174" w:rsidP="00655112">
            <w:pPr>
              <w:spacing w:after="0" w:line="240" w:lineRule="auto"/>
              <w:jc w:val="right"/>
              <w:rPr>
                <w:rFonts w:ascii="Arial" w:hAnsi="Arial" w:cs="Arial"/>
                <w:sz w:val="16"/>
                <w:szCs w:val="16"/>
              </w:rPr>
            </w:pPr>
            <w:r>
              <w:rPr>
                <w:rFonts w:ascii="Arial" w:hAnsi="Arial" w:cs="Arial"/>
                <w:sz w:val="16"/>
                <w:szCs w:val="16"/>
              </w:rPr>
              <w:t>2022–23</w:t>
            </w:r>
            <w:r w:rsidR="00655112" w:rsidRPr="00655112">
              <w:rPr>
                <w:rFonts w:ascii="Arial" w:hAnsi="Arial" w:cs="Arial"/>
                <w:sz w:val="16"/>
                <w:szCs w:val="16"/>
              </w:rPr>
              <w:br/>
              <w:t>Forward estimate</w:t>
            </w:r>
            <w:r w:rsidR="00655112" w:rsidRPr="00655112">
              <w:rPr>
                <w:rFonts w:ascii="Arial" w:hAnsi="Arial" w:cs="Arial"/>
                <w:sz w:val="16"/>
                <w:szCs w:val="16"/>
              </w:rPr>
              <w:br/>
              <w:t>$'000</w:t>
            </w:r>
          </w:p>
        </w:tc>
      </w:tr>
      <w:tr w:rsidR="00655112" w:rsidRPr="00655112" w14:paraId="76C16CFE" w14:textId="77777777" w:rsidTr="00693FFB">
        <w:trPr>
          <w:trHeight w:val="225"/>
        </w:trPr>
        <w:tc>
          <w:tcPr>
            <w:tcW w:w="7300" w:type="dxa"/>
            <w:gridSpan w:val="6"/>
            <w:tcBorders>
              <w:top w:val="single" w:sz="4" w:space="0" w:color="auto"/>
              <w:left w:val="nil"/>
              <w:bottom w:val="single" w:sz="4" w:space="0" w:color="auto"/>
              <w:right w:val="nil"/>
            </w:tcBorders>
            <w:shd w:val="clear" w:color="000000" w:fill="E6E6E6"/>
            <w:vAlign w:val="center"/>
            <w:hideMark/>
          </w:tcPr>
          <w:p w14:paraId="76C16CFD" w14:textId="77777777" w:rsidR="00655112" w:rsidRPr="00655112" w:rsidRDefault="00655112" w:rsidP="00655112">
            <w:pPr>
              <w:spacing w:after="0" w:line="240" w:lineRule="auto"/>
              <w:jc w:val="left"/>
              <w:rPr>
                <w:rFonts w:ascii="Arial" w:hAnsi="Arial" w:cs="Arial"/>
                <w:b/>
                <w:bCs/>
                <w:sz w:val="16"/>
                <w:szCs w:val="16"/>
              </w:rPr>
            </w:pPr>
            <w:r w:rsidRPr="00655112">
              <w:rPr>
                <w:rFonts w:ascii="Arial" w:hAnsi="Arial" w:cs="Arial"/>
                <w:b/>
                <w:bCs/>
                <w:sz w:val="16"/>
                <w:szCs w:val="16"/>
              </w:rPr>
              <w:t>Program 1.1: Comcare Departmental</w:t>
            </w:r>
          </w:p>
        </w:tc>
      </w:tr>
      <w:tr w:rsidR="00655112" w:rsidRPr="00655112" w14:paraId="76C16D05" w14:textId="77777777" w:rsidTr="00693FFB">
        <w:trPr>
          <w:trHeight w:val="225"/>
        </w:trPr>
        <w:tc>
          <w:tcPr>
            <w:tcW w:w="3273" w:type="dxa"/>
            <w:tcBorders>
              <w:top w:val="nil"/>
              <w:left w:val="nil"/>
              <w:bottom w:val="nil"/>
              <w:right w:val="nil"/>
            </w:tcBorders>
            <w:shd w:val="clear" w:color="auto" w:fill="auto"/>
            <w:noWrap/>
            <w:vAlign w:val="center"/>
            <w:hideMark/>
          </w:tcPr>
          <w:p w14:paraId="76C16CFF" w14:textId="77777777" w:rsidR="00655112" w:rsidRPr="005A0812" w:rsidRDefault="00655112" w:rsidP="005A0812">
            <w:pPr>
              <w:spacing w:after="0" w:line="240" w:lineRule="auto"/>
              <w:ind w:left="180" w:hanging="180"/>
              <w:jc w:val="left"/>
              <w:rPr>
                <w:rFonts w:ascii="Arial" w:hAnsi="Arial" w:cs="Arial"/>
                <w:bCs/>
                <w:sz w:val="16"/>
                <w:szCs w:val="16"/>
              </w:rPr>
            </w:pPr>
            <w:r w:rsidRPr="005A0812">
              <w:rPr>
                <w:rFonts w:ascii="Arial" w:hAnsi="Arial" w:cs="Arial"/>
                <w:bCs/>
                <w:sz w:val="16"/>
                <w:szCs w:val="16"/>
              </w:rPr>
              <w:t>Revenue from Government</w:t>
            </w:r>
          </w:p>
        </w:tc>
        <w:tc>
          <w:tcPr>
            <w:tcW w:w="834" w:type="dxa"/>
            <w:tcBorders>
              <w:top w:val="nil"/>
              <w:left w:val="nil"/>
              <w:bottom w:val="nil"/>
              <w:right w:val="nil"/>
            </w:tcBorders>
            <w:shd w:val="clear" w:color="auto" w:fill="auto"/>
            <w:noWrap/>
            <w:vAlign w:val="center"/>
            <w:hideMark/>
          </w:tcPr>
          <w:p w14:paraId="76C16D00" w14:textId="77777777" w:rsidR="00655112" w:rsidRPr="00655112" w:rsidRDefault="00655112" w:rsidP="00655112">
            <w:pPr>
              <w:spacing w:after="0" w:line="240" w:lineRule="auto"/>
              <w:jc w:val="left"/>
              <w:rPr>
                <w:rFonts w:ascii="Arial" w:hAnsi="Arial" w:cs="Arial"/>
                <w:sz w:val="16"/>
                <w:szCs w:val="16"/>
              </w:rPr>
            </w:pPr>
          </w:p>
        </w:tc>
        <w:tc>
          <w:tcPr>
            <w:tcW w:w="796" w:type="dxa"/>
            <w:tcBorders>
              <w:top w:val="nil"/>
              <w:left w:val="nil"/>
              <w:bottom w:val="nil"/>
              <w:right w:val="nil"/>
            </w:tcBorders>
            <w:shd w:val="clear" w:color="000000" w:fill="E6E6E6"/>
            <w:noWrap/>
            <w:vAlign w:val="center"/>
            <w:hideMark/>
          </w:tcPr>
          <w:p w14:paraId="76C16D01"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w:t>
            </w:r>
          </w:p>
        </w:tc>
        <w:tc>
          <w:tcPr>
            <w:tcW w:w="799" w:type="dxa"/>
            <w:tcBorders>
              <w:top w:val="nil"/>
              <w:left w:val="nil"/>
              <w:bottom w:val="nil"/>
              <w:right w:val="nil"/>
            </w:tcBorders>
            <w:shd w:val="clear" w:color="auto" w:fill="auto"/>
            <w:noWrap/>
            <w:vAlign w:val="center"/>
            <w:hideMark/>
          </w:tcPr>
          <w:p w14:paraId="76C16D02" w14:textId="77777777" w:rsidR="00655112" w:rsidRPr="00655112" w:rsidRDefault="00655112" w:rsidP="00655112">
            <w:pPr>
              <w:spacing w:after="0" w:line="240" w:lineRule="auto"/>
              <w:jc w:val="right"/>
              <w:rPr>
                <w:rFonts w:ascii="Arial" w:hAnsi="Arial" w:cs="Arial"/>
                <w:sz w:val="16"/>
                <w:szCs w:val="16"/>
              </w:rPr>
            </w:pPr>
          </w:p>
        </w:tc>
        <w:tc>
          <w:tcPr>
            <w:tcW w:w="799" w:type="dxa"/>
            <w:tcBorders>
              <w:top w:val="nil"/>
              <w:left w:val="nil"/>
              <w:bottom w:val="nil"/>
              <w:right w:val="nil"/>
            </w:tcBorders>
            <w:shd w:val="clear" w:color="auto" w:fill="auto"/>
            <w:noWrap/>
            <w:vAlign w:val="center"/>
            <w:hideMark/>
          </w:tcPr>
          <w:p w14:paraId="76C16D03" w14:textId="77777777" w:rsidR="00655112" w:rsidRPr="00655112" w:rsidRDefault="00655112" w:rsidP="00655112">
            <w:pPr>
              <w:spacing w:after="0" w:line="240" w:lineRule="auto"/>
              <w:jc w:val="left"/>
              <w:rPr>
                <w:rFonts w:ascii="Times New Roman" w:hAnsi="Times New Roman"/>
              </w:rPr>
            </w:pPr>
          </w:p>
        </w:tc>
        <w:tc>
          <w:tcPr>
            <w:tcW w:w="799" w:type="dxa"/>
            <w:tcBorders>
              <w:top w:val="nil"/>
              <w:left w:val="nil"/>
              <w:bottom w:val="nil"/>
              <w:right w:val="nil"/>
            </w:tcBorders>
            <w:shd w:val="clear" w:color="auto" w:fill="auto"/>
            <w:noWrap/>
            <w:vAlign w:val="center"/>
            <w:hideMark/>
          </w:tcPr>
          <w:p w14:paraId="76C16D04" w14:textId="77777777" w:rsidR="00655112" w:rsidRPr="00655112" w:rsidRDefault="00655112" w:rsidP="00655112">
            <w:pPr>
              <w:spacing w:after="0" w:line="240" w:lineRule="auto"/>
              <w:jc w:val="left"/>
              <w:rPr>
                <w:rFonts w:ascii="Times New Roman" w:hAnsi="Times New Roman"/>
              </w:rPr>
            </w:pPr>
          </w:p>
        </w:tc>
      </w:tr>
      <w:tr w:rsidR="00655112" w:rsidRPr="00655112" w14:paraId="76C16D0C" w14:textId="77777777" w:rsidTr="00693FFB">
        <w:trPr>
          <w:trHeight w:val="450"/>
        </w:trPr>
        <w:tc>
          <w:tcPr>
            <w:tcW w:w="3273" w:type="dxa"/>
            <w:tcBorders>
              <w:top w:val="nil"/>
              <w:left w:val="nil"/>
              <w:bottom w:val="nil"/>
              <w:right w:val="nil"/>
            </w:tcBorders>
            <w:shd w:val="clear" w:color="auto" w:fill="auto"/>
            <w:vAlign w:val="center"/>
            <w:hideMark/>
          </w:tcPr>
          <w:p w14:paraId="76C16D06" w14:textId="77777777" w:rsidR="00655112" w:rsidRPr="005A0812" w:rsidRDefault="00655112" w:rsidP="005A0812">
            <w:pPr>
              <w:spacing w:after="0" w:line="240" w:lineRule="auto"/>
              <w:ind w:left="316" w:hanging="142"/>
              <w:jc w:val="left"/>
              <w:rPr>
                <w:rFonts w:ascii="Arial" w:hAnsi="Arial" w:cs="Arial"/>
                <w:color w:val="000000"/>
                <w:sz w:val="16"/>
                <w:szCs w:val="16"/>
              </w:rPr>
            </w:pPr>
            <w:r w:rsidRPr="005A0812">
              <w:rPr>
                <w:rFonts w:ascii="Arial" w:hAnsi="Arial" w:cs="Arial"/>
                <w:color w:val="000000"/>
                <w:sz w:val="16"/>
                <w:szCs w:val="16"/>
              </w:rPr>
              <w:t>Ordinary annual services</w:t>
            </w:r>
            <w:r w:rsidR="005A0812">
              <w:rPr>
                <w:rFonts w:ascii="Arial" w:hAnsi="Arial" w:cs="Arial"/>
                <w:color w:val="000000"/>
                <w:sz w:val="16"/>
                <w:szCs w:val="16"/>
              </w:rPr>
              <w:t xml:space="preserve"> (Appropriation </w:t>
            </w:r>
            <w:r w:rsidRPr="005A0812">
              <w:rPr>
                <w:rFonts w:ascii="Arial" w:hAnsi="Arial" w:cs="Arial"/>
                <w:color w:val="000000"/>
                <w:sz w:val="16"/>
                <w:szCs w:val="16"/>
              </w:rPr>
              <w:t>Bill No. 1)</w:t>
            </w:r>
          </w:p>
        </w:tc>
        <w:tc>
          <w:tcPr>
            <w:tcW w:w="834" w:type="dxa"/>
            <w:tcBorders>
              <w:top w:val="nil"/>
              <w:left w:val="nil"/>
              <w:bottom w:val="nil"/>
              <w:right w:val="nil"/>
            </w:tcBorders>
            <w:shd w:val="clear" w:color="auto" w:fill="auto"/>
            <w:noWrap/>
            <w:vAlign w:val="center"/>
            <w:hideMark/>
          </w:tcPr>
          <w:p w14:paraId="76C16D07" w14:textId="77777777" w:rsidR="00655112" w:rsidRPr="00655112" w:rsidRDefault="00655112" w:rsidP="00655112">
            <w:pPr>
              <w:spacing w:after="0" w:line="240" w:lineRule="auto"/>
              <w:jc w:val="right"/>
              <w:rPr>
                <w:rFonts w:ascii="Arial" w:hAnsi="Arial" w:cs="Arial"/>
                <w:color w:val="000000"/>
                <w:sz w:val="16"/>
                <w:szCs w:val="16"/>
              </w:rPr>
            </w:pPr>
            <w:r w:rsidRPr="00655112">
              <w:rPr>
                <w:rFonts w:ascii="Arial" w:hAnsi="Arial" w:cs="Arial"/>
                <w:color w:val="000000"/>
                <w:sz w:val="16"/>
                <w:szCs w:val="16"/>
              </w:rPr>
              <w:t xml:space="preserve">5,989 </w:t>
            </w:r>
          </w:p>
        </w:tc>
        <w:tc>
          <w:tcPr>
            <w:tcW w:w="796" w:type="dxa"/>
            <w:tcBorders>
              <w:top w:val="nil"/>
              <w:left w:val="nil"/>
              <w:bottom w:val="nil"/>
              <w:right w:val="nil"/>
            </w:tcBorders>
            <w:shd w:val="clear" w:color="000000" w:fill="E6E6E6"/>
            <w:noWrap/>
            <w:vAlign w:val="center"/>
            <w:hideMark/>
          </w:tcPr>
          <w:p w14:paraId="76C16D08"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5,989 </w:t>
            </w:r>
          </w:p>
        </w:tc>
        <w:tc>
          <w:tcPr>
            <w:tcW w:w="799" w:type="dxa"/>
            <w:tcBorders>
              <w:top w:val="nil"/>
              <w:left w:val="nil"/>
              <w:bottom w:val="nil"/>
              <w:right w:val="nil"/>
            </w:tcBorders>
            <w:shd w:val="clear" w:color="auto" w:fill="auto"/>
            <w:noWrap/>
            <w:vAlign w:val="center"/>
            <w:hideMark/>
          </w:tcPr>
          <w:p w14:paraId="76C16D09"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6,028 </w:t>
            </w:r>
          </w:p>
        </w:tc>
        <w:tc>
          <w:tcPr>
            <w:tcW w:w="799" w:type="dxa"/>
            <w:tcBorders>
              <w:top w:val="nil"/>
              <w:left w:val="nil"/>
              <w:bottom w:val="nil"/>
              <w:right w:val="nil"/>
            </w:tcBorders>
            <w:shd w:val="clear" w:color="auto" w:fill="auto"/>
            <w:noWrap/>
            <w:vAlign w:val="center"/>
            <w:hideMark/>
          </w:tcPr>
          <w:p w14:paraId="76C16D0A"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6,069 </w:t>
            </w:r>
          </w:p>
        </w:tc>
        <w:tc>
          <w:tcPr>
            <w:tcW w:w="799" w:type="dxa"/>
            <w:tcBorders>
              <w:top w:val="nil"/>
              <w:left w:val="nil"/>
              <w:bottom w:val="nil"/>
              <w:right w:val="nil"/>
            </w:tcBorders>
            <w:shd w:val="clear" w:color="auto" w:fill="auto"/>
            <w:noWrap/>
            <w:vAlign w:val="center"/>
            <w:hideMark/>
          </w:tcPr>
          <w:p w14:paraId="76C16D0B"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6,110 </w:t>
            </w:r>
          </w:p>
        </w:tc>
      </w:tr>
      <w:tr w:rsidR="00655112" w:rsidRPr="00655112" w14:paraId="76C16D13" w14:textId="77777777" w:rsidTr="00693FFB">
        <w:trPr>
          <w:trHeight w:val="225"/>
        </w:trPr>
        <w:tc>
          <w:tcPr>
            <w:tcW w:w="3273" w:type="dxa"/>
            <w:tcBorders>
              <w:top w:val="nil"/>
              <w:left w:val="nil"/>
              <w:bottom w:val="nil"/>
              <w:right w:val="nil"/>
            </w:tcBorders>
            <w:shd w:val="clear" w:color="auto" w:fill="auto"/>
            <w:noWrap/>
            <w:vAlign w:val="center"/>
            <w:hideMark/>
          </w:tcPr>
          <w:p w14:paraId="76C16D0D" w14:textId="77777777" w:rsidR="00655112" w:rsidRPr="005A0812" w:rsidRDefault="00655112" w:rsidP="005A0812">
            <w:pPr>
              <w:spacing w:after="0" w:line="240" w:lineRule="auto"/>
              <w:ind w:left="316" w:hanging="142"/>
              <w:jc w:val="left"/>
              <w:rPr>
                <w:rFonts w:ascii="Arial" w:hAnsi="Arial" w:cs="Arial"/>
                <w:color w:val="000000"/>
                <w:sz w:val="16"/>
                <w:szCs w:val="16"/>
              </w:rPr>
            </w:pPr>
            <w:r w:rsidRPr="005A0812">
              <w:rPr>
                <w:rFonts w:ascii="Arial" w:hAnsi="Arial" w:cs="Arial"/>
                <w:color w:val="000000"/>
                <w:sz w:val="16"/>
                <w:szCs w:val="16"/>
              </w:rPr>
              <w:t>Grants received from portfolio department</w:t>
            </w:r>
          </w:p>
        </w:tc>
        <w:tc>
          <w:tcPr>
            <w:tcW w:w="834" w:type="dxa"/>
            <w:tcBorders>
              <w:top w:val="nil"/>
              <w:left w:val="nil"/>
              <w:bottom w:val="nil"/>
              <w:right w:val="nil"/>
            </w:tcBorders>
            <w:shd w:val="clear" w:color="auto" w:fill="auto"/>
            <w:noWrap/>
            <w:vAlign w:val="center"/>
            <w:hideMark/>
          </w:tcPr>
          <w:p w14:paraId="76C16D0E" w14:textId="77777777" w:rsidR="00655112" w:rsidRPr="00655112" w:rsidRDefault="00655112" w:rsidP="00655112">
            <w:pPr>
              <w:spacing w:after="0" w:line="240" w:lineRule="auto"/>
              <w:jc w:val="right"/>
              <w:rPr>
                <w:rFonts w:ascii="Arial" w:hAnsi="Arial" w:cs="Arial"/>
                <w:color w:val="000000"/>
                <w:sz w:val="16"/>
                <w:szCs w:val="16"/>
              </w:rPr>
            </w:pPr>
            <w:r w:rsidRPr="00655112">
              <w:rPr>
                <w:rFonts w:ascii="Arial" w:hAnsi="Arial" w:cs="Arial"/>
                <w:color w:val="000000"/>
                <w:sz w:val="16"/>
                <w:szCs w:val="16"/>
              </w:rPr>
              <w:t xml:space="preserve">60,083 </w:t>
            </w:r>
          </w:p>
        </w:tc>
        <w:tc>
          <w:tcPr>
            <w:tcW w:w="796" w:type="dxa"/>
            <w:tcBorders>
              <w:top w:val="nil"/>
              <w:left w:val="nil"/>
              <w:bottom w:val="nil"/>
              <w:right w:val="nil"/>
            </w:tcBorders>
            <w:shd w:val="clear" w:color="000000" w:fill="E6E6E6"/>
            <w:noWrap/>
            <w:vAlign w:val="center"/>
            <w:hideMark/>
          </w:tcPr>
          <w:p w14:paraId="76C16D0F"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55,188 </w:t>
            </w:r>
          </w:p>
        </w:tc>
        <w:tc>
          <w:tcPr>
            <w:tcW w:w="799" w:type="dxa"/>
            <w:tcBorders>
              <w:top w:val="nil"/>
              <w:left w:val="nil"/>
              <w:bottom w:val="nil"/>
              <w:right w:val="nil"/>
            </w:tcBorders>
            <w:shd w:val="clear" w:color="auto" w:fill="auto"/>
            <w:noWrap/>
            <w:vAlign w:val="center"/>
            <w:hideMark/>
          </w:tcPr>
          <w:p w14:paraId="76C16D10"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54,885 </w:t>
            </w:r>
          </w:p>
        </w:tc>
        <w:tc>
          <w:tcPr>
            <w:tcW w:w="799" w:type="dxa"/>
            <w:tcBorders>
              <w:top w:val="nil"/>
              <w:left w:val="nil"/>
              <w:bottom w:val="nil"/>
              <w:right w:val="nil"/>
            </w:tcBorders>
            <w:shd w:val="clear" w:color="auto" w:fill="auto"/>
            <w:noWrap/>
            <w:vAlign w:val="center"/>
            <w:hideMark/>
          </w:tcPr>
          <w:p w14:paraId="76C16D11"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54,632 </w:t>
            </w:r>
          </w:p>
        </w:tc>
        <w:tc>
          <w:tcPr>
            <w:tcW w:w="799" w:type="dxa"/>
            <w:tcBorders>
              <w:top w:val="nil"/>
              <w:left w:val="nil"/>
              <w:bottom w:val="nil"/>
              <w:right w:val="nil"/>
            </w:tcBorders>
            <w:shd w:val="clear" w:color="auto" w:fill="auto"/>
            <w:noWrap/>
            <w:vAlign w:val="center"/>
            <w:hideMark/>
          </w:tcPr>
          <w:p w14:paraId="76C16D12"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53,819 </w:t>
            </w:r>
          </w:p>
        </w:tc>
      </w:tr>
      <w:tr w:rsidR="00655112" w:rsidRPr="00655112" w14:paraId="76C16D1A" w14:textId="77777777" w:rsidTr="00693FFB">
        <w:trPr>
          <w:trHeight w:val="225"/>
        </w:trPr>
        <w:tc>
          <w:tcPr>
            <w:tcW w:w="3273" w:type="dxa"/>
            <w:tcBorders>
              <w:top w:val="nil"/>
              <w:left w:val="nil"/>
              <w:bottom w:val="nil"/>
              <w:right w:val="nil"/>
            </w:tcBorders>
            <w:shd w:val="clear" w:color="auto" w:fill="auto"/>
            <w:noWrap/>
            <w:vAlign w:val="center"/>
            <w:hideMark/>
          </w:tcPr>
          <w:p w14:paraId="76C16D14" w14:textId="77777777" w:rsidR="00655112" w:rsidRPr="005A0812" w:rsidRDefault="00655112" w:rsidP="005A0812">
            <w:pPr>
              <w:spacing w:after="0" w:line="240" w:lineRule="auto"/>
              <w:ind w:left="180" w:hanging="180"/>
              <w:jc w:val="left"/>
              <w:rPr>
                <w:rFonts w:ascii="Arial" w:hAnsi="Arial" w:cs="Arial"/>
                <w:bCs/>
                <w:sz w:val="16"/>
                <w:szCs w:val="16"/>
              </w:rPr>
            </w:pPr>
            <w:r w:rsidRPr="005A0812">
              <w:rPr>
                <w:rFonts w:ascii="Arial" w:hAnsi="Arial" w:cs="Arial"/>
                <w:bCs/>
                <w:sz w:val="16"/>
                <w:szCs w:val="16"/>
              </w:rPr>
              <w:t xml:space="preserve">Revenues from industry sources </w:t>
            </w:r>
          </w:p>
        </w:tc>
        <w:tc>
          <w:tcPr>
            <w:tcW w:w="834" w:type="dxa"/>
            <w:tcBorders>
              <w:top w:val="nil"/>
              <w:left w:val="nil"/>
              <w:bottom w:val="nil"/>
              <w:right w:val="nil"/>
            </w:tcBorders>
            <w:shd w:val="clear" w:color="auto" w:fill="auto"/>
            <w:noWrap/>
            <w:vAlign w:val="center"/>
            <w:hideMark/>
          </w:tcPr>
          <w:p w14:paraId="76C16D15" w14:textId="77777777" w:rsidR="00655112" w:rsidRPr="00655112" w:rsidRDefault="00655112" w:rsidP="00655112">
            <w:pPr>
              <w:spacing w:after="0" w:line="240" w:lineRule="auto"/>
              <w:jc w:val="right"/>
              <w:rPr>
                <w:rFonts w:ascii="Arial" w:hAnsi="Arial" w:cs="Arial"/>
                <w:color w:val="000000"/>
                <w:sz w:val="16"/>
                <w:szCs w:val="16"/>
              </w:rPr>
            </w:pPr>
            <w:r w:rsidRPr="00655112">
              <w:rPr>
                <w:rFonts w:ascii="Arial" w:hAnsi="Arial" w:cs="Arial"/>
                <w:color w:val="000000"/>
                <w:sz w:val="16"/>
                <w:szCs w:val="16"/>
              </w:rPr>
              <w:t xml:space="preserve">15,998 </w:t>
            </w:r>
          </w:p>
        </w:tc>
        <w:tc>
          <w:tcPr>
            <w:tcW w:w="796" w:type="dxa"/>
            <w:tcBorders>
              <w:top w:val="nil"/>
              <w:left w:val="nil"/>
              <w:bottom w:val="nil"/>
              <w:right w:val="nil"/>
            </w:tcBorders>
            <w:shd w:val="clear" w:color="000000" w:fill="E6E6E6"/>
            <w:noWrap/>
            <w:vAlign w:val="center"/>
            <w:hideMark/>
          </w:tcPr>
          <w:p w14:paraId="76C16D16"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16,298 </w:t>
            </w:r>
          </w:p>
        </w:tc>
        <w:tc>
          <w:tcPr>
            <w:tcW w:w="799" w:type="dxa"/>
            <w:tcBorders>
              <w:top w:val="nil"/>
              <w:left w:val="nil"/>
              <w:bottom w:val="nil"/>
              <w:right w:val="nil"/>
            </w:tcBorders>
            <w:shd w:val="clear" w:color="auto" w:fill="auto"/>
            <w:noWrap/>
            <w:vAlign w:val="center"/>
            <w:hideMark/>
          </w:tcPr>
          <w:p w14:paraId="76C16D17"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16,955 </w:t>
            </w:r>
          </w:p>
        </w:tc>
        <w:tc>
          <w:tcPr>
            <w:tcW w:w="799" w:type="dxa"/>
            <w:tcBorders>
              <w:top w:val="nil"/>
              <w:left w:val="nil"/>
              <w:bottom w:val="nil"/>
              <w:right w:val="nil"/>
            </w:tcBorders>
            <w:shd w:val="clear" w:color="auto" w:fill="auto"/>
            <w:noWrap/>
            <w:vAlign w:val="center"/>
            <w:hideMark/>
          </w:tcPr>
          <w:p w14:paraId="76C16D18"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17,217 </w:t>
            </w:r>
          </w:p>
        </w:tc>
        <w:tc>
          <w:tcPr>
            <w:tcW w:w="799" w:type="dxa"/>
            <w:tcBorders>
              <w:top w:val="nil"/>
              <w:left w:val="nil"/>
              <w:bottom w:val="nil"/>
              <w:right w:val="nil"/>
            </w:tcBorders>
            <w:shd w:val="clear" w:color="auto" w:fill="auto"/>
            <w:noWrap/>
            <w:vAlign w:val="center"/>
            <w:hideMark/>
          </w:tcPr>
          <w:p w14:paraId="76C16D19"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17,508 </w:t>
            </w:r>
          </w:p>
        </w:tc>
      </w:tr>
      <w:tr w:rsidR="00655112" w:rsidRPr="00655112" w14:paraId="76C16D21" w14:textId="77777777" w:rsidTr="00693FFB">
        <w:trPr>
          <w:trHeight w:val="225"/>
        </w:trPr>
        <w:tc>
          <w:tcPr>
            <w:tcW w:w="3273" w:type="dxa"/>
            <w:tcBorders>
              <w:top w:val="nil"/>
              <w:left w:val="nil"/>
              <w:bottom w:val="nil"/>
              <w:right w:val="nil"/>
            </w:tcBorders>
            <w:shd w:val="clear" w:color="auto" w:fill="auto"/>
            <w:noWrap/>
            <w:vAlign w:val="center"/>
            <w:hideMark/>
          </w:tcPr>
          <w:p w14:paraId="76C16D1B" w14:textId="77777777" w:rsidR="00655112" w:rsidRPr="005A0812" w:rsidRDefault="00655112" w:rsidP="005A0812">
            <w:pPr>
              <w:spacing w:after="0" w:line="240" w:lineRule="auto"/>
              <w:ind w:left="180" w:hanging="180"/>
              <w:jc w:val="left"/>
              <w:rPr>
                <w:rFonts w:ascii="Arial" w:hAnsi="Arial" w:cs="Arial"/>
                <w:bCs/>
                <w:sz w:val="16"/>
                <w:szCs w:val="16"/>
              </w:rPr>
            </w:pPr>
            <w:r w:rsidRPr="005A0812">
              <w:rPr>
                <w:rFonts w:ascii="Arial" w:hAnsi="Arial" w:cs="Arial"/>
                <w:bCs/>
                <w:sz w:val="16"/>
                <w:szCs w:val="16"/>
              </w:rPr>
              <w:t>Revenues from independent sources</w:t>
            </w:r>
          </w:p>
        </w:tc>
        <w:tc>
          <w:tcPr>
            <w:tcW w:w="834" w:type="dxa"/>
            <w:tcBorders>
              <w:top w:val="nil"/>
              <w:left w:val="nil"/>
              <w:bottom w:val="nil"/>
              <w:right w:val="nil"/>
            </w:tcBorders>
            <w:shd w:val="clear" w:color="auto" w:fill="auto"/>
            <w:noWrap/>
            <w:vAlign w:val="center"/>
            <w:hideMark/>
          </w:tcPr>
          <w:p w14:paraId="76C16D1C" w14:textId="77777777" w:rsidR="00655112" w:rsidRPr="00655112" w:rsidRDefault="00655112" w:rsidP="00655112">
            <w:pPr>
              <w:spacing w:after="0" w:line="240" w:lineRule="auto"/>
              <w:jc w:val="right"/>
              <w:rPr>
                <w:rFonts w:ascii="Arial" w:hAnsi="Arial" w:cs="Arial"/>
                <w:color w:val="000000"/>
                <w:sz w:val="16"/>
                <w:szCs w:val="16"/>
              </w:rPr>
            </w:pPr>
            <w:r w:rsidRPr="00655112">
              <w:rPr>
                <w:rFonts w:ascii="Arial" w:hAnsi="Arial" w:cs="Arial"/>
                <w:color w:val="000000"/>
                <w:sz w:val="16"/>
                <w:szCs w:val="16"/>
              </w:rPr>
              <w:t xml:space="preserve">298,652 </w:t>
            </w:r>
          </w:p>
        </w:tc>
        <w:tc>
          <w:tcPr>
            <w:tcW w:w="796" w:type="dxa"/>
            <w:tcBorders>
              <w:top w:val="nil"/>
              <w:left w:val="nil"/>
              <w:bottom w:val="nil"/>
              <w:right w:val="nil"/>
            </w:tcBorders>
            <w:shd w:val="clear" w:color="000000" w:fill="E6E6E6"/>
            <w:noWrap/>
            <w:vAlign w:val="center"/>
            <w:hideMark/>
          </w:tcPr>
          <w:p w14:paraId="76C16D1D"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204,863 </w:t>
            </w:r>
          </w:p>
        </w:tc>
        <w:tc>
          <w:tcPr>
            <w:tcW w:w="799" w:type="dxa"/>
            <w:tcBorders>
              <w:top w:val="nil"/>
              <w:left w:val="nil"/>
              <w:bottom w:val="nil"/>
              <w:right w:val="nil"/>
            </w:tcBorders>
            <w:shd w:val="clear" w:color="auto" w:fill="auto"/>
            <w:noWrap/>
            <w:vAlign w:val="center"/>
            <w:hideMark/>
          </w:tcPr>
          <w:p w14:paraId="76C16D1E"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226,680 </w:t>
            </w:r>
          </w:p>
        </w:tc>
        <w:tc>
          <w:tcPr>
            <w:tcW w:w="799" w:type="dxa"/>
            <w:tcBorders>
              <w:top w:val="nil"/>
              <w:left w:val="nil"/>
              <w:bottom w:val="nil"/>
              <w:right w:val="nil"/>
            </w:tcBorders>
            <w:shd w:val="clear" w:color="auto" w:fill="auto"/>
            <w:noWrap/>
            <w:vAlign w:val="center"/>
            <w:hideMark/>
          </w:tcPr>
          <w:p w14:paraId="76C16D1F"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229,815 </w:t>
            </w:r>
          </w:p>
        </w:tc>
        <w:tc>
          <w:tcPr>
            <w:tcW w:w="799" w:type="dxa"/>
            <w:tcBorders>
              <w:top w:val="nil"/>
              <w:left w:val="nil"/>
              <w:bottom w:val="nil"/>
              <w:right w:val="nil"/>
            </w:tcBorders>
            <w:shd w:val="clear" w:color="auto" w:fill="auto"/>
            <w:noWrap/>
            <w:vAlign w:val="center"/>
            <w:hideMark/>
          </w:tcPr>
          <w:p w14:paraId="76C16D20"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236,693 </w:t>
            </w:r>
          </w:p>
        </w:tc>
      </w:tr>
      <w:tr w:rsidR="00655112" w:rsidRPr="00655112" w14:paraId="76C16D28" w14:textId="77777777" w:rsidTr="00693FFB">
        <w:trPr>
          <w:trHeight w:val="450"/>
        </w:trPr>
        <w:tc>
          <w:tcPr>
            <w:tcW w:w="3273" w:type="dxa"/>
            <w:tcBorders>
              <w:top w:val="nil"/>
              <w:left w:val="nil"/>
              <w:bottom w:val="nil"/>
              <w:right w:val="nil"/>
            </w:tcBorders>
            <w:shd w:val="clear" w:color="auto" w:fill="auto"/>
            <w:vAlign w:val="center"/>
            <w:hideMark/>
          </w:tcPr>
          <w:p w14:paraId="76C16D22" w14:textId="77777777" w:rsidR="00655112" w:rsidRPr="005A0812" w:rsidRDefault="00655112" w:rsidP="005A0812">
            <w:pPr>
              <w:spacing w:after="0" w:line="240" w:lineRule="auto"/>
              <w:ind w:left="180" w:hanging="180"/>
              <w:jc w:val="left"/>
              <w:rPr>
                <w:rFonts w:ascii="Arial" w:hAnsi="Arial" w:cs="Arial"/>
                <w:bCs/>
                <w:sz w:val="16"/>
                <w:szCs w:val="16"/>
              </w:rPr>
            </w:pPr>
            <w:r w:rsidRPr="005A0812">
              <w:rPr>
                <w:rFonts w:ascii="Arial" w:hAnsi="Arial" w:cs="Arial"/>
                <w:bCs/>
                <w:sz w:val="16"/>
                <w:szCs w:val="16"/>
              </w:rPr>
              <w:t>Revenues from other independent</w:t>
            </w:r>
            <w:r w:rsidR="005A0812">
              <w:rPr>
                <w:rFonts w:ascii="Arial" w:hAnsi="Arial" w:cs="Arial"/>
                <w:bCs/>
                <w:sz w:val="16"/>
                <w:szCs w:val="16"/>
              </w:rPr>
              <w:t xml:space="preserve"> sources </w:t>
            </w:r>
            <w:r w:rsidRPr="005A0812">
              <w:rPr>
                <w:rFonts w:ascii="Arial" w:hAnsi="Arial" w:cs="Arial"/>
                <w:bCs/>
                <w:sz w:val="16"/>
                <w:szCs w:val="16"/>
              </w:rPr>
              <w:t>(a)</w:t>
            </w:r>
          </w:p>
        </w:tc>
        <w:tc>
          <w:tcPr>
            <w:tcW w:w="834" w:type="dxa"/>
            <w:tcBorders>
              <w:top w:val="nil"/>
              <w:left w:val="nil"/>
              <w:bottom w:val="nil"/>
              <w:right w:val="nil"/>
            </w:tcBorders>
            <w:shd w:val="clear" w:color="auto" w:fill="auto"/>
            <w:noWrap/>
            <w:vAlign w:val="center"/>
            <w:hideMark/>
          </w:tcPr>
          <w:p w14:paraId="76C16D23" w14:textId="77777777" w:rsidR="00655112" w:rsidRPr="00655112" w:rsidRDefault="00655112" w:rsidP="00655112">
            <w:pPr>
              <w:spacing w:after="0" w:line="240" w:lineRule="auto"/>
              <w:jc w:val="right"/>
              <w:rPr>
                <w:rFonts w:ascii="Arial" w:hAnsi="Arial" w:cs="Arial"/>
                <w:color w:val="000000"/>
                <w:sz w:val="16"/>
                <w:szCs w:val="16"/>
              </w:rPr>
            </w:pPr>
            <w:r w:rsidRPr="00655112">
              <w:rPr>
                <w:rFonts w:ascii="Arial" w:hAnsi="Arial" w:cs="Arial"/>
                <w:color w:val="000000"/>
                <w:sz w:val="16"/>
                <w:szCs w:val="16"/>
              </w:rPr>
              <w:t>(204,452)</w:t>
            </w:r>
          </w:p>
        </w:tc>
        <w:tc>
          <w:tcPr>
            <w:tcW w:w="796" w:type="dxa"/>
            <w:tcBorders>
              <w:top w:val="nil"/>
              <w:left w:val="nil"/>
              <w:bottom w:val="nil"/>
              <w:right w:val="nil"/>
            </w:tcBorders>
            <w:shd w:val="clear" w:color="000000" w:fill="E6E6E6"/>
            <w:noWrap/>
            <w:vAlign w:val="center"/>
            <w:hideMark/>
          </w:tcPr>
          <w:p w14:paraId="76C16D24"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(14,899)</w:t>
            </w:r>
          </w:p>
        </w:tc>
        <w:tc>
          <w:tcPr>
            <w:tcW w:w="799" w:type="dxa"/>
            <w:tcBorders>
              <w:top w:val="nil"/>
              <w:left w:val="nil"/>
              <w:bottom w:val="nil"/>
              <w:right w:val="nil"/>
            </w:tcBorders>
            <w:shd w:val="clear" w:color="auto" w:fill="auto"/>
            <w:noWrap/>
            <w:vAlign w:val="center"/>
            <w:hideMark/>
          </w:tcPr>
          <w:p w14:paraId="76C16D25"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(26,929)</w:t>
            </w:r>
          </w:p>
        </w:tc>
        <w:tc>
          <w:tcPr>
            <w:tcW w:w="799" w:type="dxa"/>
            <w:tcBorders>
              <w:top w:val="nil"/>
              <w:left w:val="nil"/>
              <w:bottom w:val="nil"/>
              <w:right w:val="nil"/>
            </w:tcBorders>
            <w:shd w:val="clear" w:color="auto" w:fill="auto"/>
            <w:noWrap/>
            <w:vAlign w:val="center"/>
            <w:hideMark/>
          </w:tcPr>
          <w:p w14:paraId="76C16D26"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(20,447)</w:t>
            </w:r>
          </w:p>
        </w:tc>
        <w:tc>
          <w:tcPr>
            <w:tcW w:w="799" w:type="dxa"/>
            <w:tcBorders>
              <w:top w:val="nil"/>
              <w:left w:val="nil"/>
              <w:bottom w:val="nil"/>
              <w:right w:val="nil"/>
            </w:tcBorders>
            <w:shd w:val="clear" w:color="auto" w:fill="auto"/>
            <w:noWrap/>
            <w:vAlign w:val="center"/>
            <w:hideMark/>
          </w:tcPr>
          <w:p w14:paraId="76C16D27"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(14,117)</w:t>
            </w:r>
          </w:p>
        </w:tc>
      </w:tr>
      <w:tr w:rsidR="00655112" w:rsidRPr="00655112" w14:paraId="76C16D2F" w14:textId="77777777" w:rsidTr="00693FFB">
        <w:trPr>
          <w:trHeight w:val="225"/>
        </w:trPr>
        <w:tc>
          <w:tcPr>
            <w:tcW w:w="3273" w:type="dxa"/>
            <w:tcBorders>
              <w:top w:val="nil"/>
              <w:left w:val="nil"/>
              <w:bottom w:val="nil"/>
              <w:right w:val="nil"/>
            </w:tcBorders>
            <w:shd w:val="clear" w:color="auto" w:fill="auto"/>
            <w:noWrap/>
            <w:vAlign w:val="center"/>
            <w:hideMark/>
          </w:tcPr>
          <w:p w14:paraId="76C16D29" w14:textId="77777777" w:rsidR="00655112" w:rsidRPr="00655112" w:rsidRDefault="00655112" w:rsidP="00655112">
            <w:pPr>
              <w:spacing w:after="0" w:line="240" w:lineRule="auto"/>
              <w:jc w:val="left"/>
              <w:rPr>
                <w:rFonts w:ascii="Arial" w:hAnsi="Arial" w:cs="Arial"/>
                <w:b/>
                <w:bCs/>
                <w:sz w:val="16"/>
                <w:szCs w:val="16"/>
              </w:rPr>
            </w:pPr>
            <w:r w:rsidRPr="00655112">
              <w:rPr>
                <w:rFonts w:ascii="Arial" w:hAnsi="Arial" w:cs="Arial"/>
                <w:b/>
                <w:bCs/>
                <w:sz w:val="16"/>
                <w:szCs w:val="16"/>
              </w:rPr>
              <w:t>Total expenses for Program 1.1</w:t>
            </w:r>
          </w:p>
        </w:tc>
        <w:tc>
          <w:tcPr>
            <w:tcW w:w="834" w:type="dxa"/>
            <w:tcBorders>
              <w:top w:val="single" w:sz="4" w:space="0" w:color="auto"/>
              <w:left w:val="nil"/>
              <w:bottom w:val="single" w:sz="4" w:space="0" w:color="auto"/>
              <w:right w:val="nil"/>
            </w:tcBorders>
            <w:shd w:val="clear" w:color="auto" w:fill="auto"/>
            <w:noWrap/>
            <w:vAlign w:val="center"/>
            <w:hideMark/>
          </w:tcPr>
          <w:p w14:paraId="76C16D2A" w14:textId="77777777" w:rsidR="00655112" w:rsidRPr="00655112" w:rsidRDefault="00655112" w:rsidP="00655112">
            <w:pPr>
              <w:spacing w:after="0" w:line="240" w:lineRule="auto"/>
              <w:jc w:val="right"/>
              <w:rPr>
                <w:rFonts w:ascii="Arial" w:hAnsi="Arial" w:cs="Arial"/>
                <w:b/>
                <w:bCs/>
                <w:color w:val="000000"/>
                <w:sz w:val="16"/>
                <w:szCs w:val="16"/>
              </w:rPr>
            </w:pPr>
            <w:r w:rsidRPr="00655112">
              <w:rPr>
                <w:rFonts w:ascii="Arial" w:hAnsi="Arial" w:cs="Arial"/>
                <w:b/>
                <w:bCs/>
                <w:color w:val="000000"/>
                <w:sz w:val="16"/>
                <w:szCs w:val="16"/>
              </w:rPr>
              <w:t xml:space="preserve">176,270 </w:t>
            </w:r>
          </w:p>
        </w:tc>
        <w:tc>
          <w:tcPr>
            <w:tcW w:w="796" w:type="dxa"/>
            <w:tcBorders>
              <w:top w:val="single" w:sz="4" w:space="0" w:color="auto"/>
              <w:left w:val="nil"/>
              <w:bottom w:val="single" w:sz="4" w:space="0" w:color="auto"/>
              <w:right w:val="nil"/>
            </w:tcBorders>
            <w:shd w:val="clear" w:color="000000" w:fill="E6E6E6"/>
            <w:noWrap/>
            <w:vAlign w:val="center"/>
            <w:hideMark/>
          </w:tcPr>
          <w:p w14:paraId="76C16D2B" w14:textId="77777777" w:rsidR="00655112" w:rsidRPr="00655112" w:rsidRDefault="00655112" w:rsidP="00655112">
            <w:pPr>
              <w:spacing w:after="0" w:line="240" w:lineRule="auto"/>
              <w:jc w:val="right"/>
              <w:rPr>
                <w:rFonts w:ascii="Arial" w:hAnsi="Arial" w:cs="Arial"/>
                <w:b/>
                <w:bCs/>
                <w:color w:val="000000"/>
                <w:sz w:val="16"/>
                <w:szCs w:val="16"/>
              </w:rPr>
            </w:pPr>
            <w:r w:rsidRPr="00655112">
              <w:rPr>
                <w:rFonts w:ascii="Arial" w:hAnsi="Arial" w:cs="Arial"/>
                <w:b/>
                <w:bCs/>
                <w:color w:val="000000"/>
                <w:sz w:val="16"/>
                <w:szCs w:val="16"/>
              </w:rPr>
              <w:t xml:space="preserve">267,439 </w:t>
            </w:r>
          </w:p>
        </w:tc>
        <w:tc>
          <w:tcPr>
            <w:tcW w:w="799" w:type="dxa"/>
            <w:tcBorders>
              <w:top w:val="single" w:sz="4" w:space="0" w:color="auto"/>
              <w:left w:val="nil"/>
              <w:bottom w:val="single" w:sz="4" w:space="0" w:color="auto"/>
              <w:right w:val="nil"/>
            </w:tcBorders>
            <w:shd w:val="clear" w:color="auto" w:fill="auto"/>
            <w:noWrap/>
            <w:vAlign w:val="center"/>
            <w:hideMark/>
          </w:tcPr>
          <w:p w14:paraId="76C16D2C" w14:textId="77777777" w:rsidR="00655112" w:rsidRPr="00655112" w:rsidRDefault="00655112" w:rsidP="00655112">
            <w:pPr>
              <w:spacing w:after="0" w:line="240" w:lineRule="auto"/>
              <w:jc w:val="right"/>
              <w:rPr>
                <w:rFonts w:ascii="Arial" w:hAnsi="Arial" w:cs="Arial"/>
                <w:b/>
                <w:bCs/>
                <w:sz w:val="16"/>
                <w:szCs w:val="16"/>
              </w:rPr>
            </w:pPr>
            <w:r w:rsidRPr="00655112">
              <w:rPr>
                <w:rFonts w:ascii="Arial" w:hAnsi="Arial" w:cs="Arial"/>
                <w:b/>
                <w:bCs/>
                <w:sz w:val="16"/>
                <w:szCs w:val="16"/>
              </w:rPr>
              <w:t xml:space="preserve">277,619 </w:t>
            </w:r>
          </w:p>
        </w:tc>
        <w:tc>
          <w:tcPr>
            <w:tcW w:w="799" w:type="dxa"/>
            <w:tcBorders>
              <w:top w:val="single" w:sz="4" w:space="0" w:color="auto"/>
              <w:left w:val="nil"/>
              <w:bottom w:val="single" w:sz="4" w:space="0" w:color="auto"/>
              <w:right w:val="nil"/>
            </w:tcBorders>
            <w:shd w:val="clear" w:color="auto" w:fill="auto"/>
            <w:noWrap/>
            <w:vAlign w:val="center"/>
            <w:hideMark/>
          </w:tcPr>
          <w:p w14:paraId="76C16D2D" w14:textId="77777777" w:rsidR="00655112" w:rsidRPr="00655112" w:rsidRDefault="00655112" w:rsidP="00655112">
            <w:pPr>
              <w:spacing w:after="0" w:line="240" w:lineRule="auto"/>
              <w:jc w:val="right"/>
              <w:rPr>
                <w:rFonts w:ascii="Arial" w:hAnsi="Arial" w:cs="Arial"/>
                <w:b/>
                <w:bCs/>
                <w:sz w:val="16"/>
                <w:szCs w:val="16"/>
              </w:rPr>
            </w:pPr>
            <w:r w:rsidRPr="00655112">
              <w:rPr>
                <w:rFonts w:ascii="Arial" w:hAnsi="Arial" w:cs="Arial"/>
                <w:b/>
                <w:bCs/>
                <w:sz w:val="16"/>
                <w:szCs w:val="16"/>
              </w:rPr>
              <w:t xml:space="preserve">287,286 </w:t>
            </w:r>
          </w:p>
        </w:tc>
        <w:tc>
          <w:tcPr>
            <w:tcW w:w="799" w:type="dxa"/>
            <w:tcBorders>
              <w:top w:val="single" w:sz="4" w:space="0" w:color="auto"/>
              <w:left w:val="nil"/>
              <w:bottom w:val="single" w:sz="4" w:space="0" w:color="auto"/>
              <w:right w:val="nil"/>
            </w:tcBorders>
            <w:shd w:val="clear" w:color="auto" w:fill="auto"/>
            <w:noWrap/>
            <w:vAlign w:val="center"/>
            <w:hideMark/>
          </w:tcPr>
          <w:p w14:paraId="76C16D2E" w14:textId="77777777" w:rsidR="00655112" w:rsidRPr="00655112" w:rsidRDefault="00655112" w:rsidP="00655112">
            <w:pPr>
              <w:spacing w:after="0" w:line="240" w:lineRule="auto"/>
              <w:jc w:val="right"/>
              <w:rPr>
                <w:rFonts w:ascii="Arial" w:hAnsi="Arial" w:cs="Arial"/>
                <w:b/>
                <w:bCs/>
                <w:sz w:val="16"/>
                <w:szCs w:val="16"/>
              </w:rPr>
            </w:pPr>
            <w:r w:rsidRPr="00655112">
              <w:rPr>
                <w:rFonts w:ascii="Arial" w:hAnsi="Arial" w:cs="Arial"/>
                <w:b/>
                <w:bCs/>
                <w:sz w:val="16"/>
                <w:szCs w:val="16"/>
              </w:rPr>
              <w:t xml:space="preserve">300,013 </w:t>
            </w:r>
          </w:p>
        </w:tc>
      </w:tr>
      <w:tr w:rsidR="00655112" w:rsidRPr="00655112" w14:paraId="76C16D31" w14:textId="77777777" w:rsidTr="00693FFB">
        <w:trPr>
          <w:trHeight w:val="225"/>
        </w:trPr>
        <w:tc>
          <w:tcPr>
            <w:tcW w:w="7300" w:type="dxa"/>
            <w:gridSpan w:val="6"/>
            <w:tcBorders>
              <w:top w:val="single" w:sz="4" w:space="0" w:color="auto"/>
              <w:left w:val="nil"/>
              <w:bottom w:val="single" w:sz="4" w:space="0" w:color="auto"/>
              <w:right w:val="nil"/>
            </w:tcBorders>
            <w:shd w:val="clear" w:color="000000" w:fill="E6E6E6"/>
            <w:vAlign w:val="center"/>
            <w:hideMark/>
          </w:tcPr>
          <w:p w14:paraId="76C16D30" w14:textId="77777777" w:rsidR="00655112" w:rsidRPr="00655112" w:rsidRDefault="00655112" w:rsidP="00655112">
            <w:pPr>
              <w:spacing w:after="0" w:line="240" w:lineRule="auto"/>
              <w:jc w:val="left"/>
              <w:rPr>
                <w:rFonts w:ascii="Arial" w:hAnsi="Arial" w:cs="Arial"/>
                <w:b/>
                <w:bCs/>
                <w:sz w:val="16"/>
                <w:szCs w:val="16"/>
              </w:rPr>
            </w:pPr>
            <w:r w:rsidRPr="00655112">
              <w:rPr>
                <w:rFonts w:ascii="Arial" w:hAnsi="Arial" w:cs="Arial"/>
                <w:b/>
                <w:bCs/>
                <w:sz w:val="16"/>
                <w:szCs w:val="16"/>
              </w:rPr>
              <w:t>Outcome 1 totals by resource type</w:t>
            </w:r>
          </w:p>
        </w:tc>
      </w:tr>
      <w:tr w:rsidR="00655112" w:rsidRPr="00655112" w14:paraId="76C16D38" w14:textId="77777777" w:rsidTr="00693FFB">
        <w:trPr>
          <w:trHeight w:val="225"/>
        </w:trPr>
        <w:tc>
          <w:tcPr>
            <w:tcW w:w="3273" w:type="dxa"/>
            <w:tcBorders>
              <w:top w:val="nil"/>
              <w:left w:val="nil"/>
              <w:bottom w:val="nil"/>
              <w:right w:val="nil"/>
            </w:tcBorders>
            <w:shd w:val="clear" w:color="auto" w:fill="auto"/>
            <w:noWrap/>
            <w:vAlign w:val="center"/>
            <w:hideMark/>
          </w:tcPr>
          <w:p w14:paraId="76C16D32" w14:textId="77777777" w:rsidR="00655112" w:rsidRPr="005A0812" w:rsidRDefault="00655112" w:rsidP="005A0812">
            <w:pPr>
              <w:spacing w:after="0" w:line="240" w:lineRule="auto"/>
              <w:ind w:left="180" w:hanging="180"/>
              <w:jc w:val="left"/>
              <w:rPr>
                <w:rFonts w:ascii="Arial" w:hAnsi="Arial" w:cs="Arial"/>
                <w:bCs/>
                <w:sz w:val="16"/>
                <w:szCs w:val="16"/>
              </w:rPr>
            </w:pPr>
            <w:r w:rsidRPr="005A0812">
              <w:rPr>
                <w:rFonts w:ascii="Arial" w:hAnsi="Arial" w:cs="Arial"/>
                <w:bCs/>
                <w:sz w:val="16"/>
                <w:szCs w:val="16"/>
              </w:rPr>
              <w:t>Revenue from Government</w:t>
            </w:r>
          </w:p>
        </w:tc>
        <w:tc>
          <w:tcPr>
            <w:tcW w:w="834" w:type="dxa"/>
            <w:tcBorders>
              <w:top w:val="nil"/>
              <w:left w:val="nil"/>
              <w:bottom w:val="nil"/>
              <w:right w:val="nil"/>
            </w:tcBorders>
            <w:shd w:val="clear" w:color="auto" w:fill="auto"/>
            <w:noWrap/>
            <w:vAlign w:val="center"/>
            <w:hideMark/>
          </w:tcPr>
          <w:p w14:paraId="76C16D33" w14:textId="77777777" w:rsidR="00655112" w:rsidRPr="00655112" w:rsidRDefault="00655112" w:rsidP="00655112">
            <w:pPr>
              <w:spacing w:after="0" w:line="240" w:lineRule="auto"/>
              <w:jc w:val="right"/>
              <w:rPr>
                <w:rFonts w:ascii="Arial" w:hAnsi="Arial" w:cs="Arial"/>
                <w:color w:val="000000"/>
                <w:sz w:val="16"/>
                <w:szCs w:val="16"/>
              </w:rPr>
            </w:pPr>
            <w:r w:rsidRPr="00655112">
              <w:rPr>
                <w:rFonts w:ascii="Arial" w:hAnsi="Arial" w:cs="Arial"/>
                <w:color w:val="000000"/>
                <w:sz w:val="16"/>
                <w:szCs w:val="16"/>
              </w:rPr>
              <w:t> </w:t>
            </w:r>
          </w:p>
        </w:tc>
        <w:tc>
          <w:tcPr>
            <w:tcW w:w="796" w:type="dxa"/>
            <w:tcBorders>
              <w:top w:val="nil"/>
              <w:left w:val="nil"/>
              <w:bottom w:val="nil"/>
              <w:right w:val="nil"/>
            </w:tcBorders>
            <w:shd w:val="clear" w:color="000000" w:fill="E6E6E6"/>
            <w:noWrap/>
            <w:vAlign w:val="center"/>
            <w:hideMark/>
          </w:tcPr>
          <w:p w14:paraId="76C16D34"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w:t>
            </w:r>
          </w:p>
        </w:tc>
        <w:tc>
          <w:tcPr>
            <w:tcW w:w="799" w:type="dxa"/>
            <w:tcBorders>
              <w:top w:val="nil"/>
              <w:left w:val="nil"/>
              <w:bottom w:val="nil"/>
              <w:right w:val="nil"/>
            </w:tcBorders>
            <w:shd w:val="clear" w:color="auto" w:fill="auto"/>
            <w:noWrap/>
            <w:vAlign w:val="center"/>
            <w:hideMark/>
          </w:tcPr>
          <w:p w14:paraId="76C16D35" w14:textId="77777777" w:rsidR="00655112" w:rsidRPr="00655112" w:rsidRDefault="00655112" w:rsidP="00655112">
            <w:pPr>
              <w:spacing w:after="0" w:line="240" w:lineRule="auto"/>
              <w:jc w:val="left"/>
              <w:rPr>
                <w:rFonts w:ascii="Arial" w:hAnsi="Arial" w:cs="Arial"/>
                <w:sz w:val="16"/>
                <w:szCs w:val="16"/>
              </w:rPr>
            </w:pPr>
            <w:r w:rsidRPr="00655112">
              <w:rPr>
                <w:rFonts w:ascii="Arial" w:hAnsi="Arial" w:cs="Arial"/>
                <w:sz w:val="16"/>
                <w:szCs w:val="16"/>
              </w:rPr>
              <w:t> </w:t>
            </w:r>
          </w:p>
        </w:tc>
        <w:tc>
          <w:tcPr>
            <w:tcW w:w="799" w:type="dxa"/>
            <w:tcBorders>
              <w:top w:val="nil"/>
              <w:left w:val="nil"/>
              <w:bottom w:val="nil"/>
              <w:right w:val="nil"/>
            </w:tcBorders>
            <w:shd w:val="clear" w:color="auto" w:fill="auto"/>
            <w:noWrap/>
            <w:vAlign w:val="center"/>
            <w:hideMark/>
          </w:tcPr>
          <w:p w14:paraId="76C16D36" w14:textId="77777777" w:rsidR="00655112" w:rsidRPr="00655112" w:rsidRDefault="00655112" w:rsidP="00655112">
            <w:pPr>
              <w:spacing w:after="0" w:line="240" w:lineRule="auto"/>
              <w:jc w:val="left"/>
              <w:rPr>
                <w:rFonts w:ascii="Arial" w:hAnsi="Arial" w:cs="Arial"/>
                <w:sz w:val="16"/>
                <w:szCs w:val="16"/>
              </w:rPr>
            </w:pPr>
            <w:r w:rsidRPr="00655112">
              <w:rPr>
                <w:rFonts w:ascii="Arial" w:hAnsi="Arial" w:cs="Arial"/>
                <w:sz w:val="16"/>
                <w:szCs w:val="16"/>
              </w:rPr>
              <w:t> </w:t>
            </w:r>
          </w:p>
        </w:tc>
        <w:tc>
          <w:tcPr>
            <w:tcW w:w="799" w:type="dxa"/>
            <w:tcBorders>
              <w:top w:val="nil"/>
              <w:left w:val="nil"/>
              <w:bottom w:val="nil"/>
              <w:right w:val="nil"/>
            </w:tcBorders>
            <w:shd w:val="clear" w:color="auto" w:fill="auto"/>
            <w:noWrap/>
            <w:vAlign w:val="center"/>
            <w:hideMark/>
          </w:tcPr>
          <w:p w14:paraId="76C16D37" w14:textId="77777777" w:rsidR="00655112" w:rsidRPr="00655112" w:rsidRDefault="00655112" w:rsidP="00655112">
            <w:pPr>
              <w:spacing w:after="0" w:line="240" w:lineRule="auto"/>
              <w:jc w:val="left"/>
              <w:rPr>
                <w:rFonts w:ascii="Arial" w:hAnsi="Arial" w:cs="Arial"/>
                <w:sz w:val="16"/>
                <w:szCs w:val="16"/>
              </w:rPr>
            </w:pPr>
            <w:r w:rsidRPr="00655112">
              <w:rPr>
                <w:rFonts w:ascii="Arial" w:hAnsi="Arial" w:cs="Arial"/>
                <w:sz w:val="16"/>
                <w:szCs w:val="16"/>
              </w:rPr>
              <w:t> </w:t>
            </w:r>
          </w:p>
        </w:tc>
      </w:tr>
      <w:tr w:rsidR="00655112" w:rsidRPr="00655112" w14:paraId="76C16D3F" w14:textId="77777777" w:rsidTr="00693FFB">
        <w:trPr>
          <w:trHeight w:val="450"/>
        </w:trPr>
        <w:tc>
          <w:tcPr>
            <w:tcW w:w="3273" w:type="dxa"/>
            <w:tcBorders>
              <w:top w:val="nil"/>
              <w:left w:val="nil"/>
              <w:bottom w:val="nil"/>
              <w:right w:val="nil"/>
            </w:tcBorders>
            <w:shd w:val="clear" w:color="auto" w:fill="auto"/>
            <w:vAlign w:val="center"/>
            <w:hideMark/>
          </w:tcPr>
          <w:p w14:paraId="76C16D39" w14:textId="77777777" w:rsidR="00655112" w:rsidRPr="005A0812" w:rsidRDefault="00655112" w:rsidP="005A0812">
            <w:pPr>
              <w:spacing w:after="0" w:line="240" w:lineRule="auto"/>
              <w:ind w:left="316" w:hanging="142"/>
              <w:jc w:val="left"/>
              <w:rPr>
                <w:rFonts w:ascii="Arial" w:hAnsi="Arial" w:cs="Arial"/>
                <w:color w:val="000000"/>
                <w:sz w:val="16"/>
                <w:szCs w:val="16"/>
              </w:rPr>
            </w:pPr>
            <w:r w:rsidRPr="005A0812">
              <w:rPr>
                <w:rFonts w:ascii="Arial" w:hAnsi="Arial" w:cs="Arial"/>
                <w:color w:val="000000"/>
                <w:sz w:val="16"/>
                <w:szCs w:val="16"/>
              </w:rPr>
              <w:t>Ordinary annual services</w:t>
            </w:r>
            <w:r w:rsidR="005A0812">
              <w:rPr>
                <w:rFonts w:ascii="Arial" w:hAnsi="Arial" w:cs="Arial"/>
                <w:color w:val="000000"/>
                <w:sz w:val="16"/>
                <w:szCs w:val="16"/>
              </w:rPr>
              <w:t xml:space="preserve"> (Appropriation </w:t>
            </w:r>
            <w:r w:rsidRPr="005A0812">
              <w:rPr>
                <w:rFonts w:ascii="Arial" w:hAnsi="Arial" w:cs="Arial"/>
                <w:color w:val="000000"/>
                <w:sz w:val="16"/>
                <w:szCs w:val="16"/>
              </w:rPr>
              <w:t>Bill No. 1)</w:t>
            </w:r>
          </w:p>
        </w:tc>
        <w:tc>
          <w:tcPr>
            <w:tcW w:w="834" w:type="dxa"/>
            <w:tcBorders>
              <w:top w:val="nil"/>
              <w:left w:val="nil"/>
              <w:bottom w:val="nil"/>
              <w:right w:val="nil"/>
            </w:tcBorders>
            <w:shd w:val="clear" w:color="auto" w:fill="auto"/>
            <w:noWrap/>
            <w:vAlign w:val="center"/>
            <w:hideMark/>
          </w:tcPr>
          <w:p w14:paraId="76C16D3A" w14:textId="77777777" w:rsidR="00655112" w:rsidRPr="00655112" w:rsidRDefault="00655112" w:rsidP="00655112">
            <w:pPr>
              <w:spacing w:after="0" w:line="240" w:lineRule="auto"/>
              <w:jc w:val="right"/>
              <w:rPr>
                <w:rFonts w:ascii="Arial" w:hAnsi="Arial" w:cs="Arial"/>
                <w:color w:val="000000"/>
                <w:sz w:val="16"/>
                <w:szCs w:val="16"/>
              </w:rPr>
            </w:pPr>
            <w:r w:rsidRPr="00655112">
              <w:rPr>
                <w:rFonts w:ascii="Arial" w:hAnsi="Arial" w:cs="Arial"/>
                <w:color w:val="000000"/>
                <w:sz w:val="16"/>
                <w:szCs w:val="16"/>
              </w:rPr>
              <w:t xml:space="preserve">5,989 </w:t>
            </w:r>
          </w:p>
        </w:tc>
        <w:tc>
          <w:tcPr>
            <w:tcW w:w="796" w:type="dxa"/>
            <w:tcBorders>
              <w:top w:val="nil"/>
              <w:left w:val="nil"/>
              <w:bottom w:val="nil"/>
              <w:right w:val="nil"/>
            </w:tcBorders>
            <w:shd w:val="clear" w:color="000000" w:fill="E6E6E6"/>
            <w:noWrap/>
            <w:vAlign w:val="center"/>
            <w:hideMark/>
          </w:tcPr>
          <w:p w14:paraId="76C16D3B"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5,989 </w:t>
            </w:r>
          </w:p>
        </w:tc>
        <w:tc>
          <w:tcPr>
            <w:tcW w:w="799" w:type="dxa"/>
            <w:tcBorders>
              <w:top w:val="nil"/>
              <w:left w:val="nil"/>
              <w:bottom w:val="nil"/>
              <w:right w:val="nil"/>
            </w:tcBorders>
            <w:shd w:val="clear" w:color="auto" w:fill="auto"/>
            <w:noWrap/>
            <w:vAlign w:val="center"/>
            <w:hideMark/>
          </w:tcPr>
          <w:p w14:paraId="76C16D3C"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6,028 </w:t>
            </w:r>
          </w:p>
        </w:tc>
        <w:tc>
          <w:tcPr>
            <w:tcW w:w="799" w:type="dxa"/>
            <w:tcBorders>
              <w:top w:val="nil"/>
              <w:left w:val="nil"/>
              <w:bottom w:val="nil"/>
              <w:right w:val="nil"/>
            </w:tcBorders>
            <w:shd w:val="clear" w:color="auto" w:fill="auto"/>
            <w:noWrap/>
            <w:vAlign w:val="center"/>
            <w:hideMark/>
          </w:tcPr>
          <w:p w14:paraId="76C16D3D"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6,069 </w:t>
            </w:r>
          </w:p>
        </w:tc>
        <w:tc>
          <w:tcPr>
            <w:tcW w:w="799" w:type="dxa"/>
            <w:tcBorders>
              <w:top w:val="nil"/>
              <w:left w:val="nil"/>
              <w:bottom w:val="nil"/>
              <w:right w:val="nil"/>
            </w:tcBorders>
            <w:shd w:val="clear" w:color="auto" w:fill="auto"/>
            <w:noWrap/>
            <w:vAlign w:val="center"/>
            <w:hideMark/>
          </w:tcPr>
          <w:p w14:paraId="76C16D3E"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6,110 </w:t>
            </w:r>
          </w:p>
        </w:tc>
      </w:tr>
      <w:tr w:rsidR="00655112" w:rsidRPr="00655112" w14:paraId="76C16D46" w14:textId="77777777" w:rsidTr="00693FFB">
        <w:trPr>
          <w:trHeight w:val="225"/>
        </w:trPr>
        <w:tc>
          <w:tcPr>
            <w:tcW w:w="3273" w:type="dxa"/>
            <w:tcBorders>
              <w:top w:val="nil"/>
              <w:left w:val="nil"/>
              <w:bottom w:val="nil"/>
              <w:right w:val="nil"/>
            </w:tcBorders>
            <w:shd w:val="clear" w:color="auto" w:fill="auto"/>
            <w:noWrap/>
            <w:vAlign w:val="center"/>
            <w:hideMark/>
          </w:tcPr>
          <w:p w14:paraId="76C16D40" w14:textId="77777777" w:rsidR="00655112" w:rsidRPr="005A0812" w:rsidRDefault="00655112" w:rsidP="005A0812">
            <w:pPr>
              <w:spacing w:after="0" w:line="240" w:lineRule="auto"/>
              <w:ind w:left="316" w:hanging="142"/>
              <w:jc w:val="left"/>
              <w:rPr>
                <w:rFonts w:ascii="Arial" w:hAnsi="Arial" w:cs="Arial"/>
                <w:color w:val="000000"/>
                <w:sz w:val="16"/>
                <w:szCs w:val="16"/>
              </w:rPr>
            </w:pPr>
            <w:r w:rsidRPr="005A0812">
              <w:rPr>
                <w:rFonts w:ascii="Arial" w:hAnsi="Arial" w:cs="Arial"/>
                <w:color w:val="000000"/>
                <w:sz w:val="16"/>
                <w:szCs w:val="16"/>
              </w:rPr>
              <w:t>Grants received from portfolio department</w:t>
            </w:r>
          </w:p>
        </w:tc>
        <w:tc>
          <w:tcPr>
            <w:tcW w:w="834" w:type="dxa"/>
            <w:tcBorders>
              <w:top w:val="nil"/>
              <w:left w:val="nil"/>
              <w:bottom w:val="nil"/>
              <w:right w:val="nil"/>
            </w:tcBorders>
            <w:shd w:val="clear" w:color="auto" w:fill="auto"/>
            <w:noWrap/>
            <w:vAlign w:val="center"/>
            <w:hideMark/>
          </w:tcPr>
          <w:p w14:paraId="76C16D41" w14:textId="77777777" w:rsidR="00655112" w:rsidRPr="00655112" w:rsidRDefault="00655112" w:rsidP="00655112">
            <w:pPr>
              <w:spacing w:after="0" w:line="240" w:lineRule="auto"/>
              <w:jc w:val="right"/>
              <w:rPr>
                <w:rFonts w:ascii="Arial" w:hAnsi="Arial" w:cs="Arial"/>
                <w:color w:val="000000"/>
                <w:sz w:val="16"/>
                <w:szCs w:val="16"/>
              </w:rPr>
            </w:pPr>
            <w:r w:rsidRPr="00655112">
              <w:rPr>
                <w:rFonts w:ascii="Arial" w:hAnsi="Arial" w:cs="Arial"/>
                <w:color w:val="000000"/>
                <w:sz w:val="16"/>
                <w:szCs w:val="16"/>
              </w:rPr>
              <w:t xml:space="preserve">60,083 </w:t>
            </w:r>
          </w:p>
        </w:tc>
        <w:tc>
          <w:tcPr>
            <w:tcW w:w="796" w:type="dxa"/>
            <w:tcBorders>
              <w:top w:val="nil"/>
              <w:left w:val="nil"/>
              <w:bottom w:val="nil"/>
              <w:right w:val="nil"/>
            </w:tcBorders>
            <w:shd w:val="clear" w:color="000000" w:fill="E6E6E6"/>
            <w:noWrap/>
            <w:vAlign w:val="center"/>
            <w:hideMark/>
          </w:tcPr>
          <w:p w14:paraId="76C16D42"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55,188 </w:t>
            </w:r>
          </w:p>
        </w:tc>
        <w:tc>
          <w:tcPr>
            <w:tcW w:w="799" w:type="dxa"/>
            <w:tcBorders>
              <w:top w:val="nil"/>
              <w:left w:val="nil"/>
              <w:bottom w:val="nil"/>
              <w:right w:val="nil"/>
            </w:tcBorders>
            <w:shd w:val="clear" w:color="auto" w:fill="auto"/>
            <w:noWrap/>
            <w:vAlign w:val="center"/>
            <w:hideMark/>
          </w:tcPr>
          <w:p w14:paraId="76C16D43"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54,885 </w:t>
            </w:r>
          </w:p>
        </w:tc>
        <w:tc>
          <w:tcPr>
            <w:tcW w:w="799" w:type="dxa"/>
            <w:tcBorders>
              <w:top w:val="nil"/>
              <w:left w:val="nil"/>
              <w:bottom w:val="nil"/>
              <w:right w:val="nil"/>
            </w:tcBorders>
            <w:shd w:val="clear" w:color="auto" w:fill="auto"/>
            <w:noWrap/>
            <w:vAlign w:val="center"/>
            <w:hideMark/>
          </w:tcPr>
          <w:p w14:paraId="76C16D44"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54,632 </w:t>
            </w:r>
          </w:p>
        </w:tc>
        <w:tc>
          <w:tcPr>
            <w:tcW w:w="799" w:type="dxa"/>
            <w:tcBorders>
              <w:top w:val="nil"/>
              <w:left w:val="nil"/>
              <w:bottom w:val="nil"/>
              <w:right w:val="nil"/>
            </w:tcBorders>
            <w:shd w:val="clear" w:color="auto" w:fill="auto"/>
            <w:noWrap/>
            <w:vAlign w:val="center"/>
            <w:hideMark/>
          </w:tcPr>
          <w:p w14:paraId="76C16D45"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53,819 </w:t>
            </w:r>
          </w:p>
        </w:tc>
      </w:tr>
      <w:tr w:rsidR="00655112" w:rsidRPr="00655112" w14:paraId="76C16D4D" w14:textId="77777777" w:rsidTr="00693FFB">
        <w:trPr>
          <w:trHeight w:val="225"/>
        </w:trPr>
        <w:tc>
          <w:tcPr>
            <w:tcW w:w="3273" w:type="dxa"/>
            <w:tcBorders>
              <w:top w:val="nil"/>
              <w:left w:val="nil"/>
              <w:bottom w:val="nil"/>
              <w:right w:val="nil"/>
            </w:tcBorders>
            <w:shd w:val="clear" w:color="auto" w:fill="auto"/>
            <w:noWrap/>
            <w:vAlign w:val="center"/>
            <w:hideMark/>
          </w:tcPr>
          <w:p w14:paraId="76C16D47" w14:textId="77777777" w:rsidR="00655112" w:rsidRPr="005A0812" w:rsidRDefault="00655112" w:rsidP="005A0812">
            <w:pPr>
              <w:spacing w:after="0" w:line="240" w:lineRule="auto"/>
              <w:ind w:left="180" w:hanging="180"/>
              <w:jc w:val="left"/>
              <w:rPr>
                <w:rFonts w:ascii="Arial" w:hAnsi="Arial" w:cs="Arial"/>
                <w:bCs/>
                <w:sz w:val="16"/>
                <w:szCs w:val="16"/>
              </w:rPr>
            </w:pPr>
            <w:r w:rsidRPr="005A0812">
              <w:rPr>
                <w:rFonts w:ascii="Arial" w:hAnsi="Arial" w:cs="Arial"/>
                <w:bCs/>
                <w:sz w:val="16"/>
                <w:szCs w:val="16"/>
              </w:rPr>
              <w:t xml:space="preserve">Revenues from industry sources </w:t>
            </w:r>
          </w:p>
        </w:tc>
        <w:tc>
          <w:tcPr>
            <w:tcW w:w="834" w:type="dxa"/>
            <w:tcBorders>
              <w:top w:val="nil"/>
              <w:left w:val="nil"/>
              <w:bottom w:val="nil"/>
              <w:right w:val="nil"/>
            </w:tcBorders>
            <w:shd w:val="clear" w:color="auto" w:fill="auto"/>
            <w:noWrap/>
            <w:vAlign w:val="center"/>
            <w:hideMark/>
          </w:tcPr>
          <w:p w14:paraId="76C16D48" w14:textId="77777777" w:rsidR="00655112" w:rsidRPr="00655112" w:rsidRDefault="00655112" w:rsidP="00655112">
            <w:pPr>
              <w:spacing w:after="0" w:line="240" w:lineRule="auto"/>
              <w:jc w:val="right"/>
              <w:rPr>
                <w:rFonts w:ascii="Arial" w:hAnsi="Arial" w:cs="Arial"/>
                <w:color w:val="000000"/>
                <w:sz w:val="16"/>
                <w:szCs w:val="16"/>
              </w:rPr>
            </w:pPr>
            <w:r w:rsidRPr="00655112">
              <w:rPr>
                <w:rFonts w:ascii="Arial" w:hAnsi="Arial" w:cs="Arial"/>
                <w:color w:val="000000"/>
                <w:sz w:val="16"/>
                <w:szCs w:val="16"/>
              </w:rPr>
              <w:t xml:space="preserve">15,998 </w:t>
            </w:r>
          </w:p>
        </w:tc>
        <w:tc>
          <w:tcPr>
            <w:tcW w:w="796" w:type="dxa"/>
            <w:tcBorders>
              <w:top w:val="nil"/>
              <w:left w:val="nil"/>
              <w:bottom w:val="nil"/>
              <w:right w:val="nil"/>
            </w:tcBorders>
            <w:shd w:val="clear" w:color="000000" w:fill="E6E6E6"/>
            <w:noWrap/>
            <w:vAlign w:val="center"/>
            <w:hideMark/>
          </w:tcPr>
          <w:p w14:paraId="76C16D49"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16,298 </w:t>
            </w:r>
          </w:p>
        </w:tc>
        <w:tc>
          <w:tcPr>
            <w:tcW w:w="799" w:type="dxa"/>
            <w:tcBorders>
              <w:top w:val="nil"/>
              <w:left w:val="nil"/>
              <w:bottom w:val="nil"/>
              <w:right w:val="nil"/>
            </w:tcBorders>
            <w:shd w:val="clear" w:color="auto" w:fill="auto"/>
            <w:noWrap/>
            <w:vAlign w:val="center"/>
            <w:hideMark/>
          </w:tcPr>
          <w:p w14:paraId="76C16D4A"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16,955 </w:t>
            </w:r>
          </w:p>
        </w:tc>
        <w:tc>
          <w:tcPr>
            <w:tcW w:w="799" w:type="dxa"/>
            <w:tcBorders>
              <w:top w:val="nil"/>
              <w:left w:val="nil"/>
              <w:bottom w:val="nil"/>
              <w:right w:val="nil"/>
            </w:tcBorders>
            <w:shd w:val="clear" w:color="auto" w:fill="auto"/>
            <w:noWrap/>
            <w:vAlign w:val="center"/>
            <w:hideMark/>
          </w:tcPr>
          <w:p w14:paraId="76C16D4B"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17,217 </w:t>
            </w:r>
          </w:p>
        </w:tc>
        <w:tc>
          <w:tcPr>
            <w:tcW w:w="799" w:type="dxa"/>
            <w:tcBorders>
              <w:top w:val="nil"/>
              <w:left w:val="nil"/>
              <w:bottom w:val="nil"/>
              <w:right w:val="nil"/>
            </w:tcBorders>
            <w:shd w:val="clear" w:color="auto" w:fill="auto"/>
            <w:noWrap/>
            <w:vAlign w:val="center"/>
            <w:hideMark/>
          </w:tcPr>
          <w:p w14:paraId="76C16D4C"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17,508 </w:t>
            </w:r>
          </w:p>
        </w:tc>
      </w:tr>
      <w:tr w:rsidR="00655112" w:rsidRPr="00655112" w14:paraId="76C16D54" w14:textId="77777777" w:rsidTr="00693FFB">
        <w:trPr>
          <w:trHeight w:val="225"/>
        </w:trPr>
        <w:tc>
          <w:tcPr>
            <w:tcW w:w="3273" w:type="dxa"/>
            <w:tcBorders>
              <w:top w:val="nil"/>
              <w:left w:val="nil"/>
              <w:bottom w:val="nil"/>
              <w:right w:val="nil"/>
            </w:tcBorders>
            <w:shd w:val="clear" w:color="auto" w:fill="auto"/>
            <w:noWrap/>
            <w:vAlign w:val="center"/>
            <w:hideMark/>
          </w:tcPr>
          <w:p w14:paraId="76C16D4E" w14:textId="77777777" w:rsidR="00655112" w:rsidRPr="005A0812" w:rsidRDefault="00655112" w:rsidP="005A0812">
            <w:pPr>
              <w:spacing w:after="0" w:line="240" w:lineRule="auto"/>
              <w:ind w:left="180" w:hanging="180"/>
              <w:jc w:val="left"/>
              <w:rPr>
                <w:rFonts w:ascii="Arial" w:hAnsi="Arial" w:cs="Arial"/>
                <w:bCs/>
                <w:sz w:val="16"/>
                <w:szCs w:val="16"/>
              </w:rPr>
            </w:pPr>
            <w:r w:rsidRPr="005A0812">
              <w:rPr>
                <w:rFonts w:ascii="Arial" w:hAnsi="Arial" w:cs="Arial"/>
                <w:bCs/>
                <w:sz w:val="16"/>
                <w:szCs w:val="16"/>
              </w:rPr>
              <w:t>Revenues from independent sources</w:t>
            </w:r>
          </w:p>
        </w:tc>
        <w:tc>
          <w:tcPr>
            <w:tcW w:w="834" w:type="dxa"/>
            <w:tcBorders>
              <w:top w:val="nil"/>
              <w:left w:val="nil"/>
              <w:bottom w:val="nil"/>
              <w:right w:val="nil"/>
            </w:tcBorders>
            <w:shd w:val="clear" w:color="auto" w:fill="auto"/>
            <w:noWrap/>
            <w:vAlign w:val="center"/>
            <w:hideMark/>
          </w:tcPr>
          <w:p w14:paraId="76C16D4F" w14:textId="77777777" w:rsidR="00655112" w:rsidRPr="00655112" w:rsidRDefault="00655112" w:rsidP="00655112">
            <w:pPr>
              <w:spacing w:after="0" w:line="240" w:lineRule="auto"/>
              <w:jc w:val="right"/>
              <w:rPr>
                <w:rFonts w:ascii="Arial" w:hAnsi="Arial" w:cs="Arial"/>
                <w:color w:val="000000"/>
                <w:sz w:val="16"/>
                <w:szCs w:val="16"/>
              </w:rPr>
            </w:pPr>
            <w:r w:rsidRPr="00655112">
              <w:rPr>
                <w:rFonts w:ascii="Arial" w:hAnsi="Arial" w:cs="Arial"/>
                <w:color w:val="000000"/>
                <w:sz w:val="16"/>
                <w:szCs w:val="16"/>
              </w:rPr>
              <w:t xml:space="preserve">298,652 </w:t>
            </w:r>
          </w:p>
        </w:tc>
        <w:tc>
          <w:tcPr>
            <w:tcW w:w="796" w:type="dxa"/>
            <w:tcBorders>
              <w:top w:val="nil"/>
              <w:left w:val="nil"/>
              <w:bottom w:val="nil"/>
              <w:right w:val="nil"/>
            </w:tcBorders>
            <w:shd w:val="clear" w:color="000000" w:fill="E6E6E6"/>
            <w:noWrap/>
            <w:vAlign w:val="center"/>
            <w:hideMark/>
          </w:tcPr>
          <w:p w14:paraId="76C16D50"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204,863 </w:t>
            </w:r>
          </w:p>
        </w:tc>
        <w:tc>
          <w:tcPr>
            <w:tcW w:w="799" w:type="dxa"/>
            <w:tcBorders>
              <w:top w:val="nil"/>
              <w:left w:val="nil"/>
              <w:bottom w:val="nil"/>
              <w:right w:val="nil"/>
            </w:tcBorders>
            <w:shd w:val="clear" w:color="auto" w:fill="auto"/>
            <w:noWrap/>
            <w:vAlign w:val="center"/>
            <w:hideMark/>
          </w:tcPr>
          <w:p w14:paraId="76C16D51"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226,680 </w:t>
            </w:r>
          </w:p>
        </w:tc>
        <w:tc>
          <w:tcPr>
            <w:tcW w:w="799" w:type="dxa"/>
            <w:tcBorders>
              <w:top w:val="nil"/>
              <w:left w:val="nil"/>
              <w:bottom w:val="nil"/>
              <w:right w:val="nil"/>
            </w:tcBorders>
            <w:shd w:val="clear" w:color="auto" w:fill="auto"/>
            <w:noWrap/>
            <w:vAlign w:val="center"/>
            <w:hideMark/>
          </w:tcPr>
          <w:p w14:paraId="76C16D52"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229,815 </w:t>
            </w:r>
          </w:p>
        </w:tc>
        <w:tc>
          <w:tcPr>
            <w:tcW w:w="799" w:type="dxa"/>
            <w:tcBorders>
              <w:top w:val="nil"/>
              <w:left w:val="nil"/>
              <w:bottom w:val="nil"/>
              <w:right w:val="nil"/>
            </w:tcBorders>
            <w:shd w:val="clear" w:color="auto" w:fill="auto"/>
            <w:noWrap/>
            <w:vAlign w:val="center"/>
            <w:hideMark/>
          </w:tcPr>
          <w:p w14:paraId="76C16D53"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 xml:space="preserve">236,693 </w:t>
            </w:r>
          </w:p>
        </w:tc>
      </w:tr>
      <w:tr w:rsidR="00655112" w:rsidRPr="00655112" w14:paraId="76C16D5B" w14:textId="77777777" w:rsidTr="00693FFB">
        <w:trPr>
          <w:trHeight w:val="450"/>
        </w:trPr>
        <w:tc>
          <w:tcPr>
            <w:tcW w:w="3273" w:type="dxa"/>
            <w:tcBorders>
              <w:top w:val="nil"/>
              <w:left w:val="nil"/>
              <w:bottom w:val="nil"/>
              <w:right w:val="nil"/>
            </w:tcBorders>
            <w:shd w:val="clear" w:color="auto" w:fill="auto"/>
            <w:vAlign w:val="center"/>
            <w:hideMark/>
          </w:tcPr>
          <w:p w14:paraId="76C16D55" w14:textId="77777777" w:rsidR="00655112" w:rsidRPr="005A0812" w:rsidRDefault="005A0812" w:rsidP="005A0812">
            <w:pPr>
              <w:spacing w:after="0" w:line="240" w:lineRule="auto"/>
              <w:ind w:left="180" w:hanging="180"/>
              <w:jc w:val="left"/>
              <w:rPr>
                <w:rFonts w:ascii="Arial" w:hAnsi="Arial" w:cs="Arial"/>
                <w:bCs/>
                <w:sz w:val="16"/>
                <w:szCs w:val="16"/>
              </w:rPr>
            </w:pPr>
            <w:r>
              <w:rPr>
                <w:rFonts w:ascii="Arial" w:hAnsi="Arial" w:cs="Arial"/>
                <w:bCs/>
                <w:sz w:val="16"/>
                <w:szCs w:val="16"/>
              </w:rPr>
              <w:t>Revenues from other independent sources </w:t>
            </w:r>
            <w:r w:rsidR="00655112" w:rsidRPr="005A0812">
              <w:rPr>
                <w:rFonts w:ascii="Arial" w:hAnsi="Arial" w:cs="Arial"/>
                <w:bCs/>
                <w:sz w:val="16"/>
                <w:szCs w:val="16"/>
              </w:rPr>
              <w:t>(a)</w:t>
            </w:r>
          </w:p>
        </w:tc>
        <w:tc>
          <w:tcPr>
            <w:tcW w:w="834" w:type="dxa"/>
            <w:tcBorders>
              <w:top w:val="nil"/>
              <w:left w:val="nil"/>
              <w:bottom w:val="nil"/>
              <w:right w:val="nil"/>
            </w:tcBorders>
            <w:shd w:val="clear" w:color="auto" w:fill="auto"/>
            <w:noWrap/>
            <w:vAlign w:val="center"/>
            <w:hideMark/>
          </w:tcPr>
          <w:p w14:paraId="76C16D56" w14:textId="77777777" w:rsidR="00655112" w:rsidRPr="00655112" w:rsidRDefault="00655112" w:rsidP="00655112">
            <w:pPr>
              <w:spacing w:after="0" w:line="240" w:lineRule="auto"/>
              <w:jc w:val="right"/>
              <w:rPr>
                <w:rFonts w:ascii="Arial" w:hAnsi="Arial" w:cs="Arial"/>
                <w:color w:val="000000"/>
                <w:sz w:val="16"/>
                <w:szCs w:val="16"/>
              </w:rPr>
            </w:pPr>
            <w:r w:rsidRPr="00655112">
              <w:rPr>
                <w:rFonts w:ascii="Arial" w:hAnsi="Arial" w:cs="Arial"/>
                <w:color w:val="000000"/>
                <w:sz w:val="16"/>
                <w:szCs w:val="16"/>
              </w:rPr>
              <w:t>(204,452)</w:t>
            </w:r>
          </w:p>
        </w:tc>
        <w:tc>
          <w:tcPr>
            <w:tcW w:w="796" w:type="dxa"/>
            <w:tcBorders>
              <w:top w:val="nil"/>
              <w:left w:val="nil"/>
              <w:bottom w:val="nil"/>
              <w:right w:val="nil"/>
            </w:tcBorders>
            <w:shd w:val="clear" w:color="000000" w:fill="E6E6E6"/>
            <w:noWrap/>
            <w:vAlign w:val="center"/>
            <w:hideMark/>
          </w:tcPr>
          <w:p w14:paraId="76C16D57"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(14,899)</w:t>
            </w:r>
          </w:p>
        </w:tc>
        <w:tc>
          <w:tcPr>
            <w:tcW w:w="799" w:type="dxa"/>
            <w:tcBorders>
              <w:top w:val="nil"/>
              <w:left w:val="nil"/>
              <w:bottom w:val="nil"/>
              <w:right w:val="nil"/>
            </w:tcBorders>
            <w:shd w:val="clear" w:color="auto" w:fill="auto"/>
            <w:noWrap/>
            <w:vAlign w:val="center"/>
            <w:hideMark/>
          </w:tcPr>
          <w:p w14:paraId="76C16D58"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(26,929)</w:t>
            </w:r>
          </w:p>
        </w:tc>
        <w:tc>
          <w:tcPr>
            <w:tcW w:w="799" w:type="dxa"/>
            <w:tcBorders>
              <w:top w:val="nil"/>
              <w:left w:val="nil"/>
              <w:bottom w:val="nil"/>
              <w:right w:val="nil"/>
            </w:tcBorders>
            <w:shd w:val="clear" w:color="auto" w:fill="auto"/>
            <w:noWrap/>
            <w:vAlign w:val="center"/>
            <w:hideMark/>
          </w:tcPr>
          <w:p w14:paraId="76C16D59"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(20,447)</w:t>
            </w:r>
          </w:p>
        </w:tc>
        <w:tc>
          <w:tcPr>
            <w:tcW w:w="799" w:type="dxa"/>
            <w:tcBorders>
              <w:top w:val="nil"/>
              <w:left w:val="nil"/>
              <w:bottom w:val="nil"/>
              <w:right w:val="nil"/>
            </w:tcBorders>
            <w:shd w:val="clear" w:color="auto" w:fill="auto"/>
            <w:noWrap/>
            <w:vAlign w:val="center"/>
            <w:hideMark/>
          </w:tcPr>
          <w:p w14:paraId="76C16D5A" w14:textId="77777777" w:rsidR="00655112" w:rsidRPr="00655112" w:rsidRDefault="00655112" w:rsidP="00655112">
            <w:pPr>
              <w:spacing w:after="0" w:line="240" w:lineRule="auto"/>
              <w:jc w:val="right"/>
              <w:rPr>
                <w:rFonts w:ascii="Arial" w:hAnsi="Arial" w:cs="Arial"/>
                <w:sz w:val="16"/>
                <w:szCs w:val="16"/>
              </w:rPr>
            </w:pPr>
            <w:r w:rsidRPr="00655112">
              <w:rPr>
                <w:rFonts w:ascii="Arial" w:hAnsi="Arial" w:cs="Arial"/>
                <w:sz w:val="16"/>
                <w:szCs w:val="16"/>
              </w:rPr>
              <w:t>(14,117)</w:t>
            </w:r>
          </w:p>
        </w:tc>
      </w:tr>
      <w:tr w:rsidR="00655112" w:rsidRPr="00655112" w14:paraId="76C16D62" w14:textId="77777777" w:rsidTr="00693FFB">
        <w:trPr>
          <w:trHeight w:val="225"/>
        </w:trPr>
        <w:tc>
          <w:tcPr>
            <w:tcW w:w="3273" w:type="dxa"/>
            <w:tcBorders>
              <w:top w:val="nil"/>
              <w:left w:val="nil"/>
              <w:bottom w:val="single" w:sz="4" w:space="0" w:color="auto"/>
              <w:right w:val="nil"/>
            </w:tcBorders>
            <w:shd w:val="clear" w:color="auto" w:fill="auto"/>
            <w:noWrap/>
            <w:vAlign w:val="center"/>
            <w:hideMark/>
          </w:tcPr>
          <w:p w14:paraId="76C16D5C" w14:textId="77777777" w:rsidR="00655112" w:rsidRPr="00655112" w:rsidRDefault="00655112" w:rsidP="00655112">
            <w:pPr>
              <w:spacing w:after="0" w:line="240" w:lineRule="auto"/>
              <w:jc w:val="left"/>
              <w:rPr>
                <w:rFonts w:ascii="Arial" w:hAnsi="Arial" w:cs="Arial"/>
                <w:b/>
                <w:bCs/>
                <w:sz w:val="16"/>
                <w:szCs w:val="16"/>
              </w:rPr>
            </w:pPr>
            <w:r w:rsidRPr="00655112">
              <w:rPr>
                <w:rFonts w:ascii="Arial" w:hAnsi="Arial" w:cs="Arial"/>
                <w:b/>
                <w:bCs/>
                <w:sz w:val="16"/>
                <w:szCs w:val="16"/>
              </w:rPr>
              <w:t>Total expenses for Outcome 1</w:t>
            </w:r>
          </w:p>
        </w:tc>
        <w:tc>
          <w:tcPr>
            <w:tcW w:w="834" w:type="dxa"/>
            <w:tcBorders>
              <w:top w:val="single" w:sz="4" w:space="0" w:color="auto"/>
              <w:left w:val="nil"/>
              <w:bottom w:val="single" w:sz="4" w:space="0" w:color="auto"/>
              <w:right w:val="nil"/>
            </w:tcBorders>
            <w:shd w:val="clear" w:color="auto" w:fill="auto"/>
            <w:noWrap/>
            <w:vAlign w:val="center"/>
            <w:hideMark/>
          </w:tcPr>
          <w:p w14:paraId="76C16D5D" w14:textId="77777777" w:rsidR="00655112" w:rsidRPr="00655112" w:rsidRDefault="00655112" w:rsidP="00655112">
            <w:pPr>
              <w:spacing w:after="0" w:line="240" w:lineRule="auto"/>
              <w:jc w:val="right"/>
              <w:rPr>
                <w:rFonts w:ascii="Arial" w:hAnsi="Arial" w:cs="Arial"/>
                <w:b/>
                <w:bCs/>
                <w:color w:val="000000"/>
                <w:sz w:val="16"/>
                <w:szCs w:val="16"/>
              </w:rPr>
            </w:pPr>
            <w:r w:rsidRPr="00655112">
              <w:rPr>
                <w:rFonts w:ascii="Arial" w:hAnsi="Arial" w:cs="Arial"/>
                <w:b/>
                <w:bCs/>
                <w:color w:val="000000"/>
                <w:sz w:val="16"/>
                <w:szCs w:val="16"/>
              </w:rPr>
              <w:t xml:space="preserve">176,270 </w:t>
            </w:r>
          </w:p>
        </w:tc>
        <w:tc>
          <w:tcPr>
            <w:tcW w:w="796" w:type="dxa"/>
            <w:tcBorders>
              <w:top w:val="single" w:sz="4" w:space="0" w:color="auto"/>
              <w:left w:val="nil"/>
              <w:bottom w:val="single" w:sz="4" w:space="0" w:color="auto"/>
              <w:right w:val="nil"/>
            </w:tcBorders>
            <w:shd w:val="clear" w:color="000000" w:fill="E6E6E6"/>
            <w:noWrap/>
            <w:vAlign w:val="center"/>
            <w:hideMark/>
          </w:tcPr>
          <w:p w14:paraId="76C16D5E" w14:textId="77777777" w:rsidR="00655112" w:rsidRPr="00655112" w:rsidRDefault="00655112" w:rsidP="00655112">
            <w:pPr>
              <w:spacing w:after="0" w:line="240" w:lineRule="auto"/>
              <w:jc w:val="right"/>
              <w:rPr>
                <w:rFonts w:ascii="Arial" w:hAnsi="Arial" w:cs="Arial"/>
                <w:b/>
                <w:bCs/>
                <w:color w:val="000000"/>
                <w:sz w:val="16"/>
                <w:szCs w:val="16"/>
              </w:rPr>
            </w:pPr>
            <w:r w:rsidRPr="00655112">
              <w:rPr>
                <w:rFonts w:ascii="Arial" w:hAnsi="Arial" w:cs="Arial"/>
                <w:b/>
                <w:bCs/>
                <w:color w:val="000000"/>
                <w:sz w:val="16"/>
                <w:szCs w:val="16"/>
              </w:rPr>
              <w:t xml:space="preserve">267,439 </w:t>
            </w:r>
          </w:p>
        </w:tc>
        <w:tc>
          <w:tcPr>
            <w:tcW w:w="799" w:type="dxa"/>
            <w:tcBorders>
              <w:top w:val="single" w:sz="4" w:space="0" w:color="auto"/>
              <w:left w:val="nil"/>
              <w:bottom w:val="single" w:sz="4" w:space="0" w:color="auto"/>
              <w:right w:val="nil"/>
            </w:tcBorders>
            <w:shd w:val="clear" w:color="auto" w:fill="auto"/>
            <w:noWrap/>
            <w:vAlign w:val="center"/>
            <w:hideMark/>
          </w:tcPr>
          <w:p w14:paraId="76C16D5F" w14:textId="77777777" w:rsidR="00655112" w:rsidRPr="00655112" w:rsidRDefault="00655112" w:rsidP="00655112">
            <w:pPr>
              <w:spacing w:after="0" w:line="240" w:lineRule="auto"/>
              <w:jc w:val="right"/>
              <w:rPr>
                <w:rFonts w:ascii="Arial" w:hAnsi="Arial" w:cs="Arial"/>
                <w:b/>
                <w:bCs/>
                <w:sz w:val="16"/>
                <w:szCs w:val="16"/>
              </w:rPr>
            </w:pPr>
            <w:r w:rsidRPr="00655112">
              <w:rPr>
                <w:rFonts w:ascii="Arial" w:hAnsi="Arial" w:cs="Arial"/>
                <w:b/>
                <w:bCs/>
                <w:sz w:val="16"/>
                <w:szCs w:val="16"/>
              </w:rPr>
              <w:t xml:space="preserve">277,619 </w:t>
            </w:r>
          </w:p>
        </w:tc>
        <w:tc>
          <w:tcPr>
            <w:tcW w:w="799" w:type="dxa"/>
            <w:tcBorders>
              <w:top w:val="single" w:sz="4" w:space="0" w:color="auto"/>
              <w:left w:val="nil"/>
              <w:bottom w:val="single" w:sz="4" w:space="0" w:color="auto"/>
              <w:right w:val="nil"/>
            </w:tcBorders>
            <w:shd w:val="clear" w:color="auto" w:fill="auto"/>
            <w:noWrap/>
            <w:vAlign w:val="center"/>
            <w:hideMark/>
          </w:tcPr>
          <w:p w14:paraId="76C16D60" w14:textId="77777777" w:rsidR="00655112" w:rsidRPr="00655112" w:rsidRDefault="00655112" w:rsidP="00655112">
            <w:pPr>
              <w:spacing w:after="0" w:line="240" w:lineRule="auto"/>
              <w:jc w:val="right"/>
              <w:rPr>
                <w:rFonts w:ascii="Arial" w:hAnsi="Arial" w:cs="Arial"/>
                <w:b/>
                <w:bCs/>
                <w:sz w:val="16"/>
                <w:szCs w:val="16"/>
              </w:rPr>
            </w:pPr>
            <w:r w:rsidRPr="00655112">
              <w:rPr>
                <w:rFonts w:ascii="Arial" w:hAnsi="Arial" w:cs="Arial"/>
                <w:b/>
                <w:bCs/>
                <w:sz w:val="16"/>
                <w:szCs w:val="16"/>
              </w:rPr>
              <w:t xml:space="preserve">287,286 </w:t>
            </w:r>
          </w:p>
        </w:tc>
        <w:tc>
          <w:tcPr>
            <w:tcW w:w="799" w:type="dxa"/>
            <w:tcBorders>
              <w:top w:val="single" w:sz="4" w:space="0" w:color="auto"/>
              <w:left w:val="nil"/>
              <w:bottom w:val="single" w:sz="4" w:space="0" w:color="auto"/>
              <w:right w:val="nil"/>
            </w:tcBorders>
            <w:shd w:val="clear" w:color="auto" w:fill="auto"/>
            <w:noWrap/>
            <w:vAlign w:val="center"/>
            <w:hideMark/>
          </w:tcPr>
          <w:p w14:paraId="76C16D61" w14:textId="77777777" w:rsidR="00655112" w:rsidRPr="00655112" w:rsidRDefault="00655112" w:rsidP="00655112">
            <w:pPr>
              <w:spacing w:after="0" w:line="240" w:lineRule="auto"/>
              <w:jc w:val="right"/>
              <w:rPr>
                <w:rFonts w:ascii="Arial" w:hAnsi="Arial" w:cs="Arial"/>
                <w:b/>
                <w:bCs/>
                <w:sz w:val="16"/>
                <w:szCs w:val="16"/>
              </w:rPr>
            </w:pPr>
            <w:r w:rsidRPr="00655112">
              <w:rPr>
                <w:rFonts w:ascii="Arial" w:hAnsi="Arial" w:cs="Arial"/>
                <w:b/>
                <w:bCs/>
                <w:sz w:val="16"/>
                <w:szCs w:val="16"/>
              </w:rPr>
              <w:t xml:space="preserve">300,013 </w:t>
            </w:r>
          </w:p>
        </w:tc>
      </w:tr>
      <w:tr w:rsidR="00655112" w:rsidRPr="00655112" w14:paraId="76C16D69" w14:textId="77777777" w:rsidTr="00693FFB">
        <w:trPr>
          <w:trHeight w:val="225"/>
        </w:trPr>
        <w:tc>
          <w:tcPr>
            <w:tcW w:w="3273" w:type="dxa"/>
            <w:tcBorders>
              <w:top w:val="nil"/>
              <w:left w:val="nil"/>
              <w:bottom w:val="nil"/>
              <w:right w:val="nil"/>
            </w:tcBorders>
            <w:shd w:val="clear" w:color="auto" w:fill="auto"/>
            <w:noWrap/>
            <w:vAlign w:val="center"/>
            <w:hideMark/>
          </w:tcPr>
          <w:p w14:paraId="76C16D63" w14:textId="77777777" w:rsidR="00655112" w:rsidRPr="00655112" w:rsidRDefault="00655112" w:rsidP="00655112">
            <w:pPr>
              <w:spacing w:after="0" w:line="240" w:lineRule="auto"/>
              <w:jc w:val="right"/>
              <w:rPr>
                <w:rFonts w:ascii="Arial" w:hAnsi="Arial" w:cs="Arial"/>
                <w:b/>
                <w:bCs/>
                <w:sz w:val="16"/>
                <w:szCs w:val="16"/>
              </w:rPr>
            </w:pPr>
          </w:p>
        </w:tc>
        <w:tc>
          <w:tcPr>
            <w:tcW w:w="834" w:type="dxa"/>
            <w:tcBorders>
              <w:top w:val="nil"/>
              <w:left w:val="nil"/>
              <w:bottom w:val="nil"/>
              <w:right w:val="nil"/>
            </w:tcBorders>
            <w:shd w:val="clear" w:color="auto" w:fill="auto"/>
            <w:noWrap/>
            <w:vAlign w:val="center"/>
            <w:hideMark/>
          </w:tcPr>
          <w:p w14:paraId="76C16D64" w14:textId="77777777" w:rsidR="00655112" w:rsidRPr="00655112" w:rsidRDefault="00655112" w:rsidP="00655112">
            <w:pPr>
              <w:spacing w:after="0" w:line="240" w:lineRule="auto"/>
              <w:jc w:val="left"/>
              <w:rPr>
                <w:rFonts w:ascii="Times New Roman" w:hAnsi="Times New Roman"/>
              </w:rPr>
            </w:pPr>
          </w:p>
        </w:tc>
        <w:tc>
          <w:tcPr>
            <w:tcW w:w="796" w:type="dxa"/>
            <w:tcBorders>
              <w:top w:val="nil"/>
              <w:left w:val="nil"/>
              <w:bottom w:val="nil"/>
              <w:right w:val="nil"/>
            </w:tcBorders>
            <w:shd w:val="clear" w:color="auto" w:fill="auto"/>
            <w:noWrap/>
            <w:vAlign w:val="center"/>
            <w:hideMark/>
          </w:tcPr>
          <w:p w14:paraId="76C16D65" w14:textId="77777777" w:rsidR="00655112" w:rsidRPr="00655112" w:rsidRDefault="00655112" w:rsidP="00655112">
            <w:pPr>
              <w:spacing w:after="0" w:line="240" w:lineRule="auto"/>
              <w:jc w:val="right"/>
              <w:rPr>
                <w:rFonts w:ascii="Times New Roman" w:hAnsi="Times New Roman"/>
              </w:rPr>
            </w:pPr>
          </w:p>
        </w:tc>
        <w:tc>
          <w:tcPr>
            <w:tcW w:w="799" w:type="dxa"/>
            <w:tcBorders>
              <w:top w:val="nil"/>
              <w:left w:val="nil"/>
              <w:bottom w:val="nil"/>
              <w:right w:val="nil"/>
            </w:tcBorders>
            <w:shd w:val="clear" w:color="auto" w:fill="auto"/>
            <w:noWrap/>
            <w:vAlign w:val="center"/>
            <w:hideMark/>
          </w:tcPr>
          <w:p w14:paraId="76C16D66" w14:textId="77777777" w:rsidR="00655112" w:rsidRPr="00655112" w:rsidRDefault="00655112" w:rsidP="00655112">
            <w:pPr>
              <w:spacing w:after="0" w:line="240" w:lineRule="auto"/>
              <w:jc w:val="right"/>
              <w:rPr>
                <w:rFonts w:ascii="Times New Roman" w:hAnsi="Times New Roman"/>
              </w:rPr>
            </w:pPr>
          </w:p>
        </w:tc>
        <w:tc>
          <w:tcPr>
            <w:tcW w:w="799" w:type="dxa"/>
            <w:tcBorders>
              <w:top w:val="nil"/>
              <w:left w:val="nil"/>
              <w:bottom w:val="nil"/>
              <w:right w:val="nil"/>
            </w:tcBorders>
            <w:shd w:val="clear" w:color="auto" w:fill="auto"/>
            <w:noWrap/>
            <w:vAlign w:val="center"/>
            <w:hideMark/>
          </w:tcPr>
          <w:p w14:paraId="76C16D67" w14:textId="77777777" w:rsidR="00655112" w:rsidRPr="00655112" w:rsidRDefault="00655112" w:rsidP="00655112">
            <w:pPr>
              <w:spacing w:after="0" w:line="240" w:lineRule="auto"/>
              <w:jc w:val="left"/>
              <w:rPr>
                <w:rFonts w:ascii="Times New Roman" w:hAnsi="Times New Roman"/>
              </w:rPr>
            </w:pPr>
          </w:p>
        </w:tc>
        <w:tc>
          <w:tcPr>
            <w:tcW w:w="799" w:type="dxa"/>
            <w:tcBorders>
              <w:top w:val="nil"/>
              <w:left w:val="nil"/>
              <w:bottom w:val="nil"/>
              <w:right w:val="nil"/>
            </w:tcBorders>
            <w:shd w:val="clear" w:color="auto" w:fill="auto"/>
            <w:noWrap/>
            <w:vAlign w:val="center"/>
            <w:hideMark/>
          </w:tcPr>
          <w:p w14:paraId="76C16D68" w14:textId="77777777" w:rsidR="00655112" w:rsidRPr="00655112" w:rsidRDefault="00655112" w:rsidP="00655112">
            <w:pPr>
              <w:spacing w:after="0" w:line="240" w:lineRule="auto"/>
              <w:jc w:val="left"/>
              <w:rPr>
                <w:rFonts w:ascii="Times New Roman" w:hAnsi="Times New Roman"/>
              </w:rPr>
            </w:pPr>
          </w:p>
        </w:tc>
      </w:tr>
      <w:tr w:rsidR="00655112" w:rsidRPr="00655112" w14:paraId="76C16D70" w14:textId="77777777" w:rsidTr="00693FFB">
        <w:trPr>
          <w:trHeight w:val="225"/>
        </w:trPr>
        <w:tc>
          <w:tcPr>
            <w:tcW w:w="3273" w:type="dxa"/>
            <w:tcBorders>
              <w:top w:val="single" w:sz="4" w:space="0" w:color="auto"/>
              <w:left w:val="nil"/>
              <w:bottom w:val="nil"/>
              <w:right w:val="nil"/>
            </w:tcBorders>
            <w:shd w:val="clear" w:color="auto" w:fill="auto"/>
            <w:noWrap/>
            <w:vAlign w:val="center"/>
            <w:hideMark/>
          </w:tcPr>
          <w:p w14:paraId="76C16D6A" w14:textId="77777777" w:rsidR="00655112" w:rsidRPr="00655112" w:rsidRDefault="00655112" w:rsidP="00655112">
            <w:pPr>
              <w:spacing w:after="0" w:line="240" w:lineRule="auto"/>
              <w:jc w:val="left"/>
              <w:rPr>
                <w:rFonts w:ascii="Arial" w:hAnsi="Arial" w:cs="Arial"/>
                <w:sz w:val="16"/>
                <w:szCs w:val="16"/>
              </w:rPr>
            </w:pPr>
            <w:r w:rsidRPr="00655112">
              <w:rPr>
                <w:rFonts w:ascii="Arial" w:hAnsi="Arial" w:cs="Arial"/>
                <w:sz w:val="16"/>
                <w:szCs w:val="16"/>
              </w:rPr>
              <w:t> </w:t>
            </w:r>
          </w:p>
        </w:tc>
        <w:tc>
          <w:tcPr>
            <w:tcW w:w="834" w:type="dxa"/>
            <w:tcBorders>
              <w:top w:val="single" w:sz="4" w:space="0" w:color="auto"/>
              <w:left w:val="nil"/>
              <w:bottom w:val="single" w:sz="4" w:space="0" w:color="auto"/>
              <w:right w:val="nil"/>
            </w:tcBorders>
            <w:shd w:val="clear" w:color="auto" w:fill="auto"/>
            <w:noWrap/>
            <w:vAlign w:val="center"/>
            <w:hideMark/>
          </w:tcPr>
          <w:p w14:paraId="76C16D6B" w14:textId="77777777" w:rsidR="00655112" w:rsidRPr="00655112" w:rsidRDefault="009A4174" w:rsidP="00655112">
            <w:pPr>
              <w:spacing w:after="0" w:line="240" w:lineRule="auto"/>
              <w:jc w:val="right"/>
              <w:rPr>
                <w:rFonts w:ascii="Arial" w:hAnsi="Arial" w:cs="Arial"/>
                <w:sz w:val="16"/>
                <w:szCs w:val="16"/>
              </w:rPr>
            </w:pPr>
            <w:r>
              <w:rPr>
                <w:rFonts w:ascii="Arial" w:hAnsi="Arial" w:cs="Arial"/>
                <w:sz w:val="16"/>
                <w:szCs w:val="16"/>
              </w:rPr>
              <w:t xml:space="preserve">2018–19 </w:t>
            </w:r>
          </w:p>
        </w:tc>
        <w:tc>
          <w:tcPr>
            <w:tcW w:w="796" w:type="dxa"/>
            <w:tcBorders>
              <w:top w:val="single" w:sz="4" w:space="0" w:color="auto"/>
              <w:left w:val="nil"/>
              <w:bottom w:val="single" w:sz="4" w:space="0" w:color="auto"/>
              <w:right w:val="nil"/>
            </w:tcBorders>
            <w:shd w:val="clear" w:color="000000" w:fill="E6E6E6"/>
            <w:noWrap/>
            <w:vAlign w:val="center"/>
            <w:hideMark/>
          </w:tcPr>
          <w:p w14:paraId="76C16D6C" w14:textId="77777777" w:rsidR="00655112" w:rsidRPr="00655112" w:rsidRDefault="009A4174" w:rsidP="00655112">
            <w:pPr>
              <w:spacing w:after="0" w:line="240" w:lineRule="auto"/>
              <w:jc w:val="right"/>
              <w:rPr>
                <w:rFonts w:ascii="Arial" w:hAnsi="Arial" w:cs="Arial"/>
                <w:sz w:val="16"/>
                <w:szCs w:val="16"/>
              </w:rPr>
            </w:pPr>
            <w:r>
              <w:rPr>
                <w:rFonts w:ascii="Arial" w:hAnsi="Arial" w:cs="Arial"/>
                <w:sz w:val="16"/>
                <w:szCs w:val="16"/>
              </w:rPr>
              <w:t>2019–20</w:t>
            </w:r>
          </w:p>
        </w:tc>
        <w:tc>
          <w:tcPr>
            <w:tcW w:w="799" w:type="dxa"/>
            <w:tcBorders>
              <w:top w:val="nil"/>
              <w:left w:val="nil"/>
              <w:bottom w:val="nil"/>
              <w:right w:val="nil"/>
            </w:tcBorders>
            <w:shd w:val="clear" w:color="auto" w:fill="auto"/>
            <w:noWrap/>
            <w:vAlign w:val="center"/>
            <w:hideMark/>
          </w:tcPr>
          <w:p w14:paraId="76C16D6D" w14:textId="77777777" w:rsidR="00655112" w:rsidRPr="00655112" w:rsidRDefault="00655112" w:rsidP="00655112">
            <w:pPr>
              <w:spacing w:after="0" w:line="240" w:lineRule="auto"/>
              <w:jc w:val="right"/>
              <w:rPr>
                <w:rFonts w:ascii="Arial" w:hAnsi="Arial" w:cs="Arial"/>
                <w:sz w:val="16"/>
                <w:szCs w:val="16"/>
              </w:rPr>
            </w:pPr>
          </w:p>
        </w:tc>
        <w:tc>
          <w:tcPr>
            <w:tcW w:w="799" w:type="dxa"/>
            <w:tcBorders>
              <w:top w:val="nil"/>
              <w:left w:val="nil"/>
              <w:bottom w:val="nil"/>
              <w:right w:val="nil"/>
            </w:tcBorders>
            <w:shd w:val="clear" w:color="auto" w:fill="auto"/>
            <w:noWrap/>
            <w:vAlign w:val="center"/>
            <w:hideMark/>
          </w:tcPr>
          <w:p w14:paraId="76C16D6E" w14:textId="77777777" w:rsidR="00655112" w:rsidRPr="00655112" w:rsidRDefault="00655112" w:rsidP="00655112">
            <w:pPr>
              <w:spacing w:after="0" w:line="240" w:lineRule="auto"/>
              <w:jc w:val="left"/>
              <w:rPr>
                <w:rFonts w:ascii="Times New Roman" w:hAnsi="Times New Roman"/>
              </w:rPr>
            </w:pPr>
          </w:p>
        </w:tc>
        <w:tc>
          <w:tcPr>
            <w:tcW w:w="799" w:type="dxa"/>
            <w:tcBorders>
              <w:top w:val="nil"/>
              <w:left w:val="nil"/>
              <w:bottom w:val="nil"/>
              <w:right w:val="nil"/>
            </w:tcBorders>
            <w:shd w:val="clear" w:color="auto" w:fill="auto"/>
            <w:noWrap/>
            <w:vAlign w:val="center"/>
            <w:hideMark/>
          </w:tcPr>
          <w:p w14:paraId="76C16D6F" w14:textId="77777777" w:rsidR="00655112" w:rsidRPr="00655112" w:rsidRDefault="00655112" w:rsidP="00655112">
            <w:pPr>
              <w:spacing w:after="0" w:line="240" w:lineRule="auto"/>
              <w:jc w:val="left"/>
              <w:rPr>
                <w:rFonts w:ascii="Times New Roman" w:hAnsi="Times New Roman"/>
              </w:rPr>
            </w:pPr>
          </w:p>
        </w:tc>
      </w:tr>
      <w:tr w:rsidR="00655112" w:rsidRPr="00655112" w14:paraId="76C16D77" w14:textId="77777777" w:rsidTr="00693FFB">
        <w:trPr>
          <w:trHeight w:val="225"/>
        </w:trPr>
        <w:tc>
          <w:tcPr>
            <w:tcW w:w="3273" w:type="dxa"/>
            <w:tcBorders>
              <w:top w:val="nil"/>
              <w:left w:val="nil"/>
              <w:bottom w:val="single" w:sz="4" w:space="0" w:color="auto"/>
              <w:right w:val="nil"/>
            </w:tcBorders>
            <w:shd w:val="clear" w:color="auto" w:fill="auto"/>
            <w:noWrap/>
            <w:vAlign w:val="center"/>
            <w:hideMark/>
          </w:tcPr>
          <w:p w14:paraId="76C16D71" w14:textId="77777777" w:rsidR="00655112" w:rsidRPr="00655112" w:rsidRDefault="00655112" w:rsidP="00655112">
            <w:pPr>
              <w:spacing w:after="0" w:line="240" w:lineRule="auto"/>
              <w:jc w:val="left"/>
              <w:rPr>
                <w:rFonts w:ascii="Arial" w:hAnsi="Arial" w:cs="Arial"/>
                <w:b/>
                <w:bCs/>
                <w:color w:val="000000"/>
                <w:sz w:val="16"/>
                <w:szCs w:val="16"/>
              </w:rPr>
            </w:pPr>
            <w:r w:rsidRPr="00655112">
              <w:rPr>
                <w:rFonts w:ascii="Arial" w:hAnsi="Arial" w:cs="Arial"/>
                <w:b/>
                <w:bCs/>
                <w:color w:val="000000"/>
                <w:sz w:val="16"/>
                <w:szCs w:val="16"/>
              </w:rPr>
              <w:t>Average staffing level (number)</w:t>
            </w:r>
          </w:p>
        </w:tc>
        <w:tc>
          <w:tcPr>
            <w:tcW w:w="834" w:type="dxa"/>
            <w:tcBorders>
              <w:top w:val="nil"/>
              <w:left w:val="nil"/>
              <w:bottom w:val="single" w:sz="4" w:space="0" w:color="auto"/>
              <w:right w:val="nil"/>
            </w:tcBorders>
            <w:shd w:val="clear" w:color="auto" w:fill="auto"/>
            <w:noWrap/>
            <w:vAlign w:val="center"/>
            <w:hideMark/>
          </w:tcPr>
          <w:p w14:paraId="76C16D72" w14:textId="77777777" w:rsidR="00655112" w:rsidRPr="00655112" w:rsidRDefault="00655112" w:rsidP="00655112">
            <w:pPr>
              <w:spacing w:after="0" w:line="240" w:lineRule="auto"/>
              <w:jc w:val="right"/>
              <w:rPr>
                <w:rFonts w:ascii="Arial" w:hAnsi="Arial" w:cs="Arial"/>
                <w:color w:val="000000"/>
                <w:sz w:val="16"/>
                <w:szCs w:val="16"/>
              </w:rPr>
            </w:pPr>
            <w:r w:rsidRPr="00655112">
              <w:rPr>
                <w:rFonts w:ascii="Arial" w:hAnsi="Arial" w:cs="Arial"/>
                <w:color w:val="000000"/>
                <w:sz w:val="16"/>
                <w:szCs w:val="16"/>
              </w:rPr>
              <w:t xml:space="preserve">630 </w:t>
            </w:r>
          </w:p>
        </w:tc>
        <w:tc>
          <w:tcPr>
            <w:tcW w:w="796" w:type="dxa"/>
            <w:tcBorders>
              <w:top w:val="nil"/>
              <w:left w:val="nil"/>
              <w:bottom w:val="single" w:sz="4" w:space="0" w:color="auto"/>
              <w:right w:val="nil"/>
            </w:tcBorders>
            <w:shd w:val="clear" w:color="000000" w:fill="E6E6E6"/>
            <w:noWrap/>
            <w:vAlign w:val="center"/>
            <w:hideMark/>
          </w:tcPr>
          <w:p w14:paraId="76C16D73" w14:textId="77777777" w:rsidR="00655112" w:rsidRPr="00655112" w:rsidRDefault="00655112" w:rsidP="00655112">
            <w:pPr>
              <w:spacing w:after="0" w:line="240" w:lineRule="auto"/>
              <w:jc w:val="right"/>
              <w:rPr>
                <w:rFonts w:ascii="Arial" w:hAnsi="Arial" w:cs="Arial"/>
                <w:color w:val="000000"/>
                <w:sz w:val="16"/>
                <w:szCs w:val="16"/>
              </w:rPr>
            </w:pPr>
            <w:r w:rsidRPr="00655112">
              <w:rPr>
                <w:rFonts w:ascii="Arial" w:hAnsi="Arial" w:cs="Arial"/>
                <w:color w:val="000000"/>
                <w:sz w:val="16"/>
                <w:szCs w:val="16"/>
              </w:rPr>
              <w:t xml:space="preserve">630 </w:t>
            </w:r>
          </w:p>
        </w:tc>
        <w:tc>
          <w:tcPr>
            <w:tcW w:w="799" w:type="dxa"/>
            <w:tcBorders>
              <w:top w:val="nil"/>
              <w:left w:val="nil"/>
              <w:bottom w:val="nil"/>
              <w:right w:val="nil"/>
            </w:tcBorders>
            <w:shd w:val="clear" w:color="auto" w:fill="auto"/>
            <w:noWrap/>
            <w:vAlign w:val="center"/>
            <w:hideMark/>
          </w:tcPr>
          <w:p w14:paraId="76C16D74" w14:textId="77777777" w:rsidR="00655112" w:rsidRPr="00655112" w:rsidRDefault="00655112" w:rsidP="00655112">
            <w:pPr>
              <w:spacing w:after="0" w:line="240" w:lineRule="auto"/>
              <w:jc w:val="right"/>
              <w:rPr>
                <w:rFonts w:ascii="Arial" w:hAnsi="Arial" w:cs="Arial"/>
                <w:color w:val="000000"/>
                <w:sz w:val="16"/>
                <w:szCs w:val="16"/>
              </w:rPr>
            </w:pPr>
          </w:p>
        </w:tc>
        <w:tc>
          <w:tcPr>
            <w:tcW w:w="799" w:type="dxa"/>
            <w:tcBorders>
              <w:top w:val="nil"/>
              <w:left w:val="nil"/>
              <w:bottom w:val="nil"/>
              <w:right w:val="nil"/>
            </w:tcBorders>
            <w:shd w:val="clear" w:color="auto" w:fill="auto"/>
            <w:noWrap/>
            <w:vAlign w:val="center"/>
            <w:hideMark/>
          </w:tcPr>
          <w:p w14:paraId="76C16D75" w14:textId="77777777" w:rsidR="00655112" w:rsidRPr="00655112" w:rsidRDefault="00655112" w:rsidP="00655112">
            <w:pPr>
              <w:spacing w:after="0" w:line="240" w:lineRule="auto"/>
              <w:jc w:val="left"/>
              <w:rPr>
                <w:rFonts w:ascii="Times New Roman" w:hAnsi="Times New Roman"/>
              </w:rPr>
            </w:pPr>
          </w:p>
        </w:tc>
        <w:tc>
          <w:tcPr>
            <w:tcW w:w="799" w:type="dxa"/>
            <w:tcBorders>
              <w:top w:val="nil"/>
              <w:left w:val="nil"/>
              <w:bottom w:val="nil"/>
              <w:right w:val="nil"/>
            </w:tcBorders>
            <w:shd w:val="clear" w:color="auto" w:fill="auto"/>
            <w:noWrap/>
            <w:vAlign w:val="center"/>
            <w:hideMark/>
          </w:tcPr>
          <w:p w14:paraId="76C16D76" w14:textId="77777777" w:rsidR="00655112" w:rsidRPr="00655112" w:rsidRDefault="00655112" w:rsidP="00655112">
            <w:pPr>
              <w:spacing w:after="0" w:line="240" w:lineRule="auto"/>
              <w:jc w:val="left"/>
              <w:rPr>
                <w:rFonts w:ascii="Times New Roman" w:hAnsi="Times New Roman"/>
              </w:rPr>
            </w:pPr>
          </w:p>
        </w:tc>
      </w:tr>
    </w:tbl>
    <w:p w14:paraId="6FCCA0B4" w14:textId="07DB2ED8" w:rsidR="007C05BB" w:rsidRPr="007C05BB" w:rsidRDefault="00655112" w:rsidP="007C05BB">
      <w:pPr>
        <w:pStyle w:val="ListParagraph"/>
        <w:numPr>
          <w:ilvl w:val="0"/>
          <w:numId w:val="58"/>
        </w:numPr>
        <w:spacing w:before="120" w:after="0" w:line="240" w:lineRule="auto"/>
        <w:rPr>
          <w:rFonts w:ascii="Arial" w:eastAsia="Times New Roman" w:hAnsi="Arial"/>
          <w:b/>
          <w:color w:val="000000"/>
          <w:sz w:val="20"/>
          <w:szCs w:val="20"/>
          <w:lang w:val="x-none" w:eastAsia="x-none"/>
        </w:rPr>
      </w:pPr>
      <w:r w:rsidRPr="007319C8">
        <w:rPr>
          <w:rFonts w:ascii="Arial" w:hAnsi="Arial" w:cs="Arial"/>
          <w:sz w:val="16"/>
          <w:szCs w:val="16"/>
        </w:rPr>
        <w:t>Relating to non-cash movements in workers' compensation claims liabilit</w:t>
      </w:r>
      <w:r w:rsidR="00ED16A4" w:rsidRPr="007319C8">
        <w:rPr>
          <w:rFonts w:ascii="Arial" w:hAnsi="Arial" w:cs="Arial"/>
          <w:sz w:val="16"/>
          <w:szCs w:val="16"/>
        </w:rPr>
        <w:t>ies and asbestos-related</w:t>
      </w:r>
      <w:r w:rsidR="00ED16A4" w:rsidRPr="007C05BB">
        <w:rPr>
          <w:rFonts w:ascii="Arial" w:hAnsi="Arial" w:cs="Arial"/>
          <w:sz w:val="16"/>
          <w:szCs w:val="16"/>
        </w:rPr>
        <w:t xml:space="preserve"> claims </w:t>
      </w:r>
      <w:r w:rsidRPr="007C05BB">
        <w:rPr>
          <w:rFonts w:ascii="Arial" w:hAnsi="Arial" w:cs="Arial"/>
          <w:sz w:val="16"/>
          <w:szCs w:val="16"/>
        </w:rPr>
        <w:t>liabilities.</w:t>
      </w:r>
      <w:r w:rsidR="00DF0134" w:rsidRPr="007C05BB">
        <w:rPr>
          <w:rFonts w:ascii="Arial" w:hAnsi="Arial" w:cs="Arial"/>
          <w:sz w:val="16"/>
          <w:szCs w:val="16"/>
        </w:rPr>
        <w:br w:type="page"/>
      </w:r>
    </w:p>
    <w:p w14:paraId="76C16D78" w14:textId="07DB2ED8" w:rsidR="00DF0134" w:rsidRPr="007C05BB" w:rsidRDefault="00655112" w:rsidP="007C05BB">
      <w:pPr>
        <w:spacing w:before="120" w:after="0" w:line="240" w:lineRule="auto"/>
        <w:rPr>
          <w:rFonts w:ascii="Arial" w:hAnsi="Arial"/>
          <w:b/>
          <w:color w:val="000000"/>
          <w:lang w:val="x-none" w:eastAsia="x-none"/>
        </w:rPr>
      </w:pPr>
      <w:r w:rsidRPr="007C05BB">
        <w:rPr>
          <w:rFonts w:ascii="Arial" w:hAnsi="Arial"/>
          <w:b/>
          <w:color w:val="000000"/>
          <w:lang w:val="x-none" w:eastAsia="x-none"/>
        </w:rPr>
        <w:lastRenderedPageBreak/>
        <w:t>Table 2.1</w:t>
      </w:r>
      <w:r w:rsidR="00DF0134" w:rsidRPr="007C05BB">
        <w:rPr>
          <w:rFonts w:ascii="Arial" w:hAnsi="Arial"/>
          <w:b/>
          <w:color w:val="000000"/>
          <w:lang w:val="x-none" w:eastAsia="x-none"/>
        </w:rPr>
        <w:t xml:space="preserve">.2: Program components of Outcome </w:t>
      </w:r>
      <w:r w:rsidRPr="007C05BB">
        <w:rPr>
          <w:rFonts w:ascii="Arial" w:hAnsi="Arial"/>
          <w:b/>
          <w:color w:val="000000"/>
          <w:lang w:val="x-none" w:eastAsia="x-none"/>
        </w:rPr>
        <w:t>1</w:t>
      </w:r>
      <w:r w:rsidR="00DF0134" w:rsidRPr="007C05BB">
        <w:rPr>
          <w:rFonts w:ascii="Arial" w:hAnsi="Arial"/>
          <w:b/>
          <w:color w:val="000000"/>
          <w:lang w:val="x-none" w:eastAsia="x-none"/>
        </w:rPr>
        <w:t xml:space="preserve"> </w:t>
      </w:r>
    </w:p>
    <w:tbl>
      <w:tblPr>
        <w:tblW w:w="7672" w:type="dxa"/>
        <w:tblLook w:val="04A0" w:firstRow="1" w:lastRow="0" w:firstColumn="1" w:lastColumn="0" w:noHBand="0" w:noVBand="1"/>
      </w:tblPr>
      <w:tblGrid>
        <w:gridCol w:w="3327"/>
        <w:gridCol w:w="959"/>
        <w:gridCol w:w="839"/>
        <w:gridCol w:w="849"/>
        <w:gridCol w:w="849"/>
        <w:gridCol w:w="849"/>
      </w:tblGrid>
      <w:tr w:rsidR="002234AB" w:rsidRPr="002234AB" w14:paraId="76C16D7A" w14:textId="77777777" w:rsidTr="00693FFB">
        <w:trPr>
          <w:trHeight w:val="225"/>
        </w:trPr>
        <w:tc>
          <w:tcPr>
            <w:tcW w:w="7300" w:type="dxa"/>
            <w:gridSpan w:val="6"/>
            <w:tcBorders>
              <w:top w:val="single" w:sz="4" w:space="0" w:color="auto"/>
              <w:left w:val="nil"/>
              <w:bottom w:val="single" w:sz="4" w:space="0" w:color="auto"/>
              <w:right w:val="nil"/>
            </w:tcBorders>
            <w:shd w:val="clear" w:color="auto" w:fill="auto"/>
            <w:vAlign w:val="center"/>
            <w:hideMark/>
          </w:tcPr>
          <w:p w14:paraId="76C16D79" w14:textId="77777777" w:rsidR="002234AB" w:rsidRPr="002234AB" w:rsidRDefault="002234AB" w:rsidP="002234AB">
            <w:pPr>
              <w:spacing w:after="0" w:line="240" w:lineRule="auto"/>
              <w:jc w:val="left"/>
              <w:rPr>
                <w:rFonts w:ascii="Arial" w:hAnsi="Arial" w:cs="Arial"/>
                <w:b/>
                <w:bCs/>
                <w:sz w:val="16"/>
                <w:szCs w:val="16"/>
              </w:rPr>
            </w:pPr>
            <w:r w:rsidRPr="002234AB">
              <w:rPr>
                <w:rFonts w:ascii="Arial" w:hAnsi="Arial" w:cs="Arial"/>
                <w:b/>
                <w:bCs/>
                <w:sz w:val="16"/>
                <w:szCs w:val="16"/>
              </w:rPr>
              <w:t>Program 1.1: Comcare Departmental</w:t>
            </w:r>
          </w:p>
        </w:tc>
      </w:tr>
      <w:tr w:rsidR="002234AB" w:rsidRPr="002234AB" w14:paraId="76C16D81" w14:textId="77777777" w:rsidTr="00693FFB">
        <w:trPr>
          <w:trHeight w:val="785"/>
        </w:trPr>
        <w:tc>
          <w:tcPr>
            <w:tcW w:w="3220" w:type="dxa"/>
            <w:tcBorders>
              <w:top w:val="nil"/>
              <w:left w:val="nil"/>
              <w:bottom w:val="nil"/>
              <w:right w:val="nil"/>
            </w:tcBorders>
            <w:shd w:val="clear" w:color="auto" w:fill="auto"/>
            <w:hideMark/>
          </w:tcPr>
          <w:p w14:paraId="76C16D7B" w14:textId="77777777" w:rsidR="002234AB" w:rsidRPr="002234AB" w:rsidRDefault="002234AB" w:rsidP="002234AB">
            <w:pPr>
              <w:spacing w:after="0" w:line="240" w:lineRule="auto"/>
              <w:jc w:val="left"/>
              <w:rPr>
                <w:rFonts w:ascii="Arial" w:hAnsi="Arial" w:cs="Arial"/>
                <w:b/>
                <w:bCs/>
                <w:sz w:val="16"/>
                <w:szCs w:val="16"/>
              </w:rPr>
            </w:pPr>
          </w:p>
        </w:tc>
        <w:tc>
          <w:tcPr>
            <w:tcW w:w="820" w:type="dxa"/>
            <w:tcBorders>
              <w:top w:val="nil"/>
              <w:left w:val="nil"/>
              <w:bottom w:val="nil"/>
              <w:right w:val="nil"/>
            </w:tcBorders>
            <w:shd w:val="clear" w:color="auto" w:fill="auto"/>
            <w:hideMark/>
          </w:tcPr>
          <w:p w14:paraId="76C16D7C" w14:textId="77777777" w:rsidR="002234AB" w:rsidRPr="002234AB" w:rsidRDefault="009A4174" w:rsidP="002234AB">
            <w:pPr>
              <w:spacing w:after="0" w:line="240" w:lineRule="auto"/>
              <w:jc w:val="right"/>
              <w:rPr>
                <w:rFonts w:ascii="Arial" w:hAnsi="Arial" w:cs="Arial"/>
                <w:sz w:val="16"/>
                <w:szCs w:val="16"/>
              </w:rPr>
            </w:pPr>
            <w:r>
              <w:rPr>
                <w:rFonts w:ascii="Arial" w:hAnsi="Arial" w:cs="Arial"/>
                <w:sz w:val="16"/>
                <w:szCs w:val="16"/>
              </w:rPr>
              <w:t xml:space="preserve">2018–19 </w:t>
            </w:r>
            <w:r w:rsidR="002234AB" w:rsidRPr="002234AB">
              <w:rPr>
                <w:rFonts w:ascii="Arial" w:hAnsi="Arial" w:cs="Arial"/>
                <w:sz w:val="16"/>
                <w:szCs w:val="16"/>
              </w:rPr>
              <w:t xml:space="preserve"> Estimated actual</w:t>
            </w:r>
            <w:r w:rsidR="002234AB" w:rsidRPr="002234AB">
              <w:rPr>
                <w:rFonts w:ascii="Arial" w:hAnsi="Arial" w:cs="Arial"/>
                <w:sz w:val="16"/>
                <w:szCs w:val="16"/>
              </w:rPr>
              <w:br/>
              <w:t>$'000</w:t>
            </w:r>
          </w:p>
        </w:tc>
        <w:tc>
          <w:tcPr>
            <w:tcW w:w="800" w:type="dxa"/>
            <w:tcBorders>
              <w:top w:val="nil"/>
              <w:left w:val="nil"/>
              <w:bottom w:val="nil"/>
              <w:right w:val="nil"/>
            </w:tcBorders>
            <w:shd w:val="clear" w:color="000000" w:fill="E6E6E6"/>
            <w:hideMark/>
          </w:tcPr>
          <w:p w14:paraId="76C16D7D" w14:textId="77777777" w:rsidR="002234AB" w:rsidRPr="002234AB" w:rsidRDefault="009A4174" w:rsidP="002234AB">
            <w:pPr>
              <w:spacing w:after="0" w:line="240" w:lineRule="auto"/>
              <w:jc w:val="right"/>
              <w:rPr>
                <w:rFonts w:ascii="Arial" w:hAnsi="Arial" w:cs="Arial"/>
                <w:sz w:val="16"/>
                <w:szCs w:val="16"/>
              </w:rPr>
            </w:pPr>
            <w:r>
              <w:rPr>
                <w:rFonts w:ascii="Arial" w:hAnsi="Arial" w:cs="Arial"/>
                <w:sz w:val="16"/>
                <w:szCs w:val="16"/>
              </w:rPr>
              <w:t>2019–20</w:t>
            </w:r>
            <w:r w:rsidR="002234AB" w:rsidRPr="002234AB">
              <w:rPr>
                <w:rFonts w:ascii="Arial" w:hAnsi="Arial" w:cs="Arial"/>
                <w:sz w:val="16"/>
                <w:szCs w:val="16"/>
              </w:rPr>
              <w:br/>
              <w:t>Budget</w:t>
            </w:r>
            <w:r w:rsidR="002234AB" w:rsidRPr="002234AB">
              <w:rPr>
                <w:rFonts w:ascii="Arial" w:hAnsi="Arial" w:cs="Arial"/>
                <w:sz w:val="16"/>
                <w:szCs w:val="16"/>
              </w:rPr>
              <w:br/>
            </w:r>
            <w:r w:rsidR="002234AB" w:rsidRPr="002234AB">
              <w:rPr>
                <w:rFonts w:ascii="Arial" w:hAnsi="Arial" w:cs="Arial"/>
                <w:sz w:val="16"/>
                <w:szCs w:val="16"/>
              </w:rPr>
              <w:br/>
              <w:t>$'000</w:t>
            </w:r>
          </w:p>
        </w:tc>
        <w:tc>
          <w:tcPr>
            <w:tcW w:w="820" w:type="dxa"/>
            <w:tcBorders>
              <w:top w:val="nil"/>
              <w:left w:val="nil"/>
              <w:bottom w:val="nil"/>
              <w:right w:val="nil"/>
            </w:tcBorders>
            <w:shd w:val="clear" w:color="auto" w:fill="auto"/>
            <w:hideMark/>
          </w:tcPr>
          <w:p w14:paraId="76C16D7E" w14:textId="41C39542" w:rsidR="002234AB" w:rsidRPr="002234AB" w:rsidRDefault="00014C66" w:rsidP="002234AB">
            <w:pPr>
              <w:spacing w:after="0" w:line="240" w:lineRule="auto"/>
              <w:jc w:val="right"/>
              <w:rPr>
                <w:rFonts w:ascii="Arial" w:hAnsi="Arial" w:cs="Arial"/>
                <w:sz w:val="16"/>
                <w:szCs w:val="16"/>
              </w:rPr>
            </w:pPr>
            <w:r>
              <w:rPr>
                <w:rFonts w:ascii="Arial" w:hAnsi="Arial" w:cs="Arial"/>
                <w:sz w:val="16"/>
                <w:szCs w:val="16"/>
              </w:rPr>
              <w:t>2020–21</w:t>
            </w:r>
            <w:r w:rsidR="002234AB" w:rsidRPr="002234AB">
              <w:rPr>
                <w:rFonts w:ascii="Arial" w:hAnsi="Arial" w:cs="Arial"/>
                <w:sz w:val="16"/>
                <w:szCs w:val="16"/>
              </w:rPr>
              <w:t xml:space="preserve"> Forward estimate</w:t>
            </w:r>
            <w:r w:rsidR="002234AB" w:rsidRPr="002234AB">
              <w:rPr>
                <w:rFonts w:ascii="Arial" w:hAnsi="Arial" w:cs="Arial"/>
                <w:sz w:val="16"/>
                <w:szCs w:val="16"/>
              </w:rPr>
              <w:br/>
              <w:t>$'000</w:t>
            </w:r>
          </w:p>
        </w:tc>
        <w:tc>
          <w:tcPr>
            <w:tcW w:w="820" w:type="dxa"/>
            <w:tcBorders>
              <w:top w:val="nil"/>
              <w:left w:val="nil"/>
              <w:bottom w:val="nil"/>
              <w:right w:val="nil"/>
            </w:tcBorders>
            <w:shd w:val="clear" w:color="auto" w:fill="auto"/>
            <w:hideMark/>
          </w:tcPr>
          <w:p w14:paraId="76C16D7F" w14:textId="77777777" w:rsidR="002234AB" w:rsidRPr="002234AB" w:rsidRDefault="009A4174" w:rsidP="002234AB">
            <w:pPr>
              <w:spacing w:after="0" w:line="240" w:lineRule="auto"/>
              <w:jc w:val="right"/>
              <w:rPr>
                <w:rFonts w:ascii="Arial" w:hAnsi="Arial" w:cs="Arial"/>
                <w:sz w:val="16"/>
                <w:szCs w:val="16"/>
              </w:rPr>
            </w:pPr>
            <w:r>
              <w:rPr>
                <w:rFonts w:ascii="Arial" w:hAnsi="Arial" w:cs="Arial"/>
                <w:sz w:val="16"/>
                <w:szCs w:val="16"/>
              </w:rPr>
              <w:t>2021–22</w:t>
            </w:r>
            <w:r w:rsidR="002234AB" w:rsidRPr="002234AB">
              <w:rPr>
                <w:rFonts w:ascii="Arial" w:hAnsi="Arial" w:cs="Arial"/>
                <w:sz w:val="16"/>
                <w:szCs w:val="16"/>
              </w:rPr>
              <w:t xml:space="preserve"> Forward estimate</w:t>
            </w:r>
            <w:r w:rsidR="002234AB" w:rsidRPr="002234AB">
              <w:rPr>
                <w:rFonts w:ascii="Arial" w:hAnsi="Arial" w:cs="Arial"/>
                <w:sz w:val="16"/>
                <w:szCs w:val="16"/>
              </w:rPr>
              <w:br/>
              <w:t>$'000</w:t>
            </w:r>
          </w:p>
        </w:tc>
        <w:tc>
          <w:tcPr>
            <w:tcW w:w="820" w:type="dxa"/>
            <w:tcBorders>
              <w:top w:val="nil"/>
              <w:left w:val="nil"/>
              <w:bottom w:val="nil"/>
              <w:right w:val="nil"/>
            </w:tcBorders>
            <w:shd w:val="clear" w:color="auto" w:fill="auto"/>
            <w:hideMark/>
          </w:tcPr>
          <w:p w14:paraId="76C16D80" w14:textId="77777777" w:rsidR="002234AB" w:rsidRPr="002234AB" w:rsidRDefault="009A4174" w:rsidP="002234AB">
            <w:pPr>
              <w:spacing w:after="0" w:line="240" w:lineRule="auto"/>
              <w:jc w:val="right"/>
              <w:rPr>
                <w:rFonts w:ascii="Arial" w:hAnsi="Arial" w:cs="Arial"/>
                <w:sz w:val="16"/>
                <w:szCs w:val="16"/>
              </w:rPr>
            </w:pPr>
            <w:r>
              <w:rPr>
                <w:rFonts w:ascii="Arial" w:hAnsi="Arial" w:cs="Arial"/>
                <w:sz w:val="16"/>
                <w:szCs w:val="16"/>
              </w:rPr>
              <w:t>2022–23</w:t>
            </w:r>
            <w:r w:rsidR="002234AB" w:rsidRPr="002234AB">
              <w:rPr>
                <w:rFonts w:ascii="Arial" w:hAnsi="Arial" w:cs="Arial"/>
                <w:sz w:val="16"/>
                <w:szCs w:val="16"/>
              </w:rPr>
              <w:br/>
              <w:t>Forward estimate</w:t>
            </w:r>
            <w:r w:rsidR="002234AB" w:rsidRPr="002234AB">
              <w:rPr>
                <w:rFonts w:ascii="Arial" w:hAnsi="Arial" w:cs="Arial"/>
                <w:sz w:val="16"/>
                <w:szCs w:val="16"/>
              </w:rPr>
              <w:br/>
              <w:t>$'000</w:t>
            </w:r>
          </w:p>
        </w:tc>
      </w:tr>
      <w:tr w:rsidR="002234AB" w:rsidRPr="002234AB" w14:paraId="76C16D83" w14:textId="77777777" w:rsidTr="00693FFB">
        <w:trPr>
          <w:trHeight w:val="225"/>
        </w:trPr>
        <w:tc>
          <w:tcPr>
            <w:tcW w:w="7300" w:type="dxa"/>
            <w:gridSpan w:val="6"/>
            <w:tcBorders>
              <w:top w:val="single" w:sz="4" w:space="0" w:color="auto"/>
              <w:left w:val="nil"/>
              <w:bottom w:val="single" w:sz="4" w:space="0" w:color="auto"/>
              <w:right w:val="nil"/>
            </w:tcBorders>
            <w:shd w:val="clear" w:color="000000" w:fill="E6E6E6"/>
            <w:hideMark/>
          </w:tcPr>
          <w:p w14:paraId="76C16D82" w14:textId="77777777" w:rsidR="002234AB" w:rsidRPr="002234AB" w:rsidRDefault="002234AB" w:rsidP="00991C53">
            <w:pPr>
              <w:spacing w:after="0" w:line="240" w:lineRule="auto"/>
              <w:jc w:val="left"/>
              <w:rPr>
                <w:rFonts w:ascii="Arial" w:hAnsi="Arial" w:cs="Arial"/>
                <w:i/>
                <w:iCs/>
                <w:sz w:val="16"/>
                <w:szCs w:val="16"/>
              </w:rPr>
            </w:pPr>
            <w:r w:rsidRPr="002234AB">
              <w:rPr>
                <w:rFonts w:ascii="Arial" w:hAnsi="Arial" w:cs="Arial"/>
                <w:i/>
                <w:iCs/>
                <w:sz w:val="16"/>
                <w:szCs w:val="16"/>
              </w:rPr>
              <w:t>1.1.1 - Work Health, Safety and Rehabilitation Regulation</w:t>
            </w:r>
          </w:p>
        </w:tc>
      </w:tr>
      <w:tr w:rsidR="002234AB" w:rsidRPr="002234AB" w14:paraId="76C16D8A" w14:textId="77777777" w:rsidTr="00693FFB">
        <w:trPr>
          <w:trHeight w:val="225"/>
        </w:trPr>
        <w:tc>
          <w:tcPr>
            <w:tcW w:w="3220" w:type="dxa"/>
            <w:tcBorders>
              <w:top w:val="nil"/>
              <w:left w:val="nil"/>
              <w:bottom w:val="nil"/>
              <w:right w:val="nil"/>
            </w:tcBorders>
            <w:shd w:val="clear" w:color="000000" w:fill="FFFFFF"/>
            <w:noWrap/>
            <w:vAlign w:val="bottom"/>
            <w:hideMark/>
          </w:tcPr>
          <w:p w14:paraId="76C16D84" w14:textId="77777777" w:rsidR="002234AB" w:rsidRPr="005A0812" w:rsidRDefault="002234AB" w:rsidP="005A0812">
            <w:pPr>
              <w:spacing w:after="0" w:line="240" w:lineRule="auto"/>
              <w:ind w:left="316" w:hanging="142"/>
              <w:jc w:val="left"/>
              <w:rPr>
                <w:rFonts w:ascii="Arial" w:hAnsi="Arial" w:cs="Arial"/>
                <w:color w:val="000000"/>
                <w:sz w:val="16"/>
                <w:szCs w:val="16"/>
              </w:rPr>
            </w:pPr>
            <w:r w:rsidRPr="005A0812">
              <w:rPr>
                <w:rFonts w:ascii="Arial" w:hAnsi="Arial" w:cs="Arial"/>
                <w:color w:val="000000"/>
                <w:sz w:val="16"/>
                <w:szCs w:val="16"/>
              </w:rPr>
              <w:t>Annual departmental expenses:</w:t>
            </w:r>
          </w:p>
        </w:tc>
        <w:tc>
          <w:tcPr>
            <w:tcW w:w="820" w:type="dxa"/>
            <w:tcBorders>
              <w:top w:val="nil"/>
              <w:left w:val="nil"/>
              <w:bottom w:val="nil"/>
              <w:right w:val="nil"/>
            </w:tcBorders>
            <w:shd w:val="clear" w:color="auto" w:fill="auto"/>
            <w:hideMark/>
          </w:tcPr>
          <w:p w14:paraId="76C16D85" w14:textId="77777777" w:rsidR="002234AB" w:rsidRPr="002234AB" w:rsidRDefault="002234AB" w:rsidP="002234AB">
            <w:pPr>
              <w:spacing w:after="0" w:line="240" w:lineRule="auto"/>
              <w:ind w:firstLineChars="100" w:firstLine="160"/>
              <w:jc w:val="left"/>
              <w:rPr>
                <w:rFonts w:ascii="Arial" w:hAnsi="Arial" w:cs="Arial"/>
                <w:sz w:val="16"/>
                <w:szCs w:val="16"/>
              </w:rPr>
            </w:pPr>
          </w:p>
        </w:tc>
        <w:tc>
          <w:tcPr>
            <w:tcW w:w="800" w:type="dxa"/>
            <w:tcBorders>
              <w:top w:val="nil"/>
              <w:left w:val="nil"/>
              <w:bottom w:val="nil"/>
              <w:right w:val="nil"/>
            </w:tcBorders>
            <w:shd w:val="clear" w:color="000000" w:fill="E6E6E6"/>
            <w:noWrap/>
            <w:vAlign w:val="bottom"/>
            <w:hideMark/>
          </w:tcPr>
          <w:p w14:paraId="76C16D86" w14:textId="77777777" w:rsidR="002234AB" w:rsidRPr="002234AB" w:rsidRDefault="002234AB" w:rsidP="002234AB">
            <w:pPr>
              <w:spacing w:after="0" w:line="240" w:lineRule="auto"/>
              <w:jc w:val="left"/>
              <w:rPr>
                <w:rFonts w:ascii="Arial" w:hAnsi="Arial" w:cs="Arial"/>
                <w:sz w:val="16"/>
                <w:szCs w:val="16"/>
              </w:rPr>
            </w:pPr>
            <w:r w:rsidRPr="002234AB">
              <w:rPr>
                <w:rFonts w:ascii="Arial" w:hAnsi="Arial" w:cs="Arial"/>
                <w:sz w:val="16"/>
                <w:szCs w:val="16"/>
              </w:rPr>
              <w:t> </w:t>
            </w:r>
          </w:p>
        </w:tc>
        <w:tc>
          <w:tcPr>
            <w:tcW w:w="820" w:type="dxa"/>
            <w:tcBorders>
              <w:top w:val="nil"/>
              <w:left w:val="nil"/>
              <w:bottom w:val="nil"/>
              <w:right w:val="nil"/>
            </w:tcBorders>
            <w:shd w:val="clear" w:color="auto" w:fill="auto"/>
            <w:hideMark/>
          </w:tcPr>
          <w:p w14:paraId="76C16D87" w14:textId="77777777" w:rsidR="002234AB" w:rsidRPr="002234AB" w:rsidRDefault="002234AB" w:rsidP="002234AB">
            <w:pPr>
              <w:spacing w:after="0" w:line="240" w:lineRule="auto"/>
              <w:jc w:val="left"/>
              <w:rPr>
                <w:rFonts w:ascii="Arial" w:hAnsi="Arial" w:cs="Arial"/>
                <w:sz w:val="16"/>
                <w:szCs w:val="16"/>
              </w:rPr>
            </w:pPr>
          </w:p>
        </w:tc>
        <w:tc>
          <w:tcPr>
            <w:tcW w:w="820" w:type="dxa"/>
            <w:tcBorders>
              <w:top w:val="nil"/>
              <w:left w:val="nil"/>
              <w:bottom w:val="nil"/>
              <w:right w:val="nil"/>
            </w:tcBorders>
            <w:shd w:val="clear" w:color="auto" w:fill="auto"/>
            <w:hideMark/>
          </w:tcPr>
          <w:p w14:paraId="76C16D88" w14:textId="77777777" w:rsidR="002234AB" w:rsidRPr="002234AB" w:rsidRDefault="002234AB" w:rsidP="002234AB">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hideMark/>
          </w:tcPr>
          <w:p w14:paraId="76C16D89" w14:textId="77777777" w:rsidR="002234AB" w:rsidRPr="002234AB" w:rsidRDefault="002234AB" w:rsidP="002234AB">
            <w:pPr>
              <w:spacing w:after="0" w:line="240" w:lineRule="auto"/>
              <w:jc w:val="right"/>
              <w:rPr>
                <w:rFonts w:ascii="Times New Roman" w:hAnsi="Times New Roman"/>
              </w:rPr>
            </w:pPr>
          </w:p>
        </w:tc>
      </w:tr>
      <w:tr w:rsidR="002234AB" w:rsidRPr="002234AB" w14:paraId="76C16D91" w14:textId="77777777" w:rsidTr="007319C8">
        <w:trPr>
          <w:trHeight w:val="225"/>
        </w:trPr>
        <w:tc>
          <w:tcPr>
            <w:tcW w:w="3220" w:type="dxa"/>
            <w:tcBorders>
              <w:top w:val="nil"/>
              <w:left w:val="nil"/>
              <w:bottom w:val="nil"/>
              <w:right w:val="nil"/>
            </w:tcBorders>
            <w:shd w:val="clear" w:color="000000" w:fill="FFFFFF"/>
            <w:vAlign w:val="bottom"/>
            <w:hideMark/>
          </w:tcPr>
          <w:p w14:paraId="76C16D8B" w14:textId="77777777" w:rsidR="002234AB" w:rsidRPr="005A0812" w:rsidRDefault="002234AB" w:rsidP="005A0812">
            <w:pPr>
              <w:spacing w:after="0" w:line="240" w:lineRule="auto"/>
              <w:ind w:left="490" w:hanging="142"/>
              <w:jc w:val="left"/>
              <w:rPr>
                <w:rFonts w:ascii="Arial" w:hAnsi="Arial" w:cs="Arial"/>
                <w:color w:val="000000"/>
                <w:sz w:val="16"/>
                <w:szCs w:val="16"/>
              </w:rPr>
            </w:pPr>
            <w:r w:rsidRPr="005A0812">
              <w:rPr>
                <w:rFonts w:ascii="Arial" w:hAnsi="Arial" w:cs="Arial"/>
                <w:color w:val="000000"/>
                <w:sz w:val="16"/>
                <w:szCs w:val="16"/>
              </w:rPr>
              <w:t>Annual Appropriation</w:t>
            </w:r>
          </w:p>
        </w:tc>
        <w:tc>
          <w:tcPr>
            <w:tcW w:w="820" w:type="dxa"/>
            <w:tcBorders>
              <w:top w:val="nil"/>
              <w:left w:val="nil"/>
              <w:bottom w:val="nil"/>
              <w:right w:val="nil"/>
            </w:tcBorders>
            <w:shd w:val="clear" w:color="auto" w:fill="auto"/>
            <w:vAlign w:val="bottom"/>
            <w:hideMark/>
          </w:tcPr>
          <w:p w14:paraId="76C16D8C"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718 </w:t>
            </w:r>
          </w:p>
        </w:tc>
        <w:tc>
          <w:tcPr>
            <w:tcW w:w="800" w:type="dxa"/>
            <w:tcBorders>
              <w:top w:val="nil"/>
              <w:left w:val="nil"/>
              <w:bottom w:val="nil"/>
              <w:right w:val="nil"/>
            </w:tcBorders>
            <w:shd w:val="clear" w:color="000000" w:fill="E6E6E6"/>
            <w:noWrap/>
            <w:vAlign w:val="bottom"/>
            <w:hideMark/>
          </w:tcPr>
          <w:p w14:paraId="76C16D8D"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718 </w:t>
            </w:r>
          </w:p>
        </w:tc>
        <w:tc>
          <w:tcPr>
            <w:tcW w:w="820" w:type="dxa"/>
            <w:tcBorders>
              <w:top w:val="nil"/>
              <w:left w:val="nil"/>
              <w:bottom w:val="nil"/>
              <w:right w:val="nil"/>
            </w:tcBorders>
            <w:shd w:val="clear" w:color="auto" w:fill="auto"/>
            <w:vAlign w:val="bottom"/>
            <w:hideMark/>
          </w:tcPr>
          <w:p w14:paraId="76C16D8E"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723 </w:t>
            </w:r>
          </w:p>
        </w:tc>
        <w:tc>
          <w:tcPr>
            <w:tcW w:w="820" w:type="dxa"/>
            <w:tcBorders>
              <w:top w:val="nil"/>
              <w:left w:val="nil"/>
              <w:bottom w:val="nil"/>
              <w:right w:val="nil"/>
            </w:tcBorders>
            <w:shd w:val="clear" w:color="auto" w:fill="auto"/>
            <w:vAlign w:val="bottom"/>
            <w:hideMark/>
          </w:tcPr>
          <w:p w14:paraId="76C16D8F"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728 </w:t>
            </w:r>
          </w:p>
        </w:tc>
        <w:tc>
          <w:tcPr>
            <w:tcW w:w="820" w:type="dxa"/>
            <w:tcBorders>
              <w:top w:val="nil"/>
              <w:left w:val="nil"/>
              <w:bottom w:val="nil"/>
              <w:right w:val="nil"/>
            </w:tcBorders>
            <w:shd w:val="clear" w:color="auto" w:fill="auto"/>
            <w:vAlign w:val="bottom"/>
            <w:hideMark/>
          </w:tcPr>
          <w:p w14:paraId="76C16D90"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733 </w:t>
            </w:r>
          </w:p>
        </w:tc>
      </w:tr>
      <w:tr w:rsidR="002234AB" w:rsidRPr="002234AB" w14:paraId="76C16D98" w14:textId="77777777" w:rsidTr="005A0812">
        <w:trPr>
          <w:trHeight w:val="450"/>
        </w:trPr>
        <w:tc>
          <w:tcPr>
            <w:tcW w:w="3220" w:type="dxa"/>
            <w:tcBorders>
              <w:top w:val="nil"/>
              <w:left w:val="nil"/>
              <w:bottom w:val="nil"/>
              <w:right w:val="nil"/>
            </w:tcBorders>
            <w:shd w:val="clear" w:color="000000" w:fill="FFFFFF"/>
            <w:vAlign w:val="bottom"/>
            <w:hideMark/>
          </w:tcPr>
          <w:p w14:paraId="76C16D92" w14:textId="77777777" w:rsidR="002234AB" w:rsidRPr="005A0812" w:rsidRDefault="002234AB" w:rsidP="005A0812">
            <w:pPr>
              <w:spacing w:after="0" w:line="240" w:lineRule="auto"/>
              <w:ind w:left="490" w:hanging="142"/>
              <w:jc w:val="left"/>
              <w:rPr>
                <w:rFonts w:ascii="Arial" w:hAnsi="Arial" w:cs="Arial"/>
                <w:color w:val="000000"/>
                <w:sz w:val="16"/>
                <w:szCs w:val="16"/>
              </w:rPr>
            </w:pPr>
            <w:r w:rsidRPr="005A0812">
              <w:rPr>
                <w:rFonts w:ascii="Arial" w:hAnsi="Arial" w:cs="Arial"/>
                <w:color w:val="000000"/>
                <w:sz w:val="16"/>
                <w:szCs w:val="16"/>
              </w:rPr>
              <w:t>Expenses not requiring appropriation in the Budget year</w:t>
            </w:r>
          </w:p>
        </w:tc>
        <w:tc>
          <w:tcPr>
            <w:tcW w:w="820" w:type="dxa"/>
            <w:tcBorders>
              <w:top w:val="nil"/>
              <w:left w:val="nil"/>
              <w:bottom w:val="nil"/>
              <w:right w:val="nil"/>
            </w:tcBorders>
            <w:shd w:val="clear" w:color="auto" w:fill="auto"/>
            <w:vAlign w:val="center"/>
            <w:hideMark/>
          </w:tcPr>
          <w:p w14:paraId="76C16D93"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28,875 </w:t>
            </w:r>
          </w:p>
        </w:tc>
        <w:tc>
          <w:tcPr>
            <w:tcW w:w="800" w:type="dxa"/>
            <w:tcBorders>
              <w:top w:val="nil"/>
              <w:left w:val="nil"/>
              <w:bottom w:val="nil"/>
              <w:right w:val="nil"/>
            </w:tcBorders>
            <w:shd w:val="clear" w:color="000000" w:fill="E6E6E6"/>
            <w:noWrap/>
            <w:vAlign w:val="center"/>
            <w:hideMark/>
          </w:tcPr>
          <w:p w14:paraId="76C16D94"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29,402 </w:t>
            </w:r>
          </w:p>
        </w:tc>
        <w:tc>
          <w:tcPr>
            <w:tcW w:w="820" w:type="dxa"/>
            <w:tcBorders>
              <w:top w:val="nil"/>
              <w:left w:val="nil"/>
              <w:bottom w:val="nil"/>
              <w:right w:val="nil"/>
            </w:tcBorders>
            <w:shd w:val="clear" w:color="auto" w:fill="auto"/>
            <w:vAlign w:val="center"/>
            <w:hideMark/>
          </w:tcPr>
          <w:p w14:paraId="76C16D95"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30,034 </w:t>
            </w:r>
          </w:p>
        </w:tc>
        <w:tc>
          <w:tcPr>
            <w:tcW w:w="820" w:type="dxa"/>
            <w:tcBorders>
              <w:top w:val="nil"/>
              <w:left w:val="nil"/>
              <w:bottom w:val="nil"/>
              <w:right w:val="nil"/>
            </w:tcBorders>
            <w:shd w:val="clear" w:color="auto" w:fill="auto"/>
            <w:vAlign w:val="center"/>
            <w:hideMark/>
          </w:tcPr>
          <w:p w14:paraId="76C16D96"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28,770 </w:t>
            </w:r>
          </w:p>
        </w:tc>
        <w:tc>
          <w:tcPr>
            <w:tcW w:w="820" w:type="dxa"/>
            <w:tcBorders>
              <w:top w:val="nil"/>
              <w:left w:val="nil"/>
              <w:bottom w:val="nil"/>
              <w:right w:val="nil"/>
            </w:tcBorders>
            <w:shd w:val="clear" w:color="auto" w:fill="auto"/>
            <w:vAlign w:val="center"/>
            <w:hideMark/>
          </w:tcPr>
          <w:p w14:paraId="76C16D97"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29,444 </w:t>
            </w:r>
          </w:p>
        </w:tc>
      </w:tr>
      <w:tr w:rsidR="002234AB" w:rsidRPr="002234AB" w14:paraId="76C16D9F" w14:textId="77777777" w:rsidTr="00693FFB">
        <w:trPr>
          <w:trHeight w:val="255"/>
        </w:trPr>
        <w:tc>
          <w:tcPr>
            <w:tcW w:w="3220" w:type="dxa"/>
            <w:tcBorders>
              <w:top w:val="nil"/>
              <w:left w:val="nil"/>
              <w:bottom w:val="nil"/>
              <w:right w:val="nil"/>
            </w:tcBorders>
            <w:shd w:val="clear" w:color="auto" w:fill="auto"/>
            <w:noWrap/>
            <w:vAlign w:val="bottom"/>
            <w:hideMark/>
          </w:tcPr>
          <w:p w14:paraId="76C16D99" w14:textId="77777777" w:rsidR="002234AB" w:rsidRPr="002234AB" w:rsidRDefault="002234AB" w:rsidP="002234AB">
            <w:pPr>
              <w:spacing w:after="0" w:line="240" w:lineRule="auto"/>
              <w:ind w:firstLineChars="100" w:firstLine="160"/>
              <w:jc w:val="left"/>
              <w:rPr>
                <w:rFonts w:ascii="Arial" w:hAnsi="Arial" w:cs="Arial"/>
                <w:sz w:val="16"/>
                <w:szCs w:val="16"/>
              </w:rPr>
            </w:pPr>
            <w:r w:rsidRPr="002234AB">
              <w:rPr>
                <w:rFonts w:ascii="Arial" w:hAnsi="Arial" w:cs="Arial"/>
                <w:sz w:val="16"/>
                <w:szCs w:val="16"/>
              </w:rPr>
              <w:t>Total component 1.1.1 expenses</w:t>
            </w:r>
          </w:p>
        </w:tc>
        <w:tc>
          <w:tcPr>
            <w:tcW w:w="820" w:type="dxa"/>
            <w:tcBorders>
              <w:top w:val="single" w:sz="4" w:space="0" w:color="auto"/>
              <w:left w:val="nil"/>
              <w:bottom w:val="single" w:sz="4" w:space="0" w:color="auto"/>
              <w:right w:val="nil"/>
            </w:tcBorders>
            <w:shd w:val="clear" w:color="auto" w:fill="auto"/>
            <w:noWrap/>
            <w:vAlign w:val="bottom"/>
            <w:hideMark/>
          </w:tcPr>
          <w:p w14:paraId="76C16D9A"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29,593 </w:t>
            </w:r>
          </w:p>
        </w:tc>
        <w:tc>
          <w:tcPr>
            <w:tcW w:w="800" w:type="dxa"/>
            <w:tcBorders>
              <w:top w:val="single" w:sz="4" w:space="0" w:color="auto"/>
              <w:left w:val="nil"/>
              <w:bottom w:val="single" w:sz="4" w:space="0" w:color="auto"/>
              <w:right w:val="nil"/>
            </w:tcBorders>
            <w:shd w:val="clear" w:color="000000" w:fill="E6E6E6"/>
            <w:noWrap/>
            <w:vAlign w:val="bottom"/>
            <w:hideMark/>
          </w:tcPr>
          <w:p w14:paraId="76C16D9B"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30,120 </w:t>
            </w:r>
          </w:p>
        </w:tc>
        <w:tc>
          <w:tcPr>
            <w:tcW w:w="820" w:type="dxa"/>
            <w:tcBorders>
              <w:top w:val="single" w:sz="4" w:space="0" w:color="auto"/>
              <w:left w:val="nil"/>
              <w:bottom w:val="single" w:sz="4" w:space="0" w:color="auto"/>
              <w:right w:val="nil"/>
            </w:tcBorders>
            <w:shd w:val="clear" w:color="auto" w:fill="auto"/>
            <w:noWrap/>
            <w:vAlign w:val="bottom"/>
            <w:hideMark/>
          </w:tcPr>
          <w:p w14:paraId="76C16D9C"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30,757 </w:t>
            </w:r>
          </w:p>
        </w:tc>
        <w:tc>
          <w:tcPr>
            <w:tcW w:w="820" w:type="dxa"/>
            <w:tcBorders>
              <w:top w:val="single" w:sz="4" w:space="0" w:color="auto"/>
              <w:left w:val="nil"/>
              <w:bottom w:val="single" w:sz="4" w:space="0" w:color="auto"/>
              <w:right w:val="nil"/>
            </w:tcBorders>
            <w:shd w:val="clear" w:color="auto" w:fill="auto"/>
            <w:noWrap/>
            <w:vAlign w:val="bottom"/>
            <w:hideMark/>
          </w:tcPr>
          <w:p w14:paraId="76C16D9D"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29,498 </w:t>
            </w:r>
          </w:p>
        </w:tc>
        <w:tc>
          <w:tcPr>
            <w:tcW w:w="820" w:type="dxa"/>
            <w:tcBorders>
              <w:top w:val="single" w:sz="4" w:space="0" w:color="auto"/>
              <w:left w:val="nil"/>
              <w:bottom w:val="single" w:sz="4" w:space="0" w:color="auto"/>
              <w:right w:val="nil"/>
            </w:tcBorders>
            <w:shd w:val="clear" w:color="auto" w:fill="auto"/>
            <w:noWrap/>
            <w:vAlign w:val="bottom"/>
            <w:hideMark/>
          </w:tcPr>
          <w:p w14:paraId="76C16D9E"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30,177 </w:t>
            </w:r>
          </w:p>
        </w:tc>
      </w:tr>
      <w:tr w:rsidR="002234AB" w:rsidRPr="002234AB" w14:paraId="76C16DA1" w14:textId="77777777" w:rsidTr="00693FFB">
        <w:trPr>
          <w:trHeight w:val="225"/>
        </w:trPr>
        <w:tc>
          <w:tcPr>
            <w:tcW w:w="7300" w:type="dxa"/>
            <w:gridSpan w:val="6"/>
            <w:tcBorders>
              <w:top w:val="single" w:sz="4" w:space="0" w:color="auto"/>
              <w:left w:val="nil"/>
              <w:bottom w:val="single" w:sz="4" w:space="0" w:color="auto"/>
              <w:right w:val="nil"/>
            </w:tcBorders>
            <w:shd w:val="clear" w:color="000000" w:fill="E6E6E6"/>
            <w:hideMark/>
          </w:tcPr>
          <w:p w14:paraId="76C16DA0" w14:textId="7AC66F35" w:rsidR="002234AB" w:rsidRPr="002234AB" w:rsidRDefault="002234AB" w:rsidP="002234AB">
            <w:pPr>
              <w:spacing w:after="0" w:line="240" w:lineRule="auto"/>
              <w:jc w:val="left"/>
              <w:rPr>
                <w:rFonts w:ascii="Arial" w:hAnsi="Arial" w:cs="Arial"/>
                <w:i/>
                <w:iCs/>
                <w:sz w:val="16"/>
                <w:szCs w:val="16"/>
              </w:rPr>
            </w:pPr>
            <w:r w:rsidRPr="002234AB">
              <w:rPr>
                <w:rFonts w:ascii="Arial" w:hAnsi="Arial" w:cs="Arial"/>
                <w:i/>
                <w:iCs/>
                <w:sz w:val="16"/>
                <w:szCs w:val="16"/>
              </w:rPr>
              <w:t>1.1.2 - Comcare Workers</w:t>
            </w:r>
            <w:r w:rsidR="00EC50CD">
              <w:rPr>
                <w:rFonts w:ascii="Arial" w:hAnsi="Arial" w:cs="Arial"/>
                <w:i/>
                <w:iCs/>
                <w:sz w:val="16"/>
                <w:szCs w:val="16"/>
              </w:rPr>
              <w:t>’</w:t>
            </w:r>
            <w:r w:rsidRPr="002234AB">
              <w:rPr>
                <w:rFonts w:ascii="Arial" w:hAnsi="Arial" w:cs="Arial"/>
                <w:i/>
                <w:iCs/>
                <w:sz w:val="16"/>
                <w:szCs w:val="16"/>
              </w:rPr>
              <w:t xml:space="preserve"> Compensation Scheme Management</w:t>
            </w:r>
          </w:p>
        </w:tc>
      </w:tr>
      <w:tr w:rsidR="002234AB" w:rsidRPr="002234AB" w14:paraId="76C16DA8" w14:textId="77777777" w:rsidTr="00693FFB">
        <w:trPr>
          <w:trHeight w:val="225"/>
        </w:trPr>
        <w:tc>
          <w:tcPr>
            <w:tcW w:w="3220" w:type="dxa"/>
            <w:tcBorders>
              <w:top w:val="nil"/>
              <w:left w:val="nil"/>
              <w:bottom w:val="nil"/>
              <w:right w:val="nil"/>
            </w:tcBorders>
            <w:shd w:val="clear" w:color="000000" w:fill="FFFFFF"/>
            <w:noWrap/>
            <w:vAlign w:val="bottom"/>
            <w:hideMark/>
          </w:tcPr>
          <w:p w14:paraId="76C16DA2" w14:textId="77777777" w:rsidR="002234AB" w:rsidRPr="005A0812" w:rsidRDefault="002234AB" w:rsidP="005A0812">
            <w:pPr>
              <w:spacing w:after="0" w:line="240" w:lineRule="auto"/>
              <w:ind w:left="316" w:hanging="142"/>
              <w:jc w:val="left"/>
              <w:rPr>
                <w:rFonts w:ascii="Arial" w:hAnsi="Arial" w:cs="Arial"/>
                <w:color w:val="000000"/>
                <w:sz w:val="16"/>
                <w:szCs w:val="16"/>
              </w:rPr>
            </w:pPr>
            <w:r w:rsidRPr="005A0812">
              <w:rPr>
                <w:rFonts w:ascii="Arial" w:hAnsi="Arial" w:cs="Arial"/>
                <w:color w:val="000000"/>
                <w:sz w:val="16"/>
                <w:szCs w:val="16"/>
              </w:rPr>
              <w:t>Annual departmental expenses:</w:t>
            </w:r>
          </w:p>
        </w:tc>
        <w:tc>
          <w:tcPr>
            <w:tcW w:w="820" w:type="dxa"/>
            <w:tcBorders>
              <w:top w:val="nil"/>
              <w:left w:val="nil"/>
              <w:bottom w:val="nil"/>
              <w:right w:val="nil"/>
            </w:tcBorders>
            <w:shd w:val="clear" w:color="auto" w:fill="auto"/>
            <w:hideMark/>
          </w:tcPr>
          <w:p w14:paraId="76C16DA3" w14:textId="77777777" w:rsidR="002234AB" w:rsidRPr="002234AB" w:rsidRDefault="002234AB" w:rsidP="002234AB">
            <w:pPr>
              <w:spacing w:after="0" w:line="240" w:lineRule="auto"/>
              <w:ind w:firstLineChars="100" w:firstLine="160"/>
              <w:jc w:val="left"/>
              <w:rPr>
                <w:rFonts w:ascii="Arial" w:hAnsi="Arial" w:cs="Arial"/>
                <w:sz w:val="16"/>
                <w:szCs w:val="16"/>
              </w:rPr>
            </w:pPr>
          </w:p>
        </w:tc>
        <w:tc>
          <w:tcPr>
            <w:tcW w:w="800" w:type="dxa"/>
            <w:tcBorders>
              <w:top w:val="nil"/>
              <w:left w:val="nil"/>
              <w:bottom w:val="nil"/>
              <w:right w:val="nil"/>
            </w:tcBorders>
            <w:shd w:val="clear" w:color="000000" w:fill="E6E6E6"/>
            <w:noWrap/>
            <w:vAlign w:val="bottom"/>
            <w:hideMark/>
          </w:tcPr>
          <w:p w14:paraId="76C16DA4" w14:textId="77777777" w:rsidR="002234AB" w:rsidRPr="002234AB" w:rsidRDefault="002234AB" w:rsidP="002234AB">
            <w:pPr>
              <w:spacing w:after="0" w:line="240" w:lineRule="auto"/>
              <w:jc w:val="left"/>
              <w:rPr>
                <w:rFonts w:ascii="Arial" w:hAnsi="Arial" w:cs="Arial"/>
                <w:sz w:val="16"/>
                <w:szCs w:val="16"/>
              </w:rPr>
            </w:pPr>
            <w:r w:rsidRPr="002234AB">
              <w:rPr>
                <w:rFonts w:ascii="Arial" w:hAnsi="Arial" w:cs="Arial"/>
                <w:sz w:val="16"/>
                <w:szCs w:val="16"/>
              </w:rPr>
              <w:t> </w:t>
            </w:r>
          </w:p>
        </w:tc>
        <w:tc>
          <w:tcPr>
            <w:tcW w:w="820" w:type="dxa"/>
            <w:tcBorders>
              <w:top w:val="nil"/>
              <w:left w:val="nil"/>
              <w:bottom w:val="nil"/>
              <w:right w:val="nil"/>
            </w:tcBorders>
            <w:shd w:val="clear" w:color="auto" w:fill="auto"/>
            <w:hideMark/>
          </w:tcPr>
          <w:p w14:paraId="76C16DA5" w14:textId="77777777" w:rsidR="002234AB" w:rsidRPr="002234AB" w:rsidRDefault="002234AB" w:rsidP="002234AB">
            <w:pPr>
              <w:spacing w:after="0" w:line="240" w:lineRule="auto"/>
              <w:jc w:val="left"/>
              <w:rPr>
                <w:rFonts w:ascii="Arial" w:hAnsi="Arial" w:cs="Arial"/>
                <w:sz w:val="16"/>
                <w:szCs w:val="16"/>
              </w:rPr>
            </w:pPr>
          </w:p>
        </w:tc>
        <w:tc>
          <w:tcPr>
            <w:tcW w:w="820" w:type="dxa"/>
            <w:tcBorders>
              <w:top w:val="nil"/>
              <w:left w:val="nil"/>
              <w:bottom w:val="nil"/>
              <w:right w:val="nil"/>
            </w:tcBorders>
            <w:shd w:val="clear" w:color="auto" w:fill="auto"/>
            <w:hideMark/>
          </w:tcPr>
          <w:p w14:paraId="76C16DA6" w14:textId="77777777" w:rsidR="002234AB" w:rsidRPr="002234AB" w:rsidRDefault="002234AB" w:rsidP="002234AB">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hideMark/>
          </w:tcPr>
          <w:p w14:paraId="76C16DA7" w14:textId="77777777" w:rsidR="002234AB" w:rsidRPr="002234AB" w:rsidRDefault="002234AB" w:rsidP="002234AB">
            <w:pPr>
              <w:spacing w:after="0" w:line="240" w:lineRule="auto"/>
              <w:jc w:val="right"/>
              <w:rPr>
                <w:rFonts w:ascii="Times New Roman" w:hAnsi="Times New Roman"/>
              </w:rPr>
            </w:pPr>
          </w:p>
        </w:tc>
      </w:tr>
      <w:tr w:rsidR="002234AB" w:rsidRPr="002234AB" w14:paraId="76C16DAF" w14:textId="77777777" w:rsidTr="005A0812">
        <w:trPr>
          <w:trHeight w:val="450"/>
        </w:trPr>
        <w:tc>
          <w:tcPr>
            <w:tcW w:w="3220" w:type="dxa"/>
            <w:tcBorders>
              <w:top w:val="nil"/>
              <w:left w:val="nil"/>
              <w:bottom w:val="nil"/>
              <w:right w:val="nil"/>
            </w:tcBorders>
            <w:shd w:val="clear" w:color="000000" w:fill="FFFFFF"/>
            <w:vAlign w:val="bottom"/>
            <w:hideMark/>
          </w:tcPr>
          <w:p w14:paraId="76C16DA9" w14:textId="77777777" w:rsidR="002234AB" w:rsidRPr="005A0812" w:rsidRDefault="002234AB" w:rsidP="005A0812">
            <w:pPr>
              <w:spacing w:after="0" w:line="240" w:lineRule="auto"/>
              <w:ind w:left="490" w:hanging="142"/>
              <w:jc w:val="left"/>
              <w:rPr>
                <w:rFonts w:ascii="Arial" w:hAnsi="Arial" w:cs="Arial"/>
                <w:color w:val="000000"/>
                <w:sz w:val="16"/>
                <w:szCs w:val="16"/>
              </w:rPr>
            </w:pPr>
            <w:r w:rsidRPr="005A0812">
              <w:rPr>
                <w:rFonts w:ascii="Arial" w:hAnsi="Arial" w:cs="Arial"/>
                <w:color w:val="000000"/>
                <w:sz w:val="16"/>
                <w:szCs w:val="16"/>
              </w:rPr>
              <w:t>Expenses not requiring appropriation in the Budget year</w:t>
            </w:r>
          </w:p>
        </w:tc>
        <w:tc>
          <w:tcPr>
            <w:tcW w:w="820" w:type="dxa"/>
            <w:tcBorders>
              <w:top w:val="nil"/>
              <w:left w:val="nil"/>
              <w:bottom w:val="nil"/>
              <w:right w:val="nil"/>
            </w:tcBorders>
            <w:shd w:val="clear" w:color="auto" w:fill="auto"/>
            <w:vAlign w:val="center"/>
            <w:hideMark/>
          </w:tcPr>
          <w:p w14:paraId="76C16DAA"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7,621 </w:t>
            </w:r>
          </w:p>
        </w:tc>
        <w:tc>
          <w:tcPr>
            <w:tcW w:w="800" w:type="dxa"/>
            <w:tcBorders>
              <w:top w:val="nil"/>
              <w:left w:val="nil"/>
              <w:bottom w:val="nil"/>
              <w:right w:val="nil"/>
            </w:tcBorders>
            <w:shd w:val="clear" w:color="000000" w:fill="E6E6E6"/>
            <w:noWrap/>
            <w:vAlign w:val="center"/>
            <w:hideMark/>
          </w:tcPr>
          <w:p w14:paraId="76C16DAB"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8,383 </w:t>
            </w:r>
          </w:p>
        </w:tc>
        <w:tc>
          <w:tcPr>
            <w:tcW w:w="820" w:type="dxa"/>
            <w:tcBorders>
              <w:top w:val="nil"/>
              <w:left w:val="nil"/>
              <w:bottom w:val="nil"/>
              <w:right w:val="nil"/>
            </w:tcBorders>
            <w:shd w:val="clear" w:color="auto" w:fill="auto"/>
            <w:vAlign w:val="center"/>
            <w:hideMark/>
          </w:tcPr>
          <w:p w14:paraId="76C16DAC"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8,519 </w:t>
            </w:r>
          </w:p>
        </w:tc>
        <w:tc>
          <w:tcPr>
            <w:tcW w:w="820" w:type="dxa"/>
            <w:tcBorders>
              <w:top w:val="nil"/>
              <w:left w:val="nil"/>
              <w:bottom w:val="nil"/>
              <w:right w:val="nil"/>
            </w:tcBorders>
            <w:shd w:val="clear" w:color="auto" w:fill="auto"/>
            <w:vAlign w:val="center"/>
            <w:hideMark/>
          </w:tcPr>
          <w:p w14:paraId="76C16DAD"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8,571 </w:t>
            </w:r>
          </w:p>
        </w:tc>
        <w:tc>
          <w:tcPr>
            <w:tcW w:w="820" w:type="dxa"/>
            <w:tcBorders>
              <w:top w:val="nil"/>
              <w:left w:val="nil"/>
              <w:bottom w:val="nil"/>
              <w:right w:val="nil"/>
            </w:tcBorders>
            <w:shd w:val="clear" w:color="auto" w:fill="auto"/>
            <w:vAlign w:val="center"/>
            <w:hideMark/>
          </w:tcPr>
          <w:p w14:paraId="76C16DAE"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8,762 </w:t>
            </w:r>
          </w:p>
        </w:tc>
      </w:tr>
      <w:tr w:rsidR="002234AB" w:rsidRPr="002234AB" w14:paraId="76C16DB6" w14:textId="77777777" w:rsidTr="00693FFB">
        <w:trPr>
          <w:trHeight w:val="225"/>
        </w:trPr>
        <w:tc>
          <w:tcPr>
            <w:tcW w:w="3220" w:type="dxa"/>
            <w:tcBorders>
              <w:top w:val="nil"/>
              <w:left w:val="nil"/>
              <w:bottom w:val="nil"/>
              <w:right w:val="nil"/>
            </w:tcBorders>
            <w:shd w:val="clear" w:color="auto" w:fill="auto"/>
            <w:noWrap/>
            <w:vAlign w:val="bottom"/>
            <w:hideMark/>
          </w:tcPr>
          <w:p w14:paraId="76C16DB0" w14:textId="77777777" w:rsidR="002234AB" w:rsidRPr="002234AB" w:rsidRDefault="002234AB" w:rsidP="002234AB">
            <w:pPr>
              <w:spacing w:after="0" w:line="240" w:lineRule="auto"/>
              <w:ind w:firstLineChars="100" w:firstLine="160"/>
              <w:jc w:val="left"/>
              <w:rPr>
                <w:rFonts w:ascii="Arial" w:hAnsi="Arial" w:cs="Arial"/>
                <w:sz w:val="16"/>
                <w:szCs w:val="16"/>
              </w:rPr>
            </w:pPr>
            <w:r w:rsidRPr="002234AB">
              <w:rPr>
                <w:rFonts w:ascii="Arial" w:hAnsi="Arial" w:cs="Arial"/>
                <w:sz w:val="16"/>
                <w:szCs w:val="16"/>
              </w:rPr>
              <w:t>Total component 1.1.2 expenses</w:t>
            </w:r>
          </w:p>
        </w:tc>
        <w:tc>
          <w:tcPr>
            <w:tcW w:w="820" w:type="dxa"/>
            <w:tcBorders>
              <w:top w:val="single" w:sz="4" w:space="0" w:color="auto"/>
              <w:left w:val="nil"/>
              <w:bottom w:val="single" w:sz="4" w:space="0" w:color="auto"/>
              <w:right w:val="nil"/>
            </w:tcBorders>
            <w:shd w:val="clear" w:color="auto" w:fill="auto"/>
            <w:noWrap/>
            <w:vAlign w:val="bottom"/>
            <w:hideMark/>
          </w:tcPr>
          <w:p w14:paraId="76C16DB1"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7,621 </w:t>
            </w:r>
          </w:p>
        </w:tc>
        <w:tc>
          <w:tcPr>
            <w:tcW w:w="800" w:type="dxa"/>
            <w:tcBorders>
              <w:top w:val="single" w:sz="4" w:space="0" w:color="auto"/>
              <w:left w:val="nil"/>
              <w:bottom w:val="single" w:sz="4" w:space="0" w:color="auto"/>
              <w:right w:val="nil"/>
            </w:tcBorders>
            <w:shd w:val="clear" w:color="000000" w:fill="E6E6E6"/>
            <w:noWrap/>
            <w:vAlign w:val="bottom"/>
            <w:hideMark/>
          </w:tcPr>
          <w:p w14:paraId="76C16DB2"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8,383 </w:t>
            </w:r>
          </w:p>
        </w:tc>
        <w:tc>
          <w:tcPr>
            <w:tcW w:w="820" w:type="dxa"/>
            <w:tcBorders>
              <w:top w:val="single" w:sz="4" w:space="0" w:color="auto"/>
              <w:left w:val="nil"/>
              <w:bottom w:val="single" w:sz="4" w:space="0" w:color="auto"/>
              <w:right w:val="nil"/>
            </w:tcBorders>
            <w:shd w:val="clear" w:color="auto" w:fill="auto"/>
            <w:noWrap/>
            <w:vAlign w:val="bottom"/>
            <w:hideMark/>
          </w:tcPr>
          <w:p w14:paraId="76C16DB3"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8,519 </w:t>
            </w:r>
          </w:p>
        </w:tc>
        <w:tc>
          <w:tcPr>
            <w:tcW w:w="820" w:type="dxa"/>
            <w:tcBorders>
              <w:top w:val="single" w:sz="4" w:space="0" w:color="auto"/>
              <w:left w:val="nil"/>
              <w:bottom w:val="single" w:sz="4" w:space="0" w:color="auto"/>
              <w:right w:val="nil"/>
            </w:tcBorders>
            <w:shd w:val="clear" w:color="auto" w:fill="auto"/>
            <w:noWrap/>
            <w:vAlign w:val="bottom"/>
            <w:hideMark/>
          </w:tcPr>
          <w:p w14:paraId="76C16DB4"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8,571 </w:t>
            </w:r>
          </w:p>
        </w:tc>
        <w:tc>
          <w:tcPr>
            <w:tcW w:w="820" w:type="dxa"/>
            <w:tcBorders>
              <w:top w:val="single" w:sz="4" w:space="0" w:color="auto"/>
              <w:left w:val="nil"/>
              <w:bottom w:val="single" w:sz="4" w:space="0" w:color="auto"/>
              <w:right w:val="nil"/>
            </w:tcBorders>
            <w:shd w:val="clear" w:color="auto" w:fill="auto"/>
            <w:noWrap/>
            <w:vAlign w:val="bottom"/>
            <w:hideMark/>
          </w:tcPr>
          <w:p w14:paraId="76C16DB5"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8,762 </w:t>
            </w:r>
          </w:p>
        </w:tc>
      </w:tr>
      <w:tr w:rsidR="002234AB" w:rsidRPr="002234AB" w14:paraId="76C16DB8" w14:textId="77777777" w:rsidTr="00693FFB">
        <w:trPr>
          <w:trHeight w:val="225"/>
        </w:trPr>
        <w:tc>
          <w:tcPr>
            <w:tcW w:w="7300" w:type="dxa"/>
            <w:gridSpan w:val="6"/>
            <w:tcBorders>
              <w:top w:val="single" w:sz="4" w:space="0" w:color="auto"/>
              <w:left w:val="nil"/>
              <w:bottom w:val="single" w:sz="4" w:space="0" w:color="auto"/>
              <w:right w:val="nil"/>
            </w:tcBorders>
            <w:shd w:val="clear" w:color="000000" w:fill="E6E6E6"/>
            <w:hideMark/>
          </w:tcPr>
          <w:p w14:paraId="76C16DB7" w14:textId="77777777" w:rsidR="002234AB" w:rsidRPr="002234AB" w:rsidRDefault="002234AB" w:rsidP="002234AB">
            <w:pPr>
              <w:spacing w:after="0" w:line="240" w:lineRule="auto"/>
              <w:jc w:val="left"/>
              <w:rPr>
                <w:rFonts w:ascii="Arial" w:hAnsi="Arial" w:cs="Arial"/>
                <w:i/>
                <w:iCs/>
                <w:sz w:val="16"/>
                <w:szCs w:val="16"/>
              </w:rPr>
            </w:pPr>
            <w:r w:rsidRPr="002234AB">
              <w:rPr>
                <w:rFonts w:ascii="Arial" w:hAnsi="Arial" w:cs="Arial"/>
                <w:i/>
                <w:iCs/>
                <w:sz w:val="16"/>
                <w:szCs w:val="16"/>
              </w:rPr>
              <w:t>1.1.3 - SRCC and Seacare Authority Support</w:t>
            </w:r>
          </w:p>
        </w:tc>
      </w:tr>
      <w:tr w:rsidR="002234AB" w:rsidRPr="002234AB" w14:paraId="76C16DBF" w14:textId="77777777" w:rsidTr="00693FFB">
        <w:trPr>
          <w:trHeight w:val="225"/>
        </w:trPr>
        <w:tc>
          <w:tcPr>
            <w:tcW w:w="3220" w:type="dxa"/>
            <w:tcBorders>
              <w:top w:val="nil"/>
              <w:left w:val="nil"/>
              <w:bottom w:val="nil"/>
              <w:right w:val="nil"/>
            </w:tcBorders>
            <w:shd w:val="clear" w:color="000000" w:fill="FFFFFF"/>
            <w:noWrap/>
            <w:vAlign w:val="bottom"/>
            <w:hideMark/>
          </w:tcPr>
          <w:p w14:paraId="76C16DB9" w14:textId="77777777" w:rsidR="002234AB" w:rsidRPr="005A0812" w:rsidRDefault="002234AB" w:rsidP="005A0812">
            <w:pPr>
              <w:spacing w:after="0" w:line="240" w:lineRule="auto"/>
              <w:ind w:left="316" w:hanging="142"/>
              <w:jc w:val="left"/>
              <w:rPr>
                <w:rFonts w:ascii="Arial" w:hAnsi="Arial" w:cs="Arial"/>
                <w:color w:val="000000"/>
                <w:sz w:val="16"/>
                <w:szCs w:val="16"/>
              </w:rPr>
            </w:pPr>
            <w:r w:rsidRPr="005A0812">
              <w:rPr>
                <w:rFonts w:ascii="Arial" w:hAnsi="Arial" w:cs="Arial"/>
                <w:color w:val="000000"/>
                <w:sz w:val="16"/>
                <w:szCs w:val="16"/>
              </w:rPr>
              <w:t>Annual departmental expenses:</w:t>
            </w:r>
          </w:p>
        </w:tc>
        <w:tc>
          <w:tcPr>
            <w:tcW w:w="820" w:type="dxa"/>
            <w:tcBorders>
              <w:top w:val="nil"/>
              <w:left w:val="nil"/>
              <w:bottom w:val="nil"/>
              <w:right w:val="nil"/>
            </w:tcBorders>
            <w:shd w:val="clear" w:color="auto" w:fill="auto"/>
            <w:hideMark/>
          </w:tcPr>
          <w:p w14:paraId="76C16DBA" w14:textId="77777777" w:rsidR="002234AB" w:rsidRPr="002234AB" w:rsidRDefault="002234AB" w:rsidP="002234AB">
            <w:pPr>
              <w:spacing w:after="0" w:line="240" w:lineRule="auto"/>
              <w:ind w:firstLineChars="100" w:firstLine="160"/>
              <w:jc w:val="left"/>
              <w:rPr>
                <w:rFonts w:ascii="Arial" w:hAnsi="Arial" w:cs="Arial"/>
                <w:sz w:val="16"/>
                <w:szCs w:val="16"/>
              </w:rPr>
            </w:pPr>
          </w:p>
        </w:tc>
        <w:tc>
          <w:tcPr>
            <w:tcW w:w="800" w:type="dxa"/>
            <w:tcBorders>
              <w:top w:val="nil"/>
              <w:left w:val="nil"/>
              <w:bottom w:val="nil"/>
              <w:right w:val="nil"/>
            </w:tcBorders>
            <w:shd w:val="clear" w:color="000000" w:fill="E6E6E6"/>
            <w:noWrap/>
            <w:vAlign w:val="bottom"/>
            <w:hideMark/>
          </w:tcPr>
          <w:p w14:paraId="76C16DBB" w14:textId="77777777" w:rsidR="002234AB" w:rsidRPr="002234AB" w:rsidRDefault="002234AB" w:rsidP="002234AB">
            <w:pPr>
              <w:spacing w:after="0" w:line="240" w:lineRule="auto"/>
              <w:jc w:val="left"/>
              <w:rPr>
                <w:rFonts w:ascii="Arial" w:hAnsi="Arial" w:cs="Arial"/>
                <w:sz w:val="16"/>
                <w:szCs w:val="16"/>
              </w:rPr>
            </w:pPr>
            <w:r w:rsidRPr="002234AB">
              <w:rPr>
                <w:rFonts w:ascii="Arial" w:hAnsi="Arial" w:cs="Arial"/>
                <w:sz w:val="16"/>
                <w:szCs w:val="16"/>
              </w:rPr>
              <w:t> </w:t>
            </w:r>
          </w:p>
        </w:tc>
        <w:tc>
          <w:tcPr>
            <w:tcW w:w="820" w:type="dxa"/>
            <w:tcBorders>
              <w:top w:val="nil"/>
              <w:left w:val="nil"/>
              <w:bottom w:val="nil"/>
              <w:right w:val="nil"/>
            </w:tcBorders>
            <w:shd w:val="clear" w:color="auto" w:fill="auto"/>
            <w:hideMark/>
          </w:tcPr>
          <w:p w14:paraId="76C16DBC" w14:textId="77777777" w:rsidR="002234AB" w:rsidRPr="002234AB" w:rsidRDefault="002234AB" w:rsidP="002234AB">
            <w:pPr>
              <w:spacing w:after="0" w:line="240" w:lineRule="auto"/>
              <w:jc w:val="left"/>
              <w:rPr>
                <w:rFonts w:ascii="Arial" w:hAnsi="Arial" w:cs="Arial"/>
                <w:sz w:val="16"/>
                <w:szCs w:val="16"/>
              </w:rPr>
            </w:pPr>
          </w:p>
        </w:tc>
        <w:tc>
          <w:tcPr>
            <w:tcW w:w="820" w:type="dxa"/>
            <w:tcBorders>
              <w:top w:val="nil"/>
              <w:left w:val="nil"/>
              <w:bottom w:val="nil"/>
              <w:right w:val="nil"/>
            </w:tcBorders>
            <w:shd w:val="clear" w:color="auto" w:fill="auto"/>
            <w:hideMark/>
          </w:tcPr>
          <w:p w14:paraId="76C16DBD" w14:textId="77777777" w:rsidR="002234AB" w:rsidRPr="002234AB" w:rsidRDefault="002234AB" w:rsidP="002234AB">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hideMark/>
          </w:tcPr>
          <w:p w14:paraId="76C16DBE" w14:textId="77777777" w:rsidR="002234AB" w:rsidRPr="002234AB" w:rsidRDefault="002234AB" w:rsidP="002234AB">
            <w:pPr>
              <w:spacing w:after="0" w:line="240" w:lineRule="auto"/>
              <w:jc w:val="right"/>
              <w:rPr>
                <w:rFonts w:ascii="Times New Roman" w:hAnsi="Times New Roman"/>
              </w:rPr>
            </w:pPr>
          </w:p>
        </w:tc>
      </w:tr>
      <w:tr w:rsidR="002234AB" w:rsidRPr="002234AB" w14:paraId="76C16DC6" w14:textId="77777777" w:rsidTr="007319C8">
        <w:trPr>
          <w:trHeight w:val="225"/>
        </w:trPr>
        <w:tc>
          <w:tcPr>
            <w:tcW w:w="3220" w:type="dxa"/>
            <w:tcBorders>
              <w:top w:val="nil"/>
              <w:left w:val="nil"/>
              <w:bottom w:val="nil"/>
              <w:right w:val="nil"/>
            </w:tcBorders>
            <w:shd w:val="clear" w:color="000000" w:fill="FFFFFF"/>
            <w:vAlign w:val="bottom"/>
            <w:hideMark/>
          </w:tcPr>
          <w:p w14:paraId="76C16DC0" w14:textId="77777777" w:rsidR="002234AB" w:rsidRPr="005A0812" w:rsidRDefault="002234AB" w:rsidP="005A0812">
            <w:pPr>
              <w:spacing w:after="0" w:line="240" w:lineRule="auto"/>
              <w:ind w:left="490" w:hanging="142"/>
              <w:jc w:val="left"/>
              <w:rPr>
                <w:rFonts w:ascii="Arial" w:hAnsi="Arial" w:cs="Arial"/>
                <w:color w:val="000000"/>
                <w:sz w:val="16"/>
                <w:szCs w:val="16"/>
              </w:rPr>
            </w:pPr>
            <w:r w:rsidRPr="005A0812">
              <w:rPr>
                <w:rFonts w:ascii="Arial" w:hAnsi="Arial" w:cs="Arial"/>
                <w:color w:val="000000"/>
                <w:sz w:val="16"/>
                <w:szCs w:val="16"/>
              </w:rPr>
              <w:t>Annual Appropriation</w:t>
            </w:r>
          </w:p>
        </w:tc>
        <w:tc>
          <w:tcPr>
            <w:tcW w:w="820" w:type="dxa"/>
            <w:tcBorders>
              <w:top w:val="nil"/>
              <w:left w:val="nil"/>
              <w:bottom w:val="nil"/>
              <w:right w:val="nil"/>
            </w:tcBorders>
            <w:shd w:val="clear" w:color="auto" w:fill="auto"/>
            <w:vAlign w:val="bottom"/>
            <w:hideMark/>
          </w:tcPr>
          <w:p w14:paraId="76C16DC1"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360 </w:t>
            </w:r>
          </w:p>
        </w:tc>
        <w:tc>
          <w:tcPr>
            <w:tcW w:w="800" w:type="dxa"/>
            <w:tcBorders>
              <w:top w:val="nil"/>
              <w:left w:val="nil"/>
              <w:bottom w:val="nil"/>
              <w:right w:val="nil"/>
            </w:tcBorders>
            <w:shd w:val="clear" w:color="000000" w:fill="E6E6E6"/>
            <w:noWrap/>
            <w:vAlign w:val="bottom"/>
            <w:hideMark/>
          </w:tcPr>
          <w:p w14:paraId="76C16DC2"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360 </w:t>
            </w:r>
          </w:p>
        </w:tc>
        <w:tc>
          <w:tcPr>
            <w:tcW w:w="820" w:type="dxa"/>
            <w:tcBorders>
              <w:top w:val="nil"/>
              <w:left w:val="nil"/>
              <w:bottom w:val="nil"/>
              <w:right w:val="nil"/>
            </w:tcBorders>
            <w:shd w:val="clear" w:color="auto" w:fill="auto"/>
            <w:vAlign w:val="bottom"/>
            <w:hideMark/>
          </w:tcPr>
          <w:p w14:paraId="76C16DC3"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362 </w:t>
            </w:r>
          </w:p>
        </w:tc>
        <w:tc>
          <w:tcPr>
            <w:tcW w:w="820" w:type="dxa"/>
            <w:tcBorders>
              <w:top w:val="nil"/>
              <w:left w:val="nil"/>
              <w:bottom w:val="nil"/>
              <w:right w:val="nil"/>
            </w:tcBorders>
            <w:shd w:val="clear" w:color="auto" w:fill="auto"/>
            <w:vAlign w:val="bottom"/>
            <w:hideMark/>
          </w:tcPr>
          <w:p w14:paraId="76C16DC4"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365 </w:t>
            </w:r>
          </w:p>
        </w:tc>
        <w:tc>
          <w:tcPr>
            <w:tcW w:w="820" w:type="dxa"/>
            <w:tcBorders>
              <w:top w:val="nil"/>
              <w:left w:val="nil"/>
              <w:bottom w:val="nil"/>
              <w:right w:val="nil"/>
            </w:tcBorders>
            <w:shd w:val="clear" w:color="auto" w:fill="auto"/>
            <w:vAlign w:val="bottom"/>
            <w:hideMark/>
          </w:tcPr>
          <w:p w14:paraId="76C16DC5"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367 </w:t>
            </w:r>
          </w:p>
        </w:tc>
      </w:tr>
      <w:tr w:rsidR="002234AB" w:rsidRPr="002234AB" w14:paraId="76C16DCD" w14:textId="77777777" w:rsidTr="005A0812">
        <w:trPr>
          <w:trHeight w:val="450"/>
        </w:trPr>
        <w:tc>
          <w:tcPr>
            <w:tcW w:w="3220" w:type="dxa"/>
            <w:tcBorders>
              <w:top w:val="nil"/>
              <w:left w:val="nil"/>
              <w:bottom w:val="nil"/>
              <w:right w:val="nil"/>
            </w:tcBorders>
            <w:shd w:val="clear" w:color="000000" w:fill="FFFFFF"/>
            <w:vAlign w:val="bottom"/>
            <w:hideMark/>
          </w:tcPr>
          <w:p w14:paraId="76C16DC7" w14:textId="77777777" w:rsidR="002234AB" w:rsidRPr="005A0812" w:rsidRDefault="002234AB" w:rsidP="005A0812">
            <w:pPr>
              <w:spacing w:after="0" w:line="240" w:lineRule="auto"/>
              <w:ind w:left="490" w:hanging="142"/>
              <w:jc w:val="left"/>
              <w:rPr>
                <w:rFonts w:ascii="Arial" w:hAnsi="Arial" w:cs="Arial"/>
                <w:color w:val="000000"/>
                <w:sz w:val="16"/>
                <w:szCs w:val="16"/>
              </w:rPr>
            </w:pPr>
            <w:r w:rsidRPr="005A0812">
              <w:rPr>
                <w:rFonts w:ascii="Arial" w:hAnsi="Arial" w:cs="Arial"/>
                <w:color w:val="000000"/>
                <w:sz w:val="16"/>
                <w:szCs w:val="16"/>
              </w:rPr>
              <w:t>Expenses not requiring appropriation in the Budget year</w:t>
            </w:r>
          </w:p>
        </w:tc>
        <w:tc>
          <w:tcPr>
            <w:tcW w:w="820" w:type="dxa"/>
            <w:tcBorders>
              <w:top w:val="nil"/>
              <w:left w:val="nil"/>
              <w:bottom w:val="nil"/>
              <w:right w:val="nil"/>
            </w:tcBorders>
            <w:shd w:val="clear" w:color="auto" w:fill="auto"/>
            <w:vAlign w:val="center"/>
            <w:hideMark/>
          </w:tcPr>
          <w:p w14:paraId="76C16DC8"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4,962 </w:t>
            </w:r>
          </w:p>
        </w:tc>
        <w:tc>
          <w:tcPr>
            <w:tcW w:w="800" w:type="dxa"/>
            <w:tcBorders>
              <w:top w:val="nil"/>
              <w:left w:val="nil"/>
              <w:bottom w:val="nil"/>
              <w:right w:val="nil"/>
            </w:tcBorders>
            <w:shd w:val="clear" w:color="000000" w:fill="E6E6E6"/>
            <w:noWrap/>
            <w:vAlign w:val="center"/>
            <w:hideMark/>
          </w:tcPr>
          <w:p w14:paraId="76C16DC9"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5,100 </w:t>
            </w:r>
          </w:p>
        </w:tc>
        <w:tc>
          <w:tcPr>
            <w:tcW w:w="820" w:type="dxa"/>
            <w:tcBorders>
              <w:top w:val="nil"/>
              <w:left w:val="nil"/>
              <w:bottom w:val="nil"/>
              <w:right w:val="nil"/>
            </w:tcBorders>
            <w:shd w:val="clear" w:color="auto" w:fill="auto"/>
            <w:vAlign w:val="center"/>
            <w:hideMark/>
          </w:tcPr>
          <w:p w14:paraId="76C16DCA"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5,175 </w:t>
            </w:r>
          </w:p>
        </w:tc>
        <w:tc>
          <w:tcPr>
            <w:tcW w:w="820" w:type="dxa"/>
            <w:tcBorders>
              <w:top w:val="nil"/>
              <w:left w:val="nil"/>
              <w:bottom w:val="nil"/>
              <w:right w:val="nil"/>
            </w:tcBorders>
            <w:shd w:val="clear" w:color="auto" w:fill="auto"/>
            <w:vAlign w:val="center"/>
            <w:hideMark/>
          </w:tcPr>
          <w:p w14:paraId="76C16DCB"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5,250 </w:t>
            </w:r>
          </w:p>
        </w:tc>
        <w:tc>
          <w:tcPr>
            <w:tcW w:w="820" w:type="dxa"/>
            <w:tcBorders>
              <w:top w:val="nil"/>
              <w:left w:val="nil"/>
              <w:bottom w:val="nil"/>
              <w:right w:val="nil"/>
            </w:tcBorders>
            <w:shd w:val="clear" w:color="auto" w:fill="auto"/>
            <w:vAlign w:val="center"/>
            <w:hideMark/>
          </w:tcPr>
          <w:p w14:paraId="76C16DCC"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5,328 </w:t>
            </w:r>
          </w:p>
        </w:tc>
      </w:tr>
      <w:tr w:rsidR="002234AB" w:rsidRPr="002234AB" w14:paraId="76C16DD4" w14:textId="77777777" w:rsidTr="00693FFB">
        <w:trPr>
          <w:trHeight w:val="225"/>
        </w:trPr>
        <w:tc>
          <w:tcPr>
            <w:tcW w:w="3220" w:type="dxa"/>
            <w:tcBorders>
              <w:top w:val="nil"/>
              <w:left w:val="nil"/>
              <w:bottom w:val="nil"/>
              <w:right w:val="nil"/>
            </w:tcBorders>
            <w:shd w:val="clear" w:color="auto" w:fill="auto"/>
            <w:noWrap/>
            <w:vAlign w:val="bottom"/>
            <w:hideMark/>
          </w:tcPr>
          <w:p w14:paraId="76C16DCE" w14:textId="77777777" w:rsidR="002234AB" w:rsidRPr="002234AB" w:rsidRDefault="002234AB" w:rsidP="002234AB">
            <w:pPr>
              <w:spacing w:after="0" w:line="240" w:lineRule="auto"/>
              <w:ind w:firstLineChars="100" w:firstLine="160"/>
              <w:jc w:val="left"/>
              <w:rPr>
                <w:rFonts w:ascii="Arial" w:hAnsi="Arial" w:cs="Arial"/>
                <w:sz w:val="16"/>
                <w:szCs w:val="16"/>
              </w:rPr>
            </w:pPr>
            <w:r w:rsidRPr="002234AB">
              <w:rPr>
                <w:rFonts w:ascii="Arial" w:hAnsi="Arial" w:cs="Arial"/>
                <w:sz w:val="16"/>
                <w:szCs w:val="16"/>
              </w:rPr>
              <w:t>Total component 1.1.3 expenses</w:t>
            </w:r>
          </w:p>
        </w:tc>
        <w:tc>
          <w:tcPr>
            <w:tcW w:w="820" w:type="dxa"/>
            <w:tcBorders>
              <w:top w:val="single" w:sz="4" w:space="0" w:color="auto"/>
              <w:left w:val="nil"/>
              <w:bottom w:val="single" w:sz="4" w:space="0" w:color="auto"/>
              <w:right w:val="nil"/>
            </w:tcBorders>
            <w:shd w:val="clear" w:color="auto" w:fill="auto"/>
            <w:noWrap/>
            <w:vAlign w:val="bottom"/>
            <w:hideMark/>
          </w:tcPr>
          <w:p w14:paraId="76C16DCF"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5,322 </w:t>
            </w:r>
          </w:p>
        </w:tc>
        <w:tc>
          <w:tcPr>
            <w:tcW w:w="800" w:type="dxa"/>
            <w:tcBorders>
              <w:top w:val="single" w:sz="4" w:space="0" w:color="auto"/>
              <w:left w:val="nil"/>
              <w:bottom w:val="single" w:sz="4" w:space="0" w:color="auto"/>
              <w:right w:val="nil"/>
            </w:tcBorders>
            <w:shd w:val="clear" w:color="000000" w:fill="E6E6E6"/>
            <w:noWrap/>
            <w:vAlign w:val="bottom"/>
            <w:hideMark/>
          </w:tcPr>
          <w:p w14:paraId="76C16DD0"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5,460 </w:t>
            </w:r>
          </w:p>
        </w:tc>
        <w:tc>
          <w:tcPr>
            <w:tcW w:w="820" w:type="dxa"/>
            <w:tcBorders>
              <w:top w:val="single" w:sz="4" w:space="0" w:color="auto"/>
              <w:left w:val="nil"/>
              <w:bottom w:val="single" w:sz="4" w:space="0" w:color="auto"/>
              <w:right w:val="nil"/>
            </w:tcBorders>
            <w:shd w:val="clear" w:color="auto" w:fill="auto"/>
            <w:noWrap/>
            <w:vAlign w:val="bottom"/>
            <w:hideMark/>
          </w:tcPr>
          <w:p w14:paraId="76C16DD1"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5,537 </w:t>
            </w:r>
          </w:p>
        </w:tc>
        <w:tc>
          <w:tcPr>
            <w:tcW w:w="820" w:type="dxa"/>
            <w:tcBorders>
              <w:top w:val="single" w:sz="4" w:space="0" w:color="auto"/>
              <w:left w:val="nil"/>
              <w:bottom w:val="single" w:sz="4" w:space="0" w:color="auto"/>
              <w:right w:val="nil"/>
            </w:tcBorders>
            <w:shd w:val="clear" w:color="auto" w:fill="auto"/>
            <w:noWrap/>
            <w:vAlign w:val="bottom"/>
            <w:hideMark/>
          </w:tcPr>
          <w:p w14:paraId="76C16DD2"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5,615 </w:t>
            </w:r>
          </w:p>
        </w:tc>
        <w:tc>
          <w:tcPr>
            <w:tcW w:w="820" w:type="dxa"/>
            <w:tcBorders>
              <w:top w:val="single" w:sz="4" w:space="0" w:color="auto"/>
              <w:left w:val="nil"/>
              <w:bottom w:val="single" w:sz="4" w:space="0" w:color="auto"/>
              <w:right w:val="nil"/>
            </w:tcBorders>
            <w:shd w:val="clear" w:color="auto" w:fill="auto"/>
            <w:noWrap/>
            <w:vAlign w:val="bottom"/>
            <w:hideMark/>
          </w:tcPr>
          <w:p w14:paraId="76C16DD3"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5,695 </w:t>
            </w:r>
          </w:p>
        </w:tc>
      </w:tr>
      <w:tr w:rsidR="002234AB" w:rsidRPr="002234AB" w14:paraId="76C16DD6" w14:textId="77777777" w:rsidTr="00693FFB">
        <w:trPr>
          <w:trHeight w:val="225"/>
        </w:trPr>
        <w:tc>
          <w:tcPr>
            <w:tcW w:w="7300" w:type="dxa"/>
            <w:gridSpan w:val="6"/>
            <w:tcBorders>
              <w:top w:val="single" w:sz="4" w:space="0" w:color="auto"/>
              <w:left w:val="nil"/>
              <w:bottom w:val="single" w:sz="4" w:space="0" w:color="auto"/>
              <w:right w:val="nil"/>
            </w:tcBorders>
            <w:shd w:val="clear" w:color="000000" w:fill="E6E6E6"/>
            <w:hideMark/>
          </w:tcPr>
          <w:p w14:paraId="76C16DD5" w14:textId="77777777" w:rsidR="002234AB" w:rsidRPr="002234AB" w:rsidRDefault="002234AB" w:rsidP="002234AB">
            <w:pPr>
              <w:spacing w:after="0" w:line="240" w:lineRule="auto"/>
              <w:jc w:val="left"/>
              <w:rPr>
                <w:rFonts w:ascii="Arial" w:hAnsi="Arial" w:cs="Arial"/>
                <w:i/>
                <w:iCs/>
                <w:sz w:val="16"/>
                <w:szCs w:val="16"/>
              </w:rPr>
            </w:pPr>
            <w:r w:rsidRPr="002234AB">
              <w:rPr>
                <w:rFonts w:ascii="Arial" w:hAnsi="Arial" w:cs="Arial"/>
                <w:i/>
                <w:iCs/>
                <w:sz w:val="16"/>
                <w:szCs w:val="16"/>
              </w:rPr>
              <w:t>1.1.4 - Premium Claims</w:t>
            </w:r>
          </w:p>
        </w:tc>
      </w:tr>
      <w:tr w:rsidR="002234AB" w:rsidRPr="002234AB" w14:paraId="76C16DDD" w14:textId="77777777" w:rsidTr="00693FFB">
        <w:trPr>
          <w:trHeight w:val="225"/>
        </w:trPr>
        <w:tc>
          <w:tcPr>
            <w:tcW w:w="3220" w:type="dxa"/>
            <w:tcBorders>
              <w:top w:val="nil"/>
              <w:left w:val="nil"/>
              <w:bottom w:val="nil"/>
              <w:right w:val="nil"/>
            </w:tcBorders>
            <w:shd w:val="clear" w:color="000000" w:fill="FFFFFF"/>
            <w:noWrap/>
            <w:vAlign w:val="bottom"/>
            <w:hideMark/>
          </w:tcPr>
          <w:p w14:paraId="76C16DD7" w14:textId="77777777" w:rsidR="002234AB" w:rsidRPr="005A0812" w:rsidRDefault="002234AB" w:rsidP="005A0812">
            <w:pPr>
              <w:spacing w:after="0" w:line="240" w:lineRule="auto"/>
              <w:ind w:left="316" w:hanging="142"/>
              <w:jc w:val="left"/>
              <w:rPr>
                <w:rFonts w:ascii="Arial" w:hAnsi="Arial" w:cs="Arial"/>
                <w:color w:val="000000"/>
                <w:sz w:val="16"/>
                <w:szCs w:val="16"/>
              </w:rPr>
            </w:pPr>
            <w:r w:rsidRPr="005A0812">
              <w:rPr>
                <w:rFonts w:ascii="Arial" w:hAnsi="Arial" w:cs="Arial"/>
                <w:color w:val="000000"/>
                <w:sz w:val="16"/>
                <w:szCs w:val="16"/>
              </w:rPr>
              <w:t>Annual departmental expenses:</w:t>
            </w:r>
          </w:p>
        </w:tc>
        <w:tc>
          <w:tcPr>
            <w:tcW w:w="820" w:type="dxa"/>
            <w:tcBorders>
              <w:top w:val="nil"/>
              <w:left w:val="nil"/>
              <w:bottom w:val="nil"/>
              <w:right w:val="nil"/>
            </w:tcBorders>
            <w:shd w:val="clear" w:color="auto" w:fill="auto"/>
            <w:hideMark/>
          </w:tcPr>
          <w:p w14:paraId="76C16DD8" w14:textId="77777777" w:rsidR="002234AB" w:rsidRPr="002234AB" w:rsidRDefault="002234AB" w:rsidP="002234AB">
            <w:pPr>
              <w:spacing w:after="0" w:line="240" w:lineRule="auto"/>
              <w:ind w:firstLineChars="100" w:firstLine="160"/>
              <w:jc w:val="left"/>
              <w:rPr>
                <w:rFonts w:ascii="Arial" w:hAnsi="Arial" w:cs="Arial"/>
                <w:sz w:val="16"/>
                <w:szCs w:val="16"/>
              </w:rPr>
            </w:pPr>
          </w:p>
        </w:tc>
        <w:tc>
          <w:tcPr>
            <w:tcW w:w="800" w:type="dxa"/>
            <w:tcBorders>
              <w:top w:val="nil"/>
              <w:left w:val="nil"/>
              <w:bottom w:val="nil"/>
              <w:right w:val="nil"/>
            </w:tcBorders>
            <w:shd w:val="clear" w:color="000000" w:fill="E6E6E6"/>
            <w:noWrap/>
            <w:vAlign w:val="bottom"/>
            <w:hideMark/>
          </w:tcPr>
          <w:p w14:paraId="76C16DD9" w14:textId="77777777" w:rsidR="002234AB" w:rsidRPr="002234AB" w:rsidRDefault="002234AB" w:rsidP="002234AB">
            <w:pPr>
              <w:spacing w:after="0" w:line="240" w:lineRule="auto"/>
              <w:jc w:val="left"/>
              <w:rPr>
                <w:rFonts w:ascii="Arial" w:hAnsi="Arial" w:cs="Arial"/>
                <w:sz w:val="16"/>
                <w:szCs w:val="16"/>
              </w:rPr>
            </w:pPr>
            <w:r w:rsidRPr="002234AB">
              <w:rPr>
                <w:rFonts w:ascii="Arial" w:hAnsi="Arial" w:cs="Arial"/>
                <w:sz w:val="16"/>
                <w:szCs w:val="16"/>
              </w:rPr>
              <w:t> </w:t>
            </w:r>
          </w:p>
        </w:tc>
        <w:tc>
          <w:tcPr>
            <w:tcW w:w="820" w:type="dxa"/>
            <w:tcBorders>
              <w:top w:val="nil"/>
              <w:left w:val="nil"/>
              <w:bottom w:val="nil"/>
              <w:right w:val="nil"/>
            </w:tcBorders>
            <w:shd w:val="clear" w:color="auto" w:fill="auto"/>
            <w:hideMark/>
          </w:tcPr>
          <w:p w14:paraId="76C16DDA" w14:textId="77777777" w:rsidR="002234AB" w:rsidRPr="002234AB" w:rsidRDefault="002234AB" w:rsidP="002234AB">
            <w:pPr>
              <w:spacing w:after="0" w:line="240" w:lineRule="auto"/>
              <w:jc w:val="left"/>
              <w:rPr>
                <w:rFonts w:ascii="Arial" w:hAnsi="Arial" w:cs="Arial"/>
                <w:sz w:val="16"/>
                <w:szCs w:val="16"/>
              </w:rPr>
            </w:pPr>
          </w:p>
        </w:tc>
        <w:tc>
          <w:tcPr>
            <w:tcW w:w="820" w:type="dxa"/>
            <w:tcBorders>
              <w:top w:val="nil"/>
              <w:left w:val="nil"/>
              <w:bottom w:val="nil"/>
              <w:right w:val="nil"/>
            </w:tcBorders>
            <w:shd w:val="clear" w:color="auto" w:fill="auto"/>
            <w:hideMark/>
          </w:tcPr>
          <w:p w14:paraId="76C16DDB" w14:textId="77777777" w:rsidR="002234AB" w:rsidRPr="002234AB" w:rsidRDefault="002234AB" w:rsidP="002234AB">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hideMark/>
          </w:tcPr>
          <w:p w14:paraId="76C16DDC" w14:textId="77777777" w:rsidR="002234AB" w:rsidRPr="002234AB" w:rsidRDefault="002234AB" w:rsidP="002234AB">
            <w:pPr>
              <w:spacing w:after="0" w:line="240" w:lineRule="auto"/>
              <w:jc w:val="right"/>
              <w:rPr>
                <w:rFonts w:ascii="Times New Roman" w:hAnsi="Times New Roman"/>
              </w:rPr>
            </w:pPr>
          </w:p>
        </w:tc>
      </w:tr>
      <w:tr w:rsidR="002234AB" w:rsidRPr="002234AB" w14:paraId="76C16DE4" w14:textId="77777777" w:rsidTr="007319C8">
        <w:trPr>
          <w:trHeight w:val="225"/>
        </w:trPr>
        <w:tc>
          <w:tcPr>
            <w:tcW w:w="3220" w:type="dxa"/>
            <w:tcBorders>
              <w:top w:val="nil"/>
              <w:left w:val="nil"/>
              <w:bottom w:val="nil"/>
              <w:right w:val="nil"/>
            </w:tcBorders>
            <w:shd w:val="clear" w:color="000000" w:fill="FFFFFF"/>
            <w:vAlign w:val="bottom"/>
            <w:hideMark/>
          </w:tcPr>
          <w:p w14:paraId="76C16DDE" w14:textId="77777777" w:rsidR="002234AB" w:rsidRPr="005A0812" w:rsidRDefault="002234AB" w:rsidP="005A0812">
            <w:pPr>
              <w:spacing w:after="0" w:line="240" w:lineRule="auto"/>
              <w:ind w:left="490" w:hanging="142"/>
              <w:jc w:val="left"/>
              <w:rPr>
                <w:rFonts w:ascii="Arial" w:hAnsi="Arial" w:cs="Arial"/>
                <w:color w:val="000000"/>
                <w:sz w:val="16"/>
                <w:szCs w:val="16"/>
              </w:rPr>
            </w:pPr>
            <w:r w:rsidRPr="005A0812">
              <w:rPr>
                <w:rFonts w:ascii="Arial" w:hAnsi="Arial" w:cs="Arial"/>
                <w:color w:val="000000"/>
                <w:sz w:val="16"/>
                <w:szCs w:val="16"/>
              </w:rPr>
              <w:t>Annual Appropriation</w:t>
            </w:r>
          </w:p>
        </w:tc>
        <w:tc>
          <w:tcPr>
            <w:tcW w:w="820" w:type="dxa"/>
            <w:tcBorders>
              <w:top w:val="nil"/>
              <w:left w:val="nil"/>
              <w:bottom w:val="nil"/>
              <w:right w:val="nil"/>
            </w:tcBorders>
            <w:shd w:val="clear" w:color="auto" w:fill="auto"/>
            <w:vAlign w:val="bottom"/>
            <w:hideMark/>
          </w:tcPr>
          <w:p w14:paraId="76C16DDF"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204 </w:t>
            </w:r>
          </w:p>
        </w:tc>
        <w:tc>
          <w:tcPr>
            <w:tcW w:w="800" w:type="dxa"/>
            <w:tcBorders>
              <w:top w:val="nil"/>
              <w:left w:val="nil"/>
              <w:bottom w:val="nil"/>
              <w:right w:val="nil"/>
            </w:tcBorders>
            <w:shd w:val="clear" w:color="000000" w:fill="E6E6E6"/>
            <w:noWrap/>
            <w:vAlign w:val="bottom"/>
            <w:hideMark/>
          </w:tcPr>
          <w:p w14:paraId="76C16DE0"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204 </w:t>
            </w:r>
          </w:p>
        </w:tc>
        <w:tc>
          <w:tcPr>
            <w:tcW w:w="820" w:type="dxa"/>
            <w:tcBorders>
              <w:top w:val="nil"/>
              <w:left w:val="nil"/>
              <w:bottom w:val="nil"/>
              <w:right w:val="nil"/>
            </w:tcBorders>
            <w:shd w:val="clear" w:color="auto" w:fill="auto"/>
            <w:vAlign w:val="bottom"/>
            <w:hideMark/>
          </w:tcPr>
          <w:p w14:paraId="76C16DE1"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205 </w:t>
            </w:r>
          </w:p>
        </w:tc>
        <w:tc>
          <w:tcPr>
            <w:tcW w:w="820" w:type="dxa"/>
            <w:tcBorders>
              <w:top w:val="nil"/>
              <w:left w:val="nil"/>
              <w:bottom w:val="nil"/>
              <w:right w:val="nil"/>
            </w:tcBorders>
            <w:shd w:val="clear" w:color="auto" w:fill="auto"/>
            <w:vAlign w:val="bottom"/>
            <w:hideMark/>
          </w:tcPr>
          <w:p w14:paraId="76C16DE2"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207 </w:t>
            </w:r>
          </w:p>
        </w:tc>
        <w:tc>
          <w:tcPr>
            <w:tcW w:w="820" w:type="dxa"/>
            <w:tcBorders>
              <w:top w:val="nil"/>
              <w:left w:val="nil"/>
              <w:bottom w:val="nil"/>
              <w:right w:val="nil"/>
            </w:tcBorders>
            <w:shd w:val="clear" w:color="auto" w:fill="auto"/>
            <w:vAlign w:val="bottom"/>
            <w:hideMark/>
          </w:tcPr>
          <w:p w14:paraId="76C16DE3"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208 </w:t>
            </w:r>
          </w:p>
        </w:tc>
      </w:tr>
      <w:tr w:rsidR="002234AB" w:rsidRPr="002234AB" w14:paraId="76C16DEB" w14:textId="77777777" w:rsidTr="005A0812">
        <w:trPr>
          <w:trHeight w:val="450"/>
        </w:trPr>
        <w:tc>
          <w:tcPr>
            <w:tcW w:w="3220" w:type="dxa"/>
            <w:tcBorders>
              <w:top w:val="nil"/>
              <w:left w:val="nil"/>
              <w:bottom w:val="nil"/>
              <w:right w:val="nil"/>
            </w:tcBorders>
            <w:shd w:val="clear" w:color="000000" w:fill="FFFFFF"/>
            <w:vAlign w:val="bottom"/>
            <w:hideMark/>
          </w:tcPr>
          <w:p w14:paraId="76C16DE5" w14:textId="77777777" w:rsidR="002234AB" w:rsidRPr="005A0812" w:rsidRDefault="002234AB" w:rsidP="005A0812">
            <w:pPr>
              <w:spacing w:after="0" w:line="240" w:lineRule="auto"/>
              <w:ind w:left="490" w:hanging="142"/>
              <w:jc w:val="left"/>
              <w:rPr>
                <w:rFonts w:ascii="Arial" w:hAnsi="Arial" w:cs="Arial"/>
                <w:color w:val="000000"/>
                <w:sz w:val="16"/>
                <w:szCs w:val="16"/>
              </w:rPr>
            </w:pPr>
            <w:r w:rsidRPr="005A0812">
              <w:rPr>
                <w:rFonts w:ascii="Arial" w:hAnsi="Arial" w:cs="Arial"/>
                <w:color w:val="000000"/>
                <w:sz w:val="16"/>
                <w:szCs w:val="16"/>
              </w:rPr>
              <w:t>Expenses not requiring appropriation in the Budget year</w:t>
            </w:r>
          </w:p>
        </w:tc>
        <w:tc>
          <w:tcPr>
            <w:tcW w:w="820" w:type="dxa"/>
            <w:tcBorders>
              <w:top w:val="nil"/>
              <w:left w:val="nil"/>
              <w:bottom w:val="nil"/>
              <w:right w:val="nil"/>
            </w:tcBorders>
            <w:shd w:val="clear" w:color="auto" w:fill="auto"/>
            <w:vAlign w:val="center"/>
            <w:hideMark/>
          </w:tcPr>
          <w:p w14:paraId="76C16DE6"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128,708 </w:t>
            </w:r>
          </w:p>
        </w:tc>
        <w:tc>
          <w:tcPr>
            <w:tcW w:w="800" w:type="dxa"/>
            <w:tcBorders>
              <w:top w:val="nil"/>
              <w:left w:val="nil"/>
              <w:bottom w:val="nil"/>
              <w:right w:val="nil"/>
            </w:tcBorders>
            <w:shd w:val="clear" w:color="000000" w:fill="E6E6E6"/>
            <w:noWrap/>
            <w:vAlign w:val="center"/>
            <w:hideMark/>
          </w:tcPr>
          <w:p w14:paraId="76C16DE7"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217,653 </w:t>
            </w:r>
          </w:p>
        </w:tc>
        <w:tc>
          <w:tcPr>
            <w:tcW w:w="820" w:type="dxa"/>
            <w:tcBorders>
              <w:top w:val="nil"/>
              <w:left w:val="nil"/>
              <w:bottom w:val="nil"/>
              <w:right w:val="nil"/>
            </w:tcBorders>
            <w:shd w:val="clear" w:color="auto" w:fill="auto"/>
            <w:vAlign w:val="center"/>
            <w:hideMark/>
          </w:tcPr>
          <w:p w14:paraId="76C16DE8"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226,283 </w:t>
            </w:r>
          </w:p>
        </w:tc>
        <w:tc>
          <w:tcPr>
            <w:tcW w:w="820" w:type="dxa"/>
            <w:tcBorders>
              <w:top w:val="nil"/>
              <w:left w:val="nil"/>
              <w:bottom w:val="nil"/>
              <w:right w:val="nil"/>
            </w:tcBorders>
            <w:shd w:val="clear" w:color="auto" w:fill="auto"/>
            <w:vAlign w:val="center"/>
            <w:hideMark/>
          </w:tcPr>
          <w:p w14:paraId="76C16DE9"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235,653 </w:t>
            </w:r>
          </w:p>
        </w:tc>
        <w:tc>
          <w:tcPr>
            <w:tcW w:w="820" w:type="dxa"/>
            <w:tcBorders>
              <w:top w:val="nil"/>
              <w:left w:val="nil"/>
              <w:bottom w:val="nil"/>
              <w:right w:val="nil"/>
            </w:tcBorders>
            <w:shd w:val="clear" w:color="auto" w:fill="auto"/>
            <w:vAlign w:val="center"/>
            <w:hideMark/>
          </w:tcPr>
          <w:p w14:paraId="76C16DEA"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245,553 </w:t>
            </w:r>
          </w:p>
        </w:tc>
      </w:tr>
      <w:tr w:rsidR="002234AB" w:rsidRPr="002234AB" w14:paraId="76C16DF2" w14:textId="77777777" w:rsidTr="00693FFB">
        <w:trPr>
          <w:trHeight w:val="225"/>
        </w:trPr>
        <w:tc>
          <w:tcPr>
            <w:tcW w:w="3220" w:type="dxa"/>
            <w:tcBorders>
              <w:top w:val="nil"/>
              <w:left w:val="nil"/>
              <w:bottom w:val="nil"/>
              <w:right w:val="nil"/>
            </w:tcBorders>
            <w:shd w:val="clear" w:color="auto" w:fill="auto"/>
            <w:noWrap/>
            <w:vAlign w:val="bottom"/>
            <w:hideMark/>
          </w:tcPr>
          <w:p w14:paraId="76C16DEC" w14:textId="77777777" w:rsidR="002234AB" w:rsidRPr="002234AB" w:rsidRDefault="002234AB" w:rsidP="002234AB">
            <w:pPr>
              <w:spacing w:after="0" w:line="240" w:lineRule="auto"/>
              <w:ind w:firstLineChars="100" w:firstLine="160"/>
              <w:jc w:val="left"/>
              <w:rPr>
                <w:rFonts w:ascii="Arial" w:hAnsi="Arial" w:cs="Arial"/>
                <w:sz w:val="16"/>
                <w:szCs w:val="16"/>
              </w:rPr>
            </w:pPr>
            <w:r w:rsidRPr="002234AB">
              <w:rPr>
                <w:rFonts w:ascii="Arial" w:hAnsi="Arial" w:cs="Arial"/>
                <w:sz w:val="16"/>
                <w:szCs w:val="16"/>
              </w:rPr>
              <w:t>Total component 1.1.4 expenses</w:t>
            </w:r>
          </w:p>
        </w:tc>
        <w:tc>
          <w:tcPr>
            <w:tcW w:w="820" w:type="dxa"/>
            <w:tcBorders>
              <w:top w:val="single" w:sz="4" w:space="0" w:color="auto"/>
              <w:left w:val="nil"/>
              <w:bottom w:val="single" w:sz="4" w:space="0" w:color="auto"/>
              <w:right w:val="nil"/>
            </w:tcBorders>
            <w:shd w:val="clear" w:color="auto" w:fill="auto"/>
            <w:noWrap/>
            <w:vAlign w:val="bottom"/>
            <w:hideMark/>
          </w:tcPr>
          <w:p w14:paraId="76C16DED"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128,912 </w:t>
            </w:r>
          </w:p>
        </w:tc>
        <w:tc>
          <w:tcPr>
            <w:tcW w:w="800" w:type="dxa"/>
            <w:tcBorders>
              <w:top w:val="single" w:sz="4" w:space="0" w:color="auto"/>
              <w:left w:val="nil"/>
              <w:bottom w:val="single" w:sz="4" w:space="0" w:color="auto"/>
              <w:right w:val="nil"/>
            </w:tcBorders>
            <w:shd w:val="clear" w:color="000000" w:fill="E6E6E6"/>
            <w:noWrap/>
            <w:vAlign w:val="bottom"/>
            <w:hideMark/>
          </w:tcPr>
          <w:p w14:paraId="76C16DEE"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217,857 </w:t>
            </w:r>
          </w:p>
        </w:tc>
        <w:tc>
          <w:tcPr>
            <w:tcW w:w="820" w:type="dxa"/>
            <w:tcBorders>
              <w:top w:val="single" w:sz="4" w:space="0" w:color="auto"/>
              <w:left w:val="nil"/>
              <w:bottom w:val="single" w:sz="4" w:space="0" w:color="auto"/>
              <w:right w:val="nil"/>
            </w:tcBorders>
            <w:shd w:val="clear" w:color="auto" w:fill="auto"/>
            <w:noWrap/>
            <w:vAlign w:val="bottom"/>
            <w:hideMark/>
          </w:tcPr>
          <w:p w14:paraId="76C16DEF"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226,488 </w:t>
            </w:r>
          </w:p>
        </w:tc>
        <w:tc>
          <w:tcPr>
            <w:tcW w:w="820" w:type="dxa"/>
            <w:tcBorders>
              <w:top w:val="single" w:sz="4" w:space="0" w:color="auto"/>
              <w:left w:val="nil"/>
              <w:bottom w:val="single" w:sz="4" w:space="0" w:color="auto"/>
              <w:right w:val="nil"/>
            </w:tcBorders>
            <w:shd w:val="clear" w:color="auto" w:fill="auto"/>
            <w:noWrap/>
            <w:vAlign w:val="bottom"/>
            <w:hideMark/>
          </w:tcPr>
          <w:p w14:paraId="76C16DF0"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235,860 </w:t>
            </w:r>
          </w:p>
        </w:tc>
        <w:tc>
          <w:tcPr>
            <w:tcW w:w="820" w:type="dxa"/>
            <w:tcBorders>
              <w:top w:val="single" w:sz="4" w:space="0" w:color="auto"/>
              <w:left w:val="nil"/>
              <w:bottom w:val="single" w:sz="4" w:space="0" w:color="auto"/>
              <w:right w:val="nil"/>
            </w:tcBorders>
            <w:shd w:val="clear" w:color="auto" w:fill="auto"/>
            <w:noWrap/>
            <w:vAlign w:val="bottom"/>
            <w:hideMark/>
          </w:tcPr>
          <w:p w14:paraId="76C16DF1"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245,761 </w:t>
            </w:r>
          </w:p>
        </w:tc>
      </w:tr>
      <w:tr w:rsidR="002234AB" w:rsidRPr="002234AB" w14:paraId="76C16DF4" w14:textId="77777777" w:rsidTr="00693FFB">
        <w:trPr>
          <w:trHeight w:val="225"/>
        </w:trPr>
        <w:tc>
          <w:tcPr>
            <w:tcW w:w="7300" w:type="dxa"/>
            <w:gridSpan w:val="6"/>
            <w:tcBorders>
              <w:top w:val="single" w:sz="4" w:space="0" w:color="auto"/>
              <w:left w:val="nil"/>
              <w:bottom w:val="single" w:sz="4" w:space="0" w:color="auto"/>
              <w:right w:val="nil"/>
            </w:tcBorders>
            <w:shd w:val="clear" w:color="000000" w:fill="E6E6E6"/>
            <w:hideMark/>
          </w:tcPr>
          <w:p w14:paraId="76C16DF3" w14:textId="77777777" w:rsidR="002234AB" w:rsidRPr="002234AB" w:rsidRDefault="002234AB" w:rsidP="002234AB">
            <w:pPr>
              <w:spacing w:after="0" w:line="240" w:lineRule="auto"/>
              <w:jc w:val="left"/>
              <w:rPr>
                <w:rFonts w:ascii="Arial" w:hAnsi="Arial" w:cs="Arial"/>
                <w:i/>
                <w:iCs/>
                <w:sz w:val="16"/>
                <w:szCs w:val="16"/>
              </w:rPr>
            </w:pPr>
            <w:r w:rsidRPr="002234AB">
              <w:rPr>
                <w:rFonts w:ascii="Arial" w:hAnsi="Arial" w:cs="Arial"/>
                <w:i/>
                <w:iCs/>
                <w:sz w:val="16"/>
                <w:szCs w:val="16"/>
              </w:rPr>
              <w:t>1.1.5 - Pre-premium Claims</w:t>
            </w:r>
          </w:p>
        </w:tc>
      </w:tr>
      <w:tr w:rsidR="002234AB" w:rsidRPr="002234AB" w14:paraId="76C16DFB" w14:textId="77777777" w:rsidTr="00693FFB">
        <w:trPr>
          <w:trHeight w:val="225"/>
        </w:trPr>
        <w:tc>
          <w:tcPr>
            <w:tcW w:w="3220" w:type="dxa"/>
            <w:tcBorders>
              <w:top w:val="nil"/>
              <w:left w:val="nil"/>
              <w:bottom w:val="nil"/>
              <w:right w:val="nil"/>
            </w:tcBorders>
            <w:shd w:val="clear" w:color="000000" w:fill="FFFFFF"/>
            <w:noWrap/>
            <w:vAlign w:val="bottom"/>
            <w:hideMark/>
          </w:tcPr>
          <w:p w14:paraId="76C16DF5" w14:textId="77777777" w:rsidR="002234AB" w:rsidRPr="005A0812" w:rsidRDefault="002234AB" w:rsidP="005A0812">
            <w:pPr>
              <w:spacing w:after="0" w:line="240" w:lineRule="auto"/>
              <w:ind w:left="316" w:hanging="142"/>
              <w:jc w:val="left"/>
              <w:rPr>
                <w:rFonts w:ascii="Arial" w:hAnsi="Arial" w:cs="Arial"/>
                <w:color w:val="000000"/>
                <w:sz w:val="16"/>
                <w:szCs w:val="16"/>
              </w:rPr>
            </w:pPr>
            <w:r w:rsidRPr="005A0812">
              <w:rPr>
                <w:rFonts w:ascii="Arial" w:hAnsi="Arial" w:cs="Arial"/>
                <w:color w:val="000000"/>
                <w:sz w:val="16"/>
                <w:szCs w:val="16"/>
              </w:rPr>
              <w:t>Annual departmental expenses:</w:t>
            </w:r>
          </w:p>
        </w:tc>
        <w:tc>
          <w:tcPr>
            <w:tcW w:w="820" w:type="dxa"/>
            <w:tcBorders>
              <w:top w:val="nil"/>
              <w:left w:val="nil"/>
              <w:bottom w:val="nil"/>
              <w:right w:val="nil"/>
            </w:tcBorders>
            <w:shd w:val="clear" w:color="auto" w:fill="auto"/>
            <w:hideMark/>
          </w:tcPr>
          <w:p w14:paraId="76C16DF6" w14:textId="77777777" w:rsidR="002234AB" w:rsidRPr="002234AB" w:rsidRDefault="002234AB" w:rsidP="002234AB">
            <w:pPr>
              <w:spacing w:after="0" w:line="240" w:lineRule="auto"/>
              <w:ind w:firstLineChars="100" w:firstLine="160"/>
              <w:jc w:val="left"/>
              <w:rPr>
                <w:rFonts w:ascii="Arial" w:hAnsi="Arial" w:cs="Arial"/>
                <w:sz w:val="16"/>
                <w:szCs w:val="16"/>
              </w:rPr>
            </w:pPr>
          </w:p>
        </w:tc>
        <w:tc>
          <w:tcPr>
            <w:tcW w:w="800" w:type="dxa"/>
            <w:tcBorders>
              <w:top w:val="nil"/>
              <w:left w:val="nil"/>
              <w:bottom w:val="nil"/>
              <w:right w:val="nil"/>
            </w:tcBorders>
            <w:shd w:val="clear" w:color="000000" w:fill="E6E6E6"/>
            <w:noWrap/>
            <w:vAlign w:val="bottom"/>
            <w:hideMark/>
          </w:tcPr>
          <w:p w14:paraId="76C16DF7" w14:textId="77777777" w:rsidR="002234AB" w:rsidRPr="002234AB" w:rsidRDefault="002234AB" w:rsidP="002234AB">
            <w:pPr>
              <w:spacing w:after="0" w:line="240" w:lineRule="auto"/>
              <w:jc w:val="left"/>
              <w:rPr>
                <w:rFonts w:ascii="Arial" w:hAnsi="Arial" w:cs="Arial"/>
                <w:sz w:val="16"/>
                <w:szCs w:val="16"/>
              </w:rPr>
            </w:pPr>
            <w:r w:rsidRPr="002234AB">
              <w:rPr>
                <w:rFonts w:ascii="Arial" w:hAnsi="Arial" w:cs="Arial"/>
                <w:sz w:val="16"/>
                <w:szCs w:val="16"/>
              </w:rPr>
              <w:t> </w:t>
            </w:r>
          </w:p>
        </w:tc>
        <w:tc>
          <w:tcPr>
            <w:tcW w:w="820" w:type="dxa"/>
            <w:tcBorders>
              <w:top w:val="nil"/>
              <w:left w:val="nil"/>
              <w:bottom w:val="nil"/>
              <w:right w:val="nil"/>
            </w:tcBorders>
            <w:shd w:val="clear" w:color="auto" w:fill="auto"/>
            <w:hideMark/>
          </w:tcPr>
          <w:p w14:paraId="76C16DF8" w14:textId="77777777" w:rsidR="002234AB" w:rsidRPr="002234AB" w:rsidRDefault="002234AB" w:rsidP="002234AB">
            <w:pPr>
              <w:spacing w:after="0" w:line="240" w:lineRule="auto"/>
              <w:jc w:val="left"/>
              <w:rPr>
                <w:rFonts w:ascii="Arial" w:hAnsi="Arial" w:cs="Arial"/>
                <w:sz w:val="16"/>
                <w:szCs w:val="16"/>
              </w:rPr>
            </w:pPr>
          </w:p>
        </w:tc>
        <w:tc>
          <w:tcPr>
            <w:tcW w:w="820" w:type="dxa"/>
            <w:tcBorders>
              <w:top w:val="nil"/>
              <w:left w:val="nil"/>
              <w:bottom w:val="nil"/>
              <w:right w:val="nil"/>
            </w:tcBorders>
            <w:shd w:val="clear" w:color="auto" w:fill="auto"/>
            <w:hideMark/>
          </w:tcPr>
          <w:p w14:paraId="76C16DF9" w14:textId="77777777" w:rsidR="002234AB" w:rsidRPr="002234AB" w:rsidRDefault="002234AB" w:rsidP="002234AB">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hideMark/>
          </w:tcPr>
          <w:p w14:paraId="76C16DFA" w14:textId="77777777" w:rsidR="002234AB" w:rsidRPr="002234AB" w:rsidRDefault="002234AB" w:rsidP="002234AB">
            <w:pPr>
              <w:spacing w:after="0" w:line="240" w:lineRule="auto"/>
              <w:jc w:val="right"/>
              <w:rPr>
                <w:rFonts w:ascii="Times New Roman" w:hAnsi="Times New Roman"/>
              </w:rPr>
            </w:pPr>
          </w:p>
        </w:tc>
      </w:tr>
      <w:tr w:rsidR="002234AB" w:rsidRPr="002234AB" w14:paraId="76C16E02" w14:textId="77777777" w:rsidTr="005A0812">
        <w:trPr>
          <w:trHeight w:val="450"/>
        </w:trPr>
        <w:tc>
          <w:tcPr>
            <w:tcW w:w="3220" w:type="dxa"/>
            <w:tcBorders>
              <w:top w:val="nil"/>
              <w:left w:val="nil"/>
              <w:bottom w:val="nil"/>
              <w:right w:val="nil"/>
            </w:tcBorders>
            <w:shd w:val="clear" w:color="000000" w:fill="FFFFFF"/>
            <w:vAlign w:val="bottom"/>
            <w:hideMark/>
          </w:tcPr>
          <w:p w14:paraId="76C16DFC" w14:textId="77777777" w:rsidR="002234AB" w:rsidRPr="005A0812" w:rsidRDefault="002234AB" w:rsidP="005A0812">
            <w:pPr>
              <w:spacing w:after="0" w:line="240" w:lineRule="auto"/>
              <w:ind w:left="490" w:hanging="142"/>
              <w:jc w:val="left"/>
              <w:rPr>
                <w:rFonts w:ascii="Arial" w:hAnsi="Arial" w:cs="Arial"/>
                <w:color w:val="000000"/>
                <w:sz w:val="16"/>
                <w:szCs w:val="16"/>
              </w:rPr>
            </w:pPr>
            <w:r w:rsidRPr="005A0812">
              <w:rPr>
                <w:rFonts w:ascii="Arial" w:hAnsi="Arial" w:cs="Arial"/>
                <w:color w:val="000000"/>
                <w:sz w:val="16"/>
                <w:szCs w:val="16"/>
              </w:rPr>
              <w:t>Grants received from portfolio department</w:t>
            </w:r>
          </w:p>
        </w:tc>
        <w:tc>
          <w:tcPr>
            <w:tcW w:w="820" w:type="dxa"/>
            <w:tcBorders>
              <w:top w:val="nil"/>
              <w:left w:val="nil"/>
              <w:bottom w:val="nil"/>
              <w:right w:val="nil"/>
            </w:tcBorders>
            <w:shd w:val="clear" w:color="auto" w:fill="auto"/>
            <w:vAlign w:val="center"/>
            <w:hideMark/>
          </w:tcPr>
          <w:p w14:paraId="76C16DFD"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29,387 </w:t>
            </w:r>
          </w:p>
        </w:tc>
        <w:tc>
          <w:tcPr>
            <w:tcW w:w="800" w:type="dxa"/>
            <w:tcBorders>
              <w:top w:val="nil"/>
              <w:left w:val="nil"/>
              <w:bottom w:val="nil"/>
              <w:right w:val="nil"/>
            </w:tcBorders>
            <w:shd w:val="clear" w:color="000000" w:fill="E6E6E6"/>
            <w:noWrap/>
            <w:vAlign w:val="center"/>
            <w:hideMark/>
          </w:tcPr>
          <w:p w14:paraId="76C16DFE"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28,302 </w:t>
            </w:r>
          </w:p>
        </w:tc>
        <w:tc>
          <w:tcPr>
            <w:tcW w:w="820" w:type="dxa"/>
            <w:tcBorders>
              <w:top w:val="nil"/>
              <w:left w:val="nil"/>
              <w:bottom w:val="nil"/>
              <w:right w:val="nil"/>
            </w:tcBorders>
            <w:shd w:val="clear" w:color="auto" w:fill="auto"/>
            <w:vAlign w:val="center"/>
            <w:hideMark/>
          </w:tcPr>
          <w:p w14:paraId="76C16DFF"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26,986 </w:t>
            </w:r>
          </w:p>
        </w:tc>
        <w:tc>
          <w:tcPr>
            <w:tcW w:w="820" w:type="dxa"/>
            <w:tcBorders>
              <w:top w:val="nil"/>
              <w:left w:val="nil"/>
              <w:bottom w:val="nil"/>
              <w:right w:val="nil"/>
            </w:tcBorders>
            <w:shd w:val="clear" w:color="auto" w:fill="auto"/>
            <w:vAlign w:val="center"/>
            <w:hideMark/>
          </w:tcPr>
          <w:p w14:paraId="76C16E00"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25,936 </w:t>
            </w:r>
          </w:p>
        </w:tc>
        <w:tc>
          <w:tcPr>
            <w:tcW w:w="820" w:type="dxa"/>
            <w:tcBorders>
              <w:top w:val="nil"/>
              <w:left w:val="nil"/>
              <w:bottom w:val="nil"/>
              <w:right w:val="nil"/>
            </w:tcBorders>
            <w:shd w:val="clear" w:color="auto" w:fill="auto"/>
            <w:vAlign w:val="center"/>
            <w:hideMark/>
          </w:tcPr>
          <w:p w14:paraId="76C16E01"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24,841 </w:t>
            </w:r>
          </w:p>
        </w:tc>
      </w:tr>
      <w:tr w:rsidR="002234AB" w:rsidRPr="002234AB" w14:paraId="76C16E09" w14:textId="77777777" w:rsidTr="005A0812">
        <w:trPr>
          <w:trHeight w:val="450"/>
        </w:trPr>
        <w:tc>
          <w:tcPr>
            <w:tcW w:w="3220" w:type="dxa"/>
            <w:tcBorders>
              <w:top w:val="nil"/>
              <w:left w:val="nil"/>
              <w:bottom w:val="nil"/>
              <w:right w:val="nil"/>
            </w:tcBorders>
            <w:shd w:val="clear" w:color="000000" w:fill="FFFFFF"/>
            <w:vAlign w:val="bottom"/>
            <w:hideMark/>
          </w:tcPr>
          <w:p w14:paraId="76C16E03" w14:textId="77777777" w:rsidR="002234AB" w:rsidRPr="005A0812" w:rsidRDefault="002234AB" w:rsidP="005A0812">
            <w:pPr>
              <w:spacing w:after="0" w:line="240" w:lineRule="auto"/>
              <w:ind w:left="490" w:hanging="142"/>
              <w:jc w:val="left"/>
              <w:rPr>
                <w:rFonts w:ascii="Arial" w:hAnsi="Arial" w:cs="Arial"/>
                <w:color w:val="000000"/>
                <w:sz w:val="16"/>
                <w:szCs w:val="16"/>
              </w:rPr>
            </w:pPr>
            <w:r w:rsidRPr="005A0812">
              <w:rPr>
                <w:rFonts w:ascii="Arial" w:hAnsi="Arial" w:cs="Arial"/>
                <w:color w:val="000000"/>
                <w:sz w:val="16"/>
                <w:szCs w:val="16"/>
              </w:rPr>
              <w:t>Expenses not requiring appropriation in the Budget year</w:t>
            </w:r>
          </w:p>
        </w:tc>
        <w:tc>
          <w:tcPr>
            <w:tcW w:w="820" w:type="dxa"/>
            <w:tcBorders>
              <w:top w:val="nil"/>
              <w:left w:val="nil"/>
              <w:bottom w:val="nil"/>
              <w:right w:val="nil"/>
            </w:tcBorders>
            <w:shd w:val="clear" w:color="auto" w:fill="auto"/>
            <w:vAlign w:val="center"/>
            <w:hideMark/>
          </w:tcPr>
          <w:p w14:paraId="76C16E04"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(25,248)</w:t>
            </w:r>
          </w:p>
        </w:tc>
        <w:tc>
          <w:tcPr>
            <w:tcW w:w="800" w:type="dxa"/>
            <w:tcBorders>
              <w:top w:val="nil"/>
              <w:left w:val="nil"/>
              <w:bottom w:val="nil"/>
              <w:right w:val="nil"/>
            </w:tcBorders>
            <w:shd w:val="clear" w:color="000000" w:fill="E6E6E6"/>
            <w:noWrap/>
            <w:vAlign w:val="center"/>
            <w:hideMark/>
          </w:tcPr>
          <w:p w14:paraId="76C16E05"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(25,848)</w:t>
            </w:r>
          </w:p>
        </w:tc>
        <w:tc>
          <w:tcPr>
            <w:tcW w:w="820" w:type="dxa"/>
            <w:tcBorders>
              <w:top w:val="nil"/>
              <w:left w:val="nil"/>
              <w:bottom w:val="nil"/>
              <w:right w:val="nil"/>
            </w:tcBorders>
            <w:shd w:val="clear" w:color="auto" w:fill="auto"/>
            <w:vAlign w:val="center"/>
            <w:hideMark/>
          </w:tcPr>
          <w:p w14:paraId="76C16E06"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(24,451)</w:t>
            </w:r>
          </w:p>
        </w:tc>
        <w:tc>
          <w:tcPr>
            <w:tcW w:w="820" w:type="dxa"/>
            <w:tcBorders>
              <w:top w:val="nil"/>
              <w:left w:val="nil"/>
              <w:bottom w:val="nil"/>
              <w:right w:val="nil"/>
            </w:tcBorders>
            <w:shd w:val="clear" w:color="auto" w:fill="auto"/>
            <w:vAlign w:val="center"/>
            <w:hideMark/>
          </w:tcPr>
          <w:p w14:paraId="76C16E07"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(22,936)</w:t>
            </w:r>
          </w:p>
        </w:tc>
        <w:tc>
          <w:tcPr>
            <w:tcW w:w="820" w:type="dxa"/>
            <w:tcBorders>
              <w:top w:val="nil"/>
              <w:left w:val="nil"/>
              <w:bottom w:val="nil"/>
              <w:right w:val="nil"/>
            </w:tcBorders>
            <w:shd w:val="clear" w:color="auto" w:fill="auto"/>
            <w:vAlign w:val="center"/>
            <w:hideMark/>
          </w:tcPr>
          <w:p w14:paraId="76C16E08"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(20,970)</w:t>
            </w:r>
          </w:p>
        </w:tc>
      </w:tr>
      <w:tr w:rsidR="002234AB" w:rsidRPr="002234AB" w14:paraId="76C16E10" w14:textId="77777777" w:rsidTr="00693FFB">
        <w:trPr>
          <w:trHeight w:val="225"/>
        </w:trPr>
        <w:tc>
          <w:tcPr>
            <w:tcW w:w="3220" w:type="dxa"/>
            <w:tcBorders>
              <w:top w:val="nil"/>
              <w:left w:val="nil"/>
              <w:bottom w:val="nil"/>
              <w:right w:val="nil"/>
            </w:tcBorders>
            <w:shd w:val="clear" w:color="auto" w:fill="auto"/>
            <w:noWrap/>
            <w:vAlign w:val="bottom"/>
            <w:hideMark/>
          </w:tcPr>
          <w:p w14:paraId="76C16E0A" w14:textId="77777777" w:rsidR="002234AB" w:rsidRPr="002234AB" w:rsidRDefault="002234AB" w:rsidP="002234AB">
            <w:pPr>
              <w:spacing w:after="0" w:line="240" w:lineRule="auto"/>
              <w:ind w:firstLineChars="100" w:firstLine="160"/>
              <w:jc w:val="left"/>
              <w:rPr>
                <w:rFonts w:ascii="Arial" w:hAnsi="Arial" w:cs="Arial"/>
                <w:sz w:val="16"/>
                <w:szCs w:val="16"/>
              </w:rPr>
            </w:pPr>
            <w:r w:rsidRPr="002234AB">
              <w:rPr>
                <w:rFonts w:ascii="Arial" w:hAnsi="Arial" w:cs="Arial"/>
                <w:sz w:val="16"/>
                <w:szCs w:val="16"/>
              </w:rPr>
              <w:t>Total component 1.1.5 expenses</w:t>
            </w:r>
          </w:p>
        </w:tc>
        <w:tc>
          <w:tcPr>
            <w:tcW w:w="820" w:type="dxa"/>
            <w:tcBorders>
              <w:top w:val="single" w:sz="4" w:space="0" w:color="auto"/>
              <w:left w:val="nil"/>
              <w:bottom w:val="single" w:sz="4" w:space="0" w:color="auto"/>
              <w:right w:val="nil"/>
            </w:tcBorders>
            <w:shd w:val="clear" w:color="auto" w:fill="auto"/>
            <w:noWrap/>
            <w:vAlign w:val="bottom"/>
            <w:hideMark/>
          </w:tcPr>
          <w:p w14:paraId="76C16E0B"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4,139 </w:t>
            </w:r>
          </w:p>
        </w:tc>
        <w:tc>
          <w:tcPr>
            <w:tcW w:w="800" w:type="dxa"/>
            <w:tcBorders>
              <w:top w:val="single" w:sz="4" w:space="0" w:color="auto"/>
              <w:left w:val="nil"/>
              <w:bottom w:val="single" w:sz="4" w:space="0" w:color="auto"/>
              <w:right w:val="nil"/>
            </w:tcBorders>
            <w:shd w:val="clear" w:color="000000" w:fill="E6E6E6"/>
            <w:noWrap/>
            <w:vAlign w:val="bottom"/>
            <w:hideMark/>
          </w:tcPr>
          <w:p w14:paraId="76C16E0C"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2,454 </w:t>
            </w:r>
          </w:p>
        </w:tc>
        <w:tc>
          <w:tcPr>
            <w:tcW w:w="820" w:type="dxa"/>
            <w:tcBorders>
              <w:top w:val="single" w:sz="4" w:space="0" w:color="auto"/>
              <w:left w:val="nil"/>
              <w:bottom w:val="single" w:sz="4" w:space="0" w:color="auto"/>
              <w:right w:val="nil"/>
            </w:tcBorders>
            <w:shd w:val="clear" w:color="auto" w:fill="auto"/>
            <w:noWrap/>
            <w:vAlign w:val="bottom"/>
            <w:hideMark/>
          </w:tcPr>
          <w:p w14:paraId="76C16E0D"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2,535 </w:t>
            </w:r>
          </w:p>
        </w:tc>
        <w:tc>
          <w:tcPr>
            <w:tcW w:w="820" w:type="dxa"/>
            <w:tcBorders>
              <w:top w:val="single" w:sz="4" w:space="0" w:color="auto"/>
              <w:left w:val="nil"/>
              <w:bottom w:val="single" w:sz="4" w:space="0" w:color="auto"/>
              <w:right w:val="nil"/>
            </w:tcBorders>
            <w:shd w:val="clear" w:color="auto" w:fill="auto"/>
            <w:noWrap/>
            <w:vAlign w:val="bottom"/>
            <w:hideMark/>
          </w:tcPr>
          <w:p w14:paraId="76C16E0E"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3,000 </w:t>
            </w:r>
          </w:p>
        </w:tc>
        <w:tc>
          <w:tcPr>
            <w:tcW w:w="820" w:type="dxa"/>
            <w:tcBorders>
              <w:top w:val="single" w:sz="4" w:space="0" w:color="auto"/>
              <w:left w:val="nil"/>
              <w:bottom w:val="single" w:sz="4" w:space="0" w:color="auto"/>
              <w:right w:val="nil"/>
            </w:tcBorders>
            <w:shd w:val="clear" w:color="auto" w:fill="auto"/>
            <w:noWrap/>
            <w:vAlign w:val="bottom"/>
            <w:hideMark/>
          </w:tcPr>
          <w:p w14:paraId="76C16E0F"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3,871 </w:t>
            </w:r>
          </w:p>
        </w:tc>
      </w:tr>
      <w:tr w:rsidR="002234AB" w:rsidRPr="002234AB" w14:paraId="76C16E12" w14:textId="77777777" w:rsidTr="00693FFB">
        <w:trPr>
          <w:trHeight w:val="225"/>
        </w:trPr>
        <w:tc>
          <w:tcPr>
            <w:tcW w:w="7300" w:type="dxa"/>
            <w:gridSpan w:val="6"/>
            <w:tcBorders>
              <w:top w:val="single" w:sz="4" w:space="0" w:color="auto"/>
              <w:left w:val="nil"/>
              <w:bottom w:val="single" w:sz="4" w:space="0" w:color="auto"/>
              <w:right w:val="nil"/>
            </w:tcBorders>
            <w:shd w:val="clear" w:color="000000" w:fill="E6E6E6"/>
            <w:hideMark/>
          </w:tcPr>
          <w:p w14:paraId="76C16E11" w14:textId="77777777" w:rsidR="002234AB" w:rsidRPr="002234AB" w:rsidRDefault="002234AB" w:rsidP="002234AB">
            <w:pPr>
              <w:spacing w:after="0" w:line="240" w:lineRule="auto"/>
              <w:jc w:val="left"/>
              <w:rPr>
                <w:rFonts w:ascii="Arial" w:hAnsi="Arial" w:cs="Arial"/>
                <w:i/>
                <w:iCs/>
                <w:sz w:val="16"/>
                <w:szCs w:val="16"/>
              </w:rPr>
            </w:pPr>
            <w:r w:rsidRPr="002234AB">
              <w:rPr>
                <w:rFonts w:ascii="Arial" w:hAnsi="Arial" w:cs="Arial"/>
                <w:i/>
                <w:iCs/>
                <w:sz w:val="16"/>
                <w:szCs w:val="16"/>
              </w:rPr>
              <w:t>1.1.6 - Asbestos Claims</w:t>
            </w:r>
          </w:p>
        </w:tc>
      </w:tr>
      <w:tr w:rsidR="002234AB" w:rsidRPr="002234AB" w14:paraId="76C16E19" w14:textId="77777777" w:rsidTr="00693FFB">
        <w:trPr>
          <w:trHeight w:val="225"/>
        </w:trPr>
        <w:tc>
          <w:tcPr>
            <w:tcW w:w="3220" w:type="dxa"/>
            <w:tcBorders>
              <w:top w:val="nil"/>
              <w:left w:val="nil"/>
              <w:bottom w:val="nil"/>
              <w:right w:val="nil"/>
            </w:tcBorders>
            <w:shd w:val="clear" w:color="000000" w:fill="FFFFFF"/>
            <w:noWrap/>
            <w:vAlign w:val="bottom"/>
            <w:hideMark/>
          </w:tcPr>
          <w:p w14:paraId="76C16E13" w14:textId="77777777" w:rsidR="002234AB" w:rsidRPr="005A0812" w:rsidRDefault="002234AB" w:rsidP="005A0812">
            <w:pPr>
              <w:spacing w:after="0" w:line="240" w:lineRule="auto"/>
              <w:ind w:left="316" w:hanging="142"/>
              <w:jc w:val="left"/>
              <w:rPr>
                <w:rFonts w:ascii="Arial" w:hAnsi="Arial" w:cs="Arial"/>
                <w:color w:val="000000"/>
                <w:sz w:val="16"/>
                <w:szCs w:val="16"/>
              </w:rPr>
            </w:pPr>
            <w:r w:rsidRPr="005A0812">
              <w:rPr>
                <w:rFonts w:ascii="Arial" w:hAnsi="Arial" w:cs="Arial"/>
                <w:color w:val="000000"/>
                <w:sz w:val="16"/>
                <w:szCs w:val="16"/>
              </w:rPr>
              <w:t>Annual departmental expenses:</w:t>
            </w:r>
          </w:p>
        </w:tc>
        <w:tc>
          <w:tcPr>
            <w:tcW w:w="820" w:type="dxa"/>
            <w:tcBorders>
              <w:top w:val="nil"/>
              <w:left w:val="nil"/>
              <w:bottom w:val="nil"/>
              <w:right w:val="nil"/>
            </w:tcBorders>
            <w:shd w:val="clear" w:color="auto" w:fill="auto"/>
            <w:hideMark/>
          </w:tcPr>
          <w:p w14:paraId="76C16E14" w14:textId="77777777" w:rsidR="002234AB" w:rsidRPr="002234AB" w:rsidRDefault="002234AB" w:rsidP="002234AB">
            <w:pPr>
              <w:spacing w:after="0" w:line="240" w:lineRule="auto"/>
              <w:ind w:firstLineChars="100" w:firstLine="160"/>
              <w:jc w:val="left"/>
              <w:rPr>
                <w:rFonts w:ascii="Arial" w:hAnsi="Arial" w:cs="Arial"/>
                <w:sz w:val="16"/>
                <w:szCs w:val="16"/>
              </w:rPr>
            </w:pPr>
          </w:p>
        </w:tc>
        <w:tc>
          <w:tcPr>
            <w:tcW w:w="800" w:type="dxa"/>
            <w:tcBorders>
              <w:top w:val="nil"/>
              <w:left w:val="nil"/>
              <w:bottom w:val="nil"/>
              <w:right w:val="nil"/>
            </w:tcBorders>
            <w:shd w:val="clear" w:color="000000" w:fill="E6E6E6"/>
            <w:noWrap/>
            <w:vAlign w:val="bottom"/>
            <w:hideMark/>
          </w:tcPr>
          <w:p w14:paraId="76C16E15" w14:textId="77777777" w:rsidR="002234AB" w:rsidRPr="002234AB" w:rsidRDefault="002234AB" w:rsidP="002234AB">
            <w:pPr>
              <w:spacing w:after="0" w:line="240" w:lineRule="auto"/>
              <w:jc w:val="left"/>
              <w:rPr>
                <w:rFonts w:ascii="Arial" w:hAnsi="Arial" w:cs="Arial"/>
                <w:sz w:val="16"/>
                <w:szCs w:val="16"/>
              </w:rPr>
            </w:pPr>
            <w:r w:rsidRPr="002234AB">
              <w:rPr>
                <w:rFonts w:ascii="Arial" w:hAnsi="Arial" w:cs="Arial"/>
                <w:sz w:val="16"/>
                <w:szCs w:val="16"/>
              </w:rPr>
              <w:t> </w:t>
            </w:r>
          </w:p>
        </w:tc>
        <w:tc>
          <w:tcPr>
            <w:tcW w:w="820" w:type="dxa"/>
            <w:tcBorders>
              <w:top w:val="nil"/>
              <w:left w:val="nil"/>
              <w:bottom w:val="nil"/>
              <w:right w:val="nil"/>
            </w:tcBorders>
            <w:shd w:val="clear" w:color="auto" w:fill="auto"/>
            <w:hideMark/>
          </w:tcPr>
          <w:p w14:paraId="76C16E16" w14:textId="77777777" w:rsidR="002234AB" w:rsidRPr="002234AB" w:rsidRDefault="002234AB" w:rsidP="002234AB">
            <w:pPr>
              <w:spacing w:after="0" w:line="240" w:lineRule="auto"/>
              <w:jc w:val="left"/>
              <w:rPr>
                <w:rFonts w:ascii="Arial" w:hAnsi="Arial" w:cs="Arial"/>
                <w:sz w:val="16"/>
                <w:szCs w:val="16"/>
              </w:rPr>
            </w:pPr>
          </w:p>
        </w:tc>
        <w:tc>
          <w:tcPr>
            <w:tcW w:w="820" w:type="dxa"/>
            <w:tcBorders>
              <w:top w:val="nil"/>
              <w:left w:val="nil"/>
              <w:bottom w:val="nil"/>
              <w:right w:val="nil"/>
            </w:tcBorders>
            <w:shd w:val="clear" w:color="auto" w:fill="auto"/>
            <w:hideMark/>
          </w:tcPr>
          <w:p w14:paraId="76C16E17" w14:textId="77777777" w:rsidR="002234AB" w:rsidRPr="002234AB" w:rsidRDefault="002234AB" w:rsidP="002234AB">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hideMark/>
          </w:tcPr>
          <w:p w14:paraId="76C16E18" w14:textId="77777777" w:rsidR="002234AB" w:rsidRPr="002234AB" w:rsidRDefault="002234AB" w:rsidP="002234AB">
            <w:pPr>
              <w:spacing w:after="0" w:line="240" w:lineRule="auto"/>
              <w:jc w:val="right"/>
              <w:rPr>
                <w:rFonts w:ascii="Times New Roman" w:hAnsi="Times New Roman"/>
              </w:rPr>
            </w:pPr>
          </w:p>
        </w:tc>
      </w:tr>
      <w:tr w:rsidR="002234AB" w:rsidRPr="002234AB" w14:paraId="76C16E20" w14:textId="77777777" w:rsidTr="007319C8">
        <w:trPr>
          <w:trHeight w:val="225"/>
        </w:trPr>
        <w:tc>
          <w:tcPr>
            <w:tcW w:w="3220" w:type="dxa"/>
            <w:tcBorders>
              <w:top w:val="nil"/>
              <w:left w:val="nil"/>
              <w:bottom w:val="nil"/>
              <w:right w:val="nil"/>
            </w:tcBorders>
            <w:shd w:val="clear" w:color="000000" w:fill="FFFFFF"/>
            <w:vAlign w:val="bottom"/>
            <w:hideMark/>
          </w:tcPr>
          <w:p w14:paraId="76C16E1A" w14:textId="77777777" w:rsidR="002234AB" w:rsidRPr="005A0812" w:rsidRDefault="002234AB" w:rsidP="005A0812">
            <w:pPr>
              <w:spacing w:after="0" w:line="240" w:lineRule="auto"/>
              <w:ind w:left="490" w:hanging="142"/>
              <w:jc w:val="left"/>
              <w:rPr>
                <w:rFonts w:ascii="Arial" w:hAnsi="Arial" w:cs="Arial"/>
                <w:color w:val="000000"/>
                <w:sz w:val="16"/>
                <w:szCs w:val="16"/>
              </w:rPr>
            </w:pPr>
            <w:r w:rsidRPr="005A0812">
              <w:rPr>
                <w:rFonts w:ascii="Arial" w:hAnsi="Arial" w:cs="Arial"/>
                <w:color w:val="000000"/>
                <w:sz w:val="16"/>
                <w:szCs w:val="16"/>
              </w:rPr>
              <w:t>Annual Appropriation</w:t>
            </w:r>
          </w:p>
        </w:tc>
        <w:tc>
          <w:tcPr>
            <w:tcW w:w="820" w:type="dxa"/>
            <w:tcBorders>
              <w:top w:val="nil"/>
              <w:left w:val="nil"/>
              <w:bottom w:val="nil"/>
              <w:right w:val="nil"/>
            </w:tcBorders>
            <w:shd w:val="clear" w:color="auto" w:fill="auto"/>
            <w:vAlign w:val="bottom"/>
            <w:hideMark/>
          </w:tcPr>
          <w:p w14:paraId="76C16E1B"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4,707 </w:t>
            </w:r>
          </w:p>
        </w:tc>
        <w:tc>
          <w:tcPr>
            <w:tcW w:w="800" w:type="dxa"/>
            <w:tcBorders>
              <w:top w:val="nil"/>
              <w:left w:val="nil"/>
              <w:bottom w:val="nil"/>
              <w:right w:val="nil"/>
            </w:tcBorders>
            <w:shd w:val="clear" w:color="000000" w:fill="E6E6E6"/>
            <w:noWrap/>
            <w:vAlign w:val="bottom"/>
            <w:hideMark/>
          </w:tcPr>
          <w:p w14:paraId="76C16E1C"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4,707 </w:t>
            </w:r>
          </w:p>
        </w:tc>
        <w:tc>
          <w:tcPr>
            <w:tcW w:w="820" w:type="dxa"/>
            <w:tcBorders>
              <w:top w:val="nil"/>
              <w:left w:val="nil"/>
              <w:bottom w:val="nil"/>
              <w:right w:val="nil"/>
            </w:tcBorders>
            <w:shd w:val="clear" w:color="auto" w:fill="auto"/>
            <w:vAlign w:val="bottom"/>
            <w:hideMark/>
          </w:tcPr>
          <w:p w14:paraId="76C16E1D"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4,737 </w:t>
            </w:r>
          </w:p>
        </w:tc>
        <w:tc>
          <w:tcPr>
            <w:tcW w:w="820" w:type="dxa"/>
            <w:tcBorders>
              <w:top w:val="nil"/>
              <w:left w:val="nil"/>
              <w:bottom w:val="nil"/>
              <w:right w:val="nil"/>
            </w:tcBorders>
            <w:shd w:val="clear" w:color="auto" w:fill="auto"/>
            <w:vAlign w:val="bottom"/>
            <w:hideMark/>
          </w:tcPr>
          <w:p w14:paraId="76C16E1E"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4,770 </w:t>
            </w:r>
          </w:p>
        </w:tc>
        <w:tc>
          <w:tcPr>
            <w:tcW w:w="820" w:type="dxa"/>
            <w:tcBorders>
              <w:top w:val="nil"/>
              <w:left w:val="nil"/>
              <w:bottom w:val="nil"/>
              <w:right w:val="nil"/>
            </w:tcBorders>
            <w:shd w:val="clear" w:color="auto" w:fill="auto"/>
            <w:vAlign w:val="bottom"/>
            <w:hideMark/>
          </w:tcPr>
          <w:p w14:paraId="76C16E1F" w14:textId="77777777" w:rsidR="002234AB" w:rsidRPr="002234AB" w:rsidRDefault="002234AB" w:rsidP="007319C8">
            <w:pPr>
              <w:spacing w:after="0" w:line="240" w:lineRule="auto"/>
              <w:jc w:val="right"/>
              <w:rPr>
                <w:rFonts w:ascii="Arial" w:hAnsi="Arial" w:cs="Arial"/>
                <w:sz w:val="16"/>
                <w:szCs w:val="16"/>
              </w:rPr>
            </w:pPr>
            <w:r w:rsidRPr="002234AB">
              <w:rPr>
                <w:rFonts w:ascii="Arial" w:hAnsi="Arial" w:cs="Arial"/>
                <w:sz w:val="16"/>
                <w:szCs w:val="16"/>
              </w:rPr>
              <w:t xml:space="preserve">4,802 </w:t>
            </w:r>
          </w:p>
        </w:tc>
      </w:tr>
      <w:tr w:rsidR="002234AB" w:rsidRPr="002234AB" w14:paraId="76C16E27" w14:textId="77777777" w:rsidTr="005A0812">
        <w:trPr>
          <w:trHeight w:val="450"/>
        </w:trPr>
        <w:tc>
          <w:tcPr>
            <w:tcW w:w="3220" w:type="dxa"/>
            <w:tcBorders>
              <w:top w:val="nil"/>
              <w:left w:val="nil"/>
              <w:bottom w:val="nil"/>
              <w:right w:val="nil"/>
            </w:tcBorders>
            <w:shd w:val="clear" w:color="000000" w:fill="FFFFFF"/>
            <w:vAlign w:val="bottom"/>
            <w:hideMark/>
          </w:tcPr>
          <w:p w14:paraId="76C16E21" w14:textId="77777777" w:rsidR="002234AB" w:rsidRPr="005A0812" w:rsidRDefault="002234AB" w:rsidP="005A0812">
            <w:pPr>
              <w:spacing w:after="0" w:line="240" w:lineRule="auto"/>
              <w:ind w:left="490" w:hanging="142"/>
              <w:jc w:val="left"/>
              <w:rPr>
                <w:rFonts w:ascii="Arial" w:hAnsi="Arial" w:cs="Arial"/>
                <w:color w:val="000000"/>
                <w:sz w:val="16"/>
                <w:szCs w:val="16"/>
              </w:rPr>
            </w:pPr>
            <w:r w:rsidRPr="005A0812">
              <w:rPr>
                <w:rFonts w:ascii="Arial" w:hAnsi="Arial" w:cs="Arial"/>
                <w:color w:val="000000"/>
                <w:sz w:val="16"/>
                <w:szCs w:val="16"/>
              </w:rPr>
              <w:t>Grants received from portfolio department</w:t>
            </w:r>
          </w:p>
        </w:tc>
        <w:tc>
          <w:tcPr>
            <w:tcW w:w="820" w:type="dxa"/>
            <w:tcBorders>
              <w:top w:val="nil"/>
              <w:left w:val="nil"/>
              <w:bottom w:val="nil"/>
              <w:right w:val="nil"/>
            </w:tcBorders>
            <w:shd w:val="clear" w:color="auto" w:fill="auto"/>
            <w:vAlign w:val="center"/>
            <w:hideMark/>
          </w:tcPr>
          <w:p w14:paraId="76C16E22"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30,696 </w:t>
            </w:r>
          </w:p>
        </w:tc>
        <w:tc>
          <w:tcPr>
            <w:tcW w:w="800" w:type="dxa"/>
            <w:tcBorders>
              <w:top w:val="nil"/>
              <w:left w:val="nil"/>
              <w:bottom w:val="nil"/>
              <w:right w:val="nil"/>
            </w:tcBorders>
            <w:shd w:val="clear" w:color="000000" w:fill="E6E6E6"/>
            <w:noWrap/>
            <w:vAlign w:val="center"/>
            <w:hideMark/>
          </w:tcPr>
          <w:p w14:paraId="76C16E23"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26,886 </w:t>
            </w:r>
          </w:p>
        </w:tc>
        <w:tc>
          <w:tcPr>
            <w:tcW w:w="820" w:type="dxa"/>
            <w:tcBorders>
              <w:top w:val="nil"/>
              <w:left w:val="nil"/>
              <w:bottom w:val="nil"/>
              <w:right w:val="nil"/>
            </w:tcBorders>
            <w:shd w:val="clear" w:color="auto" w:fill="auto"/>
            <w:vAlign w:val="center"/>
            <w:hideMark/>
          </w:tcPr>
          <w:p w14:paraId="76C16E24"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27,899 </w:t>
            </w:r>
          </w:p>
        </w:tc>
        <w:tc>
          <w:tcPr>
            <w:tcW w:w="820" w:type="dxa"/>
            <w:tcBorders>
              <w:top w:val="nil"/>
              <w:left w:val="nil"/>
              <w:bottom w:val="nil"/>
              <w:right w:val="nil"/>
            </w:tcBorders>
            <w:shd w:val="clear" w:color="auto" w:fill="auto"/>
            <w:vAlign w:val="center"/>
            <w:hideMark/>
          </w:tcPr>
          <w:p w14:paraId="76C16E25"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28,696 </w:t>
            </w:r>
          </w:p>
        </w:tc>
        <w:tc>
          <w:tcPr>
            <w:tcW w:w="820" w:type="dxa"/>
            <w:tcBorders>
              <w:top w:val="nil"/>
              <w:left w:val="nil"/>
              <w:bottom w:val="nil"/>
              <w:right w:val="nil"/>
            </w:tcBorders>
            <w:shd w:val="clear" w:color="auto" w:fill="auto"/>
            <w:vAlign w:val="center"/>
            <w:hideMark/>
          </w:tcPr>
          <w:p w14:paraId="76C16E26"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 xml:space="preserve">28,978 </w:t>
            </w:r>
          </w:p>
        </w:tc>
      </w:tr>
      <w:tr w:rsidR="002234AB" w:rsidRPr="002234AB" w14:paraId="76C16E2E" w14:textId="77777777" w:rsidTr="005A0812">
        <w:trPr>
          <w:trHeight w:val="450"/>
        </w:trPr>
        <w:tc>
          <w:tcPr>
            <w:tcW w:w="3220" w:type="dxa"/>
            <w:tcBorders>
              <w:top w:val="nil"/>
              <w:left w:val="nil"/>
              <w:bottom w:val="nil"/>
              <w:right w:val="nil"/>
            </w:tcBorders>
            <w:shd w:val="clear" w:color="000000" w:fill="FFFFFF"/>
            <w:vAlign w:val="bottom"/>
            <w:hideMark/>
          </w:tcPr>
          <w:p w14:paraId="76C16E28" w14:textId="77777777" w:rsidR="002234AB" w:rsidRPr="005A0812" w:rsidRDefault="002234AB" w:rsidP="005A0812">
            <w:pPr>
              <w:spacing w:after="0" w:line="240" w:lineRule="auto"/>
              <w:ind w:left="490" w:hanging="142"/>
              <w:jc w:val="left"/>
              <w:rPr>
                <w:rFonts w:ascii="Arial" w:hAnsi="Arial" w:cs="Arial"/>
                <w:color w:val="000000"/>
                <w:sz w:val="16"/>
                <w:szCs w:val="16"/>
              </w:rPr>
            </w:pPr>
            <w:r w:rsidRPr="005A0812">
              <w:rPr>
                <w:rFonts w:ascii="Arial" w:hAnsi="Arial" w:cs="Arial"/>
                <w:color w:val="000000"/>
                <w:sz w:val="16"/>
                <w:szCs w:val="16"/>
              </w:rPr>
              <w:t>Expenses not requiring appropriation in the Budget year</w:t>
            </w:r>
          </w:p>
        </w:tc>
        <w:tc>
          <w:tcPr>
            <w:tcW w:w="820" w:type="dxa"/>
            <w:tcBorders>
              <w:top w:val="nil"/>
              <w:left w:val="nil"/>
              <w:bottom w:val="nil"/>
              <w:right w:val="nil"/>
            </w:tcBorders>
            <w:shd w:val="clear" w:color="auto" w:fill="auto"/>
            <w:vAlign w:val="center"/>
            <w:hideMark/>
          </w:tcPr>
          <w:p w14:paraId="76C16E29"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(34,720)</w:t>
            </w:r>
          </w:p>
        </w:tc>
        <w:tc>
          <w:tcPr>
            <w:tcW w:w="800" w:type="dxa"/>
            <w:tcBorders>
              <w:top w:val="nil"/>
              <w:left w:val="nil"/>
              <w:bottom w:val="nil"/>
              <w:right w:val="nil"/>
            </w:tcBorders>
            <w:shd w:val="clear" w:color="000000" w:fill="E6E6E6"/>
            <w:noWrap/>
            <w:vAlign w:val="center"/>
            <w:hideMark/>
          </w:tcPr>
          <w:p w14:paraId="76C16E2A"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(28,428)</w:t>
            </w:r>
          </w:p>
        </w:tc>
        <w:tc>
          <w:tcPr>
            <w:tcW w:w="820" w:type="dxa"/>
            <w:tcBorders>
              <w:top w:val="nil"/>
              <w:left w:val="nil"/>
              <w:bottom w:val="nil"/>
              <w:right w:val="nil"/>
            </w:tcBorders>
            <w:shd w:val="clear" w:color="auto" w:fill="auto"/>
            <w:vAlign w:val="center"/>
            <w:hideMark/>
          </w:tcPr>
          <w:p w14:paraId="76C16E2B"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(28,853)</w:t>
            </w:r>
          </w:p>
        </w:tc>
        <w:tc>
          <w:tcPr>
            <w:tcW w:w="820" w:type="dxa"/>
            <w:tcBorders>
              <w:top w:val="nil"/>
              <w:left w:val="nil"/>
              <w:bottom w:val="nil"/>
              <w:right w:val="nil"/>
            </w:tcBorders>
            <w:shd w:val="clear" w:color="auto" w:fill="auto"/>
            <w:vAlign w:val="center"/>
            <w:hideMark/>
          </w:tcPr>
          <w:p w14:paraId="76C16E2C"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(28,724)</w:t>
            </w:r>
          </w:p>
        </w:tc>
        <w:tc>
          <w:tcPr>
            <w:tcW w:w="820" w:type="dxa"/>
            <w:tcBorders>
              <w:top w:val="nil"/>
              <w:left w:val="nil"/>
              <w:bottom w:val="nil"/>
              <w:right w:val="nil"/>
            </w:tcBorders>
            <w:shd w:val="clear" w:color="auto" w:fill="auto"/>
            <w:vAlign w:val="center"/>
            <w:hideMark/>
          </w:tcPr>
          <w:p w14:paraId="76C16E2D" w14:textId="77777777" w:rsidR="002234AB" w:rsidRPr="002234AB" w:rsidRDefault="002234AB" w:rsidP="00E76B04">
            <w:pPr>
              <w:spacing w:after="0" w:line="240" w:lineRule="auto"/>
              <w:jc w:val="right"/>
              <w:rPr>
                <w:rFonts w:ascii="Arial" w:hAnsi="Arial" w:cs="Arial"/>
                <w:sz w:val="16"/>
                <w:szCs w:val="16"/>
              </w:rPr>
            </w:pPr>
            <w:r w:rsidRPr="002234AB">
              <w:rPr>
                <w:rFonts w:ascii="Arial" w:hAnsi="Arial" w:cs="Arial"/>
                <w:sz w:val="16"/>
                <w:szCs w:val="16"/>
              </w:rPr>
              <w:t>(28,033)</w:t>
            </w:r>
          </w:p>
        </w:tc>
      </w:tr>
      <w:tr w:rsidR="002234AB" w:rsidRPr="002234AB" w14:paraId="76C16E35" w14:textId="77777777" w:rsidTr="00693FFB">
        <w:trPr>
          <w:trHeight w:val="225"/>
        </w:trPr>
        <w:tc>
          <w:tcPr>
            <w:tcW w:w="3220" w:type="dxa"/>
            <w:tcBorders>
              <w:top w:val="nil"/>
              <w:left w:val="nil"/>
              <w:bottom w:val="nil"/>
              <w:right w:val="nil"/>
            </w:tcBorders>
            <w:shd w:val="clear" w:color="auto" w:fill="auto"/>
            <w:noWrap/>
            <w:vAlign w:val="bottom"/>
            <w:hideMark/>
          </w:tcPr>
          <w:p w14:paraId="76C16E2F" w14:textId="77777777" w:rsidR="002234AB" w:rsidRPr="002234AB" w:rsidRDefault="002234AB" w:rsidP="002234AB">
            <w:pPr>
              <w:spacing w:after="0" w:line="240" w:lineRule="auto"/>
              <w:ind w:firstLineChars="100" w:firstLine="160"/>
              <w:jc w:val="left"/>
              <w:rPr>
                <w:rFonts w:ascii="Arial" w:hAnsi="Arial" w:cs="Arial"/>
                <w:sz w:val="16"/>
                <w:szCs w:val="16"/>
              </w:rPr>
            </w:pPr>
            <w:r w:rsidRPr="002234AB">
              <w:rPr>
                <w:rFonts w:ascii="Arial" w:hAnsi="Arial" w:cs="Arial"/>
                <w:sz w:val="16"/>
                <w:szCs w:val="16"/>
              </w:rPr>
              <w:t>Total component 1.1.6 expenses</w:t>
            </w:r>
          </w:p>
        </w:tc>
        <w:tc>
          <w:tcPr>
            <w:tcW w:w="820" w:type="dxa"/>
            <w:tcBorders>
              <w:top w:val="single" w:sz="4" w:space="0" w:color="auto"/>
              <w:left w:val="nil"/>
              <w:bottom w:val="single" w:sz="4" w:space="0" w:color="auto"/>
              <w:right w:val="nil"/>
            </w:tcBorders>
            <w:shd w:val="clear" w:color="auto" w:fill="auto"/>
            <w:noWrap/>
            <w:vAlign w:val="bottom"/>
            <w:hideMark/>
          </w:tcPr>
          <w:p w14:paraId="76C16E30"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683 </w:t>
            </w:r>
          </w:p>
        </w:tc>
        <w:tc>
          <w:tcPr>
            <w:tcW w:w="800" w:type="dxa"/>
            <w:tcBorders>
              <w:top w:val="single" w:sz="4" w:space="0" w:color="auto"/>
              <w:left w:val="nil"/>
              <w:bottom w:val="single" w:sz="4" w:space="0" w:color="auto"/>
              <w:right w:val="nil"/>
            </w:tcBorders>
            <w:shd w:val="clear" w:color="000000" w:fill="E6E6E6"/>
            <w:noWrap/>
            <w:vAlign w:val="bottom"/>
            <w:hideMark/>
          </w:tcPr>
          <w:p w14:paraId="76C16E31"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3,165 </w:t>
            </w:r>
          </w:p>
        </w:tc>
        <w:tc>
          <w:tcPr>
            <w:tcW w:w="820" w:type="dxa"/>
            <w:tcBorders>
              <w:top w:val="single" w:sz="4" w:space="0" w:color="auto"/>
              <w:left w:val="nil"/>
              <w:bottom w:val="single" w:sz="4" w:space="0" w:color="auto"/>
              <w:right w:val="nil"/>
            </w:tcBorders>
            <w:shd w:val="clear" w:color="auto" w:fill="auto"/>
            <w:noWrap/>
            <w:vAlign w:val="bottom"/>
            <w:hideMark/>
          </w:tcPr>
          <w:p w14:paraId="76C16E32"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3,783 </w:t>
            </w:r>
          </w:p>
        </w:tc>
        <w:tc>
          <w:tcPr>
            <w:tcW w:w="820" w:type="dxa"/>
            <w:tcBorders>
              <w:top w:val="single" w:sz="4" w:space="0" w:color="auto"/>
              <w:left w:val="nil"/>
              <w:bottom w:val="single" w:sz="4" w:space="0" w:color="auto"/>
              <w:right w:val="nil"/>
            </w:tcBorders>
            <w:shd w:val="clear" w:color="auto" w:fill="auto"/>
            <w:noWrap/>
            <w:vAlign w:val="bottom"/>
            <w:hideMark/>
          </w:tcPr>
          <w:p w14:paraId="76C16E33"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4,742 </w:t>
            </w:r>
          </w:p>
        </w:tc>
        <w:tc>
          <w:tcPr>
            <w:tcW w:w="820" w:type="dxa"/>
            <w:tcBorders>
              <w:top w:val="single" w:sz="4" w:space="0" w:color="auto"/>
              <w:left w:val="nil"/>
              <w:bottom w:val="single" w:sz="4" w:space="0" w:color="auto"/>
              <w:right w:val="nil"/>
            </w:tcBorders>
            <w:shd w:val="clear" w:color="auto" w:fill="auto"/>
            <w:noWrap/>
            <w:vAlign w:val="bottom"/>
            <w:hideMark/>
          </w:tcPr>
          <w:p w14:paraId="76C16E34"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5,747 </w:t>
            </w:r>
          </w:p>
        </w:tc>
      </w:tr>
      <w:tr w:rsidR="002234AB" w:rsidRPr="002234AB" w14:paraId="76C16E3C" w14:textId="77777777" w:rsidTr="00693FFB">
        <w:trPr>
          <w:trHeight w:val="225"/>
        </w:trPr>
        <w:tc>
          <w:tcPr>
            <w:tcW w:w="3220" w:type="dxa"/>
            <w:tcBorders>
              <w:top w:val="single" w:sz="4" w:space="0" w:color="auto"/>
              <w:left w:val="nil"/>
              <w:bottom w:val="single" w:sz="4" w:space="0" w:color="auto"/>
              <w:right w:val="nil"/>
            </w:tcBorders>
            <w:shd w:val="clear" w:color="auto" w:fill="auto"/>
            <w:noWrap/>
            <w:vAlign w:val="bottom"/>
            <w:hideMark/>
          </w:tcPr>
          <w:p w14:paraId="76C16E36" w14:textId="77777777" w:rsidR="002234AB" w:rsidRPr="002234AB" w:rsidRDefault="002234AB" w:rsidP="002234AB">
            <w:pPr>
              <w:spacing w:after="0" w:line="240" w:lineRule="auto"/>
              <w:jc w:val="left"/>
              <w:rPr>
                <w:rFonts w:ascii="Arial" w:hAnsi="Arial" w:cs="Arial"/>
                <w:b/>
                <w:bCs/>
                <w:sz w:val="16"/>
                <w:szCs w:val="16"/>
              </w:rPr>
            </w:pPr>
            <w:r w:rsidRPr="002234AB">
              <w:rPr>
                <w:rFonts w:ascii="Arial" w:hAnsi="Arial" w:cs="Arial"/>
                <w:b/>
                <w:bCs/>
                <w:sz w:val="16"/>
                <w:szCs w:val="16"/>
              </w:rPr>
              <w:t xml:space="preserve">Total program expenses </w:t>
            </w:r>
          </w:p>
        </w:tc>
        <w:tc>
          <w:tcPr>
            <w:tcW w:w="820" w:type="dxa"/>
            <w:tcBorders>
              <w:top w:val="nil"/>
              <w:left w:val="nil"/>
              <w:bottom w:val="single" w:sz="4" w:space="0" w:color="auto"/>
              <w:right w:val="nil"/>
            </w:tcBorders>
            <w:shd w:val="clear" w:color="auto" w:fill="auto"/>
            <w:noWrap/>
            <w:vAlign w:val="bottom"/>
            <w:hideMark/>
          </w:tcPr>
          <w:p w14:paraId="76C16E37"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176,270 </w:t>
            </w:r>
          </w:p>
        </w:tc>
        <w:tc>
          <w:tcPr>
            <w:tcW w:w="800" w:type="dxa"/>
            <w:tcBorders>
              <w:top w:val="nil"/>
              <w:left w:val="nil"/>
              <w:bottom w:val="single" w:sz="4" w:space="0" w:color="auto"/>
              <w:right w:val="nil"/>
            </w:tcBorders>
            <w:shd w:val="clear" w:color="000000" w:fill="E6E6E6"/>
            <w:noWrap/>
            <w:vAlign w:val="bottom"/>
            <w:hideMark/>
          </w:tcPr>
          <w:p w14:paraId="76C16E38"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267,439 </w:t>
            </w:r>
          </w:p>
        </w:tc>
        <w:tc>
          <w:tcPr>
            <w:tcW w:w="820" w:type="dxa"/>
            <w:tcBorders>
              <w:top w:val="nil"/>
              <w:left w:val="nil"/>
              <w:bottom w:val="single" w:sz="4" w:space="0" w:color="auto"/>
              <w:right w:val="nil"/>
            </w:tcBorders>
            <w:shd w:val="clear" w:color="auto" w:fill="auto"/>
            <w:noWrap/>
            <w:vAlign w:val="bottom"/>
            <w:hideMark/>
          </w:tcPr>
          <w:p w14:paraId="76C16E39"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277,619 </w:t>
            </w:r>
          </w:p>
        </w:tc>
        <w:tc>
          <w:tcPr>
            <w:tcW w:w="820" w:type="dxa"/>
            <w:tcBorders>
              <w:top w:val="nil"/>
              <w:left w:val="nil"/>
              <w:bottom w:val="single" w:sz="4" w:space="0" w:color="auto"/>
              <w:right w:val="nil"/>
            </w:tcBorders>
            <w:shd w:val="clear" w:color="auto" w:fill="auto"/>
            <w:noWrap/>
            <w:vAlign w:val="bottom"/>
            <w:hideMark/>
          </w:tcPr>
          <w:p w14:paraId="76C16E3A"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287,286 </w:t>
            </w:r>
          </w:p>
        </w:tc>
        <w:tc>
          <w:tcPr>
            <w:tcW w:w="820" w:type="dxa"/>
            <w:tcBorders>
              <w:top w:val="nil"/>
              <w:left w:val="nil"/>
              <w:bottom w:val="single" w:sz="4" w:space="0" w:color="auto"/>
              <w:right w:val="nil"/>
            </w:tcBorders>
            <w:shd w:val="clear" w:color="auto" w:fill="auto"/>
            <w:noWrap/>
            <w:vAlign w:val="bottom"/>
            <w:hideMark/>
          </w:tcPr>
          <w:p w14:paraId="76C16E3B" w14:textId="77777777" w:rsidR="002234AB" w:rsidRPr="002234AB" w:rsidRDefault="002234AB" w:rsidP="00E76B04">
            <w:pPr>
              <w:spacing w:after="0" w:line="240" w:lineRule="auto"/>
              <w:jc w:val="right"/>
              <w:rPr>
                <w:rFonts w:ascii="Arial" w:hAnsi="Arial" w:cs="Arial"/>
                <w:b/>
                <w:bCs/>
                <w:sz w:val="16"/>
                <w:szCs w:val="16"/>
              </w:rPr>
            </w:pPr>
            <w:r w:rsidRPr="002234AB">
              <w:rPr>
                <w:rFonts w:ascii="Arial" w:hAnsi="Arial" w:cs="Arial"/>
                <w:b/>
                <w:bCs/>
                <w:sz w:val="16"/>
                <w:szCs w:val="16"/>
              </w:rPr>
              <w:t xml:space="preserve">300,013 </w:t>
            </w:r>
          </w:p>
        </w:tc>
      </w:tr>
    </w:tbl>
    <w:p w14:paraId="76C16E3D" w14:textId="77777777" w:rsidR="00DF0134" w:rsidRPr="002234AB" w:rsidRDefault="002234AB" w:rsidP="00650FC2">
      <w:pPr>
        <w:pStyle w:val="TableHeading"/>
        <w:spacing w:before="120"/>
        <w:rPr>
          <w:lang w:val="en-AU"/>
        </w:rPr>
      </w:pPr>
      <w:r w:rsidRPr="002234AB">
        <w:rPr>
          <w:b w:val="0"/>
          <w:sz w:val="16"/>
        </w:rPr>
        <w:t>Note: Departmental appropriation splits and totals are indicative estimates and may change in the course of the budget year as government priorities change.</w:t>
      </w:r>
      <w:r w:rsidR="00DF0134">
        <w:rPr>
          <w:highlight w:val="yellow"/>
          <w:lang w:val="en-US"/>
        </w:rPr>
        <w:br w:type="page"/>
      </w:r>
      <w:r w:rsidR="00DF0134" w:rsidRPr="00F71634">
        <w:lastRenderedPageBreak/>
        <w:t>Table 2.</w:t>
      </w:r>
      <w:r>
        <w:rPr>
          <w:lang w:val="en-AU"/>
        </w:rPr>
        <w:t>1</w:t>
      </w:r>
      <w:r w:rsidR="00DF0134" w:rsidRPr="00F71634">
        <w:t xml:space="preserve">.3: Performance criteria for Outcome </w:t>
      </w:r>
      <w:r>
        <w:rPr>
          <w:lang w:val="en-AU"/>
        </w:rPr>
        <w:t>1</w:t>
      </w:r>
    </w:p>
    <w:p w14:paraId="76C16E3E" w14:textId="77777777" w:rsidR="00DF0134" w:rsidRPr="00B166C6" w:rsidRDefault="00DF0134" w:rsidP="00DF0134">
      <w:r w:rsidRPr="00B166C6">
        <w:t>Table 2.</w:t>
      </w:r>
      <w:r w:rsidR="00AD7630" w:rsidRPr="00AD7630">
        <w:t>1</w:t>
      </w:r>
      <w:r w:rsidRPr="00B166C6">
        <w:t xml:space="preserve">.3 below details the performance criteria for each program associated with Outcome </w:t>
      </w:r>
      <w:r w:rsidR="002234AB">
        <w:t>1</w:t>
      </w:r>
      <w:r w:rsidRPr="00B166C6">
        <w:t xml:space="preserve">. It also summarises how each program is delivered and where </w:t>
      </w:r>
      <w:r w:rsidR="009A4174">
        <w:t>2019–20</w:t>
      </w:r>
      <w:r w:rsidRPr="00B166C6">
        <w:t xml:space="preserve">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DF0134" w:rsidRPr="00F71634" w14:paraId="76C16E40" w14:textId="77777777" w:rsidTr="003E1107">
        <w:trPr>
          <w:tblHeader/>
        </w:trPr>
        <w:tc>
          <w:tcPr>
            <w:tcW w:w="7741" w:type="dxa"/>
            <w:gridSpan w:val="3"/>
            <w:shd w:val="clear" w:color="auto" w:fill="F2F2F2"/>
          </w:tcPr>
          <w:p w14:paraId="76C16E3F" w14:textId="72234233" w:rsidR="00DF0134" w:rsidRPr="006906E4" w:rsidRDefault="002234AB" w:rsidP="003E1107">
            <w:pPr>
              <w:pStyle w:val="TableColumnHeadingLeft"/>
            </w:pPr>
            <w:r>
              <w:t>Outcome 1</w:t>
            </w:r>
            <w:r w:rsidR="00B403B5">
              <w:t xml:space="preserve"> </w:t>
            </w:r>
            <w:r>
              <w:t>— Support participation and productivity through healthy and safe workplaces that minimise the impact of harm in the workplaces covered by Comcare.</w:t>
            </w:r>
          </w:p>
        </w:tc>
      </w:tr>
      <w:tr w:rsidR="00DF0134" w:rsidRPr="00F71634" w14:paraId="76C16E43" w14:textId="77777777" w:rsidTr="003E1107">
        <w:trPr>
          <w:tblHeader/>
        </w:trPr>
        <w:tc>
          <w:tcPr>
            <w:tcW w:w="7741" w:type="dxa"/>
            <w:gridSpan w:val="3"/>
            <w:shd w:val="clear" w:color="auto" w:fill="F2F2F2"/>
          </w:tcPr>
          <w:p w14:paraId="76C16E41" w14:textId="697F8E57" w:rsidR="002234AB" w:rsidRPr="0028314B" w:rsidRDefault="002234AB" w:rsidP="002234AB">
            <w:pPr>
              <w:tabs>
                <w:tab w:val="left" w:pos="709"/>
              </w:tabs>
              <w:spacing w:before="60" w:after="60" w:line="240" w:lineRule="auto"/>
              <w:jc w:val="left"/>
              <w:rPr>
                <w:rFonts w:ascii="Arial" w:hAnsi="Arial" w:cs="Arial"/>
                <w:b/>
                <w:color w:val="000000"/>
                <w:sz w:val="16"/>
                <w:szCs w:val="16"/>
              </w:rPr>
            </w:pPr>
            <w:r w:rsidRPr="00BC4EA5">
              <w:rPr>
                <w:rFonts w:ascii="Arial" w:hAnsi="Arial" w:cs="Arial"/>
                <w:b/>
                <w:sz w:val="16"/>
                <w:szCs w:val="16"/>
              </w:rPr>
              <w:t xml:space="preserve">Program </w:t>
            </w:r>
            <w:r w:rsidRPr="005F6F33">
              <w:rPr>
                <w:rFonts w:ascii="Arial" w:hAnsi="Arial" w:cs="Arial"/>
                <w:b/>
                <w:sz w:val="16"/>
                <w:szCs w:val="16"/>
              </w:rPr>
              <w:t>Component</w:t>
            </w:r>
            <w:r w:rsidRPr="00BC4EA5">
              <w:rPr>
                <w:rFonts w:ascii="Arial" w:hAnsi="Arial" w:cs="Arial"/>
                <w:b/>
                <w:sz w:val="16"/>
                <w:szCs w:val="16"/>
              </w:rPr>
              <w:t xml:space="preserve"> 1.1</w:t>
            </w:r>
            <w:r w:rsidR="00B403B5">
              <w:rPr>
                <w:rFonts w:ascii="Arial" w:hAnsi="Arial" w:cs="Arial"/>
                <w:b/>
                <w:sz w:val="16"/>
                <w:szCs w:val="16"/>
              </w:rPr>
              <w:t xml:space="preserve"> </w:t>
            </w:r>
            <w:r w:rsidRPr="00B403B5">
              <w:rPr>
                <w:rFonts w:ascii="Arial" w:hAnsi="Arial" w:cs="Arial"/>
                <w:b/>
                <w:sz w:val="16"/>
                <w:szCs w:val="16"/>
              </w:rPr>
              <w:t>—</w:t>
            </w:r>
            <w:r w:rsidR="00B403B5" w:rsidRPr="00B403B5">
              <w:rPr>
                <w:rFonts w:ascii="Arial" w:hAnsi="Arial" w:cs="Arial"/>
                <w:b/>
                <w:sz w:val="16"/>
                <w:szCs w:val="16"/>
              </w:rPr>
              <w:t xml:space="preserve"> </w:t>
            </w:r>
            <w:r w:rsidRPr="0028314B">
              <w:rPr>
                <w:rFonts w:ascii="Arial" w:hAnsi="Arial" w:cs="Arial"/>
                <w:b/>
                <w:color w:val="000000"/>
                <w:sz w:val="16"/>
                <w:szCs w:val="16"/>
              </w:rPr>
              <w:t xml:space="preserve">Work Health, </w:t>
            </w:r>
            <w:r>
              <w:rPr>
                <w:rFonts w:ascii="Arial" w:hAnsi="Arial" w:cs="Arial"/>
                <w:b/>
                <w:color w:val="000000"/>
                <w:sz w:val="16"/>
                <w:szCs w:val="16"/>
              </w:rPr>
              <w:t>S</w:t>
            </w:r>
            <w:r w:rsidRPr="0028314B">
              <w:rPr>
                <w:rFonts w:ascii="Arial" w:hAnsi="Arial" w:cs="Arial"/>
                <w:b/>
                <w:color w:val="000000"/>
                <w:sz w:val="16"/>
                <w:szCs w:val="16"/>
              </w:rPr>
              <w:t>afety and Rehabilitation Regulation</w:t>
            </w:r>
          </w:p>
          <w:p w14:paraId="76C16E42" w14:textId="77777777" w:rsidR="00DF0134" w:rsidRPr="006906E4" w:rsidRDefault="002234AB" w:rsidP="002234AB">
            <w:pPr>
              <w:tabs>
                <w:tab w:val="left" w:pos="709"/>
              </w:tabs>
              <w:spacing w:before="60" w:after="60" w:line="240" w:lineRule="auto"/>
              <w:jc w:val="left"/>
              <w:rPr>
                <w:rFonts w:ascii="Arial" w:hAnsi="Arial" w:cs="Arial"/>
                <w:sz w:val="16"/>
                <w:szCs w:val="16"/>
              </w:rPr>
            </w:pPr>
            <w:r>
              <w:rPr>
                <w:rFonts w:ascii="Arial" w:hAnsi="Arial" w:cs="Arial"/>
                <w:color w:val="000000"/>
                <w:sz w:val="16"/>
                <w:szCs w:val="16"/>
              </w:rPr>
              <w:t>A</w:t>
            </w:r>
            <w:r w:rsidRPr="0028314B">
              <w:rPr>
                <w:rFonts w:ascii="Arial" w:hAnsi="Arial" w:cs="Arial"/>
                <w:color w:val="000000"/>
                <w:sz w:val="16"/>
                <w:szCs w:val="16"/>
              </w:rPr>
              <w:t xml:space="preserve">chieving </w:t>
            </w:r>
            <w:r>
              <w:rPr>
                <w:rFonts w:ascii="Arial" w:hAnsi="Arial" w:cs="Arial"/>
                <w:color w:val="000000"/>
                <w:sz w:val="16"/>
                <w:szCs w:val="16"/>
              </w:rPr>
              <w:t xml:space="preserve">safer and healthier workplaces through promoting continuous improvements in work health, safety and rehabilitation practices and monitoring </w:t>
            </w:r>
            <w:r w:rsidRPr="0028314B">
              <w:rPr>
                <w:rFonts w:ascii="Arial" w:hAnsi="Arial" w:cs="Arial"/>
                <w:color w:val="000000"/>
                <w:sz w:val="16"/>
                <w:szCs w:val="16"/>
              </w:rPr>
              <w:t>compliance with the SRC Act</w:t>
            </w:r>
            <w:r>
              <w:rPr>
                <w:rFonts w:ascii="Arial" w:hAnsi="Arial" w:cs="Arial"/>
                <w:color w:val="000000"/>
                <w:sz w:val="16"/>
                <w:szCs w:val="16"/>
              </w:rPr>
              <w:t xml:space="preserve">, </w:t>
            </w:r>
            <w:r w:rsidRPr="0028314B">
              <w:rPr>
                <w:rFonts w:ascii="Arial" w:hAnsi="Arial" w:cs="Arial"/>
                <w:color w:val="000000"/>
                <w:sz w:val="16"/>
                <w:szCs w:val="16"/>
              </w:rPr>
              <w:t>WHS Act and regulations.</w:t>
            </w:r>
          </w:p>
        </w:tc>
      </w:tr>
      <w:tr w:rsidR="002234AB" w:rsidRPr="00F71634" w14:paraId="76C16E46" w14:textId="77777777" w:rsidTr="003E1107">
        <w:tc>
          <w:tcPr>
            <w:tcW w:w="1701" w:type="dxa"/>
            <w:tcBorders>
              <w:bottom w:val="double" w:sz="4" w:space="0" w:color="auto"/>
            </w:tcBorders>
          </w:tcPr>
          <w:p w14:paraId="76C16E44" w14:textId="77777777" w:rsidR="002234AB" w:rsidRPr="006906E4" w:rsidRDefault="002234AB"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Purposes</w:t>
            </w:r>
          </w:p>
        </w:tc>
        <w:tc>
          <w:tcPr>
            <w:tcW w:w="6040" w:type="dxa"/>
            <w:gridSpan w:val="2"/>
            <w:tcBorders>
              <w:bottom w:val="double" w:sz="4" w:space="0" w:color="auto"/>
            </w:tcBorders>
          </w:tcPr>
          <w:p w14:paraId="76C16E45" w14:textId="77777777" w:rsidR="002234AB" w:rsidRPr="006906E4" w:rsidRDefault="002234AB" w:rsidP="003E1107">
            <w:pPr>
              <w:tabs>
                <w:tab w:val="left" w:pos="709"/>
              </w:tabs>
              <w:spacing w:before="60" w:after="60" w:line="240" w:lineRule="auto"/>
              <w:jc w:val="left"/>
              <w:rPr>
                <w:rFonts w:ascii="Arial" w:hAnsi="Arial" w:cs="Arial"/>
                <w:i/>
                <w:color w:val="FF0000"/>
                <w:sz w:val="16"/>
                <w:szCs w:val="16"/>
              </w:rPr>
            </w:pPr>
            <w:r w:rsidRPr="00821431">
              <w:rPr>
                <w:rFonts w:ascii="Arial" w:hAnsi="Arial" w:cs="Arial"/>
                <w:i/>
                <w:color w:val="000000"/>
                <w:sz w:val="16"/>
                <w:szCs w:val="16"/>
              </w:rPr>
              <w:t xml:space="preserve">Effective </w:t>
            </w:r>
            <w:r>
              <w:rPr>
                <w:rFonts w:ascii="Arial" w:hAnsi="Arial" w:cs="Arial"/>
                <w:i/>
                <w:color w:val="000000"/>
                <w:sz w:val="16"/>
                <w:szCs w:val="16"/>
              </w:rPr>
              <w:t>n</w:t>
            </w:r>
            <w:r w:rsidRPr="00821431">
              <w:rPr>
                <w:rFonts w:ascii="Arial" w:hAnsi="Arial" w:cs="Arial"/>
                <w:i/>
                <w:color w:val="000000"/>
                <w:sz w:val="16"/>
                <w:szCs w:val="16"/>
              </w:rPr>
              <w:t xml:space="preserve">ational </w:t>
            </w:r>
            <w:r>
              <w:rPr>
                <w:rFonts w:ascii="Arial" w:hAnsi="Arial" w:cs="Arial"/>
                <w:i/>
                <w:color w:val="000000"/>
                <w:sz w:val="16"/>
                <w:szCs w:val="16"/>
              </w:rPr>
              <w:t>r</w:t>
            </w:r>
            <w:r w:rsidRPr="00821431">
              <w:rPr>
                <w:rFonts w:ascii="Arial" w:hAnsi="Arial" w:cs="Arial"/>
                <w:i/>
                <w:color w:val="000000"/>
                <w:sz w:val="16"/>
                <w:szCs w:val="16"/>
              </w:rPr>
              <w:t>egulator</w:t>
            </w:r>
            <w:r>
              <w:rPr>
                <w:rFonts w:ascii="Arial" w:hAnsi="Arial" w:cs="Arial"/>
                <w:i/>
                <w:color w:val="000000"/>
                <w:sz w:val="16"/>
                <w:szCs w:val="16"/>
              </w:rPr>
              <w:t>—</w:t>
            </w:r>
            <w:r w:rsidRPr="006773A2">
              <w:rPr>
                <w:rFonts w:ascii="Arial" w:hAnsi="Arial" w:cs="Arial"/>
                <w:color w:val="000000"/>
                <w:sz w:val="16"/>
                <w:szCs w:val="16"/>
              </w:rPr>
              <w:t>Increasing duty holders’ levels of compliance and commitment to best practice through regulatory oversight of work health and safety and workplace rehabilitation</w:t>
            </w:r>
          </w:p>
        </w:tc>
      </w:tr>
      <w:tr w:rsidR="00DF0134" w:rsidRPr="00F71634" w14:paraId="76C16E4B" w14:textId="77777777" w:rsidTr="003E1107">
        <w:tc>
          <w:tcPr>
            <w:tcW w:w="1701" w:type="dxa"/>
            <w:tcBorders>
              <w:bottom w:val="double" w:sz="4" w:space="0" w:color="auto"/>
            </w:tcBorders>
          </w:tcPr>
          <w:p w14:paraId="76C16E47"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gridSpan w:val="2"/>
            <w:tcBorders>
              <w:bottom w:val="double" w:sz="4" w:space="0" w:color="auto"/>
            </w:tcBorders>
          </w:tcPr>
          <w:p w14:paraId="76C16E48" w14:textId="77777777" w:rsidR="002234AB" w:rsidRPr="007E61F6" w:rsidRDefault="002234AB" w:rsidP="00053DB9">
            <w:pPr>
              <w:pStyle w:val="TableTextBullet"/>
              <w:contextualSpacing/>
              <w:rPr>
                <w:rFonts w:cs="Arial"/>
                <w:color w:val="000000"/>
                <w:sz w:val="16"/>
                <w:szCs w:val="16"/>
              </w:rPr>
            </w:pPr>
            <w:r w:rsidRPr="00053DB9">
              <w:rPr>
                <w:rFonts w:cs="Arial"/>
                <w:sz w:val="16"/>
                <w:szCs w:val="16"/>
              </w:rPr>
              <w:t xml:space="preserve">Increase the proportion of proactive regulatory activities to </w:t>
            </w:r>
            <w:r>
              <w:rPr>
                <w:rFonts w:cs="Arial"/>
                <w:color w:val="000000"/>
                <w:sz w:val="16"/>
                <w:szCs w:val="16"/>
              </w:rPr>
              <w:t>increase duty holders’ levels of compliance and commitment to best practice</w:t>
            </w:r>
            <w:r w:rsidRPr="007E61F6">
              <w:rPr>
                <w:rFonts w:cs="Arial"/>
                <w:color w:val="000000"/>
                <w:sz w:val="16"/>
                <w:szCs w:val="16"/>
              </w:rPr>
              <w:t xml:space="preserve">. </w:t>
            </w:r>
          </w:p>
          <w:p w14:paraId="76C16E49" w14:textId="77777777" w:rsidR="002234AB" w:rsidRDefault="002234AB" w:rsidP="00053DB9">
            <w:pPr>
              <w:pStyle w:val="TableTextBullet"/>
              <w:contextualSpacing/>
              <w:rPr>
                <w:rFonts w:cs="Arial"/>
                <w:color w:val="000000"/>
                <w:sz w:val="16"/>
                <w:szCs w:val="16"/>
              </w:rPr>
            </w:pPr>
            <w:r w:rsidRPr="00053DB9">
              <w:rPr>
                <w:rFonts w:cs="Arial"/>
                <w:sz w:val="16"/>
                <w:szCs w:val="16"/>
              </w:rPr>
              <w:t xml:space="preserve">Drive national work health and safety compliance using a targeted, risk-based approach. </w:t>
            </w:r>
          </w:p>
          <w:p w14:paraId="76C16E4A" w14:textId="77777777" w:rsidR="00DF0134" w:rsidRPr="002234AB" w:rsidRDefault="002234AB" w:rsidP="00053DB9">
            <w:pPr>
              <w:pStyle w:val="TableTextBullet"/>
              <w:contextualSpacing/>
              <w:rPr>
                <w:rFonts w:cs="Arial"/>
                <w:iCs/>
                <w:color w:val="000000"/>
                <w:sz w:val="16"/>
                <w:szCs w:val="16"/>
              </w:rPr>
            </w:pPr>
            <w:r w:rsidRPr="00053DB9">
              <w:rPr>
                <w:rFonts w:cs="Arial"/>
                <w:sz w:val="16"/>
                <w:szCs w:val="16"/>
              </w:rPr>
              <w:t>Deliver timely and effective regulatory activities by applying the Compliance and Enforcement framework.</w:t>
            </w:r>
          </w:p>
        </w:tc>
      </w:tr>
      <w:tr w:rsidR="00DF0134" w:rsidRPr="00F71634" w14:paraId="76C16E4D" w14:textId="77777777" w:rsidTr="003E1107">
        <w:tc>
          <w:tcPr>
            <w:tcW w:w="7741" w:type="dxa"/>
            <w:gridSpan w:val="3"/>
            <w:tcBorders>
              <w:top w:val="double" w:sz="4" w:space="0" w:color="auto"/>
              <w:bottom w:val="double" w:sz="4" w:space="0" w:color="auto"/>
            </w:tcBorders>
          </w:tcPr>
          <w:p w14:paraId="76C16E4C"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DF0134" w:rsidRPr="00F71634" w14:paraId="76C16E51" w14:textId="77777777" w:rsidTr="003E1107">
        <w:tc>
          <w:tcPr>
            <w:tcW w:w="1701" w:type="dxa"/>
            <w:tcBorders>
              <w:top w:val="double" w:sz="4" w:space="0" w:color="auto"/>
              <w:bottom w:val="single" w:sz="4" w:space="0" w:color="auto"/>
              <w:right w:val="single" w:sz="4" w:space="0" w:color="auto"/>
            </w:tcBorders>
          </w:tcPr>
          <w:p w14:paraId="76C16E4E"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76C16E4F"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(a)</w:t>
            </w:r>
          </w:p>
        </w:tc>
        <w:tc>
          <w:tcPr>
            <w:tcW w:w="2565" w:type="dxa"/>
            <w:tcBorders>
              <w:top w:val="double" w:sz="4" w:space="0" w:color="auto"/>
              <w:left w:val="single" w:sz="4" w:space="0" w:color="auto"/>
              <w:bottom w:val="single" w:sz="4" w:space="0" w:color="auto"/>
            </w:tcBorders>
          </w:tcPr>
          <w:p w14:paraId="76C16E50"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2234AB" w:rsidRPr="00F71634" w14:paraId="76C16E55" w14:textId="77777777" w:rsidTr="002234AB">
        <w:trPr>
          <w:trHeight w:val="60"/>
        </w:trPr>
        <w:tc>
          <w:tcPr>
            <w:tcW w:w="1701" w:type="dxa"/>
            <w:vMerge w:val="restart"/>
            <w:tcBorders>
              <w:top w:val="single" w:sz="4" w:space="0" w:color="auto"/>
              <w:right w:val="single" w:sz="4" w:space="0" w:color="auto"/>
            </w:tcBorders>
          </w:tcPr>
          <w:p w14:paraId="76C16E52" w14:textId="77777777" w:rsidR="002234AB" w:rsidRPr="006906E4" w:rsidRDefault="009A4174" w:rsidP="003E1107">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2018–19 </w:t>
            </w:r>
          </w:p>
        </w:tc>
        <w:tc>
          <w:tcPr>
            <w:tcW w:w="3475" w:type="dxa"/>
            <w:tcBorders>
              <w:top w:val="single" w:sz="4" w:space="0" w:color="auto"/>
              <w:left w:val="single" w:sz="4" w:space="0" w:color="auto"/>
              <w:bottom w:val="dotted" w:sz="4" w:space="0" w:color="auto"/>
              <w:right w:val="single" w:sz="4" w:space="0" w:color="auto"/>
            </w:tcBorders>
          </w:tcPr>
          <w:p w14:paraId="76C16E53" w14:textId="77777777" w:rsidR="002234AB" w:rsidRPr="006906E4" w:rsidRDefault="002234AB" w:rsidP="003E1107">
            <w:pPr>
              <w:tabs>
                <w:tab w:val="left" w:pos="709"/>
              </w:tabs>
              <w:spacing w:before="60" w:after="60" w:line="240" w:lineRule="auto"/>
              <w:jc w:val="left"/>
              <w:rPr>
                <w:rFonts w:ascii="Arial" w:hAnsi="Arial" w:cs="Arial"/>
                <w:i/>
                <w:color w:val="FF0000"/>
                <w:sz w:val="16"/>
                <w:szCs w:val="16"/>
              </w:rPr>
            </w:pPr>
            <w:r w:rsidRPr="0028314B">
              <w:rPr>
                <w:rFonts w:ascii="Arial" w:hAnsi="Arial" w:cs="Arial"/>
                <w:color w:val="000000"/>
                <w:sz w:val="16"/>
                <w:szCs w:val="16"/>
              </w:rPr>
              <w:t>Our proactive regulatory reach is extended to all entities in our scheme, to further our breadth of activities both in cities and remote workplaces</w:t>
            </w:r>
            <w:r>
              <w:rPr>
                <w:rFonts w:ascii="Arial" w:hAnsi="Arial" w:cs="Arial"/>
                <w:color w:val="000000"/>
                <w:sz w:val="16"/>
                <w:szCs w:val="16"/>
              </w:rPr>
              <w:t xml:space="preserve">, </w:t>
            </w:r>
            <w:r w:rsidRPr="0028314B">
              <w:rPr>
                <w:rFonts w:ascii="Arial" w:hAnsi="Arial" w:cs="Arial"/>
                <w:color w:val="000000"/>
                <w:sz w:val="16"/>
                <w:szCs w:val="16"/>
              </w:rPr>
              <w:t>and ensure we have increased the number of active relationships with entities.</w:t>
            </w:r>
          </w:p>
        </w:tc>
        <w:tc>
          <w:tcPr>
            <w:tcW w:w="2565" w:type="dxa"/>
            <w:tcBorders>
              <w:top w:val="single" w:sz="4" w:space="0" w:color="auto"/>
              <w:left w:val="single" w:sz="4" w:space="0" w:color="auto"/>
              <w:bottom w:val="dotted" w:sz="4" w:space="0" w:color="auto"/>
            </w:tcBorders>
          </w:tcPr>
          <w:p w14:paraId="76C16E54" w14:textId="72B19019" w:rsidR="002234AB" w:rsidRPr="006906E4" w:rsidRDefault="002234AB" w:rsidP="003E1107">
            <w:pPr>
              <w:tabs>
                <w:tab w:val="left" w:pos="709"/>
              </w:tabs>
              <w:spacing w:before="60" w:after="60" w:line="240" w:lineRule="auto"/>
              <w:jc w:val="left"/>
              <w:rPr>
                <w:rFonts w:ascii="Arial" w:hAnsi="Arial" w:cs="Arial"/>
                <w:i/>
                <w:color w:val="FF0000"/>
                <w:sz w:val="16"/>
                <w:szCs w:val="16"/>
              </w:rPr>
            </w:pPr>
            <w:r w:rsidRPr="0028314B">
              <w:rPr>
                <w:rFonts w:ascii="Arial" w:hAnsi="Arial" w:cs="Arial"/>
                <w:b/>
                <w:color w:val="000000"/>
                <w:sz w:val="16"/>
                <w:szCs w:val="16"/>
              </w:rPr>
              <w:t xml:space="preserve">Assessment: </w:t>
            </w:r>
            <w:r w:rsidRPr="0028314B">
              <w:rPr>
                <w:rFonts w:ascii="Arial" w:hAnsi="Arial" w:cs="Arial"/>
                <w:color w:val="000000"/>
                <w:sz w:val="16"/>
                <w:szCs w:val="16"/>
              </w:rPr>
              <w:t>On track</w:t>
            </w:r>
            <w:r w:rsidR="00DC6923">
              <w:rPr>
                <w:rFonts w:ascii="Arial" w:hAnsi="Arial" w:cs="Arial"/>
                <w:color w:val="000000"/>
                <w:sz w:val="16"/>
                <w:szCs w:val="16"/>
              </w:rPr>
              <w:t>.</w:t>
            </w:r>
          </w:p>
        </w:tc>
      </w:tr>
      <w:tr w:rsidR="002234AB" w:rsidRPr="00F71634" w14:paraId="76C16E59" w14:textId="77777777" w:rsidTr="002234AB">
        <w:trPr>
          <w:trHeight w:val="60"/>
        </w:trPr>
        <w:tc>
          <w:tcPr>
            <w:tcW w:w="1701" w:type="dxa"/>
            <w:vMerge/>
            <w:tcBorders>
              <w:right w:val="single" w:sz="4" w:space="0" w:color="auto"/>
            </w:tcBorders>
          </w:tcPr>
          <w:p w14:paraId="76C16E56" w14:textId="77777777" w:rsidR="002234AB" w:rsidRDefault="002234AB" w:rsidP="002234AB">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E57" w14:textId="77777777" w:rsidR="002234AB" w:rsidRPr="0028314B" w:rsidRDefault="002234AB" w:rsidP="002573A6">
            <w:pPr>
              <w:spacing w:before="60" w:after="60" w:line="240" w:lineRule="auto"/>
              <w:jc w:val="left"/>
              <w:rPr>
                <w:rFonts w:ascii="Arial" w:hAnsi="Arial" w:cs="Arial"/>
                <w:color w:val="000000"/>
                <w:sz w:val="16"/>
                <w:szCs w:val="16"/>
              </w:rPr>
            </w:pPr>
            <w:r w:rsidRPr="0028314B">
              <w:rPr>
                <w:rFonts w:ascii="Arial" w:hAnsi="Arial" w:cs="Arial"/>
                <w:color w:val="000000"/>
                <w:sz w:val="16"/>
                <w:szCs w:val="16"/>
              </w:rPr>
              <w:t>Our approach improves WHS outcomes in workplaces, measured by increased knowledge, awareness and compliance to ensure regulatory intervention makes a positive difference.</w:t>
            </w:r>
          </w:p>
        </w:tc>
        <w:tc>
          <w:tcPr>
            <w:tcW w:w="2565" w:type="dxa"/>
            <w:tcBorders>
              <w:top w:val="single" w:sz="4" w:space="0" w:color="auto"/>
              <w:left w:val="single" w:sz="4" w:space="0" w:color="auto"/>
              <w:bottom w:val="single" w:sz="4" w:space="0" w:color="auto"/>
            </w:tcBorders>
          </w:tcPr>
          <w:p w14:paraId="76C16E58" w14:textId="50D2DA8B" w:rsidR="002234AB" w:rsidRPr="006906E4" w:rsidRDefault="002234AB" w:rsidP="002234AB">
            <w:pPr>
              <w:tabs>
                <w:tab w:val="left" w:pos="709"/>
              </w:tabs>
              <w:spacing w:before="60" w:after="60" w:line="240" w:lineRule="auto"/>
              <w:jc w:val="left"/>
              <w:rPr>
                <w:rFonts w:ascii="Arial" w:hAnsi="Arial" w:cs="Arial"/>
                <w:i/>
                <w:color w:val="FF0000"/>
                <w:sz w:val="16"/>
                <w:szCs w:val="16"/>
              </w:rPr>
            </w:pPr>
            <w:r w:rsidRPr="0028314B">
              <w:rPr>
                <w:rFonts w:ascii="Arial" w:hAnsi="Arial" w:cs="Arial"/>
                <w:b/>
                <w:color w:val="000000"/>
                <w:sz w:val="16"/>
                <w:szCs w:val="16"/>
              </w:rPr>
              <w:t xml:space="preserve">Assessment: </w:t>
            </w:r>
            <w:r w:rsidRPr="0028314B">
              <w:rPr>
                <w:rFonts w:ascii="Arial" w:hAnsi="Arial" w:cs="Arial"/>
                <w:color w:val="000000"/>
                <w:sz w:val="16"/>
                <w:szCs w:val="16"/>
              </w:rPr>
              <w:t>On track</w:t>
            </w:r>
            <w:r w:rsidR="00DC6923">
              <w:rPr>
                <w:rFonts w:ascii="Arial" w:hAnsi="Arial" w:cs="Arial"/>
                <w:color w:val="000000"/>
                <w:sz w:val="16"/>
                <w:szCs w:val="16"/>
              </w:rPr>
              <w:t>.</w:t>
            </w:r>
          </w:p>
        </w:tc>
      </w:tr>
      <w:tr w:rsidR="002234AB" w:rsidRPr="00F71634" w14:paraId="76C16E5D" w14:textId="77777777" w:rsidTr="00E35412">
        <w:trPr>
          <w:trHeight w:val="60"/>
        </w:trPr>
        <w:tc>
          <w:tcPr>
            <w:tcW w:w="1701" w:type="dxa"/>
            <w:vMerge/>
            <w:tcBorders>
              <w:bottom w:val="dotted" w:sz="4" w:space="0" w:color="auto"/>
              <w:right w:val="single" w:sz="4" w:space="0" w:color="auto"/>
            </w:tcBorders>
          </w:tcPr>
          <w:p w14:paraId="76C16E5A" w14:textId="77777777" w:rsidR="002234AB" w:rsidRDefault="002234AB" w:rsidP="002234AB">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6E5B" w14:textId="77777777" w:rsidR="002234AB" w:rsidRPr="006906E4" w:rsidRDefault="002234AB" w:rsidP="002234AB">
            <w:pPr>
              <w:tabs>
                <w:tab w:val="left" w:pos="709"/>
              </w:tabs>
              <w:spacing w:before="60" w:after="60" w:line="240" w:lineRule="auto"/>
              <w:jc w:val="left"/>
              <w:rPr>
                <w:rFonts w:ascii="Arial" w:hAnsi="Arial" w:cs="Arial"/>
                <w:i/>
                <w:color w:val="FF0000"/>
                <w:sz w:val="16"/>
                <w:szCs w:val="16"/>
              </w:rPr>
            </w:pPr>
            <w:r w:rsidRPr="0028314B">
              <w:rPr>
                <w:rFonts w:ascii="Arial" w:hAnsi="Arial" w:cs="Arial"/>
                <w:color w:val="000000"/>
                <w:sz w:val="16"/>
                <w:szCs w:val="16"/>
              </w:rPr>
              <w:t>A sustained high level of satisfaction and engagement with services provided, measured by survey, to ensure regulatory actions are appropriate, responsive and relevant.</w:t>
            </w:r>
          </w:p>
        </w:tc>
        <w:tc>
          <w:tcPr>
            <w:tcW w:w="2565" w:type="dxa"/>
            <w:tcBorders>
              <w:top w:val="single" w:sz="4" w:space="0" w:color="auto"/>
              <w:left w:val="single" w:sz="4" w:space="0" w:color="auto"/>
              <w:bottom w:val="dotted" w:sz="4" w:space="0" w:color="auto"/>
            </w:tcBorders>
          </w:tcPr>
          <w:p w14:paraId="76C16E5C" w14:textId="66A516E7" w:rsidR="002234AB" w:rsidRPr="006906E4" w:rsidRDefault="002234AB" w:rsidP="002234AB">
            <w:pPr>
              <w:tabs>
                <w:tab w:val="left" w:pos="709"/>
              </w:tabs>
              <w:spacing w:before="60" w:after="60" w:line="240" w:lineRule="auto"/>
              <w:jc w:val="left"/>
              <w:rPr>
                <w:rFonts w:ascii="Arial" w:hAnsi="Arial" w:cs="Arial"/>
                <w:i/>
                <w:color w:val="FF0000"/>
                <w:sz w:val="16"/>
                <w:szCs w:val="16"/>
              </w:rPr>
            </w:pPr>
            <w:r w:rsidRPr="0028314B">
              <w:rPr>
                <w:rFonts w:ascii="Arial" w:hAnsi="Arial" w:cs="Arial"/>
                <w:b/>
                <w:color w:val="000000"/>
                <w:sz w:val="16"/>
                <w:szCs w:val="16"/>
              </w:rPr>
              <w:t xml:space="preserve">Assessment: </w:t>
            </w:r>
            <w:r w:rsidRPr="0028314B">
              <w:rPr>
                <w:rFonts w:ascii="Arial" w:hAnsi="Arial" w:cs="Arial"/>
                <w:color w:val="000000"/>
                <w:sz w:val="16"/>
                <w:szCs w:val="16"/>
              </w:rPr>
              <w:t>On track</w:t>
            </w:r>
            <w:r w:rsidR="00DC6923">
              <w:rPr>
                <w:rFonts w:ascii="Arial" w:hAnsi="Arial" w:cs="Arial"/>
                <w:color w:val="000000"/>
                <w:sz w:val="16"/>
                <w:szCs w:val="16"/>
              </w:rPr>
              <w:t>.</w:t>
            </w:r>
          </w:p>
        </w:tc>
      </w:tr>
      <w:tr w:rsidR="00946D33" w:rsidRPr="00F71634" w14:paraId="76C16E61" w14:textId="77777777" w:rsidTr="005A0812">
        <w:tc>
          <w:tcPr>
            <w:tcW w:w="1701" w:type="dxa"/>
            <w:vMerge w:val="restart"/>
            <w:tcBorders>
              <w:top w:val="dotted" w:sz="4" w:space="0" w:color="auto"/>
              <w:bottom w:val="single" w:sz="4" w:space="0" w:color="auto"/>
              <w:right w:val="single" w:sz="4" w:space="0" w:color="auto"/>
            </w:tcBorders>
          </w:tcPr>
          <w:p w14:paraId="76C16E5E" w14:textId="77777777" w:rsidR="00946D33" w:rsidRPr="006906E4" w:rsidRDefault="009A4174" w:rsidP="002234AB">
            <w:pPr>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475" w:type="dxa"/>
            <w:tcBorders>
              <w:top w:val="dotted" w:sz="4" w:space="0" w:color="auto"/>
              <w:left w:val="single" w:sz="4" w:space="0" w:color="auto"/>
              <w:bottom w:val="single" w:sz="4" w:space="0" w:color="auto"/>
              <w:right w:val="single" w:sz="4" w:space="0" w:color="auto"/>
            </w:tcBorders>
          </w:tcPr>
          <w:p w14:paraId="76C16E5F" w14:textId="77777777" w:rsidR="00946D33" w:rsidRPr="007E61F6" w:rsidRDefault="00946D33" w:rsidP="002573A6">
            <w:pPr>
              <w:spacing w:before="60" w:after="60" w:line="240" w:lineRule="auto"/>
              <w:jc w:val="left"/>
              <w:rPr>
                <w:rFonts w:ascii="Arial" w:hAnsi="Arial" w:cs="Arial"/>
                <w:color w:val="000000"/>
                <w:sz w:val="16"/>
                <w:szCs w:val="16"/>
              </w:rPr>
            </w:pPr>
            <w:r>
              <w:rPr>
                <w:rFonts w:ascii="Arial" w:hAnsi="Arial" w:cs="Arial"/>
                <w:sz w:val="16"/>
                <w:szCs w:val="16"/>
              </w:rPr>
              <w:t>Our</w:t>
            </w:r>
            <w:r w:rsidRPr="007E61F6">
              <w:rPr>
                <w:rFonts w:ascii="Arial" w:hAnsi="Arial" w:cs="Arial"/>
                <w:sz w:val="16"/>
                <w:szCs w:val="16"/>
              </w:rPr>
              <w:t xml:space="preserve"> proactive regulatory approach is refined, and </w:t>
            </w:r>
            <w:r>
              <w:rPr>
                <w:rFonts w:ascii="Arial" w:hAnsi="Arial" w:cs="Arial"/>
                <w:sz w:val="16"/>
                <w:szCs w:val="16"/>
              </w:rPr>
              <w:t xml:space="preserve">targeted </w:t>
            </w:r>
            <w:r w:rsidRPr="007E61F6">
              <w:rPr>
                <w:rFonts w:ascii="Arial" w:hAnsi="Arial" w:cs="Arial"/>
                <w:sz w:val="16"/>
                <w:szCs w:val="16"/>
              </w:rPr>
              <w:t>proactive activities delivered increase over time.</w:t>
            </w:r>
          </w:p>
        </w:tc>
        <w:tc>
          <w:tcPr>
            <w:tcW w:w="2565" w:type="dxa"/>
            <w:tcBorders>
              <w:top w:val="dotted" w:sz="4" w:space="0" w:color="auto"/>
              <w:left w:val="single" w:sz="4" w:space="0" w:color="auto"/>
              <w:bottom w:val="single" w:sz="4" w:space="0" w:color="auto"/>
            </w:tcBorders>
          </w:tcPr>
          <w:p w14:paraId="76C16E60" w14:textId="54538578" w:rsidR="00946D33" w:rsidRPr="007E61F6" w:rsidRDefault="00946D33" w:rsidP="002234AB">
            <w:pPr>
              <w:tabs>
                <w:tab w:val="left" w:pos="709"/>
              </w:tabs>
              <w:spacing w:before="60" w:after="60" w:line="240" w:lineRule="auto"/>
              <w:jc w:val="left"/>
              <w:rPr>
                <w:rFonts w:ascii="Arial" w:hAnsi="Arial" w:cs="Arial"/>
                <w:color w:val="000000"/>
                <w:sz w:val="16"/>
                <w:szCs w:val="16"/>
              </w:rPr>
            </w:pPr>
            <w:r w:rsidRPr="007E61F6">
              <w:rPr>
                <w:rFonts w:ascii="Arial" w:hAnsi="Arial" w:cs="Arial"/>
                <w:sz w:val="16"/>
                <w:szCs w:val="16"/>
              </w:rPr>
              <w:t xml:space="preserve">Refine </w:t>
            </w:r>
            <w:r>
              <w:rPr>
                <w:rFonts w:ascii="Arial" w:hAnsi="Arial" w:cs="Arial"/>
                <w:sz w:val="16"/>
                <w:szCs w:val="16"/>
              </w:rPr>
              <w:t xml:space="preserve">targeted </w:t>
            </w:r>
            <w:r w:rsidRPr="007E61F6">
              <w:rPr>
                <w:rFonts w:ascii="Arial" w:hAnsi="Arial" w:cs="Arial"/>
                <w:sz w:val="16"/>
                <w:szCs w:val="16"/>
              </w:rPr>
              <w:t>proactive regulatory approach and establish a baseline of activity levels</w:t>
            </w:r>
            <w:r w:rsidR="00DC6923">
              <w:rPr>
                <w:rFonts w:ascii="Arial" w:hAnsi="Arial" w:cs="Arial"/>
                <w:sz w:val="16"/>
                <w:szCs w:val="16"/>
              </w:rPr>
              <w:t>.</w:t>
            </w:r>
          </w:p>
        </w:tc>
      </w:tr>
      <w:tr w:rsidR="00946D33" w:rsidRPr="00F71634" w14:paraId="76C16E65" w14:textId="77777777" w:rsidTr="005A0812">
        <w:tc>
          <w:tcPr>
            <w:tcW w:w="1701" w:type="dxa"/>
            <w:vMerge/>
            <w:tcBorders>
              <w:right w:val="single" w:sz="4" w:space="0" w:color="auto"/>
            </w:tcBorders>
          </w:tcPr>
          <w:p w14:paraId="76C16E62" w14:textId="77777777" w:rsidR="00946D33" w:rsidRDefault="00946D33" w:rsidP="002234AB">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E63" w14:textId="77777777" w:rsidR="00946D33" w:rsidRPr="007E61F6" w:rsidRDefault="00946D33" w:rsidP="002573A6">
            <w:pPr>
              <w:spacing w:before="60" w:after="60" w:line="240" w:lineRule="auto"/>
              <w:jc w:val="left"/>
              <w:rPr>
                <w:rFonts w:ascii="Arial" w:hAnsi="Arial" w:cs="Arial"/>
                <w:color w:val="000000"/>
                <w:sz w:val="16"/>
                <w:szCs w:val="16"/>
              </w:rPr>
            </w:pPr>
            <w:r>
              <w:rPr>
                <w:rFonts w:ascii="Arial" w:hAnsi="Arial" w:cs="Arial"/>
                <w:sz w:val="16"/>
                <w:szCs w:val="16"/>
              </w:rPr>
              <w:t>Targeted r</w:t>
            </w:r>
            <w:r w:rsidRPr="007E61F6">
              <w:rPr>
                <w:rFonts w:ascii="Arial" w:hAnsi="Arial" w:cs="Arial"/>
                <w:sz w:val="16"/>
                <w:szCs w:val="16"/>
              </w:rPr>
              <w:t>egulatory activities</w:t>
            </w:r>
            <w:r>
              <w:rPr>
                <w:rFonts w:ascii="Arial" w:hAnsi="Arial" w:cs="Arial"/>
                <w:sz w:val="16"/>
                <w:szCs w:val="16"/>
              </w:rPr>
              <w:t xml:space="preserve"> delivered are</w:t>
            </w:r>
            <w:r w:rsidRPr="007E61F6">
              <w:rPr>
                <w:rFonts w:ascii="Arial" w:hAnsi="Arial" w:cs="Arial"/>
                <w:sz w:val="16"/>
                <w:szCs w:val="16"/>
              </w:rPr>
              <w:t xml:space="preserve"> based on identified regulatory priorities.</w:t>
            </w:r>
          </w:p>
        </w:tc>
        <w:tc>
          <w:tcPr>
            <w:tcW w:w="2565" w:type="dxa"/>
            <w:tcBorders>
              <w:top w:val="single" w:sz="4" w:space="0" w:color="auto"/>
              <w:left w:val="single" w:sz="4" w:space="0" w:color="auto"/>
              <w:bottom w:val="single" w:sz="4" w:space="0" w:color="auto"/>
            </w:tcBorders>
          </w:tcPr>
          <w:p w14:paraId="76C16E64" w14:textId="24D32BE7" w:rsidR="00946D33" w:rsidRPr="007E61F6" w:rsidRDefault="00946D33" w:rsidP="002234AB">
            <w:pPr>
              <w:tabs>
                <w:tab w:val="left" w:pos="709"/>
              </w:tabs>
              <w:spacing w:before="60" w:after="60" w:line="240" w:lineRule="auto"/>
              <w:jc w:val="left"/>
              <w:rPr>
                <w:rFonts w:ascii="Arial" w:hAnsi="Arial" w:cs="Arial"/>
                <w:color w:val="000000"/>
                <w:sz w:val="16"/>
                <w:szCs w:val="16"/>
              </w:rPr>
            </w:pPr>
            <w:r w:rsidRPr="007E61F6">
              <w:rPr>
                <w:rFonts w:ascii="Arial" w:hAnsi="Arial" w:cs="Arial"/>
                <w:sz w:val="16"/>
                <w:szCs w:val="16"/>
              </w:rPr>
              <w:t>Deliver and evaluate at least one programme against identified regulatory priorities</w:t>
            </w:r>
            <w:r w:rsidR="00DC6923">
              <w:rPr>
                <w:rFonts w:ascii="Arial" w:hAnsi="Arial" w:cs="Arial"/>
                <w:sz w:val="16"/>
                <w:szCs w:val="16"/>
              </w:rPr>
              <w:t>.</w:t>
            </w:r>
          </w:p>
        </w:tc>
      </w:tr>
      <w:tr w:rsidR="00946D33" w:rsidRPr="00F71634" w14:paraId="76C16E69" w14:textId="77777777" w:rsidTr="005A0812">
        <w:tc>
          <w:tcPr>
            <w:tcW w:w="1701" w:type="dxa"/>
            <w:vMerge/>
            <w:tcBorders>
              <w:bottom w:val="single" w:sz="4" w:space="0" w:color="auto"/>
              <w:right w:val="single" w:sz="4" w:space="0" w:color="auto"/>
            </w:tcBorders>
          </w:tcPr>
          <w:p w14:paraId="76C16E66" w14:textId="77777777" w:rsidR="00946D33" w:rsidRDefault="00946D33" w:rsidP="002234AB">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E67" w14:textId="77777777" w:rsidR="00946D33" w:rsidRPr="007E61F6" w:rsidRDefault="00946D33" w:rsidP="002573A6">
            <w:pPr>
              <w:spacing w:before="60" w:after="60" w:line="240" w:lineRule="auto"/>
              <w:jc w:val="left"/>
              <w:rPr>
                <w:rFonts w:ascii="Arial" w:hAnsi="Arial" w:cs="Arial"/>
                <w:color w:val="000000"/>
                <w:sz w:val="16"/>
                <w:szCs w:val="16"/>
              </w:rPr>
            </w:pPr>
            <w:r w:rsidRPr="007E61F6">
              <w:rPr>
                <w:rFonts w:ascii="Arial" w:hAnsi="Arial" w:cs="Arial"/>
                <w:sz w:val="16"/>
                <w:szCs w:val="16"/>
              </w:rPr>
              <w:t>Regulated entities report that our regulatory approach improves WHS outcomes.</w:t>
            </w:r>
          </w:p>
        </w:tc>
        <w:tc>
          <w:tcPr>
            <w:tcW w:w="2565" w:type="dxa"/>
            <w:tcBorders>
              <w:top w:val="single" w:sz="4" w:space="0" w:color="auto"/>
              <w:left w:val="single" w:sz="4" w:space="0" w:color="auto"/>
              <w:bottom w:val="single" w:sz="4" w:space="0" w:color="auto"/>
            </w:tcBorders>
          </w:tcPr>
          <w:p w14:paraId="76C16E68" w14:textId="1ABB5B52" w:rsidR="00946D33" w:rsidRPr="007E61F6" w:rsidRDefault="00946D33" w:rsidP="002234AB">
            <w:pPr>
              <w:pStyle w:val="Tabletext"/>
              <w:rPr>
                <w:rFonts w:ascii="Arial" w:hAnsi="Arial" w:cs="Arial"/>
                <w:color w:val="000000"/>
                <w:sz w:val="16"/>
                <w:szCs w:val="16"/>
              </w:rPr>
            </w:pPr>
            <w:r w:rsidRPr="007E61F6">
              <w:rPr>
                <w:rFonts w:ascii="Arial" w:hAnsi="Arial" w:cs="Arial"/>
                <w:color w:val="auto"/>
                <w:sz w:val="16"/>
                <w:szCs w:val="16"/>
              </w:rPr>
              <w:t xml:space="preserve">85% or more evaluated entities report improved WHS outcomes </w:t>
            </w:r>
            <w:r>
              <w:rPr>
                <w:rFonts w:ascii="Arial" w:hAnsi="Arial" w:cs="Arial"/>
                <w:color w:val="auto"/>
                <w:sz w:val="16"/>
                <w:szCs w:val="16"/>
              </w:rPr>
              <w:t>as a result of Comcare’s regulatory activities</w:t>
            </w:r>
            <w:r w:rsidR="00DC6923">
              <w:rPr>
                <w:rFonts w:ascii="Arial" w:hAnsi="Arial" w:cs="Arial"/>
                <w:color w:val="auto"/>
                <w:sz w:val="16"/>
                <w:szCs w:val="16"/>
              </w:rPr>
              <w:t>.</w:t>
            </w:r>
          </w:p>
        </w:tc>
      </w:tr>
      <w:tr w:rsidR="00946D33" w:rsidRPr="00F71634" w14:paraId="76C16E6D" w14:textId="77777777" w:rsidTr="00E35412">
        <w:tc>
          <w:tcPr>
            <w:tcW w:w="1701" w:type="dxa"/>
            <w:vMerge/>
            <w:tcBorders>
              <w:top w:val="single" w:sz="4" w:space="0" w:color="auto"/>
              <w:bottom w:val="single" w:sz="4" w:space="0" w:color="auto"/>
              <w:right w:val="single" w:sz="4" w:space="0" w:color="auto"/>
            </w:tcBorders>
          </w:tcPr>
          <w:p w14:paraId="76C16E6A" w14:textId="77777777" w:rsidR="00946D33" w:rsidRDefault="00946D33" w:rsidP="002234AB">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E6B" w14:textId="77777777" w:rsidR="00946D33" w:rsidRPr="007E61F6" w:rsidRDefault="00946D33" w:rsidP="002573A6">
            <w:pPr>
              <w:spacing w:before="60" w:after="60" w:line="240" w:lineRule="auto"/>
              <w:jc w:val="left"/>
              <w:rPr>
                <w:rFonts w:ascii="Arial" w:hAnsi="Arial" w:cs="Arial"/>
                <w:color w:val="000000"/>
                <w:sz w:val="16"/>
                <w:szCs w:val="16"/>
              </w:rPr>
            </w:pPr>
            <w:r w:rsidRPr="007E61F6">
              <w:rPr>
                <w:rFonts w:ascii="Arial" w:hAnsi="Arial" w:cs="Arial"/>
                <w:sz w:val="16"/>
                <w:szCs w:val="16"/>
              </w:rPr>
              <w:t>Regulatory activities are delivered within statutory timeframes, where applicable.</w:t>
            </w:r>
          </w:p>
        </w:tc>
        <w:tc>
          <w:tcPr>
            <w:tcW w:w="2565" w:type="dxa"/>
            <w:tcBorders>
              <w:top w:val="single" w:sz="4" w:space="0" w:color="auto"/>
              <w:left w:val="single" w:sz="4" w:space="0" w:color="auto"/>
              <w:bottom w:val="single" w:sz="4" w:space="0" w:color="auto"/>
            </w:tcBorders>
          </w:tcPr>
          <w:p w14:paraId="76C16E6C" w14:textId="1814F679" w:rsidR="00946D33" w:rsidRPr="007E61F6" w:rsidRDefault="00946D33" w:rsidP="002234AB">
            <w:pPr>
              <w:tabs>
                <w:tab w:val="left" w:pos="709"/>
              </w:tabs>
              <w:spacing w:before="60" w:after="60" w:line="240" w:lineRule="auto"/>
              <w:jc w:val="left"/>
              <w:rPr>
                <w:rFonts w:ascii="Arial" w:hAnsi="Arial" w:cs="Arial"/>
                <w:color w:val="000000"/>
                <w:sz w:val="16"/>
                <w:szCs w:val="16"/>
              </w:rPr>
            </w:pPr>
            <w:r w:rsidRPr="007E61F6">
              <w:rPr>
                <w:rFonts w:ascii="Arial" w:hAnsi="Arial" w:cs="Arial"/>
                <w:sz w:val="16"/>
                <w:szCs w:val="16"/>
              </w:rPr>
              <w:t>100% of WHS activities are delive</w:t>
            </w:r>
            <w:r w:rsidR="002573A6">
              <w:rPr>
                <w:rFonts w:ascii="Arial" w:hAnsi="Arial" w:cs="Arial"/>
                <w:sz w:val="16"/>
                <w:szCs w:val="16"/>
              </w:rPr>
              <w:t>red within statutory timeframes</w:t>
            </w:r>
            <w:r w:rsidR="00DC6923">
              <w:rPr>
                <w:rFonts w:ascii="Arial" w:hAnsi="Arial" w:cs="Arial"/>
                <w:sz w:val="16"/>
                <w:szCs w:val="16"/>
              </w:rPr>
              <w:t>.</w:t>
            </w:r>
          </w:p>
        </w:tc>
      </w:tr>
      <w:tr w:rsidR="005A0812" w:rsidRPr="00F71634" w14:paraId="76C16E71" w14:textId="77777777" w:rsidTr="00E35412">
        <w:tc>
          <w:tcPr>
            <w:tcW w:w="1701" w:type="dxa"/>
            <w:vMerge w:val="restart"/>
            <w:tcBorders>
              <w:top w:val="single" w:sz="4" w:space="0" w:color="auto"/>
              <w:right w:val="single" w:sz="4" w:space="0" w:color="auto"/>
            </w:tcBorders>
          </w:tcPr>
          <w:p w14:paraId="76C16E6E" w14:textId="052D682E" w:rsidR="005A0812" w:rsidRPr="006906E4" w:rsidRDefault="00014C66" w:rsidP="00946D33">
            <w:pPr>
              <w:tabs>
                <w:tab w:val="left" w:pos="709"/>
              </w:tabs>
              <w:spacing w:before="60" w:after="60" w:line="240" w:lineRule="auto"/>
              <w:jc w:val="left"/>
              <w:rPr>
                <w:rFonts w:ascii="Arial" w:hAnsi="Arial" w:cs="Arial"/>
                <w:sz w:val="16"/>
                <w:szCs w:val="16"/>
              </w:rPr>
            </w:pPr>
            <w:r>
              <w:rPr>
                <w:rFonts w:ascii="Arial" w:hAnsi="Arial" w:cs="Arial"/>
                <w:sz w:val="16"/>
                <w:szCs w:val="16"/>
              </w:rPr>
              <w:lastRenderedPageBreak/>
              <w:t>2020–21</w:t>
            </w:r>
            <w:r w:rsidR="005A0812" w:rsidRPr="006906E4">
              <w:rPr>
                <w:rFonts w:ascii="Arial" w:hAnsi="Arial" w:cs="Arial"/>
                <w:sz w:val="16"/>
                <w:szCs w:val="16"/>
              </w:rPr>
              <w:t xml:space="preserve"> and beyond</w:t>
            </w:r>
          </w:p>
        </w:tc>
        <w:tc>
          <w:tcPr>
            <w:tcW w:w="3475" w:type="dxa"/>
            <w:tcBorders>
              <w:top w:val="single" w:sz="4" w:space="0" w:color="auto"/>
              <w:left w:val="single" w:sz="4" w:space="0" w:color="auto"/>
              <w:right w:val="single" w:sz="4" w:space="0" w:color="auto"/>
            </w:tcBorders>
          </w:tcPr>
          <w:p w14:paraId="76C16E6F" w14:textId="77777777" w:rsidR="005A0812" w:rsidRPr="007E61F6" w:rsidRDefault="005A0812" w:rsidP="002573A6">
            <w:pPr>
              <w:spacing w:before="60" w:after="60" w:line="240" w:lineRule="auto"/>
              <w:jc w:val="left"/>
              <w:rPr>
                <w:rFonts w:ascii="Arial" w:hAnsi="Arial" w:cs="Arial"/>
                <w:color w:val="000000"/>
                <w:sz w:val="16"/>
                <w:szCs w:val="16"/>
              </w:rPr>
            </w:pPr>
            <w:r>
              <w:rPr>
                <w:rFonts w:ascii="Arial" w:hAnsi="Arial" w:cs="Arial"/>
                <w:sz w:val="16"/>
                <w:szCs w:val="16"/>
              </w:rPr>
              <w:t>Our</w:t>
            </w:r>
            <w:r w:rsidRPr="007E61F6">
              <w:rPr>
                <w:rFonts w:ascii="Arial" w:hAnsi="Arial" w:cs="Arial"/>
                <w:sz w:val="16"/>
                <w:szCs w:val="16"/>
              </w:rPr>
              <w:t xml:space="preserve"> proactive regulatory approach is refined, and </w:t>
            </w:r>
            <w:r>
              <w:rPr>
                <w:rFonts w:ascii="Arial" w:hAnsi="Arial" w:cs="Arial"/>
                <w:sz w:val="16"/>
                <w:szCs w:val="16"/>
              </w:rPr>
              <w:t xml:space="preserve">targeted </w:t>
            </w:r>
            <w:r w:rsidRPr="007E61F6">
              <w:rPr>
                <w:rFonts w:ascii="Arial" w:hAnsi="Arial" w:cs="Arial"/>
                <w:sz w:val="16"/>
                <w:szCs w:val="16"/>
              </w:rPr>
              <w:t>proactive activities delivered increase over time.</w:t>
            </w:r>
          </w:p>
        </w:tc>
        <w:tc>
          <w:tcPr>
            <w:tcW w:w="2565" w:type="dxa"/>
            <w:tcBorders>
              <w:top w:val="single" w:sz="4" w:space="0" w:color="auto"/>
              <w:left w:val="single" w:sz="4" w:space="0" w:color="auto"/>
            </w:tcBorders>
          </w:tcPr>
          <w:p w14:paraId="76C16E70" w14:textId="215B1FC3" w:rsidR="005A0812" w:rsidRPr="007E61F6" w:rsidRDefault="005A0812" w:rsidP="00946D33">
            <w:pPr>
              <w:tabs>
                <w:tab w:val="left" w:pos="709"/>
              </w:tabs>
              <w:spacing w:before="60" w:after="60" w:line="240" w:lineRule="auto"/>
              <w:jc w:val="left"/>
              <w:rPr>
                <w:rFonts w:ascii="Arial" w:hAnsi="Arial" w:cs="Arial"/>
                <w:color w:val="000000"/>
                <w:sz w:val="16"/>
                <w:szCs w:val="16"/>
              </w:rPr>
            </w:pPr>
            <w:r w:rsidRPr="007E61F6">
              <w:rPr>
                <w:rFonts w:ascii="Arial" w:hAnsi="Arial" w:cs="Arial"/>
                <w:sz w:val="16"/>
                <w:szCs w:val="16"/>
              </w:rPr>
              <w:t>Increase</w:t>
            </w:r>
            <w:r>
              <w:rPr>
                <w:rFonts w:ascii="Arial" w:hAnsi="Arial" w:cs="Arial"/>
                <w:sz w:val="16"/>
                <w:szCs w:val="16"/>
              </w:rPr>
              <w:t xml:space="preserve"> targeted</w:t>
            </w:r>
            <w:r w:rsidRPr="007E61F6">
              <w:rPr>
                <w:rFonts w:ascii="Arial" w:hAnsi="Arial" w:cs="Arial"/>
                <w:sz w:val="16"/>
                <w:szCs w:val="16"/>
              </w:rPr>
              <w:t xml:space="preserve"> proactive activities by 5</w:t>
            </w:r>
            <w:r>
              <w:rPr>
                <w:rFonts w:ascii="Arial" w:hAnsi="Arial" w:cs="Arial"/>
                <w:sz w:val="16"/>
                <w:szCs w:val="16"/>
              </w:rPr>
              <w:t xml:space="preserve"> per cent</w:t>
            </w:r>
            <w:r w:rsidR="00DC6923">
              <w:rPr>
                <w:rFonts w:ascii="Arial" w:hAnsi="Arial" w:cs="Arial"/>
                <w:sz w:val="16"/>
                <w:szCs w:val="16"/>
              </w:rPr>
              <w:t>.</w:t>
            </w:r>
          </w:p>
        </w:tc>
      </w:tr>
      <w:tr w:rsidR="005A0812" w:rsidRPr="00F71634" w14:paraId="76C16E75" w14:textId="77777777" w:rsidTr="00BE6AA2">
        <w:tc>
          <w:tcPr>
            <w:tcW w:w="1701" w:type="dxa"/>
            <w:vMerge/>
            <w:tcBorders>
              <w:right w:val="single" w:sz="4" w:space="0" w:color="auto"/>
            </w:tcBorders>
          </w:tcPr>
          <w:p w14:paraId="76C16E72" w14:textId="77777777" w:rsidR="005A0812" w:rsidRDefault="005A0812" w:rsidP="00946D33">
            <w:pPr>
              <w:tabs>
                <w:tab w:val="left" w:pos="709"/>
              </w:tabs>
              <w:spacing w:before="60" w:after="60" w:line="240" w:lineRule="auto"/>
              <w:jc w:val="left"/>
              <w:rPr>
                <w:rFonts w:ascii="Arial" w:hAnsi="Arial" w:cs="Arial"/>
                <w:sz w:val="16"/>
                <w:szCs w:val="16"/>
              </w:rPr>
            </w:pPr>
          </w:p>
        </w:tc>
        <w:tc>
          <w:tcPr>
            <w:tcW w:w="3475" w:type="dxa"/>
            <w:tcBorders>
              <w:top w:val="dotted" w:sz="4" w:space="0" w:color="auto"/>
              <w:left w:val="single" w:sz="4" w:space="0" w:color="auto"/>
              <w:right w:val="single" w:sz="4" w:space="0" w:color="auto"/>
            </w:tcBorders>
          </w:tcPr>
          <w:p w14:paraId="76C16E73" w14:textId="77777777" w:rsidR="005A0812" w:rsidRPr="007E61F6" w:rsidRDefault="005A0812" w:rsidP="002573A6">
            <w:pPr>
              <w:spacing w:before="60" w:after="60" w:line="240" w:lineRule="auto"/>
              <w:jc w:val="left"/>
              <w:rPr>
                <w:rFonts w:ascii="Arial" w:hAnsi="Arial" w:cs="Arial"/>
                <w:color w:val="000000"/>
                <w:sz w:val="16"/>
                <w:szCs w:val="16"/>
              </w:rPr>
            </w:pPr>
            <w:r>
              <w:rPr>
                <w:rFonts w:ascii="Arial" w:hAnsi="Arial" w:cs="Arial"/>
                <w:sz w:val="16"/>
                <w:szCs w:val="16"/>
              </w:rPr>
              <w:t>Targeted r</w:t>
            </w:r>
            <w:r w:rsidRPr="007E61F6">
              <w:rPr>
                <w:rFonts w:ascii="Arial" w:hAnsi="Arial" w:cs="Arial"/>
                <w:sz w:val="16"/>
                <w:szCs w:val="16"/>
              </w:rPr>
              <w:t xml:space="preserve">egulatory activities </w:t>
            </w:r>
            <w:r>
              <w:rPr>
                <w:rFonts w:ascii="Arial" w:hAnsi="Arial" w:cs="Arial"/>
                <w:sz w:val="16"/>
                <w:szCs w:val="16"/>
              </w:rPr>
              <w:t xml:space="preserve">delivered </w:t>
            </w:r>
            <w:r w:rsidRPr="007E61F6">
              <w:rPr>
                <w:rFonts w:ascii="Arial" w:hAnsi="Arial" w:cs="Arial"/>
                <w:sz w:val="16"/>
                <w:szCs w:val="16"/>
              </w:rPr>
              <w:t>are based on identified regulatory priorities.</w:t>
            </w:r>
          </w:p>
        </w:tc>
        <w:tc>
          <w:tcPr>
            <w:tcW w:w="2565" w:type="dxa"/>
            <w:tcBorders>
              <w:top w:val="dotted" w:sz="4" w:space="0" w:color="auto"/>
              <w:left w:val="single" w:sz="4" w:space="0" w:color="auto"/>
            </w:tcBorders>
          </w:tcPr>
          <w:p w14:paraId="76C16E74" w14:textId="65817B6A" w:rsidR="005A0812" w:rsidRPr="007E61F6" w:rsidRDefault="005A0812" w:rsidP="00946D33">
            <w:pPr>
              <w:tabs>
                <w:tab w:val="left" w:pos="709"/>
              </w:tabs>
              <w:spacing w:before="60" w:after="60" w:line="240" w:lineRule="auto"/>
              <w:jc w:val="left"/>
              <w:rPr>
                <w:rFonts w:ascii="Arial" w:hAnsi="Arial" w:cs="Arial"/>
                <w:color w:val="000000"/>
                <w:sz w:val="16"/>
                <w:szCs w:val="16"/>
              </w:rPr>
            </w:pPr>
            <w:r w:rsidRPr="007E61F6">
              <w:rPr>
                <w:rFonts w:ascii="Arial" w:hAnsi="Arial" w:cs="Arial"/>
                <w:sz w:val="16"/>
                <w:szCs w:val="16"/>
              </w:rPr>
              <w:t>Deliver and evaluate at least one programme against identified regulatory priorities</w:t>
            </w:r>
            <w:r w:rsidR="00DC6923">
              <w:rPr>
                <w:rFonts w:ascii="Arial" w:hAnsi="Arial" w:cs="Arial"/>
                <w:sz w:val="16"/>
                <w:szCs w:val="16"/>
              </w:rPr>
              <w:t>.</w:t>
            </w:r>
          </w:p>
        </w:tc>
      </w:tr>
      <w:tr w:rsidR="005A0812" w:rsidRPr="00F71634" w14:paraId="76C16E79" w14:textId="77777777" w:rsidTr="00BE6AA2">
        <w:tc>
          <w:tcPr>
            <w:tcW w:w="1701" w:type="dxa"/>
            <w:vMerge/>
            <w:tcBorders>
              <w:right w:val="single" w:sz="4" w:space="0" w:color="auto"/>
            </w:tcBorders>
          </w:tcPr>
          <w:p w14:paraId="76C16E76" w14:textId="77777777" w:rsidR="005A0812" w:rsidRDefault="005A0812" w:rsidP="00946D33">
            <w:pPr>
              <w:tabs>
                <w:tab w:val="left" w:pos="709"/>
              </w:tabs>
              <w:spacing w:before="60" w:after="60" w:line="240" w:lineRule="auto"/>
              <w:jc w:val="left"/>
              <w:rPr>
                <w:rFonts w:ascii="Arial" w:hAnsi="Arial" w:cs="Arial"/>
                <w:sz w:val="16"/>
                <w:szCs w:val="16"/>
              </w:rPr>
            </w:pPr>
          </w:p>
        </w:tc>
        <w:tc>
          <w:tcPr>
            <w:tcW w:w="3475" w:type="dxa"/>
            <w:tcBorders>
              <w:top w:val="dotted" w:sz="4" w:space="0" w:color="auto"/>
              <w:left w:val="single" w:sz="4" w:space="0" w:color="auto"/>
              <w:right w:val="single" w:sz="4" w:space="0" w:color="auto"/>
            </w:tcBorders>
          </w:tcPr>
          <w:p w14:paraId="76C16E77" w14:textId="77777777" w:rsidR="005A0812" w:rsidRPr="007E61F6" w:rsidRDefault="005A0812" w:rsidP="002573A6">
            <w:pPr>
              <w:spacing w:before="60" w:after="60" w:line="240" w:lineRule="auto"/>
              <w:jc w:val="left"/>
              <w:rPr>
                <w:rFonts w:ascii="Arial" w:hAnsi="Arial" w:cs="Arial"/>
                <w:color w:val="000000"/>
                <w:sz w:val="16"/>
                <w:szCs w:val="16"/>
              </w:rPr>
            </w:pPr>
            <w:r w:rsidRPr="007E61F6">
              <w:rPr>
                <w:rFonts w:ascii="Arial" w:hAnsi="Arial" w:cs="Arial"/>
                <w:sz w:val="16"/>
                <w:szCs w:val="16"/>
              </w:rPr>
              <w:t>Regulated entities report that our regulatory approach improves WHS outcomes.</w:t>
            </w:r>
          </w:p>
        </w:tc>
        <w:tc>
          <w:tcPr>
            <w:tcW w:w="2565" w:type="dxa"/>
            <w:tcBorders>
              <w:top w:val="dotted" w:sz="4" w:space="0" w:color="auto"/>
              <w:left w:val="single" w:sz="4" w:space="0" w:color="auto"/>
            </w:tcBorders>
          </w:tcPr>
          <w:p w14:paraId="76C16E78" w14:textId="43DE4AC5" w:rsidR="005A0812" w:rsidRPr="007E61F6" w:rsidRDefault="005A0812" w:rsidP="00946D33">
            <w:pPr>
              <w:tabs>
                <w:tab w:val="left" w:pos="709"/>
              </w:tabs>
              <w:spacing w:before="60" w:after="60" w:line="240" w:lineRule="auto"/>
              <w:jc w:val="left"/>
              <w:rPr>
                <w:rFonts w:ascii="Arial" w:hAnsi="Arial" w:cs="Arial"/>
                <w:color w:val="000000"/>
                <w:sz w:val="16"/>
                <w:szCs w:val="16"/>
              </w:rPr>
            </w:pPr>
            <w:r w:rsidRPr="007E61F6">
              <w:rPr>
                <w:rFonts w:ascii="Arial" w:hAnsi="Arial" w:cs="Arial"/>
                <w:sz w:val="16"/>
                <w:szCs w:val="16"/>
              </w:rPr>
              <w:t xml:space="preserve">85% or more evaluated entities report improved WHS outcomes </w:t>
            </w:r>
            <w:r>
              <w:rPr>
                <w:rFonts w:ascii="Arial" w:hAnsi="Arial" w:cs="Arial"/>
                <w:sz w:val="16"/>
                <w:szCs w:val="16"/>
              </w:rPr>
              <w:t>as a result of Comcare’s regulatory activities</w:t>
            </w:r>
            <w:r w:rsidR="00DC6923">
              <w:rPr>
                <w:rFonts w:ascii="Arial" w:hAnsi="Arial" w:cs="Arial"/>
                <w:sz w:val="16"/>
                <w:szCs w:val="16"/>
              </w:rPr>
              <w:t>.</w:t>
            </w:r>
          </w:p>
        </w:tc>
      </w:tr>
      <w:tr w:rsidR="005A0812" w:rsidRPr="00F71634" w14:paraId="76C16E7D" w14:textId="77777777" w:rsidTr="00BE6AA2">
        <w:tc>
          <w:tcPr>
            <w:tcW w:w="1701" w:type="dxa"/>
            <w:vMerge/>
            <w:tcBorders>
              <w:right w:val="single" w:sz="4" w:space="0" w:color="auto"/>
            </w:tcBorders>
          </w:tcPr>
          <w:p w14:paraId="76C16E7A" w14:textId="77777777" w:rsidR="005A0812" w:rsidRDefault="005A0812" w:rsidP="00946D33">
            <w:pPr>
              <w:tabs>
                <w:tab w:val="left" w:pos="709"/>
              </w:tabs>
              <w:spacing w:before="60" w:after="60" w:line="240" w:lineRule="auto"/>
              <w:jc w:val="left"/>
              <w:rPr>
                <w:rFonts w:ascii="Arial" w:hAnsi="Arial" w:cs="Arial"/>
                <w:sz w:val="16"/>
                <w:szCs w:val="16"/>
              </w:rPr>
            </w:pPr>
          </w:p>
        </w:tc>
        <w:tc>
          <w:tcPr>
            <w:tcW w:w="3475" w:type="dxa"/>
            <w:tcBorders>
              <w:top w:val="dotted" w:sz="4" w:space="0" w:color="auto"/>
              <w:left w:val="single" w:sz="4" w:space="0" w:color="auto"/>
              <w:right w:val="single" w:sz="4" w:space="0" w:color="auto"/>
            </w:tcBorders>
          </w:tcPr>
          <w:p w14:paraId="76C16E7B" w14:textId="77777777" w:rsidR="005A0812" w:rsidRPr="007E61F6" w:rsidRDefault="005A0812" w:rsidP="002573A6">
            <w:pPr>
              <w:spacing w:before="60" w:after="60" w:line="240" w:lineRule="auto"/>
              <w:jc w:val="left"/>
              <w:rPr>
                <w:rFonts w:ascii="Arial" w:hAnsi="Arial" w:cs="Arial"/>
                <w:color w:val="000000"/>
                <w:sz w:val="16"/>
                <w:szCs w:val="16"/>
              </w:rPr>
            </w:pPr>
            <w:r w:rsidRPr="007E61F6">
              <w:rPr>
                <w:rFonts w:ascii="Arial" w:hAnsi="Arial" w:cs="Arial"/>
                <w:sz w:val="16"/>
                <w:szCs w:val="16"/>
              </w:rPr>
              <w:t>Regulatory activities are delivered within statutory timeframes, where applicable.</w:t>
            </w:r>
          </w:p>
        </w:tc>
        <w:tc>
          <w:tcPr>
            <w:tcW w:w="2565" w:type="dxa"/>
            <w:tcBorders>
              <w:top w:val="dotted" w:sz="4" w:space="0" w:color="auto"/>
              <w:left w:val="single" w:sz="4" w:space="0" w:color="auto"/>
            </w:tcBorders>
          </w:tcPr>
          <w:p w14:paraId="76C16E7C" w14:textId="58C4416B" w:rsidR="005A0812" w:rsidRPr="007E61F6" w:rsidRDefault="005A0812" w:rsidP="00946D33">
            <w:pPr>
              <w:tabs>
                <w:tab w:val="left" w:pos="709"/>
              </w:tabs>
              <w:spacing w:before="60" w:after="60" w:line="240" w:lineRule="auto"/>
              <w:jc w:val="left"/>
              <w:rPr>
                <w:rFonts w:ascii="Arial" w:hAnsi="Arial" w:cs="Arial"/>
                <w:color w:val="000000"/>
                <w:sz w:val="16"/>
                <w:szCs w:val="16"/>
              </w:rPr>
            </w:pPr>
            <w:r w:rsidRPr="007E61F6">
              <w:rPr>
                <w:rFonts w:ascii="Arial" w:hAnsi="Arial" w:cs="Arial"/>
                <w:sz w:val="16"/>
                <w:szCs w:val="16"/>
              </w:rPr>
              <w:t>100% of WHS activities are delive</w:t>
            </w:r>
            <w:r>
              <w:rPr>
                <w:rFonts w:ascii="Arial" w:hAnsi="Arial" w:cs="Arial"/>
                <w:sz w:val="16"/>
                <w:szCs w:val="16"/>
              </w:rPr>
              <w:t>red within statutory timeframes</w:t>
            </w:r>
            <w:r w:rsidR="00DC6923">
              <w:rPr>
                <w:rFonts w:ascii="Arial" w:hAnsi="Arial" w:cs="Arial"/>
                <w:sz w:val="16"/>
                <w:szCs w:val="16"/>
              </w:rPr>
              <w:t>.</w:t>
            </w:r>
          </w:p>
        </w:tc>
      </w:tr>
      <w:tr w:rsidR="00946D33" w:rsidRPr="00CF7058" w14:paraId="76C16E80" w14:textId="77777777" w:rsidTr="003E1107">
        <w:tc>
          <w:tcPr>
            <w:tcW w:w="7741" w:type="dxa"/>
            <w:gridSpan w:val="3"/>
          </w:tcPr>
          <w:p w14:paraId="76C16E7F" w14:textId="2327F486" w:rsidR="00946D33" w:rsidRPr="00CF7058" w:rsidRDefault="00946D33" w:rsidP="00CF7058">
            <w:pPr>
              <w:spacing w:after="120"/>
              <w:jc w:val="left"/>
              <w:rPr>
                <w:rStyle w:val="BodyTextChar"/>
                <w:rFonts w:ascii="Arial" w:hAnsi="Arial"/>
                <w:sz w:val="16"/>
                <w:szCs w:val="16"/>
              </w:rPr>
            </w:pPr>
            <w:r w:rsidRPr="00CF7058">
              <w:rPr>
                <w:rStyle w:val="BodyTextChar"/>
                <w:rFonts w:ascii="Arial" w:hAnsi="Arial"/>
                <w:b/>
                <w:sz w:val="16"/>
                <w:szCs w:val="16"/>
              </w:rPr>
              <w:t xml:space="preserve">Material changes to Program 1.1 resulting from the following measures: </w:t>
            </w:r>
            <w:r w:rsidRPr="00CF7058">
              <w:rPr>
                <w:rStyle w:val="BodyTextChar"/>
                <w:rFonts w:ascii="Arial" w:hAnsi="Arial"/>
                <w:sz w:val="16"/>
                <w:szCs w:val="16"/>
              </w:rPr>
              <w:t>Nil</w:t>
            </w:r>
          </w:p>
        </w:tc>
      </w:tr>
    </w:tbl>
    <w:p w14:paraId="76C16E81" w14:textId="77777777" w:rsidR="00946D33" w:rsidRPr="00946D33" w:rsidRDefault="00946D33" w:rsidP="00D20E25">
      <w:pPr>
        <w:rPr>
          <w:i/>
          <w:color w:val="FF0000"/>
          <w:sz w:val="12"/>
          <w:szCs w:val="12"/>
        </w:rPr>
      </w:pP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946D33" w:rsidRPr="00F71634" w14:paraId="76C16E83" w14:textId="77777777" w:rsidTr="00000A31">
        <w:trPr>
          <w:tblHeader/>
        </w:trPr>
        <w:tc>
          <w:tcPr>
            <w:tcW w:w="7741" w:type="dxa"/>
            <w:gridSpan w:val="3"/>
            <w:shd w:val="clear" w:color="auto" w:fill="F2F2F2"/>
          </w:tcPr>
          <w:p w14:paraId="76C16E82" w14:textId="0569D09F" w:rsidR="00946D33" w:rsidRPr="006906E4" w:rsidRDefault="00693FFB" w:rsidP="00000A31">
            <w:pPr>
              <w:pStyle w:val="TableColumnHeadingLeft"/>
            </w:pPr>
            <w:r>
              <w:t>Outcome 1</w:t>
            </w:r>
            <w:r w:rsidR="00B403B5">
              <w:t xml:space="preserve"> </w:t>
            </w:r>
            <w:r>
              <w:t>—</w:t>
            </w:r>
            <w:r w:rsidR="00B403B5">
              <w:t xml:space="preserve"> </w:t>
            </w:r>
            <w:r w:rsidR="00946D33">
              <w:t>Support participation and productivity through healthy and safe workplaces that minimise the impact of harm in the workplaces covered by Comcare.</w:t>
            </w:r>
          </w:p>
        </w:tc>
      </w:tr>
      <w:tr w:rsidR="00946D33" w:rsidRPr="00F71634" w14:paraId="76C16E86" w14:textId="77777777" w:rsidTr="006E4A48">
        <w:trPr>
          <w:tblHeader/>
        </w:trPr>
        <w:tc>
          <w:tcPr>
            <w:tcW w:w="7741" w:type="dxa"/>
            <w:gridSpan w:val="3"/>
            <w:shd w:val="clear" w:color="auto" w:fill="F2F2F2"/>
          </w:tcPr>
          <w:p w14:paraId="76C16E84" w14:textId="671D2D6A" w:rsidR="00946D33" w:rsidRPr="0028314B" w:rsidRDefault="00946D33" w:rsidP="00000A31">
            <w:pPr>
              <w:tabs>
                <w:tab w:val="left" w:pos="709"/>
              </w:tabs>
              <w:spacing w:before="60" w:after="60" w:line="240" w:lineRule="auto"/>
              <w:jc w:val="left"/>
              <w:rPr>
                <w:rFonts w:ascii="Arial" w:hAnsi="Arial" w:cs="Arial"/>
                <w:b/>
                <w:color w:val="000000"/>
                <w:sz w:val="16"/>
                <w:szCs w:val="16"/>
              </w:rPr>
            </w:pPr>
            <w:r>
              <w:rPr>
                <w:rFonts w:ascii="Arial" w:hAnsi="Arial" w:cs="Arial"/>
                <w:b/>
                <w:sz w:val="16"/>
                <w:szCs w:val="16"/>
              </w:rPr>
              <w:t xml:space="preserve">Program </w:t>
            </w:r>
            <w:r w:rsidRPr="005F6F33">
              <w:rPr>
                <w:rFonts w:ascii="Arial" w:hAnsi="Arial" w:cs="Arial"/>
                <w:b/>
                <w:sz w:val="16"/>
                <w:szCs w:val="16"/>
              </w:rPr>
              <w:t>Component</w:t>
            </w:r>
            <w:r>
              <w:rPr>
                <w:rFonts w:ascii="Arial" w:hAnsi="Arial" w:cs="Arial"/>
                <w:b/>
                <w:sz w:val="16"/>
                <w:szCs w:val="16"/>
              </w:rPr>
              <w:t xml:space="preserve"> 1</w:t>
            </w:r>
            <w:r w:rsidRPr="006906E4">
              <w:rPr>
                <w:rFonts w:ascii="Arial" w:hAnsi="Arial" w:cs="Arial"/>
                <w:b/>
                <w:sz w:val="16"/>
                <w:szCs w:val="16"/>
              </w:rPr>
              <w:t>.</w:t>
            </w:r>
            <w:r>
              <w:rPr>
                <w:rFonts w:ascii="Arial" w:hAnsi="Arial" w:cs="Arial"/>
                <w:b/>
                <w:sz w:val="16"/>
                <w:szCs w:val="16"/>
              </w:rPr>
              <w:t>2</w:t>
            </w:r>
            <w:r w:rsidR="00B403B5">
              <w:rPr>
                <w:rFonts w:ascii="Arial" w:hAnsi="Arial" w:cs="Arial"/>
                <w:b/>
                <w:sz w:val="16"/>
                <w:szCs w:val="16"/>
              </w:rPr>
              <w:t xml:space="preserve"> </w:t>
            </w:r>
            <w:r w:rsidRPr="00B403B5">
              <w:rPr>
                <w:rFonts w:ascii="Arial" w:hAnsi="Arial" w:cs="Arial"/>
                <w:b/>
                <w:sz w:val="16"/>
                <w:szCs w:val="16"/>
              </w:rPr>
              <w:t>—</w:t>
            </w:r>
            <w:r w:rsidR="00B403B5">
              <w:rPr>
                <w:rFonts w:ascii="Arial" w:hAnsi="Arial" w:cs="Arial"/>
                <w:sz w:val="16"/>
                <w:szCs w:val="16"/>
              </w:rPr>
              <w:t xml:space="preserve"> </w:t>
            </w:r>
            <w:r w:rsidRPr="0028314B">
              <w:rPr>
                <w:rFonts w:ascii="Arial" w:hAnsi="Arial" w:cs="Arial"/>
                <w:b/>
                <w:color w:val="000000"/>
                <w:sz w:val="16"/>
                <w:szCs w:val="16"/>
              </w:rPr>
              <w:t xml:space="preserve">Comcare Workers’ Compensation Scheme Management </w:t>
            </w:r>
          </w:p>
          <w:p w14:paraId="76C16E85" w14:textId="77777777" w:rsidR="00946D33" w:rsidRPr="00821431" w:rsidRDefault="00946D33" w:rsidP="00000A31">
            <w:pPr>
              <w:tabs>
                <w:tab w:val="left" w:pos="709"/>
              </w:tabs>
              <w:spacing w:before="60" w:after="60" w:line="240" w:lineRule="auto"/>
              <w:jc w:val="left"/>
              <w:rPr>
                <w:rFonts w:ascii="Arial" w:hAnsi="Arial" w:cs="Arial"/>
                <w:sz w:val="16"/>
                <w:szCs w:val="16"/>
              </w:rPr>
            </w:pPr>
            <w:r w:rsidRPr="0028314B">
              <w:rPr>
                <w:rFonts w:ascii="Arial" w:hAnsi="Arial" w:cs="Arial"/>
                <w:color w:val="000000"/>
                <w:sz w:val="16"/>
                <w:szCs w:val="16"/>
              </w:rPr>
              <w:t xml:space="preserve">National leader in the design, implementation and management of </w:t>
            </w:r>
            <w:r>
              <w:rPr>
                <w:rFonts w:ascii="Arial" w:hAnsi="Arial" w:cs="Arial"/>
                <w:color w:val="000000"/>
                <w:sz w:val="16"/>
                <w:szCs w:val="16"/>
              </w:rPr>
              <w:t>the</w:t>
            </w:r>
            <w:r w:rsidRPr="0028314B">
              <w:rPr>
                <w:rFonts w:ascii="Arial" w:hAnsi="Arial" w:cs="Arial"/>
                <w:color w:val="000000"/>
                <w:sz w:val="16"/>
                <w:szCs w:val="16"/>
              </w:rPr>
              <w:t xml:space="preserve"> </w:t>
            </w:r>
            <w:r>
              <w:rPr>
                <w:rFonts w:ascii="Arial" w:hAnsi="Arial" w:cs="Arial"/>
                <w:color w:val="000000"/>
                <w:sz w:val="16"/>
                <w:szCs w:val="16"/>
              </w:rPr>
              <w:t xml:space="preserve">national </w:t>
            </w:r>
            <w:r w:rsidRPr="0028314B">
              <w:rPr>
                <w:rFonts w:ascii="Arial" w:hAnsi="Arial" w:cs="Arial"/>
                <w:color w:val="000000"/>
                <w:sz w:val="16"/>
                <w:szCs w:val="16"/>
              </w:rPr>
              <w:t>scheme</w:t>
            </w:r>
            <w:r>
              <w:rPr>
                <w:rFonts w:ascii="Arial" w:hAnsi="Arial" w:cs="Arial"/>
                <w:color w:val="000000"/>
                <w:sz w:val="16"/>
                <w:szCs w:val="16"/>
              </w:rPr>
              <w:t>s</w:t>
            </w:r>
            <w:r w:rsidRPr="0028314B">
              <w:rPr>
                <w:rFonts w:ascii="Arial" w:hAnsi="Arial" w:cs="Arial"/>
                <w:color w:val="000000"/>
                <w:sz w:val="16"/>
                <w:szCs w:val="16"/>
              </w:rPr>
              <w:t xml:space="preserve"> that improves work health, safety and rehabilitation outcomes. </w:t>
            </w:r>
          </w:p>
        </w:tc>
      </w:tr>
      <w:tr w:rsidR="00946D33" w:rsidRPr="00F71634" w14:paraId="76C16E89" w14:textId="77777777" w:rsidTr="00000A31">
        <w:tc>
          <w:tcPr>
            <w:tcW w:w="1701" w:type="dxa"/>
          </w:tcPr>
          <w:p w14:paraId="76C16E87" w14:textId="77777777" w:rsidR="00946D33" w:rsidRPr="006906E4" w:rsidRDefault="00946D33" w:rsidP="00000A31">
            <w:pPr>
              <w:tabs>
                <w:tab w:val="left" w:pos="709"/>
              </w:tabs>
              <w:spacing w:before="60" w:after="60" w:line="240" w:lineRule="auto"/>
              <w:jc w:val="left"/>
              <w:rPr>
                <w:rFonts w:ascii="Arial" w:hAnsi="Arial" w:cs="Arial"/>
                <w:b/>
                <w:sz w:val="16"/>
                <w:szCs w:val="16"/>
              </w:rPr>
            </w:pPr>
            <w:r>
              <w:rPr>
                <w:rFonts w:ascii="Arial" w:hAnsi="Arial" w:cs="Arial"/>
                <w:b/>
                <w:sz w:val="16"/>
                <w:szCs w:val="16"/>
              </w:rPr>
              <w:t>Purposes</w:t>
            </w:r>
          </w:p>
        </w:tc>
        <w:tc>
          <w:tcPr>
            <w:tcW w:w="6040" w:type="dxa"/>
            <w:gridSpan w:val="2"/>
          </w:tcPr>
          <w:p w14:paraId="76C16E88" w14:textId="77777777" w:rsidR="00946D33" w:rsidRPr="006906E4" w:rsidRDefault="00946D33" w:rsidP="00000A31">
            <w:pPr>
              <w:tabs>
                <w:tab w:val="left" w:pos="709"/>
              </w:tabs>
              <w:spacing w:before="60" w:after="60" w:line="240" w:lineRule="auto"/>
              <w:jc w:val="left"/>
              <w:rPr>
                <w:rFonts w:ascii="Arial" w:hAnsi="Arial" w:cs="Arial"/>
                <w:i/>
                <w:color w:val="FF0000"/>
                <w:sz w:val="16"/>
                <w:szCs w:val="16"/>
              </w:rPr>
            </w:pPr>
            <w:r w:rsidRPr="002573A6">
              <w:rPr>
                <w:rFonts w:ascii="Arial" w:hAnsi="Arial" w:cs="Arial"/>
                <w:color w:val="000000"/>
                <w:sz w:val="16"/>
                <w:szCs w:val="16"/>
              </w:rPr>
              <w:t>Excellence in scheme design and management</w:t>
            </w:r>
            <w:r>
              <w:rPr>
                <w:rFonts w:ascii="Arial" w:hAnsi="Arial" w:cs="Arial"/>
                <w:i/>
                <w:color w:val="000000"/>
                <w:sz w:val="16"/>
                <w:szCs w:val="16"/>
              </w:rPr>
              <w:t>—</w:t>
            </w:r>
            <w:r w:rsidRPr="004F5E4E">
              <w:rPr>
                <w:rFonts w:ascii="Arial" w:hAnsi="Arial" w:cs="Arial"/>
                <w:color w:val="000000"/>
                <w:sz w:val="16"/>
                <w:szCs w:val="16"/>
              </w:rPr>
              <w:t xml:space="preserve">Excellence in scheme design and management to achieve sustainable and better </w:t>
            </w:r>
            <w:r>
              <w:rPr>
                <w:rFonts w:ascii="Arial" w:hAnsi="Arial" w:cs="Arial"/>
                <w:color w:val="000000"/>
                <w:sz w:val="16"/>
                <w:szCs w:val="16"/>
              </w:rPr>
              <w:t xml:space="preserve">practice </w:t>
            </w:r>
            <w:r w:rsidRPr="004F5E4E">
              <w:rPr>
                <w:rFonts w:ascii="Arial" w:hAnsi="Arial" w:cs="Arial"/>
                <w:color w:val="000000"/>
                <w:sz w:val="16"/>
                <w:szCs w:val="16"/>
              </w:rPr>
              <w:t>national schemes.</w:t>
            </w:r>
          </w:p>
        </w:tc>
      </w:tr>
      <w:tr w:rsidR="00946D33" w:rsidRPr="00F71634" w14:paraId="76C16E91" w14:textId="77777777" w:rsidTr="00000A31">
        <w:tc>
          <w:tcPr>
            <w:tcW w:w="1701" w:type="dxa"/>
            <w:tcBorders>
              <w:bottom w:val="double" w:sz="4" w:space="0" w:color="auto"/>
            </w:tcBorders>
          </w:tcPr>
          <w:p w14:paraId="76C16E8A"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gridSpan w:val="2"/>
            <w:tcBorders>
              <w:bottom w:val="double" w:sz="4" w:space="0" w:color="auto"/>
            </w:tcBorders>
          </w:tcPr>
          <w:p w14:paraId="76C16E8B" w14:textId="77777777" w:rsidR="00946D33" w:rsidRDefault="00946D33" w:rsidP="00053DB9">
            <w:pPr>
              <w:pStyle w:val="TableTextBullet"/>
              <w:contextualSpacing/>
              <w:rPr>
                <w:rFonts w:cs="Arial"/>
                <w:sz w:val="16"/>
                <w:szCs w:val="16"/>
              </w:rPr>
            </w:pPr>
            <w:r w:rsidRPr="00BC2065">
              <w:rPr>
                <w:rFonts w:cs="Arial"/>
                <w:sz w:val="16"/>
                <w:szCs w:val="16"/>
              </w:rPr>
              <w:t>Stakeholder engagement:</w:t>
            </w:r>
          </w:p>
          <w:p w14:paraId="76C16E8C" w14:textId="202E2B1B" w:rsidR="00946D33" w:rsidRDefault="00946D33" w:rsidP="00DB03C6">
            <w:pPr>
              <w:pStyle w:val="Bullet1"/>
              <w:numPr>
                <w:ilvl w:val="1"/>
                <w:numId w:val="24"/>
              </w:numPr>
              <w:spacing w:after="60" w:line="252" w:lineRule="auto"/>
              <w:ind w:left="567" w:hanging="227"/>
              <w:rPr>
                <w:rFonts w:ascii="Arial" w:hAnsi="Arial" w:cs="Arial"/>
                <w:sz w:val="16"/>
                <w:szCs w:val="16"/>
              </w:rPr>
            </w:pPr>
            <w:r w:rsidRPr="00BC2065">
              <w:rPr>
                <w:rFonts w:ascii="Arial" w:hAnsi="Arial" w:cs="Arial"/>
                <w:sz w:val="16"/>
                <w:szCs w:val="16"/>
              </w:rPr>
              <w:t>supporting key stakeholders including the Safety, Rehabilitation and Compensation Commission</w:t>
            </w:r>
            <w:r>
              <w:rPr>
                <w:rFonts w:ascii="Arial" w:hAnsi="Arial" w:cs="Arial"/>
                <w:sz w:val="16"/>
                <w:szCs w:val="16"/>
              </w:rPr>
              <w:t xml:space="preserve"> (SRCC)</w:t>
            </w:r>
            <w:r w:rsidRPr="00BC2065">
              <w:rPr>
                <w:rFonts w:ascii="Arial" w:hAnsi="Arial" w:cs="Arial"/>
                <w:sz w:val="16"/>
                <w:szCs w:val="16"/>
              </w:rPr>
              <w:t xml:space="preserve"> and the Seacare Authority</w:t>
            </w:r>
            <w:r w:rsidR="008C19F6">
              <w:rPr>
                <w:rFonts w:ascii="Arial" w:hAnsi="Arial" w:cs="Arial"/>
                <w:sz w:val="16"/>
                <w:szCs w:val="16"/>
              </w:rPr>
              <w:t>, and</w:t>
            </w:r>
          </w:p>
          <w:p w14:paraId="76C16E8D" w14:textId="77777777" w:rsidR="00946D33" w:rsidRDefault="00946D33" w:rsidP="00DB03C6">
            <w:pPr>
              <w:pStyle w:val="Bullet1"/>
              <w:numPr>
                <w:ilvl w:val="1"/>
                <w:numId w:val="24"/>
              </w:numPr>
              <w:spacing w:after="60" w:line="252" w:lineRule="auto"/>
              <w:ind w:left="567" w:hanging="227"/>
              <w:rPr>
                <w:rFonts w:ascii="Arial" w:hAnsi="Arial" w:cs="Arial"/>
                <w:sz w:val="16"/>
                <w:szCs w:val="16"/>
              </w:rPr>
            </w:pPr>
            <w:r w:rsidRPr="00BC2065">
              <w:rPr>
                <w:rFonts w:ascii="Arial" w:hAnsi="Arial" w:cs="Arial"/>
                <w:sz w:val="16"/>
                <w:szCs w:val="16"/>
              </w:rPr>
              <w:t xml:space="preserve">advocating and implementing change to deliver better practice and consistency across the schemes. </w:t>
            </w:r>
          </w:p>
          <w:p w14:paraId="76C16E8E" w14:textId="77777777" w:rsidR="00946D33" w:rsidRPr="00CA7ABB" w:rsidRDefault="00946D33" w:rsidP="00053DB9">
            <w:pPr>
              <w:pStyle w:val="TableTextBullet"/>
              <w:contextualSpacing/>
              <w:rPr>
                <w:rFonts w:cs="Arial"/>
                <w:sz w:val="16"/>
                <w:szCs w:val="16"/>
              </w:rPr>
            </w:pPr>
            <w:r w:rsidRPr="00CA7ABB">
              <w:rPr>
                <w:rFonts w:cs="Arial"/>
                <w:sz w:val="16"/>
                <w:szCs w:val="16"/>
              </w:rPr>
              <w:t>Implement holistic employer engagement across Comcare using tailored and targeted service offerings including improved accessibility and digitisation.</w:t>
            </w:r>
          </w:p>
          <w:p w14:paraId="76C16E8F" w14:textId="77777777" w:rsidR="00946D33" w:rsidRDefault="00946D33" w:rsidP="00053DB9">
            <w:pPr>
              <w:pStyle w:val="TableTextBullet"/>
              <w:contextualSpacing/>
              <w:rPr>
                <w:rFonts w:cs="Arial"/>
                <w:sz w:val="16"/>
                <w:szCs w:val="16"/>
              </w:rPr>
            </w:pPr>
            <w:r w:rsidRPr="00CA7ABB">
              <w:rPr>
                <w:rFonts w:cs="Arial"/>
                <w:sz w:val="16"/>
                <w:szCs w:val="16"/>
              </w:rPr>
              <w:t>Implement a provider framework that assures high quality services from scheme providers.</w:t>
            </w:r>
          </w:p>
          <w:p w14:paraId="76C16E90" w14:textId="77777777" w:rsidR="00946D33" w:rsidRPr="00BC2065" w:rsidRDefault="00946D33" w:rsidP="00053DB9">
            <w:pPr>
              <w:pStyle w:val="TableTextBullet"/>
              <w:contextualSpacing/>
              <w:rPr>
                <w:rFonts w:cs="Arial"/>
                <w:sz w:val="16"/>
                <w:szCs w:val="16"/>
              </w:rPr>
            </w:pPr>
            <w:r w:rsidRPr="001A1E28">
              <w:rPr>
                <w:rFonts w:cs="Arial"/>
                <w:sz w:val="16"/>
                <w:szCs w:val="16"/>
              </w:rPr>
              <w:t>Improve scheme-wide analytics and reporting products.</w:t>
            </w:r>
          </w:p>
        </w:tc>
      </w:tr>
      <w:tr w:rsidR="00946D33" w:rsidRPr="00F71634" w14:paraId="76C16E94" w14:textId="77777777" w:rsidTr="00000A31">
        <w:tc>
          <w:tcPr>
            <w:tcW w:w="7741" w:type="dxa"/>
            <w:gridSpan w:val="3"/>
            <w:tcBorders>
              <w:top w:val="double" w:sz="4" w:space="0" w:color="auto"/>
              <w:bottom w:val="double" w:sz="4" w:space="0" w:color="auto"/>
            </w:tcBorders>
          </w:tcPr>
          <w:p w14:paraId="76C16E93"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946D33" w:rsidRPr="00F71634" w14:paraId="76C16E98" w14:textId="77777777" w:rsidTr="005A0812">
        <w:tc>
          <w:tcPr>
            <w:tcW w:w="1701" w:type="dxa"/>
            <w:tcBorders>
              <w:top w:val="double" w:sz="4" w:space="0" w:color="auto"/>
              <w:bottom w:val="single" w:sz="4" w:space="0" w:color="auto"/>
              <w:right w:val="single" w:sz="4" w:space="0" w:color="auto"/>
            </w:tcBorders>
          </w:tcPr>
          <w:p w14:paraId="76C16E95"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76C16E96"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565" w:type="dxa"/>
            <w:tcBorders>
              <w:top w:val="double" w:sz="4" w:space="0" w:color="auto"/>
              <w:left w:val="single" w:sz="4" w:space="0" w:color="auto"/>
              <w:bottom w:val="single" w:sz="4" w:space="0" w:color="auto"/>
            </w:tcBorders>
          </w:tcPr>
          <w:p w14:paraId="76C16E97"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946D33" w:rsidRPr="00F71634" w14:paraId="76C16E9C" w14:textId="77777777" w:rsidTr="00E74385">
        <w:trPr>
          <w:trHeight w:val="60"/>
        </w:trPr>
        <w:tc>
          <w:tcPr>
            <w:tcW w:w="1701" w:type="dxa"/>
            <w:tcBorders>
              <w:top w:val="single" w:sz="4" w:space="0" w:color="auto"/>
              <w:bottom w:val="single" w:sz="4" w:space="0" w:color="auto"/>
              <w:right w:val="single" w:sz="4" w:space="0" w:color="auto"/>
            </w:tcBorders>
          </w:tcPr>
          <w:p w14:paraId="76C16E99" w14:textId="77777777" w:rsidR="00946D33" w:rsidRPr="006906E4" w:rsidRDefault="009A4174" w:rsidP="00000A31">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2018–19 </w:t>
            </w:r>
          </w:p>
        </w:tc>
        <w:tc>
          <w:tcPr>
            <w:tcW w:w="3475" w:type="dxa"/>
            <w:tcBorders>
              <w:top w:val="single" w:sz="4" w:space="0" w:color="auto"/>
              <w:left w:val="single" w:sz="4" w:space="0" w:color="auto"/>
              <w:bottom w:val="single" w:sz="4" w:space="0" w:color="auto"/>
              <w:right w:val="single" w:sz="4" w:space="0" w:color="auto"/>
            </w:tcBorders>
          </w:tcPr>
          <w:p w14:paraId="76C16E9A" w14:textId="77777777" w:rsidR="00946D33" w:rsidRPr="0028314B" w:rsidRDefault="00946D33" w:rsidP="00000A31">
            <w:pPr>
              <w:tabs>
                <w:tab w:val="left" w:pos="709"/>
              </w:tabs>
              <w:spacing w:before="60" w:after="60" w:line="240" w:lineRule="auto"/>
              <w:jc w:val="left"/>
              <w:rPr>
                <w:rFonts w:ascii="Arial" w:hAnsi="Arial" w:cs="Arial"/>
                <w:color w:val="000000"/>
                <w:sz w:val="16"/>
                <w:szCs w:val="16"/>
              </w:rPr>
            </w:pPr>
            <w:r w:rsidRPr="0028314B">
              <w:rPr>
                <w:rFonts w:ascii="Arial" w:hAnsi="Arial" w:cs="Arial"/>
                <w:color w:val="000000"/>
                <w:sz w:val="16"/>
                <w:szCs w:val="16"/>
              </w:rPr>
              <w:t>Return to work rates developed through the existing biennial Return to Work Survey indicating the rehabilitation outcomes achieved.</w:t>
            </w:r>
          </w:p>
        </w:tc>
        <w:tc>
          <w:tcPr>
            <w:tcW w:w="2565" w:type="dxa"/>
            <w:tcBorders>
              <w:top w:val="single" w:sz="4" w:space="0" w:color="auto"/>
              <w:left w:val="single" w:sz="4" w:space="0" w:color="auto"/>
              <w:bottom w:val="single" w:sz="4" w:space="0" w:color="auto"/>
            </w:tcBorders>
          </w:tcPr>
          <w:p w14:paraId="76C16E9B" w14:textId="4C6042B5" w:rsidR="00946D33" w:rsidRPr="0028314B" w:rsidRDefault="00946D33" w:rsidP="008C19F6">
            <w:pPr>
              <w:tabs>
                <w:tab w:val="left" w:pos="709"/>
                <w:tab w:val="right" w:pos="2349"/>
              </w:tabs>
              <w:spacing w:before="60" w:after="60" w:line="240" w:lineRule="auto"/>
              <w:jc w:val="left"/>
              <w:rPr>
                <w:rFonts w:ascii="Arial" w:hAnsi="Arial" w:cs="Arial"/>
                <w:b/>
                <w:color w:val="000000"/>
                <w:sz w:val="16"/>
                <w:szCs w:val="16"/>
              </w:rPr>
            </w:pPr>
            <w:r w:rsidRPr="0028314B">
              <w:rPr>
                <w:rFonts w:ascii="Arial" w:hAnsi="Arial" w:cs="Arial"/>
                <w:b/>
                <w:color w:val="000000"/>
                <w:sz w:val="16"/>
                <w:szCs w:val="16"/>
              </w:rPr>
              <w:t xml:space="preserve">Assessment: </w:t>
            </w:r>
            <w:r w:rsidRPr="0028314B">
              <w:rPr>
                <w:rFonts w:ascii="Arial" w:hAnsi="Arial" w:cs="Arial"/>
                <w:color w:val="000000"/>
                <w:sz w:val="16"/>
                <w:szCs w:val="16"/>
              </w:rPr>
              <w:t>On track</w:t>
            </w:r>
            <w:r w:rsidR="008C19F6">
              <w:rPr>
                <w:rFonts w:ascii="Arial" w:hAnsi="Arial" w:cs="Arial"/>
                <w:color w:val="000000"/>
                <w:sz w:val="16"/>
                <w:szCs w:val="16"/>
              </w:rPr>
              <w:t>.</w:t>
            </w:r>
          </w:p>
        </w:tc>
      </w:tr>
      <w:tr w:rsidR="00946D33" w:rsidRPr="00F71634" w14:paraId="76C16EA0" w14:textId="77777777" w:rsidTr="00E74385">
        <w:tc>
          <w:tcPr>
            <w:tcW w:w="1701" w:type="dxa"/>
            <w:tcBorders>
              <w:left w:val="nil"/>
              <w:bottom w:val="nil"/>
              <w:right w:val="nil"/>
            </w:tcBorders>
          </w:tcPr>
          <w:p w14:paraId="76C16E9D" w14:textId="77777777" w:rsidR="00946D33" w:rsidRDefault="00946D33"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nil"/>
              <w:bottom w:val="nil"/>
              <w:right w:val="nil"/>
            </w:tcBorders>
          </w:tcPr>
          <w:p w14:paraId="76C16E9E" w14:textId="15D418C7" w:rsidR="00946D33" w:rsidRPr="0028314B" w:rsidRDefault="00946D33" w:rsidP="00000A31">
            <w:pPr>
              <w:spacing w:before="60" w:after="60" w:line="240" w:lineRule="auto"/>
              <w:jc w:val="left"/>
              <w:rPr>
                <w:rFonts w:ascii="Arial" w:hAnsi="Arial" w:cs="Arial"/>
                <w:color w:val="000000"/>
                <w:sz w:val="16"/>
                <w:szCs w:val="16"/>
              </w:rPr>
            </w:pPr>
          </w:p>
        </w:tc>
        <w:tc>
          <w:tcPr>
            <w:tcW w:w="2565" w:type="dxa"/>
            <w:tcBorders>
              <w:top w:val="single" w:sz="4" w:space="0" w:color="auto"/>
              <w:left w:val="nil"/>
              <w:bottom w:val="nil"/>
              <w:right w:val="nil"/>
            </w:tcBorders>
          </w:tcPr>
          <w:p w14:paraId="76C16E9F" w14:textId="78ADFAD5" w:rsidR="00946D33" w:rsidRPr="0028314B" w:rsidRDefault="00946D33" w:rsidP="00000A31">
            <w:pPr>
              <w:tabs>
                <w:tab w:val="left" w:pos="709"/>
              </w:tabs>
              <w:spacing w:before="60" w:after="60" w:line="240" w:lineRule="auto"/>
              <w:jc w:val="left"/>
              <w:rPr>
                <w:rFonts w:ascii="Arial" w:hAnsi="Arial" w:cs="Arial"/>
                <w:i/>
                <w:color w:val="000000"/>
                <w:sz w:val="16"/>
                <w:szCs w:val="16"/>
              </w:rPr>
            </w:pPr>
          </w:p>
        </w:tc>
      </w:tr>
      <w:tr w:rsidR="00E74385" w:rsidRPr="00F71634" w14:paraId="175F6DDE" w14:textId="77777777" w:rsidTr="00E74385">
        <w:tc>
          <w:tcPr>
            <w:tcW w:w="1701" w:type="dxa"/>
            <w:vMerge w:val="restart"/>
            <w:tcBorders>
              <w:top w:val="single" w:sz="4" w:space="0" w:color="auto"/>
              <w:right w:val="single" w:sz="4" w:space="0" w:color="auto"/>
            </w:tcBorders>
          </w:tcPr>
          <w:p w14:paraId="79ED1CE0" w14:textId="77777777" w:rsidR="00E74385" w:rsidRDefault="00E74385" w:rsidP="00E74385">
            <w:pPr>
              <w:tabs>
                <w:tab w:val="left" w:pos="709"/>
              </w:tabs>
              <w:spacing w:before="60" w:after="60" w:line="240" w:lineRule="auto"/>
              <w:jc w:val="left"/>
              <w:rPr>
                <w:rFonts w:ascii="Arial" w:hAnsi="Arial" w:cs="Arial"/>
                <w:sz w:val="16"/>
                <w:szCs w:val="16"/>
              </w:rPr>
            </w:pPr>
          </w:p>
          <w:p w14:paraId="77005EB9" w14:textId="15513A1D" w:rsidR="00E74385" w:rsidRDefault="00E74385" w:rsidP="00E74385">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643ECD20" w14:textId="236909E6" w:rsidR="00E74385" w:rsidRPr="0028314B" w:rsidRDefault="00E74385" w:rsidP="00E74385">
            <w:pPr>
              <w:spacing w:before="60" w:after="60" w:line="240" w:lineRule="auto"/>
              <w:jc w:val="left"/>
              <w:rPr>
                <w:rFonts w:ascii="Arial" w:hAnsi="Arial" w:cs="Arial"/>
                <w:color w:val="000000"/>
                <w:sz w:val="16"/>
                <w:szCs w:val="16"/>
              </w:rPr>
            </w:pPr>
            <w:r w:rsidRPr="0028314B">
              <w:rPr>
                <w:rFonts w:ascii="Arial" w:hAnsi="Arial" w:cs="Arial"/>
                <w:color w:val="000000"/>
                <w:sz w:val="16"/>
                <w:szCs w:val="16"/>
              </w:rPr>
              <w:t>Improve the financial sustainability of the scheme measured by notional premium rate.</w:t>
            </w:r>
          </w:p>
        </w:tc>
        <w:tc>
          <w:tcPr>
            <w:tcW w:w="2565" w:type="dxa"/>
            <w:tcBorders>
              <w:top w:val="single" w:sz="4" w:space="0" w:color="auto"/>
              <w:left w:val="single" w:sz="4" w:space="0" w:color="auto"/>
              <w:bottom w:val="single" w:sz="4" w:space="0" w:color="auto"/>
            </w:tcBorders>
          </w:tcPr>
          <w:p w14:paraId="58503072" w14:textId="457CA708" w:rsidR="00E74385" w:rsidRPr="00BC4EA5" w:rsidRDefault="00E74385" w:rsidP="00E74385">
            <w:pPr>
              <w:tabs>
                <w:tab w:val="left" w:pos="709"/>
              </w:tabs>
              <w:spacing w:before="60" w:after="60" w:line="240" w:lineRule="auto"/>
              <w:jc w:val="left"/>
              <w:rPr>
                <w:rFonts w:ascii="Arial" w:hAnsi="Arial" w:cs="Arial"/>
                <w:b/>
                <w:color w:val="000000"/>
                <w:sz w:val="16"/>
                <w:szCs w:val="16"/>
              </w:rPr>
            </w:pPr>
            <w:r w:rsidRPr="00BC4EA5">
              <w:rPr>
                <w:rFonts w:ascii="Arial" w:hAnsi="Arial" w:cs="Arial"/>
                <w:b/>
                <w:color w:val="000000"/>
                <w:sz w:val="16"/>
                <w:szCs w:val="16"/>
              </w:rPr>
              <w:t xml:space="preserve">Assessment: </w:t>
            </w:r>
            <w:r w:rsidRPr="00BC4EA5">
              <w:rPr>
                <w:rFonts w:ascii="Arial" w:hAnsi="Arial" w:cs="Arial"/>
                <w:color w:val="000000"/>
                <w:sz w:val="16"/>
                <w:szCs w:val="16"/>
              </w:rPr>
              <w:t>On track</w:t>
            </w:r>
            <w:r>
              <w:rPr>
                <w:rFonts w:ascii="Arial" w:hAnsi="Arial" w:cs="Arial"/>
                <w:color w:val="000000"/>
                <w:sz w:val="16"/>
                <w:szCs w:val="16"/>
              </w:rPr>
              <w:t>.</w:t>
            </w:r>
          </w:p>
        </w:tc>
      </w:tr>
      <w:tr w:rsidR="00E74385" w:rsidRPr="00F71634" w14:paraId="76C16EA4" w14:textId="77777777" w:rsidTr="005A0812">
        <w:tc>
          <w:tcPr>
            <w:tcW w:w="1701" w:type="dxa"/>
            <w:vMerge/>
            <w:tcBorders>
              <w:bottom w:val="dotted" w:sz="4" w:space="0" w:color="auto"/>
              <w:right w:val="single" w:sz="4" w:space="0" w:color="auto"/>
            </w:tcBorders>
          </w:tcPr>
          <w:p w14:paraId="76C16EA1" w14:textId="01DBE0AD" w:rsidR="00E74385" w:rsidRDefault="00E74385" w:rsidP="00E74385">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6EA2" w14:textId="7ABF994D" w:rsidR="00E74385" w:rsidRPr="0028314B" w:rsidRDefault="00E74385" w:rsidP="00E74385">
            <w:pPr>
              <w:spacing w:before="60" w:after="60" w:line="240" w:lineRule="auto"/>
              <w:jc w:val="left"/>
              <w:rPr>
                <w:rFonts w:ascii="Arial" w:hAnsi="Arial" w:cs="Arial"/>
                <w:color w:val="000000"/>
                <w:sz w:val="16"/>
                <w:szCs w:val="16"/>
              </w:rPr>
            </w:pPr>
            <w:r w:rsidRPr="0028314B">
              <w:rPr>
                <w:rFonts w:ascii="Arial" w:hAnsi="Arial" w:cs="Arial"/>
                <w:color w:val="000000"/>
                <w:sz w:val="16"/>
                <w:szCs w:val="16"/>
              </w:rPr>
              <w:t>Better practice scheme management assessed through qualitative review.</w:t>
            </w:r>
          </w:p>
        </w:tc>
        <w:tc>
          <w:tcPr>
            <w:tcW w:w="2565" w:type="dxa"/>
            <w:tcBorders>
              <w:top w:val="single" w:sz="4" w:space="0" w:color="auto"/>
              <w:left w:val="single" w:sz="4" w:space="0" w:color="auto"/>
              <w:bottom w:val="dotted" w:sz="4" w:space="0" w:color="auto"/>
            </w:tcBorders>
          </w:tcPr>
          <w:p w14:paraId="76C16EA3" w14:textId="0EFB32BA" w:rsidR="00E74385" w:rsidRPr="0028314B" w:rsidRDefault="00E74385" w:rsidP="00E74385">
            <w:pPr>
              <w:tabs>
                <w:tab w:val="left" w:pos="709"/>
              </w:tabs>
              <w:spacing w:before="60" w:after="60" w:line="240" w:lineRule="auto"/>
              <w:jc w:val="left"/>
              <w:rPr>
                <w:rFonts w:ascii="Arial" w:hAnsi="Arial" w:cs="Arial"/>
                <w:i/>
                <w:color w:val="000000"/>
                <w:sz w:val="16"/>
                <w:szCs w:val="16"/>
              </w:rPr>
            </w:pPr>
            <w:r w:rsidRPr="00BC4EA5">
              <w:rPr>
                <w:rFonts w:ascii="Arial" w:hAnsi="Arial" w:cs="Arial"/>
                <w:b/>
                <w:color w:val="000000"/>
                <w:sz w:val="16"/>
                <w:szCs w:val="16"/>
              </w:rPr>
              <w:t xml:space="preserve">Assessment: </w:t>
            </w:r>
            <w:r w:rsidRPr="00BC4EA5">
              <w:rPr>
                <w:rFonts w:ascii="Arial" w:hAnsi="Arial" w:cs="Arial"/>
                <w:color w:val="000000"/>
                <w:sz w:val="16"/>
                <w:szCs w:val="16"/>
              </w:rPr>
              <w:t>On track</w:t>
            </w:r>
            <w:r>
              <w:rPr>
                <w:rFonts w:ascii="Arial" w:hAnsi="Arial" w:cs="Arial"/>
                <w:color w:val="000000"/>
                <w:sz w:val="16"/>
                <w:szCs w:val="16"/>
              </w:rPr>
              <w:t>.</w:t>
            </w:r>
          </w:p>
        </w:tc>
      </w:tr>
      <w:tr w:rsidR="00E74385" w:rsidRPr="00F71634" w14:paraId="76C16EA8" w14:textId="77777777" w:rsidTr="005A0812">
        <w:tc>
          <w:tcPr>
            <w:tcW w:w="1701" w:type="dxa"/>
            <w:vMerge w:val="restart"/>
            <w:tcBorders>
              <w:top w:val="dotted" w:sz="4" w:space="0" w:color="auto"/>
              <w:right w:val="single" w:sz="4" w:space="0" w:color="auto"/>
            </w:tcBorders>
          </w:tcPr>
          <w:p w14:paraId="76C16EA5" w14:textId="77777777" w:rsidR="00E74385" w:rsidRPr="006906E4" w:rsidRDefault="00E74385" w:rsidP="00E74385">
            <w:pPr>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475" w:type="dxa"/>
            <w:tcBorders>
              <w:top w:val="dotted" w:sz="4" w:space="0" w:color="auto"/>
              <w:left w:val="single" w:sz="4" w:space="0" w:color="auto"/>
              <w:bottom w:val="single" w:sz="4" w:space="0" w:color="auto"/>
              <w:right w:val="single" w:sz="4" w:space="0" w:color="auto"/>
            </w:tcBorders>
          </w:tcPr>
          <w:p w14:paraId="76C16EA6" w14:textId="77777777" w:rsidR="00E74385" w:rsidRPr="0028314B" w:rsidRDefault="00E74385" w:rsidP="00E74385">
            <w:pPr>
              <w:tabs>
                <w:tab w:val="left" w:pos="709"/>
              </w:tabs>
              <w:spacing w:before="60" w:after="60" w:line="240" w:lineRule="auto"/>
              <w:jc w:val="left"/>
              <w:rPr>
                <w:rFonts w:ascii="Arial" w:hAnsi="Arial" w:cs="Arial"/>
                <w:color w:val="000000"/>
                <w:sz w:val="16"/>
                <w:szCs w:val="16"/>
              </w:rPr>
            </w:pPr>
            <w:r w:rsidRPr="00F469A2">
              <w:rPr>
                <w:rFonts w:ascii="Arial" w:hAnsi="Arial" w:cs="Arial"/>
                <w:color w:val="000000"/>
                <w:sz w:val="16"/>
                <w:szCs w:val="16"/>
              </w:rPr>
              <w:t>Sustainable schemes evidenced through outcomes achieved by scheme participants and providers (including financial and return to work outcomes).</w:t>
            </w:r>
          </w:p>
        </w:tc>
        <w:tc>
          <w:tcPr>
            <w:tcW w:w="2565" w:type="dxa"/>
            <w:tcBorders>
              <w:top w:val="dotted" w:sz="4" w:space="0" w:color="auto"/>
              <w:left w:val="single" w:sz="4" w:space="0" w:color="auto"/>
              <w:bottom w:val="single" w:sz="4" w:space="0" w:color="auto"/>
            </w:tcBorders>
          </w:tcPr>
          <w:p w14:paraId="76C16EA7" w14:textId="77777777" w:rsidR="00E74385" w:rsidRPr="0028314B" w:rsidRDefault="00E74385" w:rsidP="00E74385">
            <w:pPr>
              <w:tabs>
                <w:tab w:val="left" w:pos="709"/>
              </w:tabs>
              <w:spacing w:before="60" w:after="60" w:line="240" w:lineRule="auto"/>
              <w:jc w:val="left"/>
              <w:rPr>
                <w:rFonts w:ascii="Arial" w:hAnsi="Arial" w:cs="Arial"/>
                <w:color w:val="000000"/>
                <w:sz w:val="16"/>
                <w:szCs w:val="16"/>
              </w:rPr>
            </w:pPr>
            <w:r>
              <w:rPr>
                <w:rFonts w:ascii="Arial" w:hAnsi="Arial" w:cs="Arial"/>
                <w:color w:val="000000"/>
                <w:sz w:val="16"/>
                <w:szCs w:val="16"/>
              </w:rPr>
              <w:t>Improved return to work rates and financial sustainability measured by notional premium rate.</w:t>
            </w:r>
          </w:p>
        </w:tc>
      </w:tr>
      <w:tr w:rsidR="00E74385" w:rsidRPr="00F71634" w14:paraId="76C16EAC" w14:textId="77777777" w:rsidTr="005A0812">
        <w:tc>
          <w:tcPr>
            <w:tcW w:w="1701" w:type="dxa"/>
            <w:vMerge/>
            <w:tcBorders>
              <w:right w:val="single" w:sz="4" w:space="0" w:color="auto"/>
            </w:tcBorders>
          </w:tcPr>
          <w:p w14:paraId="76C16EA9" w14:textId="77777777" w:rsidR="00E74385" w:rsidRDefault="00E74385" w:rsidP="00E74385">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EAA" w14:textId="77777777" w:rsidR="00E74385" w:rsidRPr="0028314B" w:rsidRDefault="00E74385" w:rsidP="00E74385">
            <w:pPr>
              <w:spacing w:before="60" w:after="60" w:line="240" w:lineRule="auto"/>
              <w:jc w:val="left"/>
              <w:rPr>
                <w:rFonts w:ascii="Arial" w:hAnsi="Arial" w:cs="Arial"/>
                <w:color w:val="000000"/>
                <w:sz w:val="16"/>
                <w:szCs w:val="16"/>
              </w:rPr>
            </w:pPr>
            <w:r w:rsidRPr="00F469A2">
              <w:rPr>
                <w:rFonts w:ascii="Arial" w:hAnsi="Arial" w:cs="Arial"/>
                <w:color w:val="000000"/>
                <w:sz w:val="16"/>
                <w:szCs w:val="16"/>
              </w:rPr>
              <w:t>Schemes identify and adopt better practice as far as possible, measured by benchmarking against better practice.</w:t>
            </w:r>
          </w:p>
        </w:tc>
        <w:tc>
          <w:tcPr>
            <w:tcW w:w="2565" w:type="dxa"/>
            <w:tcBorders>
              <w:top w:val="single" w:sz="4" w:space="0" w:color="auto"/>
              <w:left w:val="single" w:sz="4" w:space="0" w:color="auto"/>
              <w:bottom w:val="single" w:sz="4" w:space="0" w:color="auto"/>
            </w:tcBorders>
          </w:tcPr>
          <w:p w14:paraId="76C16EAB" w14:textId="77777777" w:rsidR="00E74385" w:rsidRPr="0028314B" w:rsidRDefault="00E74385" w:rsidP="00E74385">
            <w:pPr>
              <w:tabs>
                <w:tab w:val="left" w:pos="709"/>
              </w:tabs>
              <w:spacing w:before="60" w:after="60" w:line="240" w:lineRule="auto"/>
              <w:jc w:val="left"/>
              <w:rPr>
                <w:rFonts w:ascii="Arial" w:hAnsi="Arial" w:cs="Arial"/>
                <w:color w:val="000000"/>
                <w:sz w:val="16"/>
                <w:szCs w:val="16"/>
              </w:rPr>
            </w:pPr>
            <w:r>
              <w:rPr>
                <w:rFonts w:ascii="Arial" w:hAnsi="Arial" w:cs="Arial"/>
                <w:color w:val="000000"/>
                <w:sz w:val="16"/>
                <w:szCs w:val="16"/>
              </w:rPr>
              <w:t>Improvement in b</w:t>
            </w:r>
            <w:r w:rsidRPr="00F469A2">
              <w:rPr>
                <w:rFonts w:ascii="Arial" w:hAnsi="Arial" w:cs="Arial"/>
                <w:color w:val="000000"/>
                <w:sz w:val="16"/>
                <w:szCs w:val="16"/>
              </w:rPr>
              <w:t xml:space="preserve">etter practice scheme management </w:t>
            </w:r>
            <w:r>
              <w:rPr>
                <w:rFonts w:ascii="Arial" w:hAnsi="Arial" w:cs="Arial"/>
                <w:color w:val="000000"/>
                <w:sz w:val="16"/>
                <w:szCs w:val="16"/>
              </w:rPr>
              <w:t>measured against relevant benchmarks</w:t>
            </w:r>
            <w:r w:rsidRPr="00F469A2">
              <w:rPr>
                <w:rFonts w:ascii="Arial" w:hAnsi="Arial" w:cs="Arial"/>
                <w:color w:val="000000"/>
                <w:sz w:val="16"/>
                <w:szCs w:val="16"/>
              </w:rPr>
              <w:t>.</w:t>
            </w:r>
          </w:p>
        </w:tc>
      </w:tr>
      <w:tr w:rsidR="00E74385" w:rsidRPr="00F71634" w14:paraId="76C16EB0" w14:textId="77777777" w:rsidTr="005A0812">
        <w:tc>
          <w:tcPr>
            <w:tcW w:w="1701" w:type="dxa"/>
            <w:vMerge/>
            <w:tcBorders>
              <w:bottom w:val="dotted" w:sz="4" w:space="0" w:color="auto"/>
              <w:right w:val="single" w:sz="4" w:space="0" w:color="auto"/>
            </w:tcBorders>
          </w:tcPr>
          <w:p w14:paraId="76C16EAD" w14:textId="77777777" w:rsidR="00E74385" w:rsidRDefault="00E74385" w:rsidP="00E74385">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6EAE" w14:textId="77777777" w:rsidR="00E74385" w:rsidRPr="0028314B" w:rsidRDefault="00E74385" w:rsidP="00E74385">
            <w:pPr>
              <w:spacing w:before="60" w:after="60" w:line="240" w:lineRule="auto"/>
              <w:jc w:val="left"/>
              <w:rPr>
                <w:rFonts w:ascii="Arial" w:hAnsi="Arial" w:cs="Arial"/>
                <w:color w:val="000000"/>
                <w:sz w:val="16"/>
                <w:szCs w:val="16"/>
              </w:rPr>
            </w:pPr>
            <w:r w:rsidRPr="00F469A2">
              <w:rPr>
                <w:rFonts w:ascii="Arial" w:hAnsi="Arial" w:cs="Arial"/>
                <w:color w:val="000000"/>
                <w:sz w:val="16"/>
                <w:szCs w:val="16"/>
              </w:rPr>
              <w:t>Assurance over scheme operations under licence, approval or delegation achieved (evidence of compliance and required behaviours and practices).</w:t>
            </w:r>
          </w:p>
        </w:tc>
        <w:tc>
          <w:tcPr>
            <w:tcW w:w="2565" w:type="dxa"/>
            <w:tcBorders>
              <w:top w:val="single" w:sz="4" w:space="0" w:color="auto"/>
              <w:left w:val="single" w:sz="4" w:space="0" w:color="auto"/>
              <w:bottom w:val="dotted" w:sz="4" w:space="0" w:color="auto"/>
            </w:tcBorders>
          </w:tcPr>
          <w:p w14:paraId="76C16EAF" w14:textId="77777777" w:rsidR="00E74385" w:rsidRPr="0028314B" w:rsidRDefault="00E74385" w:rsidP="00E74385">
            <w:pPr>
              <w:tabs>
                <w:tab w:val="left" w:pos="709"/>
              </w:tabs>
              <w:spacing w:before="60" w:after="60" w:line="240" w:lineRule="auto"/>
              <w:jc w:val="left"/>
              <w:rPr>
                <w:rFonts w:ascii="Arial" w:hAnsi="Arial" w:cs="Arial"/>
                <w:color w:val="000000"/>
                <w:sz w:val="16"/>
                <w:szCs w:val="16"/>
              </w:rPr>
            </w:pPr>
            <w:r w:rsidRPr="00F469A2">
              <w:rPr>
                <w:rFonts w:ascii="Arial" w:hAnsi="Arial" w:cs="Arial"/>
                <w:color w:val="000000"/>
                <w:sz w:val="16"/>
                <w:szCs w:val="16"/>
              </w:rPr>
              <w:t>CEO and SRCC satisfaction with assurance levels.</w:t>
            </w:r>
          </w:p>
        </w:tc>
      </w:tr>
      <w:tr w:rsidR="00E74385" w:rsidRPr="00F71634" w14:paraId="76C16EB4" w14:textId="77777777" w:rsidTr="005A0812">
        <w:tc>
          <w:tcPr>
            <w:tcW w:w="1701" w:type="dxa"/>
            <w:tcBorders>
              <w:top w:val="dotted" w:sz="4" w:space="0" w:color="auto"/>
              <w:right w:val="single" w:sz="4" w:space="0" w:color="auto"/>
            </w:tcBorders>
          </w:tcPr>
          <w:p w14:paraId="76C16EB1" w14:textId="77777777" w:rsidR="00E74385" w:rsidRDefault="00E74385" w:rsidP="00E74385">
            <w:pPr>
              <w:tabs>
                <w:tab w:val="left" w:pos="709"/>
              </w:tabs>
              <w:spacing w:before="60" w:after="60" w:line="240" w:lineRule="auto"/>
              <w:jc w:val="left"/>
              <w:rPr>
                <w:rFonts w:ascii="Arial" w:hAnsi="Arial" w:cs="Arial"/>
                <w:sz w:val="16"/>
                <w:szCs w:val="16"/>
              </w:rPr>
            </w:pPr>
            <w:r>
              <w:rPr>
                <w:rFonts w:ascii="Arial" w:hAnsi="Arial" w:cs="Arial"/>
                <w:sz w:val="16"/>
                <w:szCs w:val="16"/>
              </w:rPr>
              <w:t>2020–21</w:t>
            </w:r>
            <w:r w:rsidRPr="006906E4">
              <w:rPr>
                <w:rFonts w:ascii="Arial" w:hAnsi="Arial" w:cs="Arial"/>
                <w:sz w:val="16"/>
                <w:szCs w:val="16"/>
              </w:rPr>
              <w:t xml:space="preserve"> and beyond</w:t>
            </w:r>
          </w:p>
        </w:tc>
        <w:tc>
          <w:tcPr>
            <w:tcW w:w="3475" w:type="dxa"/>
            <w:tcBorders>
              <w:top w:val="dotted" w:sz="4" w:space="0" w:color="auto"/>
              <w:left w:val="single" w:sz="4" w:space="0" w:color="auto"/>
              <w:bottom w:val="dotted" w:sz="4" w:space="0" w:color="auto"/>
              <w:right w:val="single" w:sz="4" w:space="0" w:color="auto"/>
            </w:tcBorders>
          </w:tcPr>
          <w:p w14:paraId="76C16EB2" w14:textId="0B3E3334" w:rsidR="00E74385" w:rsidRPr="0028314B" w:rsidRDefault="00E74385" w:rsidP="00E74385">
            <w:pPr>
              <w:spacing w:before="60" w:after="60" w:line="240" w:lineRule="auto"/>
              <w:jc w:val="left"/>
              <w:rPr>
                <w:rFonts w:ascii="Arial" w:hAnsi="Arial" w:cs="Arial"/>
                <w:color w:val="000000"/>
                <w:sz w:val="16"/>
                <w:szCs w:val="16"/>
              </w:rPr>
            </w:pPr>
            <w:r>
              <w:rPr>
                <w:rFonts w:ascii="Arial" w:hAnsi="Arial" w:cs="Arial"/>
                <w:color w:val="000000"/>
                <w:sz w:val="16"/>
                <w:szCs w:val="16"/>
              </w:rPr>
              <w:t>As per 2019–20.</w:t>
            </w:r>
          </w:p>
        </w:tc>
        <w:tc>
          <w:tcPr>
            <w:tcW w:w="2565" w:type="dxa"/>
            <w:tcBorders>
              <w:top w:val="dotted" w:sz="4" w:space="0" w:color="auto"/>
              <w:left w:val="single" w:sz="4" w:space="0" w:color="auto"/>
              <w:bottom w:val="dotted" w:sz="4" w:space="0" w:color="auto"/>
            </w:tcBorders>
          </w:tcPr>
          <w:p w14:paraId="76C16EB3" w14:textId="66AEDBB8" w:rsidR="00E74385" w:rsidRPr="0028314B" w:rsidRDefault="00E74385" w:rsidP="00E74385">
            <w:pPr>
              <w:tabs>
                <w:tab w:val="left" w:pos="709"/>
              </w:tabs>
              <w:spacing w:before="60" w:after="60" w:line="240" w:lineRule="auto"/>
              <w:jc w:val="left"/>
              <w:rPr>
                <w:rFonts w:ascii="Arial" w:hAnsi="Arial" w:cs="Arial"/>
                <w:color w:val="000000"/>
                <w:sz w:val="16"/>
                <w:szCs w:val="16"/>
              </w:rPr>
            </w:pPr>
            <w:r>
              <w:rPr>
                <w:rFonts w:ascii="Arial" w:hAnsi="Arial" w:cs="Arial"/>
                <w:color w:val="000000"/>
                <w:sz w:val="16"/>
                <w:szCs w:val="16"/>
              </w:rPr>
              <w:t>As per 2019–20.</w:t>
            </w:r>
          </w:p>
        </w:tc>
      </w:tr>
      <w:tr w:rsidR="00E74385" w:rsidRPr="00CF7058" w14:paraId="76C16EB6" w14:textId="77777777" w:rsidTr="00000A31">
        <w:tc>
          <w:tcPr>
            <w:tcW w:w="7741" w:type="dxa"/>
            <w:gridSpan w:val="3"/>
          </w:tcPr>
          <w:p w14:paraId="76C16EB5" w14:textId="1AD16DA9" w:rsidR="00E74385" w:rsidRPr="00CF7058" w:rsidRDefault="00E74385" w:rsidP="00E74385">
            <w:pPr>
              <w:spacing w:after="120"/>
              <w:jc w:val="left"/>
              <w:rPr>
                <w:rStyle w:val="BodyTextChar"/>
                <w:rFonts w:ascii="Arial" w:hAnsi="Arial"/>
                <w:b/>
                <w:sz w:val="16"/>
                <w:szCs w:val="16"/>
              </w:rPr>
            </w:pPr>
            <w:r w:rsidRPr="00CF7058">
              <w:rPr>
                <w:rStyle w:val="BodyTextChar"/>
                <w:rFonts w:ascii="Arial" w:hAnsi="Arial"/>
                <w:b/>
                <w:sz w:val="16"/>
                <w:szCs w:val="16"/>
              </w:rPr>
              <w:t xml:space="preserve">Material changes to Program 1.2 resulting from the following measures: </w:t>
            </w:r>
            <w:r w:rsidRPr="00CF7058">
              <w:rPr>
                <w:rStyle w:val="BodyTextChar"/>
                <w:rFonts w:ascii="Arial" w:hAnsi="Arial"/>
                <w:sz w:val="16"/>
                <w:szCs w:val="16"/>
              </w:rPr>
              <w:t>Nil</w:t>
            </w:r>
          </w:p>
        </w:tc>
      </w:tr>
    </w:tbl>
    <w:p w14:paraId="76C16EB7" w14:textId="77777777" w:rsidR="00946D33" w:rsidRDefault="00946D33" w:rsidP="00CF7058">
      <w:pPr>
        <w:spacing w:after="120"/>
        <w:jc w:val="left"/>
      </w:pP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946D33" w:rsidRPr="00F71634" w14:paraId="76C16EB9" w14:textId="77777777" w:rsidTr="00000A31">
        <w:trPr>
          <w:tblHeader/>
        </w:trPr>
        <w:tc>
          <w:tcPr>
            <w:tcW w:w="7741" w:type="dxa"/>
            <w:gridSpan w:val="3"/>
            <w:shd w:val="clear" w:color="auto" w:fill="F2F2F2"/>
          </w:tcPr>
          <w:p w14:paraId="76C16EB8" w14:textId="7292AE4F" w:rsidR="00946D33" w:rsidRPr="006906E4" w:rsidRDefault="00946D33" w:rsidP="00000A31">
            <w:pPr>
              <w:pStyle w:val="TableColumnHeadingLeft"/>
            </w:pPr>
            <w:r>
              <w:br w:type="page"/>
            </w:r>
            <w:r>
              <w:rPr>
                <w:rFonts w:ascii="Book Antiqua" w:hAnsi="Book Antiqua"/>
                <w:b w:val="0"/>
              </w:rPr>
              <w:br w:type="page"/>
            </w:r>
            <w:r w:rsidR="00693FFB">
              <w:t>Outcome 1</w:t>
            </w:r>
            <w:r w:rsidR="00B403B5">
              <w:t xml:space="preserve"> </w:t>
            </w:r>
            <w:r w:rsidR="00693FFB">
              <w:t>—</w:t>
            </w:r>
            <w:r w:rsidR="00B403B5">
              <w:t xml:space="preserve"> </w:t>
            </w:r>
            <w:r>
              <w:t>Support participation and productivity through healthy and safe workplaces that minimise the impact of harm in the workplaces covered by Comcare.</w:t>
            </w:r>
          </w:p>
        </w:tc>
      </w:tr>
      <w:tr w:rsidR="00946D33" w:rsidRPr="00F71634" w14:paraId="76C16EBB" w14:textId="77777777" w:rsidTr="006E4A48">
        <w:trPr>
          <w:tblHeader/>
        </w:trPr>
        <w:tc>
          <w:tcPr>
            <w:tcW w:w="7741" w:type="dxa"/>
            <w:gridSpan w:val="3"/>
            <w:shd w:val="clear" w:color="auto" w:fill="F2F2F2"/>
          </w:tcPr>
          <w:p w14:paraId="76C16EBA" w14:textId="3F1D16DE" w:rsidR="00946D33" w:rsidRPr="00012F79" w:rsidRDefault="00946D33" w:rsidP="00000A31">
            <w:pPr>
              <w:tabs>
                <w:tab w:val="left" w:pos="709"/>
              </w:tabs>
              <w:spacing w:before="60" w:after="60" w:line="240" w:lineRule="auto"/>
              <w:jc w:val="left"/>
              <w:rPr>
                <w:rFonts w:ascii="Arial" w:hAnsi="Arial" w:cs="Arial"/>
                <w:b/>
                <w:color w:val="000000"/>
                <w:sz w:val="16"/>
                <w:szCs w:val="16"/>
              </w:rPr>
            </w:pPr>
            <w:r>
              <w:rPr>
                <w:rFonts w:ascii="Arial" w:hAnsi="Arial" w:cs="Arial"/>
                <w:b/>
                <w:sz w:val="16"/>
                <w:szCs w:val="16"/>
              </w:rPr>
              <w:t xml:space="preserve">Program </w:t>
            </w:r>
            <w:r w:rsidRPr="005F6F33">
              <w:rPr>
                <w:rFonts w:ascii="Arial" w:hAnsi="Arial" w:cs="Arial"/>
                <w:b/>
                <w:sz w:val="16"/>
                <w:szCs w:val="16"/>
              </w:rPr>
              <w:t>Component</w:t>
            </w:r>
            <w:r>
              <w:rPr>
                <w:rFonts w:ascii="Arial" w:hAnsi="Arial" w:cs="Arial"/>
                <w:b/>
                <w:sz w:val="16"/>
                <w:szCs w:val="16"/>
              </w:rPr>
              <w:t xml:space="preserve"> 1</w:t>
            </w:r>
            <w:r w:rsidRPr="006906E4">
              <w:rPr>
                <w:rFonts w:ascii="Arial" w:hAnsi="Arial" w:cs="Arial"/>
                <w:b/>
                <w:sz w:val="16"/>
                <w:szCs w:val="16"/>
              </w:rPr>
              <w:t>.</w:t>
            </w:r>
            <w:r>
              <w:rPr>
                <w:rFonts w:ascii="Arial" w:hAnsi="Arial" w:cs="Arial"/>
                <w:b/>
                <w:sz w:val="16"/>
                <w:szCs w:val="16"/>
              </w:rPr>
              <w:t>3</w:t>
            </w:r>
            <w:r w:rsidR="00B403B5">
              <w:rPr>
                <w:rFonts w:ascii="Arial" w:hAnsi="Arial" w:cs="Arial"/>
                <w:b/>
                <w:sz w:val="16"/>
                <w:szCs w:val="16"/>
              </w:rPr>
              <w:t xml:space="preserve"> </w:t>
            </w:r>
            <w:r w:rsidRPr="00B403B5">
              <w:rPr>
                <w:rFonts w:ascii="Arial" w:hAnsi="Arial" w:cs="Arial"/>
                <w:b/>
                <w:sz w:val="16"/>
                <w:szCs w:val="16"/>
              </w:rPr>
              <w:t>—</w:t>
            </w:r>
            <w:r w:rsidR="00B403B5">
              <w:rPr>
                <w:rFonts w:ascii="Arial" w:hAnsi="Arial" w:cs="Arial"/>
                <w:sz w:val="16"/>
                <w:szCs w:val="16"/>
              </w:rPr>
              <w:t xml:space="preserve"> </w:t>
            </w:r>
            <w:r w:rsidRPr="0028314B">
              <w:rPr>
                <w:rFonts w:ascii="Arial" w:hAnsi="Arial" w:cs="Arial"/>
                <w:b/>
                <w:color w:val="000000"/>
                <w:sz w:val="16"/>
                <w:szCs w:val="16"/>
              </w:rPr>
              <w:t>Safety, Rehabilitation and Compensation Commission</w:t>
            </w:r>
            <w:r>
              <w:rPr>
                <w:rFonts w:ascii="Arial" w:hAnsi="Arial" w:cs="Arial"/>
                <w:b/>
                <w:color w:val="000000"/>
                <w:sz w:val="16"/>
                <w:szCs w:val="16"/>
              </w:rPr>
              <w:t xml:space="preserve"> (SRCC)</w:t>
            </w:r>
            <w:r w:rsidRPr="0028314B">
              <w:rPr>
                <w:rFonts w:ascii="Arial" w:hAnsi="Arial" w:cs="Arial"/>
                <w:b/>
                <w:color w:val="000000"/>
                <w:sz w:val="16"/>
                <w:szCs w:val="16"/>
              </w:rPr>
              <w:t xml:space="preserve">, and Seafarers Safety, </w:t>
            </w:r>
            <w:r>
              <w:rPr>
                <w:rFonts w:ascii="Arial" w:hAnsi="Arial" w:cs="Arial"/>
                <w:b/>
                <w:color w:val="000000"/>
                <w:sz w:val="16"/>
                <w:szCs w:val="16"/>
              </w:rPr>
              <w:t>R</w:t>
            </w:r>
            <w:r w:rsidRPr="0028314B">
              <w:rPr>
                <w:rFonts w:ascii="Arial" w:hAnsi="Arial" w:cs="Arial"/>
                <w:b/>
                <w:color w:val="000000"/>
                <w:sz w:val="16"/>
                <w:szCs w:val="16"/>
              </w:rPr>
              <w:t xml:space="preserve">ehabilitation and Compensation Authority </w:t>
            </w:r>
            <w:r>
              <w:rPr>
                <w:rFonts w:ascii="Arial" w:hAnsi="Arial" w:cs="Arial"/>
                <w:b/>
                <w:color w:val="000000"/>
                <w:sz w:val="16"/>
                <w:szCs w:val="16"/>
              </w:rPr>
              <w:t>(Seacare Authority) s</w:t>
            </w:r>
            <w:r w:rsidRPr="0028314B">
              <w:rPr>
                <w:rFonts w:ascii="Arial" w:hAnsi="Arial" w:cs="Arial"/>
                <w:b/>
                <w:color w:val="000000"/>
                <w:sz w:val="16"/>
                <w:szCs w:val="16"/>
              </w:rPr>
              <w:t>upport.</w:t>
            </w:r>
          </w:p>
        </w:tc>
      </w:tr>
      <w:tr w:rsidR="00946D33" w:rsidRPr="00F71634" w14:paraId="76C16EBE" w14:textId="77777777" w:rsidTr="00000A31">
        <w:tc>
          <w:tcPr>
            <w:tcW w:w="1701" w:type="dxa"/>
          </w:tcPr>
          <w:p w14:paraId="76C16EBC"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 xml:space="preserve">Purposes </w:t>
            </w:r>
          </w:p>
        </w:tc>
        <w:tc>
          <w:tcPr>
            <w:tcW w:w="6040" w:type="dxa"/>
            <w:gridSpan w:val="2"/>
          </w:tcPr>
          <w:p w14:paraId="76C16EBD" w14:textId="77777777" w:rsidR="00946D33" w:rsidRPr="006906E4" w:rsidRDefault="00946D33" w:rsidP="00000A31">
            <w:pPr>
              <w:tabs>
                <w:tab w:val="left" w:pos="709"/>
              </w:tabs>
              <w:spacing w:before="60" w:after="60" w:line="240" w:lineRule="auto"/>
              <w:jc w:val="left"/>
              <w:rPr>
                <w:rFonts w:ascii="Arial" w:hAnsi="Arial" w:cs="Arial"/>
                <w:i/>
                <w:color w:val="FF0000"/>
                <w:sz w:val="16"/>
                <w:szCs w:val="16"/>
              </w:rPr>
            </w:pPr>
            <w:r w:rsidRPr="002573A6">
              <w:rPr>
                <w:rFonts w:ascii="Arial" w:hAnsi="Arial" w:cs="Arial"/>
                <w:color w:val="000000"/>
                <w:sz w:val="16"/>
                <w:szCs w:val="16"/>
              </w:rPr>
              <w:t>Excellence in scheme design and management</w:t>
            </w:r>
            <w:r w:rsidR="002573A6">
              <w:rPr>
                <w:rFonts w:ascii="Arial" w:hAnsi="Arial" w:cs="Arial"/>
                <w:i/>
                <w:color w:val="000000"/>
                <w:sz w:val="16"/>
                <w:szCs w:val="16"/>
              </w:rPr>
              <w:t xml:space="preserve"> </w:t>
            </w:r>
            <w:r>
              <w:rPr>
                <w:rFonts w:ascii="Arial" w:hAnsi="Arial" w:cs="Arial"/>
                <w:i/>
                <w:color w:val="000000"/>
                <w:sz w:val="16"/>
                <w:szCs w:val="16"/>
              </w:rPr>
              <w:t>—</w:t>
            </w:r>
            <w:r w:rsidR="002573A6">
              <w:rPr>
                <w:rFonts w:ascii="Arial" w:hAnsi="Arial" w:cs="Arial"/>
                <w:i/>
                <w:color w:val="000000"/>
                <w:sz w:val="16"/>
                <w:szCs w:val="16"/>
              </w:rPr>
              <w:t xml:space="preserve"> </w:t>
            </w:r>
            <w:r w:rsidRPr="004F5E4E">
              <w:rPr>
                <w:rFonts w:ascii="Arial" w:hAnsi="Arial" w:cs="Arial"/>
                <w:color w:val="000000"/>
                <w:sz w:val="16"/>
                <w:szCs w:val="16"/>
              </w:rPr>
              <w:t>Excellence in scheme design and management to achieve sustainable and better national schemes.</w:t>
            </w:r>
          </w:p>
        </w:tc>
      </w:tr>
      <w:tr w:rsidR="00946D33" w:rsidRPr="00F71634" w14:paraId="76C16EC4" w14:textId="77777777" w:rsidTr="00000A31">
        <w:tc>
          <w:tcPr>
            <w:tcW w:w="1701" w:type="dxa"/>
            <w:tcBorders>
              <w:bottom w:val="double" w:sz="4" w:space="0" w:color="auto"/>
            </w:tcBorders>
          </w:tcPr>
          <w:p w14:paraId="76C16EBF"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gridSpan w:val="2"/>
            <w:tcBorders>
              <w:bottom w:val="double" w:sz="4" w:space="0" w:color="auto"/>
            </w:tcBorders>
          </w:tcPr>
          <w:p w14:paraId="76C16EC0" w14:textId="77777777" w:rsidR="00946D33" w:rsidRDefault="00946D33" w:rsidP="00053DB9">
            <w:pPr>
              <w:pStyle w:val="TableTextBullet"/>
              <w:contextualSpacing/>
              <w:rPr>
                <w:rFonts w:cs="Arial"/>
                <w:sz w:val="16"/>
                <w:szCs w:val="16"/>
              </w:rPr>
            </w:pPr>
            <w:r w:rsidRPr="00BC2065">
              <w:rPr>
                <w:rFonts w:cs="Arial"/>
                <w:sz w:val="16"/>
                <w:szCs w:val="16"/>
              </w:rPr>
              <w:t>Stakeholder engagement:</w:t>
            </w:r>
          </w:p>
          <w:p w14:paraId="76C16EC1" w14:textId="755FD789" w:rsidR="00946D33" w:rsidRDefault="00946D33" w:rsidP="00DB03C6">
            <w:pPr>
              <w:pStyle w:val="Bullet1"/>
              <w:numPr>
                <w:ilvl w:val="1"/>
                <w:numId w:val="24"/>
              </w:numPr>
              <w:spacing w:after="60" w:line="252" w:lineRule="auto"/>
              <w:ind w:left="567" w:hanging="227"/>
              <w:rPr>
                <w:rFonts w:ascii="Arial" w:hAnsi="Arial" w:cs="Arial"/>
                <w:sz w:val="16"/>
                <w:szCs w:val="16"/>
              </w:rPr>
            </w:pPr>
            <w:r w:rsidRPr="00BC2065">
              <w:rPr>
                <w:rFonts w:ascii="Arial" w:hAnsi="Arial" w:cs="Arial"/>
                <w:sz w:val="16"/>
                <w:szCs w:val="16"/>
              </w:rPr>
              <w:t xml:space="preserve">supporting key stakeholders including the Safety, Rehabilitation and Compensation Commission </w:t>
            </w:r>
            <w:r>
              <w:rPr>
                <w:rFonts w:ascii="Arial" w:hAnsi="Arial" w:cs="Arial"/>
                <w:sz w:val="16"/>
                <w:szCs w:val="16"/>
              </w:rPr>
              <w:t xml:space="preserve">(SRCC) </w:t>
            </w:r>
            <w:r w:rsidRPr="00BC2065">
              <w:rPr>
                <w:rFonts w:ascii="Arial" w:hAnsi="Arial" w:cs="Arial"/>
                <w:sz w:val="16"/>
                <w:szCs w:val="16"/>
              </w:rPr>
              <w:t>and the Seacare Authority</w:t>
            </w:r>
            <w:r w:rsidR="008C19F6">
              <w:rPr>
                <w:rFonts w:ascii="Arial" w:hAnsi="Arial" w:cs="Arial"/>
                <w:sz w:val="16"/>
                <w:szCs w:val="16"/>
              </w:rPr>
              <w:t>, and</w:t>
            </w:r>
          </w:p>
          <w:p w14:paraId="76C16EC2" w14:textId="77777777" w:rsidR="00946D33" w:rsidRDefault="00946D33" w:rsidP="00DB03C6">
            <w:pPr>
              <w:pStyle w:val="Bullet1"/>
              <w:numPr>
                <w:ilvl w:val="1"/>
                <w:numId w:val="24"/>
              </w:numPr>
              <w:spacing w:after="60" w:line="252" w:lineRule="auto"/>
              <w:ind w:left="567" w:hanging="227"/>
              <w:rPr>
                <w:rFonts w:ascii="Arial" w:hAnsi="Arial" w:cs="Arial"/>
                <w:sz w:val="16"/>
                <w:szCs w:val="16"/>
              </w:rPr>
            </w:pPr>
            <w:r w:rsidRPr="00BC2065">
              <w:rPr>
                <w:rFonts w:ascii="Arial" w:hAnsi="Arial" w:cs="Arial"/>
                <w:sz w:val="16"/>
                <w:szCs w:val="16"/>
              </w:rPr>
              <w:t xml:space="preserve">advocating and implementing change to deliver better practice and consistency across the schemes. </w:t>
            </w:r>
          </w:p>
          <w:p w14:paraId="76C16EC3" w14:textId="77777777" w:rsidR="00946D33" w:rsidRPr="00BC2065" w:rsidRDefault="00946D33" w:rsidP="00053DB9">
            <w:pPr>
              <w:pStyle w:val="TableTextBullet"/>
              <w:contextualSpacing/>
              <w:rPr>
                <w:rFonts w:cs="Arial"/>
                <w:sz w:val="16"/>
                <w:szCs w:val="16"/>
              </w:rPr>
            </w:pPr>
            <w:r w:rsidRPr="001A1E28">
              <w:rPr>
                <w:rFonts w:cs="Arial"/>
                <w:sz w:val="16"/>
                <w:szCs w:val="16"/>
              </w:rPr>
              <w:t>Improve scheme-wide analytics and reporting products.</w:t>
            </w:r>
          </w:p>
        </w:tc>
      </w:tr>
      <w:tr w:rsidR="00946D33" w:rsidRPr="00F71634" w14:paraId="76C16EC6" w14:textId="77777777" w:rsidTr="00000A31">
        <w:tc>
          <w:tcPr>
            <w:tcW w:w="7741" w:type="dxa"/>
            <w:gridSpan w:val="3"/>
            <w:tcBorders>
              <w:top w:val="double" w:sz="4" w:space="0" w:color="auto"/>
              <w:bottom w:val="double" w:sz="4" w:space="0" w:color="auto"/>
            </w:tcBorders>
          </w:tcPr>
          <w:p w14:paraId="76C16EC5"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946D33" w:rsidRPr="00F71634" w14:paraId="76C16ECA" w14:textId="77777777" w:rsidTr="00DC6923">
        <w:tc>
          <w:tcPr>
            <w:tcW w:w="1701" w:type="dxa"/>
            <w:tcBorders>
              <w:top w:val="double" w:sz="4" w:space="0" w:color="auto"/>
              <w:bottom w:val="single" w:sz="4" w:space="0" w:color="auto"/>
              <w:right w:val="single" w:sz="4" w:space="0" w:color="auto"/>
            </w:tcBorders>
          </w:tcPr>
          <w:p w14:paraId="76C16EC7"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76C16EC8"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565" w:type="dxa"/>
            <w:tcBorders>
              <w:top w:val="double" w:sz="4" w:space="0" w:color="auto"/>
              <w:left w:val="single" w:sz="4" w:space="0" w:color="auto"/>
              <w:bottom w:val="single" w:sz="4" w:space="0" w:color="auto"/>
            </w:tcBorders>
          </w:tcPr>
          <w:p w14:paraId="76C16EC9"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946D33" w:rsidRPr="00F71634" w14:paraId="76C16ECE" w14:textId="77777777" w:rsidTr="005A0812">
        <w:trPr>
          <w:trHeight w:val="60"/>
        </w:trPr>
        <w:tc>
          <w:tcPr>
            <w:tcW w:w="1701" w:type="dxa"/>
            <w:vMerge w:val="restart"/>
            <w:tcBorders>
              <w:top w:val="single" w:sz="4" w:space="0" w:color="auto"/>
              <w:right w:val="single" w:sz="4" w:space="0" w:color="auto"/>
            </w:tcBorders>
          </w:tcPr>
          <w:p w14:paraId="76C16ECB" w14:textId="77777777" w:rsidR="00946D33" w:rsidRPr="006906E4" w:rsidRDefault="009A4174" w:rsidP="00000A31">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2018–19 </w:t>
            </w:r>
          </w:p>
        </w:tc>
        <w:tc>
          <w:tcPr>
            <w:tcW w:w="3475" w:type="dxa"/>
            <w:tcBorders>
              <w:top w:val="single" w:sz="4" w:space="0" w:color="auto"/>
              <w:left w:val="single" w:sz="4" w:space="0" w:color="auto"/>
              <w:bottom w:val="single" w:sz="4" w:space="0" w:color="auto"/>
              <w:right w:val="single" w:sz="4" w:space="0" w:color="auto"/>
            </w:tcBorders>
          </w:tcPr>
          <w:p w14:paraId="76C16ECC" w14:textId="0B9C337C" w:rsidR="00946D33" w:rsidRPr="0028314B" w:rsidRDefault="00946D33" w:rsidP="002573A6">
            <w:pPr>
              <w:tabs>
                <w:tab w:val="left" w:pos="709"/>
              </w:tabs>
              <w:spacing w:before="60" w:after="60" w:line="240" w:lineRule="auto"/>
              <w:jc w:val="left"/>
              <w:rPr>
                <w:rFonts w:ascii="Arial" w:hAnsi="Arial" w:cs="Arial"/>
                <w:color w:val="000000"/>
                <w:sz w:val="16"/>
                <w:szCs w:val="16"/>
              </w:rPr>
            </w:pPr>
            <w:r w:rsidRPr="0028314B">
              <w:rPr>
                <w:rFonts w:ascii="Arial" w:hAnsi="Arial" w:cs="Arial"/>
                <w:color w:val="000000"/>
                <w:sz w:val="16"/>
                <w:szCs w:val="16"/>
              </w:rPr>
              <w:t xml:space="preserve">SRCC satisfaction of support provided by </w:t>
            </w:r>
            <w:r w:rsidR="002573A6">
              <w:rPr>
                <w:rFonts w:ascii="Arial" w:hAnsi="Arial" w:cs="Arial"/>
                <w:color w:val="000000"/>
                <w:sz w:val="16"/>
                <w:szCs w:val="16"/>
              </w:rPr>
              <w:t>Comcare</w:t>
            </w:r>
            <w:r w:rsidR="008C19F6">
              <w:rPr>
                <w:rFonts w:ascii="Arial" w:hAnsi="Arial" w:cs="Arial"/>
                <w:color w:val="000000"/>
                <w:sz w:val="16"/>
                <w:szCs w:val="16"/>
              </w:rPr>
              <w:t>.</w:t>
            </w:r>
          </w:p>
        </w:tc>
        <w:tc>
          <w:tcPr>
            <w:tcW w:w="2565" w:type="dxa"/>
            <w:tcBorders>
              <w:top w:val="single" w:sz="4" w:space="0" w:color="auto"/>
              <w:left w:val="single" w:sz="4" w:space="0" w:color="auto"/>
              <w:bottom w:val="single" w:sz="4" w:space="0" w:color="auto"/>
            </w:tcBorders>
          </w:tcPr>
          <w:p w14:paraId="76C16ECD" w14:textId="01631032" w:rsidR="00946D33" w:rsidRPr="0028314B" w:rsidRDefault="00946D33" w:rsidP="00000A31">
            <w:pPr>
              <w:tabs>
                <w:tab w:val="left" w:pos="709"/>
              </w:tabs>
              <w:spacing w:before="60" w:after="60" w:line="240" w:lineRule="auto"/>
              <w:jc w:val="left"/>
              <w:rPr>
                <w:rFonts w:ascii="Arial" w:hAnsi="Arial" w:cs="Arial"/>
                <w:i/>
                <w:color w:val="000000"/>
                <w:sz w:val="16"/>
                <w:szCs w:val="16"/>
              </w:rPr>
            </w:pPr>
            <w:r w:rsidRPr="00BC4EA5">
              <w:rPr>
                <w:rFonts w:ascii="Arial" w:hAnsi="Arial" w:cs="Arial"/>
                <w:b/>
                <w:color w:val="000000"/>
                <w:sz w:val="16"/>
                <w:szCs w:val="16"/>
              </w:rPr>
              <w:t xml:space="preserve">Assessment: </w:t>
            </w:r>
            <w:r w:rsidRPr="00BC4EA5">
              <w:rPr>
                <w:rFonts w:ascii="Arial" w:hAnsi="Arial" w:cs="Arial"/>
                <w:color w:val="000000"/>
                <w:sz w:val="16"/>
                <w:szCs w:val="16"/>
              </w:rPr>
              <w:t>On track</w:t>
            </w:r>
            <w:r w:rsidR="008C19F6">
              <w:rPr>
                <w:rFonts w:ascii="Arial" w:hAnsi="Arial" w:cs="Arial"/>
                <w:color w:val="000000"/>
                <w:sz w:val="16"/>
                <w:szCs w:val="16"/>
              </w:rPr>
              <w:t>.</w:t>
            </w:r>
          </w:p>
        </w:tc>
      </w:tr>
      <w:tr w:rsidR="00946D33" w:rsidRPr="00F71634" w14:paraId="76C16ED2" w14:textId="77777777" w:rsidTr="00DC6923">
        <w:tc>
          <w:tcPr>
            <w:tcW w:w="1701" w:type="dxa"/>
            <w:vMerge/>
            <w:tcBorders>
              <w:bottom w:val="single" w:sz="4" w:space="0" w:color="auto"/>
              <w:right w:val="single" w:sz="4" w:space="0" w:color="auto"/>
            </w:tcBorders>
          </w:tcPr>
          <w:p w14:paraId="76C16ECF" w14:textId="77777777" w:rsidR="00946D33" w:rsidRDefault="00946D33"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ED0" w14:textId="73FD0C4B" w:rsidR="00946D33" w:rsidRPr="0028314B" w:rsidRDefault="00946D33" w:rsidP="002573A6">
            <w:pPr>
              <w:spacing w:before="60" w:after="60" w:line="240" w:lineRule="auto"/>
              <w:jc w:val="left"/>
              <w:rPr>
                <w:rFonts w:ascii="Arial" w:hAnsi="Arial" w:cs="Arial"/>
                <w:color w:val="000000"/>
                <w:sz w:val="16"/>
                <w:szCs w:val="16"/>
              </w:rPr>
            </w:pPr>
            <w:r w:rsidRPr="0028314B">
              <w:rPr>
                <w:rFonts w:ascii="Arial" w:hAnsi="Arial" w:cs="Arial"/>
                <w:color w:val="000000"/>
                <w:sz w:val="16"/>
                <w:szCs w:val="16"/>
              </w:rPr>
              <w:t>Seacare Authority satisfaction</w:t>
            </w:r>
            <w:r w:rsidR="002573A6">
              <w:rPr>
                <w:rFonts w:ascii="Arial" w:hAnsi="Arial" w:cs="Arial"/>
                <w:color w:val="000000"/>
                <w:sz w:val="16"/>
                <w:szCs w:val="16"/>
              </w:rPr>
              <w:t xml:space="preserve"> of support provided by Comcare</w:t>
            </w:r>
            <w:r w:rsidR="008C19F6">
              <w:rPr>
                <w:rFonts w:ascii="Arial" w:hAnsi="Arial" w:cs="Arial"/>
                <w:color w:val="000000"/>
                <w:sz w:val="16"/>
                <w:szCs w:val="16"/>
              </w:rPr>
              <w:t>.</w:t>
            </w:r>
          </w:p>
        </w:tc>
        <w:tc>
          <w:tcPr>
            <w:tcW w:w="2565" w:type="dxa"/>
            <w:tcBorders>
              <w:top w:val="single" w:sz="4" w:space="0" w:color="auto"/>
              <w:left w:val="single" w:sz="4" w:space="0" w:color="auto"/>
              <w:bottom w:val="single" w:sz="4" w:space="0" w:color="auto"/>
            </w:tcBorders>
          </w:tcPr>
          <w:p w14:paraId="76C16ED1" w14:textId="539A2D4D" w:rsidR="00946D33" w:rsidRPr="0028314B" w:rsidRDefault="00946D33" w:rsidP="00000A31">
            <w:pPr>
              <w:tabs>
                <w:tab w:val="left" w:pos="709"/>
              </w:tabs>
              <w:spacing w:before="60" w:after="60" w:line="240" w:lineRule="auto"/>
              <w:jc w:val="left"/>
              <w:rPr>
                <w:rFonts w:ascii="Arial" w:hAnsi="Arial" w:cs="Arial"/>
                <w:i/>
                <w:color w:val="000000"/>
                <w:sz w:val="16"/>
                <w:szCs w:val="16"/>
              </w:rPr>
            </w:pPr>
            <w:r w:rsidRPr="00BC4EA5">
              <w:rPr>
                <w:rFonts w:ascii="Arial" w:hAnsi="Arial" w:cs="Arial"/>
                <w:b/>
                <w:color w:val="000000"/>
                <w:sz w:val="16"/>
                <w:szCs w:val="16"/>
              </w:rPr>
              <w:t xml:space="preserve">Assessment: </w:t>
            </w:r>
            <w:r w:rsidRPr="00BC4EA5">
              <w:rPr>
                <w:rFonts w:ascii="Arial" w:hAnsi="Arial" w:cs="Arial"/>
                <w:color w:val="000000"/>
                <w:sz w:val="16"/>
                <w:szCs w:val="16"/>
              </w:rPr>
              <w:t>On track</w:t>
            </w:r>
            <w:r w:rsidR="008C19F6">
              <w:rPr>
                <w:rFonts w:ascii="Arial" w:hAnsi="Arial" w:cs="Arial"/>
                <w:color w:val="000000"/>
                <w:sz w:val="16"/>
                <w:szCs w:val="16"/>
              </w:rPr>
              <w:t>.</w:t>
            </w:r>
          </w:p>
        </w:tc>
      </w:tr>
      <w:tr w:rsidR="00DC6923" w:rsidRPr="00F71634" w14:paraId="7559872B" w14:textId="77777777" w:rsidTr="00DC6923">
        <w:tc>
          <w:tcPr>
            <w:tcW w:w="1701" w:type="dxa"/>
            <w:tcBorders>
              <w:top w:val="single" w:sz="4" w:space="0" w:color="auto"/>
              <w:left w:val="nil"/>
              <w:bottom w:val="nil"/>
              <w:right w:val="nil"/>
            </w:tcBorders>
          </w:tcPr>
          <w:p w14:paraId="63E65645" w14:textId="77777777" w:rsidR="00DC6923" w:rsidRDefault="00DC6923"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nil"/>
              <w:bottom w:val="nil"/>
              <w:right w:val="nil"/>
            </w:tcBorders>
          </w:tcPr>
          <w:p w14:paraId="16889113" w14:textId="77777777" w:rsidR="00DC6923" w:rsidRDefault="00DC6923" w:rsidP="002573A6">
            <w:pPr>
              <w:tabs>
                <w:tab w:val="left" w:pos="709"/>
              </w:tabs>
              <w:spacing w:before="60" w:after="60" w:line="240" w:lineRule="auto"/>
              <w:jc w:val="left"/>
              <w:rPr>
                <w:rFonts w:ascii="Arial" w:hAnsi="Arial" w:cs="Arial"/>
                <w:color w:val="000000"/>
                <w:sz w:val="16"/>
                <w:szCs w:val="16"/>
              </w:rPr>
            </w:pPr>
          </w:p>
        </w:tc>
        <w:tc>
          <w:tcPr>
            <w:tcW w:w="2565" w:type="dxa"/>
            <w:tcBorders>
              <w:top w:val="single" w:sz="4" w:space="0" w:color="auto"/>
              <w:left w:val="nil"/>
              <w:bottom w:val="nil"/>
              <w:right w:val="nil"/>
            </w:tcBorders>
          </w:tcPr>
          <w:p w14:paraId="103250FC" w14:textId="77777777" w:rsidR="00DC6923" w:rsidRPr="0051318D" w:rsidRDefault="00DC6923" w:rsidP="00000A31">
            <w:pPr>
              <w:spacing w:before="60" w:after="60" w:line="240" w:lineRule="auto"/>
              <w:jc w:val="left"/>
              <w:rPr>
                <w:rFonts w:ascii="Arial" w:hAnsi="Arial" w:cs="Arial"/>
                <w:sz w:val="16"/>
                <w:szCs w:val="16"/>
              </w:rPr>
            </w:pPr>
          </w:p>
        </w:tc>
      </w:tr>
      <w:tr w:rsidR="00946D33" w:rsidRPr="00F71634" w14:paraId="76C16ED6" w14:textId="77777777" w:rsidTr="00DC6923">
        <w:tc>
          <w:tcPr>
            <w:tcW w:w="1701" w:type="dxa"/>
            <w:tcBorders>
              <w:top w:val="single" w:sz="4" w:space="0" w:color="auto"/>
              <w:bottom w:val="dotted" w:sz="4" w:space="0" w:color="auto"/>
              <w:right w:val="single" w:sz="4" w:space="0" w:color="auto"/>
            </w:tcBorders>
          </w:tcPr>
          <w:p w14:paraId="76C16ED3" w14:textId="77777777" w:rsidR="00946D33" w:rsidRPr="006906E4" w:rsidRDefault="00946D33" w:rsidP="00000A31">
            <w:pPr>
              <w:tabs>
                <w:tab w:val="left" w:pos="709"/>
              </w:tabs>
              <w:spacing w:before="60" w:after="60" w:line="240" w:lineRule="auto"/>
              <w:jc w:val="left"/>
              <w:rPr>
                <w:rFonts w:ascii="Arial" w:hAnsi="Arial" w:cs="Arial"/>
                <w:sz w:val="16"/>
                <w:szCs w:val="16"/>
              </w:rPr>
            </w:pPr>
            <w:r>
              <w:rPr>
                <w:rFonts w:ascii="Arial" w:hAnsi="Arial" w:cs="Arial"/>
                <w:sz w:val="16"/>
                <w:szCs w:val="16"/>
              </w:rPr>
              <w:lastRenderedPageBreak/>
              <w:t>2019–20</w:t>
            </w:r>
          </w:p>
        </w:tc>
        <w:tc>
          <w:tcPr>
            <w:tcW w:w="3475" w:type="dxa"/>
            <w:tcBorders>
              <w:top w:val="single" w:sz="4" w:space="0" w:color="auto"/>
              <w:left w:val="single" w:sz="4" w:space="0" w:color="auto"/>
              <w:bottom w:val="dotted" w:sz="4" w:space="0" w:color="auto"/>
              <w:right w:val="single" w:sz="4" w:space="0" w:color="auto"/>
            </w:tcBorders>
          </w:tcPr>
          <w:p w14:paraId="76C16ED4" w14:textId="27E00A22" w:rsidR="00946D33" w:rsidRPr="0028314B" w:rsidRDefault="00946D33" w:rsidP="002573A6">
            <w:pPr>
              <w:tabs>
                <w:tab w:val="left" w:pos="709"/>
              </w:tabs>
              <w:spacing w:before="60" w:after="60" w:line="240" w:lineRule="auto"/>
              <w:jc w:val="left"/>
              <w:rPr>
                <w:rFonts w:ascii="Arial" w:hAnsi="Arial" w:cs="Arial"/>
                <w:color w:val="000000"/>
                <w:sz w:val="16"/>
                <w:szCs w:val="16"/>
              </w:rPr>
            </w:pPr>
            <w:r>
              <w:rPr>
                <w:rFonts w:ascii="Arial" w:hAnsi="Arial" w:cs="Arial"/>
                <w:color w:val="000000"/>
                <w:sz w:val="16"/>
                <w:szCs w:val="16"/>
              </w:rPr>
              <w:t>S</w:t>
            </w:r>
            <w:r w:rsidRPr="0028314B">
              <w:rPr>
                <w:rFonts w:ascii="Arial" w:hAnsi="Arial" w:cs="Arial"/>
                <w:color w:val="000000"/>
                <w:sz w:val="16"/>
                <w:szCs w:val="16"/>
              </w:rPr>
              <w:t xml:space="preserve">atisfaction </w:t>
            </w:r>
            <w:r>
              <w:rPr>
                <w:rFonts w:ascii="Arial" w:hAnsi="Arial" w:cs="Arial"/>
                <w:color w:val="000000"/>
                <w:sz w:val="16"/>
                <w:szCs w:val="16"/>
              </w:rPr>
              <w:t>with</w:t>
            </w:r>
            <w:r w:rsidRPr="0028314B">
              <w:rPr>
                <w:rFonts w:ascii="Arial" w:hAnsi="Arial" w:cs="Arial"/>
                <w:color w:val="000000"/>
                <w:sz w:val="16"/>
                <w:szCs w:val="16"/>
              </w:rPr>
              <w:t xml:space="preserve"> support provided </w:t>
            </w:r>
            <w:r>
              <w:rPr>
                <w:rFonts w:ascii="Arial" w:hAnsi="Arial" w:cs="Arial"/>
                <w:color w:val="000000"/>
                <w:sz w:val="16"/>
                <w:szCs w:val="16"/>
              </w:rPr>
              <w:t>to SRCC and Seacare Authority</w:t>
            </w:r>
            <w:r w:rsidR="008C19F6">
              <w:rPr>
                <w:rFonts w:ascii="Arial" w:hAnsi="Arial" w:cs="Arial"/>
                <w:color w:val="000000"/>
                <w:sz w:val="16"/>
                <w:szCs w:val="16"/>
              </w:rPr>
              <w:t>.</w:t>
            </w:r>
          </w:p>
        </w:tc>
        <w:tc>
          <w:tcPr>
            <w:tcW w:w="2565" w:type="dxa"/>
            <w:tcBorders>
              <w:top w:val="single" w:sz="4" w:space="0" w:color="auto"/>
              <w:left w:val="single" w:sz="4" w:space="0" w:color="auto"/>
              <w:bottom w:val="dotted" w:sz="4" w:space="0" w:color="auto"/>
            </w:tcBorders>
          </w:tcPr>
          <w:p w14:paraId="76C16ED5" w14:textId="77777777" w:rsidR="00946D33" w:rsidRPr="0051318D" w:rsidRDefault="00946D33" w:rsidP="00000A31">
            <w:pPr>
              <w:spacing w:before="60" w:after="60" w:line="240" w:lineRule="auto"/>
              <w:jc w:val="left"/>
              <w:rPr>
                <w:rFonts w:ascii="Arial" w:hAnsi="Arial" w:cs="Arial"/>
                <w:sz w:val="16"/>
                <w:szCs w:val="16"/>
              </w:rPr>
            </w:pPr>
            <w:r w:rsidRPr="0051318D">
              <w:rPr>
                <w:rFonts w:ascii="Arial" w:hAnsi="Arial" w:cs="Arial"/>
                <w:sz w:val="16"/>
                <w:szCs w:val="16"/>
              </w:rPr>
              <w:t>Qualitative evaluation using structured services and feedback from the Chair</w:t>
            </w:r>
            <w:r>
              <w:rPr>
                <w:rFonts w:ascii="Arial" w:hAnsi="Arial" w:cs="Arial"/>
                <w:sz w:val="16"/>
                <w:szCs w:val="16"/>
              </w:rPr>
              <w:t>.</w:t>
            </w:r>
          </w:p>
        </w:tc>
      </w:tr>
      <w:tr w:rsidR="00946D33" w:rsidRPr="00F71634" w14:paraId="76C16EDA" w14:textId="77777777" w:rsidTr="00DC6923">
        <w:tc>
          <w:tcPr>
            <w:tcW w:w="1701" w:type="dxa"/>
            <w:tcBorders>
              <w:top w:val="dotted" w:sz="4" w:space="0" w:color="auto"/>
              <w:right w:val="single" w:sz="4" w:space="0" w:color="auto"/>
            </w:tcBorders>
          </w:tcPr>
          <w:p w14:paraId="76C16ED7" w14:textId="77777777" w:rsidR="00946D33" w:rsidRDefault="00946D33" w:rsidP="00000A31">
            <w:pPr>
              <w:tabs>
                <w:tab w:val="left" w:pos="709"/>
              </w:tabs>
              <w:spacing w:before="60" w:after="60" w:line="240" w:lineRule="auto"/>
              <w:jc w:val="left"/>
              <w:rPr>
                <w:rFonts w:ascii="Arial" w:hAnsi="Arial" w:cs="Arial"/>
                <w:sz w:val="16"/>
                <w:szCs w:val="16"/>
              </w:rPr>
            </w:pPr>
            <w:r>
              <w:rPr>
                <w:rFonts w:ascii="Arial" w:hAnsi="Arial" w:cs="Arial"/>
                <w:sz w:val="16"/>
                <w:szCs w:val="16"/>
              </w:rPr>
              <w:t>2020–21</w:t>
            </w:r>
            <w:r w:rsidRPr="006906E4">
              <w:rPr>
                <w:rFonts w:ascii="Arial" w:hAnsi="Arial" w:cs="Arial"/>
                <w:sz w:val="16"/>
                <w:szCs w:val="16"/>
              </w:rPr>
              <w:t xml:space="preserve"> and beyond</w:t>
            </w:r>
          </w:p>
        </w:tc>
        <w:tc>
          <w:tcPr>
            <w:tcW w:w="3475" w:type="dxa"/>
            <w:tcBorders>
              <w:top w:val="dotted" w:sz="4" w:space="0" w:color="auto"/>
              <w:left w:val="single" w:sz="4" w:space="0" w:color="auto"/>
              <w:bottom w:val="dotted" w:sz="4" w:space="0" w:color="auto"/>
              <w:right w:val="single" w:sz="4" w:space="0" w:color="auto"/>
            </w:tcBorders>
          </w:tcPr>
          <w:p w14:paraId="76C16ED8" w14:textId="0229EEA7" w:rsidR="00946D33" w:rsidRPr="0028314B" w:rsidRDefault="00DC6923" w:rsidP="00000A31">
            <w:pPr>
              <w:spacing w:before="60" w:after="60" w:line="240" w:lineRule="auto"/>
              <w:jc w:val="left"/>
              <w:rPr>
                <w:rFonts w:ascii="Arial" w:hAnsi="Arial" w:cs="Arial"/>
                <w:color w:val="000000"/>
                <w:sz w:val="16"/>
                <w:szCs w:val="16"/>
              </w:rPr>
            </w:pPr>
            <w:r>
              <w:rPr>
                <w:rFonts w:ascii="Arial" w:hAnsi="Arial" w:cs="Arial"/>
                <w:color w:val="000000"/>
                <w:sz w:val="16"/>
                <w:szCs w:val="16"/>
              </w:rPr>
              <w:t>As per 2019–20.</w:t>
            </w:r>
          </w:p>
        </w:tc>
        <w:tc>
          <w:tcPr>
            <w:tcW w:w="2565" w:type="dxa"/>
            <w:tcBorders>
              <w:top w:val="dotted" w:sz="4" w:space="0" w:color="auto"/>
              <w:left w:val="single" w:sz="4" w:space="0" w:color="auto"/>
              <w:bottom w:val="dotted" w:sz="4" w:space="0" w:color="auto"/>
            </w:tcBorders>
          </w:tcPr>
          <w:p w14:paraId="76C16ED9" w14:textId="4FB3C0F3" w:rsidR="00946D33" w:rsidRPr="0028314B" w:rsidRDefault="00DC6923" w:rsidP="00000A31">
            <w:pPr>
              <w:spacing w:before="60" w:after="60" w:line="240" w:lineRule="auto"/>
              <w:jc w:val="left"/>
              <w:rPr>
                <w:rFonts w:ascii="Arial" w:hAnsi="Arial" w:cs="Arial"/>
                <w:color w:val="000000"/>
                <w:sz w:val="16"/>
                <w:szCs w:val="16"/>
              </w:rPr>
            </w:pPr>
            <w:r>
              <w:rPr>
                <w:rFonts w:ascii="Arial" w:hAnsi="Arial" w:cs="Arial"/>
                <w:color w:val="000000"/>
                <w:sz w:val="16"/>
                <w:szCs w:val="16"/>
              </w:rPr>
              <w:t>As per 2019–20.</w:t>
            </w:r>
          </w:p>
        </w:tc>
      </w:tr>
      <w:tr w:rsidR="00946D33" w:rsidRPr="00CF7058" w14:paraId="76C16EDC" w14:textId="77777777" w:rsidTr="00000A31">
        <w:tc>
          <w:tcPr>
            <w:tcW w:w="7741" w:type="dxa"/>
            <w:gridSpan w:val="3"/>
          </w:tcPr>
          <w:p w14:paraId="76C16EDB" w14:textId="23E46C15" w:rsidR="00946D33" w:rsidRPr="00CF7058" w:rsidRDefault="00946D33" w:rsidP="00CF7058">
            <w:pPr>
              <w:spacing w:after="120"/>
              <w:jc w:val="left"/>
              <w:rPr>
                <w:rStyle w:val="BodyTextChar"/>
                <w:rFonts w:ascii="Arial" w:hAnsi="Arial"/>
                <w:sz w:val="16"/>
                <w:szCs w:val="16"/>
              </w:rPr>
            </w:pPr>
            <w:r w:rsidRPr="00CF7058">
              <w:rPr>
                <w:rStyle w:val="BodyTextChar"/>
                <w:rFonts w:ascii="Arial" w:hAnsi="Arial"/>
                <w:b/>
                <w:sz w:val="16"/>
                <w:szCs w:val="16"/>
              </w:rPr>
              <w:t>Material changes to Program 1.3 resulting from the following measures:</w:t>
            </w:r>
            <w:r w:rsidR="00CF7058">
              <w:rPr>
                <w:rStyle w:val="BodyTextChar"/>
                <w:rFonts w:ascii="Arial" w:hAnsi="Arial"/>
                <w:b/>
                <w:sz w:val="16"/>
                <w:szCs w:val="16"/>
              </w:rPr>
              <w:t xml:space="preserve"> </w:t>
            </w:r>
            <w:r w:rsidRPr="00CF7058">
              <w:rPr>
                <w:rStyle w:val="BodyTextChar"/>
                <w:rFonts w:ascii="Arial" w:hAnsi="Arial"/>
                <w:sz w:val="16"/>
                <w:szCs w:val="16"/>
              </w:rPr>
              <w:t>Nil</w:t>
            </w:r>
          </w:p>
        </w:tc>
      </w:tr>
    </w:tbl>
    <w:p w14:paraId="76C16EDD" w14:textId="77777777" w:rsidR="00946D33" w:rsidRDefault="00946D33" w:rsidP="00946D33"/>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946D33" w:rsidRPr="00F71634" w14:paraId="76C16EDF" w14:textId="77777777" w:rsidTr="00000A31">
        <w:trPr>
          <w:tblHeader/>
        </w:trPr>
        <w:tc>
          <w:tcPr>
            <w:tcW w:w="7741" w:type="dxa"/>
            <w:gridSpan w:val="3"/>
            <w:shd w:val="clear" w:color="auto" w:fill="F2F2F2"/>
          </w:tcPr>
          <w:p w14:paraId="76C16EDE" w14:textId="728D55B8" w:rsidR="00946D33" w:rsidRPr="006906E4" w:rsidRDefault="004C7C00" w:rsidP="00000A31">
            <w:pPr>
              <w:pStyle w:val="TableColumnHeadingLeft"/>
            </w:pPr>
            <w:r>
              <w:t>Outcome 1</w:t>
            </w:r>
            <w:r w:rsidR="00B403B5">
              <w:t xml:space="preserve"> </w:t>
            </w:r>
            <w:r>
              <w:t>—</w:t>
            </w:r>
            <w:r w:rsidR="00B403B5">
              <w:t xml:space="preserve"> </w:t>
            </w:r>
            <w:r w:rsidR="00946D33">
              <w:t>Support participation and productivity through healthy and safe workplaces that minimise the impact of harm in the workplaces covered by Comcare.</w:t>
            </w:r>
          </w:p>
        </w:tc>
      </w:tr>
      <w:tr w:rsidR="00946D33" w:rsidRPr="00F71634" w14:paraId="76C16EE1" w14:textId="77777777" w:rsidTr="006E4A48">
        <w:trPr>
          <w:tblHeader/>
        </w:trPr>
        <w:tc>
          <w:tcPr>
            <w:tcW w:w="7741" w:type="dxa"/>
            <w:gridSpan w:val="3"/>
            <w:shd w:val="clear" w:color="auto" w:fill="F2F2F2"/>
          </w:tcPr>
          <w:p w14:paraId="76C16EE0" w14:textId="397ADBA7" w:rsidR="00946D33" w:rsidRPr="006906E4" w:rsidRDefault="00946D33" w:rsidP="00000A31">
            <w:pPr>
              <w:tabs>
                <w:tab w:val="left" w:pos="709"/>
              </w:tabs>
              <w:spacing w:before="60" w:after="60" w:line="240" w:lineRule="auto"/>
              <w:jc w:val="left"/>
              <w:rPr>
                <w:rFonts w:ascii="Arial" w:hAnsi="Arial" w:cs="Arial"/>
                <w:sz w:val="16"/>
                <w:szCs w:val="16"/>
              </w:rPr>
            </w:pPr>
            <w:r>
              <w:rPr>
                <w:rFonts w:ascii="Arial" w:hAnsi="Arial" w:cs="Arial"/>
                <w:b/>
                <w:sz w:val="16"/>
                <w:szCs w:val="16"/>
              </w:rPr>
              <w:t xml:space="preserve">Program </w:t>
            </w:r>
            <w:r w:rsidRPr="005F6F33">
              <w:rPr>
                <w:rFonts w:ascii="Arial" w:hAnsi="Arial" w:cs="Arial"/>
                <w:b/>
                <w:sz w:val="16"/>
                <w:szCs w:val="16"/>
              </w:rPr>
              <w:t>Component</w:t>
            </w:r>
            <w:r>
              <w:rPr>
                <w:rFonts w:ascii="Arial" w:hAnsi="Arial" w:cs="Arial"/>
                <w:b/>
                <w:sz w:val="16"/>
                <w:szCs w:val="16"/>
              </w:rPr>
              <w:t xml:space="preserve"> 1</w:t>
            </w:r>
            <w:r w:rsidRPr="006906E4">
              <w:rPr>
                <w:rFonts w:ascii="Arial" w:hAnsi="Arial" w:cs="Arial"/>
                <w:b/>
                <w:sz w:val="16"/>
                <w:szCs w:val="16"/>
              </w:rPr>
              <w:t>.</w:t>
            </w:r>
            <w:r>
              <w:rPr>
                <w:rFonts w:ascii="Arial" w:hAnsi="Arial" w:cs="Arial"/>
                <w:b/>
                <w:sz w:val="16"/>
                <w:szCs w:val="16"/>
              </w:rPr>
              <w:t>4</w:t>
            </w:r>
            <w:r w:rsidR="00B403B5">
              <w:rPr>
                <w:rFonts w:ascii="Arial" w:hAnsi="Arial" w:cs="Arial"/>
                <w:b/>
                <w:sz w:val="16"/>
                <w:szCs w:val="16"/>
              </w:rPr>
              <w:t xml:space="preserve"> </w:t>
            </w:r>
            <w:r w:rsidRPr="00B403B5">
              <w:rPr>
                <w:rFonts w:ascii="Arial" w:hAnsi="Arial" w:cs="Arial"/>
                <w:b/>
                <w:sz w:val="16"/>
                <w:szCs w:val="16"/>
              </w:rPr>
              <w:t>—</w:t>
            </w:r>
            <w:r w:rsidR="00B403B5">
              <w:rPr>
                <w:rFonts w:ascii="Arial" w:hAnsi="Arial" w:cs="Arial"/>
                <w:sz w:val="16"/>
                <w:szCs w:val="16"/>
              </w:rPr>
              <w:t xml:space="preserve"> </w:t>
            </w:r>
            <w:r w:rsidRPr="00FB4283">
              <w:rPr>
                <w:rFonts w:ascii="Arial" w:hAnsi="Arial" w:cs="Arial"/>
                <w:b/>
                <w:sz w:val="16"/>
                <w:szCs w:val="16"/>
              </w:rPr>
              <w:t>Premium Claims</w:t>
            </w:r>
            <w:r>
              <w:rPr>
                <w:rFonts w:ascii="Arial" w:hAnsi="Arial" w:cs="Arial"/>
                <w:sz w:val="16"/>
                <w:szCs w:val="16"/>
              </w:rPr>
              <w:t xml:space="preserve"> </w:t>
            </w:r>
          </w:p>
        </w:tc>
      </w:tr>
      <w:tr w:rsidR="00946D33" w:rsidRPr="00F71634" w14:paraId="76C16EE4" w14:textId="77777777" w:rsidTr="002573A6">
        <w:tc>
          <w:tcPr>
            <w:tcW w:w="1701" w:type="dxa"/>
            <w:tcBorders>
              <w:bottom w:val="single" w:sz="4" w:space="0" w:color="auto"/>
            </w:tcBorders>
          </w:tcPr>
          <w:p w14:paraId="76C16EE2"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 xml:space="preserve">Purposes </w:t>
            </w:r>
          </w:p>
        </w:tc>
        <w:tc>
          <w:tcPr>
            <w:tcW w:w="6040" w:type="dxa"/>
            <w:gridSpan w:val="2"/>
            <w:tcBorders>
              <w:bottom w:val="single" w:sz="4" w:space="0" w:color="auto"/>
            </w:tcBorders>
          </w:tcPr>
          <w:p w14:paraId="76C16EE3" w14:textId="77777777" w:rsidR="00946D33" w:rsidRPr="00FB4283" w:rsidRDefault="00946D33" w:rsidP="004C7C00">
            <w:pPr>
              <w:tabs>
                <w:tab w:val="left" w:pos="709"/>
              </w:tabs>
              <w:spacing w:before="60" w:after="60" w:line="240" w:lineRule="auto"/>
              <w:jc w:val="left"/>
              <w:rPr>
                <w:rFonts w:ascii="Arial" w:hAnsi="Arial" w:cs="Arial"/>
                <w:i/>
                <w:color w:val="FF0000"/>
                <w:sz w:val="16"/>
                <w:szCs w:val="16"/>
              </w:rPr>
            </w:pPr>
            <w:r w:rsidRPr="002573A6">
              <w:rPr>
                <w:rFonts w:ascii="Arial" w:hAnsi="Arial" w:cs="Arial"/>
                <w:color w:val="000000"/>
                <w:sz w:val="16"/>
                <w:szCs w:val="16"/>
              </w:rPr>
              <w:t>Leading workers’ compensation insurer</w:t>
            </w:r>
            <w:r>
              <w:rPr>
                <w:rFonts w:ascii="Arial" w:hAnsi="Arial" w:cs="Arial"/>
                <w:i/>
                <w:color w:val="000000"/>
                <w:sz w:val="16"/>
                <w:szCs w:val="16"/>
              </w:rPr>
              <w:t>—</w:t>
            </w:r>
            <w:r>
              <w:rPr>
                <w:rFonts w:ascii="Arial" w:hAnsi="Arial" w:cs="Arial"/>
                <w:color w:val="000000"/>
                <w:sz w:val="16"/>
                <w:szCs w:val="16"/>
              </w:rPr>
              <w:t>Working with employees and employers to minimise the impact of harm in workplaces, supporting optimal recovery and return to work, and delivering a viable scheme.</w:t>
            </w:r>
          </w:p>
        </w:tc>
      </w:tr>
      <w:tr w:rsidR="00946D33" w:rsidRPr="00F71634" w14:paraId="76C16EE9" w14:textId="77777777" w:rsidTr="002573A6">
        <w:tc>
          <w:tcPr>
            <w:tcW w:w="1701" w:type="dxa"/>
            <w:tcBorders>
              <w:bottom w:val="single" w:sz="4" w:space="0" w:color="auto"/>
            </w:tcBorders>
          </w:tcPr>
          <w:p w14:paraId="76C16EE5"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gridSpan w:val="2"/>
            <w:tcBorders>
              <w:bottom w:val="single" w:sz="4" w:space="0" w:color="auto"/>
            </w:tcBorders>
          </w:tcPr>
          <w:p w14:paraId="6B21D6D6" w14:textId="77777777" w:rsidR="00246EF2" w:rsidRDefault="00946D33" w:rsidP="00053DB9">
            <w:pPr>
              <w:pStyle w:val="TableTextBullet"/>
              <w:contextualSpacing/>
              <w:rPr>
                <w:rFonts w:cs="Arial"/>
                <w:color w:val="000000"/>
                <w:sz w:val="16"/>
                <w:szCs w:val="16"/>
              </w:rPr>
            </w:pPr>
            <w:r w:rsidRPr="00053DB9">
              <w:rPr>
                <w:rFonts w:cs="Arial"/>
                <w:sz w:val="16"/>
                <w:szCs w:val="16"/>
              </w:rPr>
              <w:t>Utilise evidence-based best practice in claims case management to facilitate optimal recovery an</w:t>
            </w:r>
            <w:r>
              <w:rPr>
                <w:rFonts w:cs="Arial"/>
                <w:color w:val="000000"/>
                <w:sz w:val="16"/>
                <w:szCs w:val="16"/>
              </w:rPr>
              <w:t xml:space="preserve">d </w:t>
            </w:r>
          </w:p>
          <w:p w14:paraId="76C16EE6" w14:textId="01EFE49C" w:rsidR="00946D33" w:rsidRPr="00B9173F" w:rsidRDefault="00946D33" w:rsidP="00053DB9">
            <w:pPr>
              <w:pStyle w:val="TableTextBullet"/>
              <w:contextualSpacing/>
              <w:rPr>
                <w:rFonts w:cs="Arial"/>
                <w:color w:val="000000"/>
                <w:sz w:val="16"/>
                <w:szCs w:val="16"/>
              </w:rPr>
            </w:pPr>
            <w:r>
              <w:rPr>
                <w:rFonts w:cs="Arial"/>
                <w:color w:val="000000"/>
                <w:sz w:val="16"/>
                <w:szCs w:val="16"/>
              </w:rPr>
              <w:t xml:space="preserve">return to work outcomes. </w:t>
            </w:r>
          </w:p>
          <w:p w14:paraId="76C16EE7" w14:textId="77777777" w:rsidR="00946D33" w:rsidRPr="00B9173F" w:rsidRDefault="00946D33" w:rsidP="00053DB9">
            <w:pPr>
              <w:pStyle w:val="TableTextBullet"/>
              <w:contextualSpacing/>
              <w:rPr>
                <w:rFonts w:cs="Arial"/>
                <w:color w:val="000000"/>
                <w:sz w:val="16"/>
                <w:szCs w:val="16"/>
              </w:rPr>
            </w:pPr>
            <w:r w:rsidRPr="00053DB9">
              <w:rPr>
                <w:rFonts w:cs="Arial"/>
                <w:sz w:val="16"/>
                <w:szCs w:val="16"/>
              </w:rPr>
              <w:t>Actively engage employers in prevention, return to work and claims management to minimise the imp</w:t>
            </w:r>
            <w:r>
              <w:rPr>
                <w:rFonts w:cs="Arial"/>
                <w:color w:val="000000"/>
                <w:sz w:val="16"/>
                <w:szCs w:val="16"/>
              </w:rPr>
              <w:t>act of harm in workplaces.</w:t>
            </w:r>
          </w:p>
          <w:p w14:paraId="76C16EE8" w14:textId="77777777" w:rsidR="00946D33" w:rsidRPr="0028314B" w:rsidRDefault="00946D33" w:rsidP="00053DB9">
            <w:pPr>
              <w:pStyle w:val="TableTextBullet"/>
              <w:contextualSpacing/>
              <w:rPr>
                <w:rFonts w:cs="Arial"/>
                <w:color w:val="000000"/>
                <w:sz w:val="16"/>
                <w:szCs w:val="16"/>
              </w:rPr>
            </w:pPr>
            <w:r w:rsidRPr="00053DB9">
              <w:rPr>
                <w:rFonts w:cs="Arial"/>
                <w:sz w:val="16"/>
                <w:szCs w:val="16"/>
              </w:rPr>
              <w:t xml:space="preserve">Measure, monitor and forecast performance to inform </w:t>
            </w:r>
            <w:r>
              <w:rPr>
                <w:rFonts w:cs="Arial"/>
                <w:color w:val="000000"/>
                <w:sz w:val="16"/>
                <w:szCs w:val="16"/>
              </w:rPr>
              <w:t xml:space="preserve">decision making, strengthen operations and improve outcomes. </w:t>
            </w:r>
          </w:p>
        </w:tc>
      </w:tr>
      <w:tr w:rsidR="00946D33" w:rsidRPr="00F71634" w14:paraId="76C16EEB" w14:textId="77777777" w:rsidTr="002573A6">
        <w:tc>
          <w:tcPr>
            <w:tcW w:w="7741" w:type="dxa"/>
            <w:gridSpan w:val="3"/>
            <w:tcBorders>
              <w:top w:val="single" w:sz="4" w:space="0" w:color="auto"/>
              <w:bottom w:val="single" w:sz="4" w:space="0" w:color="auto"/>
            </w:tcBorders>
          </w:tcPr>
          <w:p w14:paraId="76C16EEA"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946D33" w:rsidRPr="00F71634" w14:paraId="76C16EEF" w14:textId="77777777" w:rsidTr="002573A6">
        <w:tc>
          <w:tcPr>
            <w:tcW w:w="1701" w:type="dxa"/>
            <w:tcBorders>
              <w:top w:val="single" w:sz="4" w:space="0" w:color="auto"/>
              <w:bottom w:val="single" w:sz="4" w:space="0" w:color="auto"/>
              <w:right w:val="single" w:sz="4" w:space="0" w:color="auto"/>
            </w:tcBorders>
          </w:tcPr>
          <w:p w14:paraId="76C16EEC"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single" w:sz="4" w:space="0" w:color="auto"/>
              <w:left w:val="single" w:sz="4" w:space="0" w:color="auto"/>
              <w:bottom w:val="single" w:sz="4" w:space="0" w:color="auto"/>
              <w:right w:val="single" w:sz="4" w:space="0" w:color="auto"/>
            </w:tcBorders>
          </w:tcPr>
          <w:p w14:paraId="76C16EED"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565" w:type="dxa"/>
            <w:tcBorders>
              <w:top w:val="single" w:sz="4" w:space="0" w:color="auto"/>
              <w:left w:val="single" w:sz="4" w:space="0" w:color="auto"/>
              <w:bottom w:val="single" w:sz="4" w:space="0" w:color="auto"/>
            </w:tcBorders>
          </w:tcPr>
          <w:p w14:paraId="76C16EEE"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E74385" w:rsidRPr="00F71634" w14:paraId="76C16EF3" w14:textId="77777777" w:rsidTr="005A0812">
        <w:trPr>
          <w:trHeight w:val="60"/>
        </w:trPr>
        <w:tc>
          <w:tcPr>
            <w:tcW w:w="1701" w:type="dxa"/>
            <w:vMerge w:val="restart"/>
            <w:tcBorders>
              <w:top w:val="single" w:sz="4" w:space="0" w:color="auto"/>
              <w:right w:val="single" w:sz="4" w:space="0" w:color="auto"/>
            </w:tcBorders>
          </w:tcPr>
          <w:p w14:paraId="76C16EF0" w14:textId="77777777" w:rsidR="00E74385" w:rsidRPr="006906E4" w:rsidRDefault="00E74385" w:rsidP="00000A31">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2018–19 </w:t>
            </w:r>
          </w:p>
        </w:tc>
        <w:tc>
          <w:tcPr>
            <w:tcW w:w="3475" w:type="dxa"/>
            <w:tcBorders>
              <w:top w:val="single" w:sz="4" w:space="0" w:color="auto"/>
              <w:left w:val="single" w:sz="4" w:space="0" w:color="auto"/>
              <w:bottom w:val="single" w:sz="4" w:space="0" w:color="auto"/>
              <w:right w:val="single" w:sz="4" w:space="0" w:color="auto"/>
            </w:tcBorders>
          </w:tcPr>
          <w:p w14:paraId="76C16EF1" w14:textId="77777777" w:rsidR="00E74385" w:rsidRPr="0028314B" w:rsidRDefault="00E74385" w:rsidP="00000A31">
            <w:pPr>
              <w:tabs>
                <w:tab w:val="left" w:pos="709"/>
              </w:tabs>
              <w:spacing w:before="60" w:after="60" w:line="240" w:lineRule="auto"/>
              <w:jc w:val="left"/>
              <w:rPr>
                <w:rFonts w:ascii="Arial" w:hAnsi="Arial" w:cs="Arial"/>
                <w:color w:val="000000"/>
                <w:sz w:val="16"/>
                <w:szCs w:val="16"/>
              </w:rPr>
            </w:pPr>
            <w:r w:rsidRPr="00194400">
              <w:rPr>
                <w:rFonts w:ascii="Arial" w:hAnsi="Arial" w:cs="Arial"/>
                <w:color w:val="000000"/>
                <w:sz w:val="16"/>
                <w:szCs w:val="16"/>
              </w:rPr>
              <w:t>Increase the proportion of employees who have returned to work, measured by duration on incapacity benefits, to facilitate recovery and reduce liability.</w:t>
            </w:r>
          </w:p>
        </w:tc>
        <w:tc>
          <w:tcPr>
            <w:tcW w:w="2565" w:type="dxa"/>
            <w:tcBorders>
              <w:top w:val="single" w:sz="4" w:space="0" w:color="auto"/>
              <w:left w:val="single" w:sz="4" w:space="0" w:color="auto"/>
              <w:bottom w:val="single" w:sz="4" w:space="0" w:color="auto"/>
            </w:tcBorders>
          </w:tcPr>
          <w:p w14:paraId="76C16EF2" w14:textId="194AEF9A" w:rsidR="00E74385" w:rsidRPr="0028314B" w:rsidRDefault="00E74385" w:rsidP="00BA4391">
            <w:pPr>
              <w:tabs>
                <w:tab w:val="left" w:pos="709"/>
              </w:tabs>
              <w:spacing w:before="60" w:after="60" w:line="240" w:lineRule="auto"/>
              <w:jc w:val="left"/>
              <w:rPr>
                <w:rFonts w:ascii="Arial" w:hAnsi="Arial" w:cs="Arial"/>
                <w:b/>
                <w:color w:val="000000"/>
                <w:sz w:val="16"/>
                <w:szCs w:val="16"/>
              </w:rPr>
            </w:pPr>
            <w:r w:rsidRPr="0028314B">
              <w:rPr>
                <w:rFonts w:ascii="Arial" w:hAnsi="Arial" w:cs="Arial"/>
                <w:b/>
                <w:color w:val="000000"/>
                <w:sz w:val="16"/>
                <w:szCs w:val="16"/>
              </w:rPr>
              <w:t xml:space="preserve">Assessment: </w:t>
            </w:r>
            <w:r w:rsidRPr="00B2151E">
              <w:rPr>
                <w:rFonts w:ascii="Arial" w:hAnsi="Arial" w:cs="Arial"/>
                <w:color w:val="000000"/>
                <w:sz w:val="16"/>
                <w:szCs w:val="16"/>
              </w:rPr>
              <w:t>Not on track</w:t>
            </w:r>
            <w:r>
              <w:rPr>
                <w:rStyle w:val="FootnoteReference"/>
                <w:rFonts w:ascii="Arial" w:hAnsi="Arial" w:cs="Arial"/>
                <w:color w:val="000000"/>
                <w:sz w:val="16"/>
                <w:szCs w:val="16"/>
              </w:rPr>
              <w:footnoteReference w:id="2"/>
            </w:r>
            <w:r>
              <w:rPr>
                <w:rFonts w:ascii="Arial" w:hAnsi="Arial" w:cs="Arial"/>
                <w:color w:val="000000"/>
                <w:sz w:val="16"/>
                <w:szCs w:val="16"/>
              </w:rPr>
              <w:t>.</w:t>
            </w:r>
          </w:p>
        </w:tc>
      </w:tr>
      <w:tr w:rsidR="00E74385" w:rsidRPr="00F71634" w14:paraId="76C16EF7" w14:textId="77777777" w:rsidTr="005A0812">
        <w:tc>
          <w:tcPr>
            <w:tcW w:w="1701" w:type="dxa"/>
            <w:vMerge/>
            <w:tcBorders>
              <w:right w:val="single" w:sz="4" w:space="0" w:color="auto"/>
            </w:tcBorders>
          </w:tcPr>
          <w:p w14:paraId="76C16EF4" w14:textId="77777777" w:rsidR="00E74385" w:rsidRDefault="00E74385"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EF5" w14:textId="77777777" w:rsidR="00E74385" w:rsidRPr="0028314B" w:rsidRDefault="00E74385" w:rsidP="00000A31">
            <w:pPr>
              <w:spacing w:before="60" w:after="60" w:line="240" w:lineRule="auto"/>
              <w:jc w:val="left"/>
              <w:rPr>
                <w:rFonts w:ascii="Arial" w:hAnsi="Arial" w:cs="Arial"/>
                <w:color w:val="000000"/>
                <w:sz w:val="16"/>
                <w:szCs w:val="16"/>
              </w:rPr>
            </w:pPr>
            <w:r w:rsidRPr="00194400">
              <w:rPr>
                <w:rFonts w:ascii="Arial" w:hAnsi="Arial" w:cs="Arial"/>
                <w:color w:val="000000"/>
                <w:sz w:val="16"/>
                <w:szCs w:val="16"/>
              </w:rPr>
              <w:t>A sustained high-level of satisfaction</w:t>
            </w:r>
            <w:r>
              <w:rPr>
                <w:rFonts w:ascii="Arial" w:hAnsi="Arial" w:cs="Arial"/>
                <w:color w:val="000000"/>
                <w:sz w:val="16"/>
                <w:szCs w:val="16"/>
              </w:rPr>
              <w:t>, measured by survey,</w:t>
            </w:r>
            <w:r w:rsidRPr="00194400">
              <w:rPr>
                <w:rFonts w:ascii="Arial" w:hAnsi="Arial" w:cs="Arial"/>
                <w:color w:val="000000"/>
                <w:sz w:val="16"/>
                <w:szCs w:val="16"/>
              </w:rPr>
              <w:t xml:space="preserve"> and engagement with the services provided, to ensure services are appropriate, responsive and relevant.</w:t>
            </w:r>
          </w:p>
        </w:tc>
        <w:tc>
          <w:tcPr>
            <w:tcW w:w="2565" w:type="dxa"/>
            <w:tcBorders>
              <w:top w:val="single" w:sz="4" w:space="0" w:color="auto"/>
              <w:left w:val="single" w:sz="4" w:space="0" w:color="auto"/>
              <w:bottom w:val="single" w:sz="4" w:space="0" w:color="auto"/>
            </w:tcBorders>
          </w:tcPr>
          <w:p w14:paraId="76C16EF6" w14:textId="2C78AFED" w:rsidR="00E74385" w:rsidRPr="0028314B" w:rsidRDefault="00E74385" w:rsidP="00000A31">
            <w:pPr>
              <w:tabs>
                <w:tab w:val="left" w:pos="709"/>
              </w:tabs>
              <w:spacing w:before="60" w:after="60" w:line="240" w:lineRule="auto"/>
              <w:jc w:val="left"/>
              <w:rPr>
                <w:rFonts w:ascii="Arial" w:hAnsi="Arial" w:cs="Arial"/>
                <w:b/>
                <w:color w:val="000000"/>
                <w:sz w:val="16"/>
                <w:szCs w:val="16"/>
              </w:rPr>
            </w:pPr>
            <w:r w:rsidRPr="0028314B">
              <w:rPr>
                <w:rFonts w:ascii="Arial" w:hAnsi="Arial" w:cs="Arial"/>
                <w:b/>
                <w:color w:val="000000"/>
                <w:sz w:val="16"/>
                <w:szCs w:val="16"/>
              </w:rPr>
              <w:t xml:space="preserve">Assessment: </w:t>
            </w:r>
            <w:r>
              <w:rPr>
                <w:rFonts w:ascii="Arial" w:hAnsi="Arial" w:cs="Arial"/>
                <w:color w:val="000000"/>
                <w:sz w:val="16"/>
                <w:szCs w:val="16"/>
              </w:rPr>
              <w:t>On track.</w:t>
            </w:r>
          </w:p>
        </w:tc>
      </w:tr>
      <w:tr w:rsidR="00E74385" w:rsidRPr="00F71634" w14:paraId="76C16EFC" w14:textId="77777777" w:rsidTr="005A0812">
        <w:tc>
          <w:tcPr>
            <w:tcW w:w="1701" w:type="dxa"/>
            <w:vMerge/>
            <w:tcBorders>
              <w:right w:val="single" w:sz="4" w:space="0" w:color="auto"/>
            </w:tcBorders>
          </w:tcPr>
          <w:p w14:paraId="76C16EF8" w14:textId="77777777" w:rsidR="00E74385" w:rsidRDefault="00E74385"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EF9" w14:textId="77777777" w:rsidR="00E74385" w:rsidRPr="0028314B" w:rsidRDefault="00E74385" w:rsidP="00000A31">
            <w:pPr>
              <w:spacing w:before="60" w:after="60" w:line="240" w:lineRule="auto"/>
              <w:jc w:val="left"/>
              <w:rPr>
                <w:rFonts w:ascii="Arial" w:hAnsi="Arial" w:cs="Arial"/>
                <w:color w:val="000000"/>
                <w:sz w:val="16"/>
                <w:szCs w:val="16"/>
              </w:rPr>
            </w:pPr>
            <w:r w:rsidRPr="00EA43F3">
              <w:rPr>
                <w:rFonts w:ascii="Arial" w:hAnsi="Arial" w:cs="Arial"/>
                <w:color w:val="000000"/>
                <w:sz w:val="16"/>
                <w:szCs w:val="16"/>
              </w:rPr>
              <w:t xml:space="preserve">That claims administration cost as a ratio of all claims expenses is </w:t>
            </w:r>
            <w:r>
              <w:rPr>
                <w:rFonts w:ascii="Arial" w:hAnsi="Arial" w:cs="Arial"/>
                <w:color w:val="000000"/>
                <w:sz w:val="16"/>
                <w:szCs w:val="16"/>
              </w:rPr>
              <w:t>20</w:t>
            </w:r>
            <w:r w:rsidRPr="00EA43F3">
              <w:rPr>
                <w:rFonts w:ascii="Arial" w:hAnsi="Arial" w:cs="Arial"/>
                <w:color w:val="000000"/>
                <w:sz w:val="16"/>
                <w:szCs w:val="16"/>
              </w:rPr>
              <w:t xml:space="preserve"> per cent or lower for each injury year, </w:t>
            </w:r>
            <w:r>
              <w:rPr>
                <w:rFonts w:ascii="Arial" w:hAnsi="Arial" w:cs="Arial"/>
                <w:color w:val="000000"/>
                <w:sz w:val="16"/>
                <w:szCs w:val="16"/>
              </w:rPr>
              <w:t>measured by Safe Work Australia’s comparative performance monitoring methodology,</w:t>
            </w:r>
            <w:r w:rsidRPr="00EA43F3">
              <w:rPr>
                <w:rFonts w:ascii="Arial" w:hAnsi="Arial" w:cs="Arial"/>
                <w:color w:val="000000"/>
                <w:sz w:val="16"/>
                <w:szCs w:val="16"/>
              </w:rPr>
              <w:t xml:space="preserve"> to ensure cost effective management of the fund.</w:t>
            </w:r>
          </w:p>
        </w:tc>
        <w:tc>
          <w:tcPr>
            <w:tcW w:w="2565" w:type="dxa"/>
            <w:tcBorders>
              <w:top w:val="single" w:sz="4" w:space="0" w:color="auto"/>
              <w:left w:val="single" w:sz="4" w:space="0" w:color="auto"/>
              <w:bottom w:val="single" w:sz="4" w:space="0" w:color="auto"/>
            </w:tcBorders>
          </w:tcPr>
          <w:p w14:paraId="76C16EFA" w14:textId="735ABDB9" w:rsidR="00E74385" w:rsidRDefault="00E74385" w:rsidP="00000A31">
            <w:pPr>
              <w:tabs>
                <w:tab w:val="left" w:pos="709"/>
              </w:tabs>
              <w:spacing w:before="60" w:after="60" w:line="240" w:lineRule="auto"/>
              <w:jc w:val="left"/>
              <w:rPr>
                <w:rFonts w:ascii="Arial" w:hAnsi="Arial" w:cs="Arial"/>
                <w:color w:val="000000"/>
                <w:sz w:val="16"/>
                <w:szCs w:val="16"/>
              </w:rPr>
            </w:pPr>
            <w:r w:rsidRPr="0037773C">
              <w:rPr>
                <w:rFonts w:ascii="Arial" w:hAnsi="Arial" w:cs="Arial"/>
                <w:b/>
                <w:color w:val="000000"/>
                <w:sz w:val="16"/>
                <w:szCs w:val="16"/>
              </w:rPr>
              <w:t xml:space="preserve">Assessment: </w:t>
            </w:r>
            <w:r w:rsidRPr="0037773C">
              <w:rPr>
                <w:rFonts w:ascii="Arial" w:hAnsi="Arial" w:cs="Arial"/>
                <w:color w:val="000000"/>
                <w:sz w:val="16"/>
                <w:szCs w:val="16"/>
              </w:rPr>
              <w:t>On track</w:t>
            </w:r>
            <w:r>
              <w:rPr>
                <w:rFonts w:ascii="Arial" w:hAnsi="Arial" w:cs="Arial"/>
                <w:color w:val="000000"/>
                <w:sz w:val="16"/>
                <w:szCs w:val="16"/>
              </w:rPr>
              <w:t>.</w:t>
            </w:r>
          </w:p>
          <w:p w14:paraId="76C16EFB" w14:textId="77777777" w:rsidR="00E74385" w:rsidRPr="00545FAB" w:rsidRDefault="00E74385" w:rsidP="00000A31">
            <w:pPr>
              <w:tabs>
                <w:tab w:val="left" w:pos="709"/>
              </w:tabs>
              <w:spacing w:before="60" w:after="60" w:line="240" w:lineRule="auto"/>
              <w:jc w:val="left"/>
              <w:rPr>
                <w:rFonts w:ascii="Arial" w:hAnsi="Arial" w:cs="Arial"/>
                <w:b/>
                <w:color w:val="FF0000"/>
                <w:sz w:val="16"/>
                <w:szCs w:val="16"/>
              </w:rPr>
            </w:pPr>
          </w:p>
        </w:tc>
      </w:tr>
      <w:tr w:rsidR="00E74385" w:rsidRPr="00F71634" w14:paraId="76C16F01" w14:textId="77777777" w:rsidTr="00E74385">
        <w:tc>
          <w:tcPr>
            <w:tcW w:w="1701" w:type="dxa"/>
            <w:vMerge/>
            <w:tcBorders>
              <w:bottom w:val="single" w:sz="4" w:space="0" w:color="auto"/>
              <w:right w:val="single" w:sz="4" w:space="0" w:color="auto"/>
            </w:tcBorders>
          </w:tcPr>
          <w:p w14:paraId="76C16EFD" w14:textId="77777777" w:rsidR="00E74385" w:rsidRDefault="00E74385"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EFE" w14:textId="77777777" w:rsidR="00E74385" w:rsidRPr="00A57A5D" w:rsidRDefault="00E74385" w:rsidP="002573A6">
            <w:pPr>
              <w:spacing w:before="60" w:after="60" w:line="240" w:lineRule="auto"/>
              <w:jc w:val="left"/>
              <w:rPr>
                <w:rFonts w:ascii="Arial" w:hAnsi="Arial" w:cs="Arial"/>
                <w:color w:val="000000"/>
                <w:sz w:val="16"/>
                <w:szCs w:val="16"/>
              </w:rPr>
            </w:pPr>
            <w:r>
              <w:rPr>
                <w:rFonts w:ascii="Arial" w:hAnsi="Arial" w:cs="Arial"/>
                <w:color w:val="000000"/>
                <w:sz w:val="16"/>
                <w:szCs w:val="16"/>
              </w:rPr>
              <w:t>The average Commonwealth</w:t>
            </w:r>
            <w:r w:rsidRPr="00EA43F3">
              <w:rPr>
                <w:rFonts w:ascii="Arial" w:hAnsi="Arial" w:cs="Arial"/>
                <w:color w:val="000000"/>
                <w:sz w:val="16"/>
                <w:szCs w:val="16"/>
              </w:rPr>
              <w:t xml:space="preserve"> premium rate</w:t>
            </w:r>
            <w:r>
              <w:rPr>
                <w:rFonts w:ascii="Arial" w:hAnsi="Arial" w:cs="Arial"/>
                <w:color w:val="000000"/>
                <w:sz w:val="16"/>
                <w:szCs w:val="16"/>
              </w:rPr>
              <w:t xml:space="preserve"> reduces to 1.1 per cent of payroll (excluding GST)</w:t>
            </w:r>
            <w:r w:rsidRPr="00EA43F3">
              <w:rPr>
                <w:rFonts w:ascii="Arial" w:hAnsi="Arial" w:cs="Arial"/>
                <w:color w:val="000000"/>
                <w:sz w:val="16"/>
                <w:szCs w:val="16"/>
              </w:rPr>
              <w:t xml:space="preserve"> to ensure the scheme remains financially sustainable.</w:t>
            </w:r>
          </w:p>
        </w:tc>
        <w:tc>
          <w:tcPr>
            <w:tcW w:w="2565" w:type="dxa"/>
            <w:tcBorders>
              <w:top w:val="single" w:sz="4" w:space="0" w:color="auto"/>
              <w:left w:val="single" w:sz="4" w:space="0" w:color="auto"/>
              <w:bottom w:val="single" w:sz="4" w:space="0" w:color="auto"/>
            </w:tcBorders>
          </w:tcPr>
          <w:p w14:paraId="76C16EFF" w14:textId="42DBB1F9" w:rsidR="00E74385" w:rsidRDefault="00E74385" w:rsidP="00000A31">
            <w:pPr>
              <w:tabs>
                <w:tab w:val="left" w:pos="709"/>
              </w:tabs>
              <w:spacing w:before="60" w:after="60" w:line="240" w:lineRule="auto"/>
              <w:jc w:val="left"/>
              <w:rPr>
                <w:rFonts w:ascii="Arial" w:hAnsi="Arial" w:cs="Arial"/>
                <w:color w:val="000000"/>
                <w:sz w:val="16"/>
                <w:szCs w:val="16"/>
              </w:rPr>
            </w:pPr>
            <w:r w:rsidRPr="0037773C">
              <w:rPr>
                <w:rFonts w:ascii="Arial" w:hAnsi="Arial" w:cs="Arial"/>
                <w:b/>
                <w:color w:val="000000"/>
                <w:sz w:val="16"/>
                <w:szCs w:val="16"/>
              </w:rPr>
              <w:t xml:space="preserve">Assessment: </w:t>
            </w:r>
            <w:r w:rsidRPr="0037773C">
              <w:rPr>
                <w:rFonts w:ascii="Arial" w:hAnsi="Arial" w:cs="Arial"/>
                <w:color w:val="000000"/>
                <w:sz w:val="16"/>
                <w:szCs w:val="16"/>
              </w:rPr>
              <w:t>On track</w:t>
            </w:r>
            <w:r>
              <w:rPr>
                <w:rFonts w:ascii="Arial" w:hAnsi="Arial" w:cs="Arial"/>
                <w:color w:val="000000"/>
                <w:sz w:val="16"/>
                <w:szCs w:val="16"/>
              </w:rPr>
              <w:t>.</w:t>
            </w:r>
          </w:p>
          <w:p w14:paraId="76C16F00" w14:textId="77777777" w:rsidR="00E74385" w:rsidRPr="0028314B" w:rsidRDefault="00E74385" w:rsidP="00000A31">
            <w:pPr>
              <w:tabs>
                <w:tab w:val="left" w:pos="709"/>
              </w:tabs>
              <w:spacing w:before="60" w:after="60" w:line="240" w:lineRule="auto"/>
              <w:jc w:val="left"/>
              <w:rPr>
                <w:rFonts w:ascii="Arial" w:hAnsi="Arial" w:cs="Arial"/>
                <w:b/>
                <w:color w:val="000000"/>
                <w:sz w:val="16"/>
                <w:szCs w:val="16"/>
              </w:rPr>
            </w:pPr>
          </w:p>
        </w:tc>
      </w:tr>
      <w:tr w:rsidR="00E74385" w:rsidRPr="00F71634" w14:paraId="76C16F06" w14:textId="77777777" w:rsidTr="00E74385">
        <w:tc>
          <w:tcPr>
            <w:tcW w:w="1701" w:type="dxa"/>
            <w:vMerge w:val="restart"/>
            <w:tcBorders>
              <w:bottom w:val="dotted" w:sz="4" w:space="0" w:color="auto"/>
              <w:right w:val="single" w:sz="4" w:space="0" w:color="auto"/>
            </w:tcBorders>
          </w:tcPr>
          <w:p w14:paraId="76C16F02" w14:textId="77777777" w:rsidR="00E74385" w:rsidRDefault="00E74385"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F03" w14:textId="77777777" w:rsidR="00E74385" w:rsidRPr="00A57A5D" w:rsidRDefault="00E74385" w:rsidP="00000A31">
            <w:pPr>
              <w:spacing w:before="60" w:after="60" w:line="240" w:lineRule="auto"/>
              <w:jc w:val="left"/>
              <w:rPr>
                <w:rFonts w:ascii="Arial" w:hAnsi="Arial" w:cs="Arial"/>
                <w:color w:val="000000"/>
                <w:sz w:val="16"/>
                <w:szCs w:val="16"/>
              </w:rPr>
            </w:pPr>
            <w:r w:rsidRPr="00EA43F3">
              <w:rPr>
                <w:rFonts w:ascii="Arial" w:hAnsi="Arial" w:cs="Arial"/>
                <w:color w:val="000000"/>
                <w:sz w:val="16"/>
                <w:szCs w:val="16"/>
              </w:rPr>
              <w:t xml:space="preserve">Reduce the </w:t>
            </w:r>
            <w:r>
              <w:rPr>
                <w:rFonts w:ascii="Arial" w:hAnsi="Arial" w:cs="Arial"/>
                <w:color w:val="000000"/>
                <w:sz w:val="16"/>
                <w:szCs w:val="16"/>
              </w:rPr>
              <w:t>insured</w:t>
            </w:r>
            <w:r w:rsidRPr="00EA43F3">
              <w:rPr>
                <w:rFonts w:ascii="Arial" w:hAnsi="Arial" w:cs="Arial"/>
                <w:color w:val="000000"/>
                <w:sz w:val="16"/>
                <w:szCs w:val="16"/>
              </w:rPr>
              <w:t xml:space="preserve"> scheme liability to ensure </w:t>
            </w:r>
            <w:r>
              <w:rPr>
                <w:rFonts w:ascii="Arial" w:hAnsi="Arial" w:cs="Arial"/>
                <w:color w:val="000000"/>
                <w:sz w:val="16"/>
                <w:szCs w:val="16"/>
              </w:rPr>
              <w:t>the scheme</w:t>
            </w:r>
            <w:r w:rsidRPr="00EA43F3">
              <w:rPr>
                <w:rFonts w:ascii="Arial" w:hAnsi="Arial" w:cs="Arial"/>
                <w:color w:val="000000"/>
                <w:sz w:val="16"/>
                <w:szCs w:val="16"/>
              </w:rPr>
              <w:t xml:space="preserve"> remains financially sustainable.</w:t>
            </w:r>
          </w:p>
        </w:tc>
        <w:tc>
          <w:tcPr>
            <w:tcW w:w="2565" w:type="dxa"/>
            <w:tcBorders>
              <w:top w:val="single" w:sz="4" w:space="0" w:color="auto"/>
              <w:left w:val="single" w:sz="4" w:space="0" w:color="auto"/>
              <w:bottom w:val="single" w:sz="4" w:space="0" w:color="auto"/>
            </w:tcBorders>
          </w:tcPr>
          <w:p w14:paraId="76C16F04" w14:textId="7D917063" w:rsidR="00E74385" w:rsidRDefault="00E74385" w:rsidP="00000A31">
            <w:pPr>
              <w:tabs>
                <w:tab w:val="left" w:pos="709"/>
              </w:tabs>
              <w:spacing w:before="60" w:after="60" w:line="240" w:lineRule="auto"/>
              <w:jc w:val="left"/>
              <w:rPr>
                <w:rFonts w:ascii="Arial" w:hAnsi="Arial" w:cs="Arial"/>
                <w:color w:val="000000"/>
                <w:sz w:val="16"/>
                <w:szCs w:val="16"/>
              </w:rPr>
            </w:pPr>
            <w:r w:rsidRPr="0037773C">
              <w:rPr>
                <w:rFonts w:ascii="Arial" w:hAnsi="Arial" w:cs="Arial"/>
                <w:b/>
                <w:color w:val="000000"/>
                <w:sz w:val="16"/>
                <w:szCs w:val="16"/>
              </w:rPr>
              <w:t xml:space="preserve">Assessment: </w:t>
            </w:r>
            <w:r w:rsidRPr="0037773C">
              <w:rPr>
                <w:rFonts w:ascii="Arial" w:hAnsi="Arial" w:cs="Arial"/>
                <w:color w:val="000000"/>
                <w:sz w:val="16"/>
                <w:szCs w:val="16"/>
              </w:rPr>
              <w:t>On track</w:t>
            </w:r>
            <w:r>
              <w:rPr>
                <w:rFonts w:ascii="Arial" w:hAnsi="Arial" w:cs="Arial"/>
                <w:color w:val="000000"/>
                <w:sz w:val="16"/>
                <w:szCs w:val="16"/>
              </w:rPr>
              <w:t>.</w:t>
            </w:r>
          </w:p>
          <w:p w14:paraId="76C16F05" w14:textId="77777777" w:rsidR="00E74385" w:rsidRPr="0028314B" w:rsidRDefault="00E74385" w:rsidP="00000A31">
            <w:pPr>
              <w:tabs>
                <w:tab w:val="left" w:pos="709"/>
              </w:tabs>
              <w:spacing w:before="60" w:after="60" w:line="240" w:lineRule="auto"/>
              <w:jc w:val="left"/>
              <w:rPr>
                <w:rFonts w:ascii="Arial" w:hAnsi="Arial" w:cs="Arial"/>
                <w:b/>
                <w:color w:val="000000"/>
                <w:sz w:val="16"/>
                <w:szCs w:val="16"/>
              </w:rPr>
            </w:pPr>
          </w:p>
        </w:tc>
      </w:tr>
      <w:tr w:rsidR="00E74385" w:rsidRPr="00F71634" w14:paraId="76C16F0A" w14:textId="77777777" w:rsidTr="00E74385">
        <w:tc>
          <w:tcPr>
            <w:tcW w:w="1701" w:type="dxa"/>
            <w:vMerge/>
            <w:tcBorders>
              <w:bottom w:val="dotted" w:sz="4" w:space="0" w:color="auto"/>
              <w:right w:val="single" w:sz="4" w:space="0" w:color="auto"/>
            </w:tcBorders>
          </w:tcPr>
          <w:p w14:paraId="76C16F07" w14:textId="77777777" w:rsidR="00E74385" w:rsidRDefault="00E74385"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6F08" w14:textId="101D65B6" w:rsidR="00E74385" w:rsidRPr="00A57A5D" w:rsidRDefault="00E74385" w:rsidP="00000A31">
            <w:pPr>
              <w:spacing w:before="60" w:after="60" w:line="240" w:lineRule="auto"/>
              <w:jc w:val="left"/>
              <w:rPr>
                <w:rFonts w:ascii="Arial" w:hAnsi="Arial" w:cs="Arial"/>
                <w:color w:val="000000"/>
                <w:sz w:val="16"/>
                <w:szCs w:val="16"/>
              </w:rPr>
            </w:pPr>
            <w:r w:rsidRPr="00EA43F3">
              <w:rPr>
                <w:rFonts w:ascii="Arial" w:hAnsi="Arial" w:cs="Arial"/>
                <w:color w:val="000000"/>
                <w:sz w:val="16"/>
                <w:szCs w:val="16"/>
              </w:rPr>
              <w:t>The insured workers</w:t>
            </w:r>
            <w:r w:rsidR="00EC50CD">
              <w:rPr>
                <w:rFonts w:ascii="Arial" w:hAnsi="Arial" w:cs="Arial"/>
                <w:color w:val="000000"/>
                <w:sz w:val="16"/>
                <w:szCs w:val="16"/>
              </w:rPr>
              <w:t>’</w:t>
            </w:r>
            <w:r w:rsidRPr="00EA43F3">
              <w:rPr>
                <w:rFonts w:ascii="Arial" w:hAnsi="Arial" w:cs="Arial"/>
                <w:color w:val="000000"/>
                <w:sz w:val="16"/>
                <w:szCs w:val="16"/>
              </w:rPr>
              <w:t xml:space="preserve"> compensation scheme continues to be fully funded.</w:t>
            </w:r>
          </w:p>
        </w:tc>
        <w:tc>
          <w:tcPr>
            <w:tcW w:w="2565" w:type="dxa"/>
            <w:tcBorders>
              <w:top w:val="single" w:sz="4" w:space="0" w:color="auto"/>
              <w:left w:val="single" w:sz="4" w:space="0" w:color="auto"/>
              <w:bottom w:val="dotted" w:sz="4" w:space="0" w:color="auto"/>
            </w:tcBorders>
          </w:tcPr>
          <w:p w14:paraId="76C16F09" w14:textId="1AF68A47" w:rsidR="00E74385" w:rsidRPr="0028314B" w:rsidRDefault="00E74385" w:rsidP="00000A31">
            <w:pPr>
              <w:tabs>
                <w:tab w:val="left" w:pos="709"/>
              </w:tabs>
              <w:spacing w:before="60" w:after="60" w:line="240" w:lineRule="auto"/>
              <w:jc w:val="left"/>
              <w:rPr>
                <w:rFonts w:ascii="Arial" w:hAnsi="Arial" w:cs="Arial"/>
                <w:b/>
                <w:color w:val="000000"/>
                <w:sz w:val="16"/>
                <w:szCs w:val="16"/>
              </w:rPr>
            </w:pPr>
            <w:r w:rsidRPr="0028314B">
              <w:rPr>
                <w:rFonts w:ascii="Arial" w:hAnsi="Arial" w:cs="Arial"/>
                <w:b/>
                <w:color w:val="000000"/>
                <w:sz w:val="16"/>
                <w:szCs w:val="16"/>
              </w:rPr>
              <w:t xml:space="preserve">Assessment: </w:t>
            </w:r>
            <w:r w:rsidRPr="0028314B">
              <w:rPr>
                <w:rFonts w:ascii="Arial" w:hAnsi="Arial" w:cs="Arial"/>
                <w:color w:val="000000"/>
                <w:sz w:val="16"/>
                <w:szCs w:val="16"/>
              </w:rPr>
              <w:t>On track</w:t>
            </w:r>
            <w:r>
              <w:rPr>
                <w:rFonts w:ascii="Arial" w:hAnsi="Arial" w:cs="Arial"/>
                <w:color w:val="000000"/>
                <w:sz w:val="16"/>
                <w:szCs w:val="16"/>
              </w:rPr>
              <w:t>.</w:t>
            </w:r>
          </w:p>
        </w:tc>
      </w:tr>
      <w:tr w:rsidR="00946D33" w:rsidRPr="00F71634" w14:paraId="76C16F0E" w14:textId="77777777" w:rsidTr="00E74385">
        <w:tc>
          <w:tcPr>
            <w:tcW w:w="1701" w:type="dxa"/>
            <w:vMerge w:val="restart"/>
            <w:tcBorders>
              <w:top w:val="dotted" w:sz="4" w:space="0" w:color="auto"/>
              <w:right w:val="single" w:sz="4" w:space="0" w:color="auto"/>
            </w:tcBorders>
          </w:tcPr>
          <w:p w14:paraId="76C16F0B" w14:textId="77777777" w:rsidR="00946D33" w:rsidRDefault="00946D33" w:rsidP="00000A31">
            <w:pPr>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475" w:type="dxa"/>
            <w:tcBorders>
              <w:top w:val="dotted" w:sz="4" w:space="0" w:color="auto"/>
              <w:bottom w:val="single" w:sz="4" w:space="0" w:color="auto"/>
            </w:tcBorders>
          </w:tcPr>
          <w:p w14:paraId="76C16F0C" w14:textId="77777777" w:rsidR="00946D33" w:rsidRPr="0028314B" w:rsidRDefault="00946D33" w:rsidP="00000A31">
            <w:pPr>
              <w:tabs>
                <w:tab w:val="left" w:pos="709"/>
              </w:tabs>
              <w:spacing w:before="60" w:after="60" w:line="240" w:lineRule="auto"/>
              <w:jc w:val="left"/>
              <w:rPr>
                <w:rFonts w:ascii="Arial" w:hAnsi="Arial" w:cs="Arial"/>
                <w:color w:val="000000"/>
                <w:sz w:val="16"/>
                <w:szCs w:val="16"/>
              </w:rPr>
            </w:pPr>
            <w:r w:rsidRPr="00194400">
              <w:rPr>
                <w:rFonts w:ascii="Arial" w:hAnsi="Arial" w:cs="Arial"/>
                <w:color w:val="000000"/>
                <w:sz w:val="16"/>
                <w:szCs w:val="16"/>
              </w:rPr>
              <w:t>Increase the proportion of employees who have returned to work, measured by duration on incapacity benefits.</w:t>
            </w:r>
          </w:p>
        </w:tc>
        <w:tc>
          <w:tcPr>
            <w:tcW w:w="2565" w:type="dxa"/>
            <w:tcBorders>
              <w:top w:val="dotted" w:sz="4" w:space="0" w:color="auto"/>
              <w:left w:val="single" w:sz="4" w:space="0" w:color="auto"/>
              <w:bottom w:val="single" w:sz="4" w:space="0" w:color="auto"/>
            </w:tcBorders>
          </w:tcPr>
          <w:p w14:paraId="76C16F0D" w14:textId="08D36466" w:rsidR="00946D33" w:rsidRPr="00A57A5D" w:rsidRDefault="00946D33" w:rsidP="00000A31">
            <w:pPr>
              <w:tabs>
                <w:tab w:val="left" w:pos="709"/>
              </w:tabs>
              <w:spacing w:before="60" w:after="60" w:line="240" w:lineRule="auto"/>
              <w:jc w:val="left"/>
              <w:rPr>
                <w:rFonts w:ascii="Arial" w:hAnsi="Arial" w:cs="Arial"/>
                <w:color w:val="000000"/>
                <w:sz w:val="16"/>
                <w:szCs w:val="16"/>
              </w:rPr>
            </w:pPr>
            <w:r w:rsidRPr="00EA43F3">
              <w:rPr>
                <w:rFonts w:ascii="Arial" w:hAnsi="Arial" w:cs="Arial"/>
                <w:color w:val="000000"/>
                <w:sz w:val="16"/>
                <w:szCs w:val="16"/>
              </w:rPr>
              <w:t>Measured as the proportion of employees whose accrued i</w:t>
            </w:r>
            <w:r w:rsidR="00647211">
              <w:rPr>
                <w:rFonts w:ascii="Arial" w:hAnsi="Arial" w:cs="Arial"/>
                <w:color w:val="000000"/>
                <w:sz w:val="16"/>
                <w:szCs w:val="16"/>
              </w:rPr>
              <w:t xml:space="preserve">ncapacity duration is less than </w:t>
            </w:r>
            <w:r w:rsidR="00E35412">
              <w:rPr>
                <w:rFonts w:ascii="Arial" w:hAnsi="Arial" w:cs="Arial"/>
                <w:color w:val="000000"/>
                <w:sz w:val="16"/>
                <w:szCs w:val="16"/>
              </w:rPr>
              <w:t>4, 13, 26, 52 and 78 weeks</w:t>
            </w:r>
            <w:r w:rsidR="00E74385">
              <w:rPr>
                <w:rFonts w:ascii="Arial" w:hAnsi="Arial" w:cs="Arial"/>
                <w:color w:val="000000"/>
                <w:sz w:val="16"/>
                <w:szCs w:val="16"/>
              </w:rPr>
              <w:t>.</w:t>
            </w:r>
          </w:p>
        </w:tc>
      </w:tr>
      <w:tr w:rsidR="00946D33" w:rsidRPr="00F71634" w14:paraId="76C16F12" w14:textId="77777777" w:rsidTr="005A0812">
        <w:tc>
          <w:tcPr>
            <w:tcW w:w="1701" w:type="dxa"/>
            <w:vMerge/>
            <w:tcBorders>
              <w:right w:val="single" w:sz="4" w:space="0" w:color="auto"/>
            </w:tcBorders>
          </w:tcPr>
          <w:p w14:paraId="76C16F0F" w14:textId="77777777" w:rsidR="00946D33" w:rsidRDefault="00946D33"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bottom w:val="single" w:sz="4" w:space="0" w:color="auto"/>
            </w:tcBorders>
          </w:tcPr>
          <w:p w14:paraId="76C16F10" w14:textId="77777777" w:rsidR="00946D33" w:rsidRPr="0028314B" w:rsidRDefault="00946D33" w:rsidP="00000A31">
            <w:pPr>
              <w:spacing w:before="60" w:after="60" w:line="240" w:lineRule="auto"/>
              <w:jc w:val="left"/>
              <w:rPr>
                <w:rFonts w:ascii="Arial" w:hAnsi="Arial" w:cs="Arial"/>
                <w:color w:val="000000"/>
                <w:sz w:val="16"/>
                <w:szCs w:val="16"/>
              </w:rPr>
            </w:pPr>
            <w:r>
              <w:rPr>
                <w:rFonts w:ascii="Arial" w:hAnsi="Arial" w:cs="Arial"/>
                <w:color w:val="000000"/>
                <w:sz w:val="16"/>
                <w:szCs w:val="16"/>
              </w:rPr>
              <w:t>Deliver appropriate, responsive and relevant services shown in sustained high levels of satisfaction and engagement with services offered.</w:t>
            </w:r>
          </w:p>
        </w:tc>
        <w:tc>
          <w:tcPr>
            <w:tcW w:w="2565" w:type="dxa"/>
            <w:tcBorders>
              <w:top w:val="single" w:sz="4" w:space="0" w:color="auto"/>
              <w:left w:val="single" w:sz="4" w:space="0" w:color="auto"/>
              <w:bottom w:val="single" w:sz="4" w:space="0" w:color="auto"/>
            </w:tcBorders>
          </w:tcPr>
          <w:p w14:paraId="76C16F11" w14:textId="77777777" w:rsidR="00946D33" w:rsidRPr="00A57A5D" w:rsidRDefault="00946D33" w:rsidP="00000A31">
            <w:pPr>
              <w:tabs>
                <w:tab w:val="left" w:pos="709"/>
              </w:tabs>
              <w:spacing w:before="60" w:after="60" w:line="240" w:lineRule="auto"/>
              <w:jc w:val="left"/>
              <w:rPr>
                <w:rFonts w:ascii="Arial" w:hAnsi="Arial" w:cs="Arial"/>
                <w:color w:val="000000"/>
                <w:sz w:val="16"/>
                <w:szCs w:val="16"/>
              </w:rPr>
            </w:pPr>
            <w:r w:rsidRPr="00EA43F3">
              <w:rPr>
                <w:rFonts w:ascii="Arial" w:hAnsi="Arial" w:cs="Arial"/>
                <w:color w:val="000000"/>
                <w:sz w:val="16"/>
                <w:szCs w:val="16"/>
              </w:rPr>
              <w:t>A stakeholder sat</w:t>
            </w:r>
            <w:r>
              <w:rPr>
                <w:rFonts w:ascii="Arial" w:hAnsi="Arial" w:cs="Arial"/>
                <w:color w:val="000000"/>
                <w:sz w:val="16"/>
                <w:szCs w:val="16"/>
              </w:rPr>
              <w:t>isfaction rating of 85% or more.</w:t>
            </w:r>
          </w:p>
        </w:tc>
      </w:tr>
      <w:tr w:rsidR="00946D33" w:rsidRPr="00F71634" w14:paraId="76C16F16" w14:textId="77777777" w:rsidTr="005A0812">
        <w:tc>
          <w:tcPr>
            <w:tcW w:w="1701" w:type="dxa"/>
            <w:vMerge/>
            <w:tcBorders>
              <w:right w:val="single" w:sz="4" w:space="0" w:color="auto"/>
            </w:tcBorders>
          </w:tcPr>
          <w:p w14:paraId="76C16F13" w14:textId="77777777" w:rsidR="00946D33" w:rsidRDefault="00946D33"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bottom w:val="single" w:sz="4" w:space="0" w:color="auto"/>
            </w:tcBorders>
          </w:tcPr>
          <w:p w14:paraId="76C16F14" w14:textId="77777777" w:rsidR="00946D33" w:rsidRPr="0028314B" w:rsidRDefault="00946D33" w:rsidP="00000A31">
            <w:pPr>
              <w:spacing w:before="60" w:after="60" w:line="240" w:lineRule="auto"/>
              <w:jc w:val="left"/>
              <w:rPr>
                <w:rFonts w:ascii="Arial" w:hAnsi="Arial" w:cs="Arial"/>
                <w:color w:val="000000"/>
                <w:sz w:val="16"/>
                <w:szCs w:val="16"/>
              </w:rPr>
            </w:pPr>
            <w:r>
              <w:rPr>
                <w:rFonts w:ascii="Arial" w:hAnsi="Arial" w:cs="Arial"/>
                <w:color w:val="000000"/>
                <w:sz w:val="16"/>
                <w:szCs w:val="16"/>
              </w:rPr>
              <w:t>C</w:t>
            </w:r>
            <w:r w:rsidRPr="00EA43F3">
              <w:rPr>
                <w:rFonts w:ascii="Arial" w:hAnsi="Arial" w:cs="Arial"/>
                <w:color w:val="000000"/>
                <w:sz w:val="16"/>
                <w:szCs w:val="16"/>
              </w:rPr>
              <w:t>laims administration cost as a ratio of all claims expenses is 17 per cent or lower for each injury year.</w:t>
            </w:r>
          </w:p>
        </w:tc>
        <w:tc>
          <w:tcPr>
            <w:tcW w:w="2565" w:type="dxa"/>
            <w:tcBorders>
              <w:top w:val="single" w:sz="4" w:space="0" w:color="auto"/>
              <w:left w:val="single" w:sz="4" w:space="0" w:color="auto"/>
              <w:bottom w:val="single" w:sz="4" w:space="0" w:color="auto"/>
            </w:tcBorders>
          </w:tcPr>
          <w:p w14:paraId="76C16F15" w14:textId="77777777" w:rsidR="00946D33" w:rsidRPr="00A57A5D" w:rsidRDefault="00946D33" w:rsidP="00000A31">
            <w:pPr>
              <w:tabs>
                <w:tab w:val="left" w:pos="709"/>
              </w:tabs>
              <w:spacing w:before="60" w:after="60" w:line="240" w:lineRule="auto"/>
              <w:jc w:val="left"/>
              <w:rPr>
                <w:rFonts w:ascii="Arial" w:hAnsi="Arial" w:cs="Arial"/>
                <w:color w:val="000000"/>
                <w:sz w:val="16"/>
                <w:szCs w:val="16"/>
              </w:rPr>
            </w:pPr>
            <w:r w:rsidRPr="00EA43F3">
              <w:rPr>
                <w:rFonts w:ascii="Arial" w:hAnsi="Arial" w:cs="Arial"/>
                <w:color w:val="000000"/>
                <w:sz w:val="16"/>
                <w:szCs w:val="16"/>
              </w:rPr>
              <w:t>Administrative cost ratio is 17% or lower</w:t>
            </w:r>
            <w:r>
              <w:rPr>
                <w:rFonts w:ascii="Arial" w:hAnsi="Arial" w:cs="Arial"/>
                <w:color w:val="000000"/>
                <w:sz w:val="16"/>
                <w:szCs w:val="16"/>
              </w:rPr>
              <w:t>.</w:t>
            </w:r>
          </w:p>
        </w:tc>
      </w:tr>
      <w:tr w:rsidR="00946D33" w:rsidRPr="00F71634" w14:paraId="76C16F1A" w14:textId="77777777" w:rsidTr="005A0812">
        <w:tc>
          <w:tcPr>
            <w:tcW w:w="1701" w:type="dxa"/>
            <w:vMerge/>
            <w:tcBorders>
              <w:right w:val="single" w:sz="4" w:space="0" w:color="auto"/>
            </w:tcBorders>
          </w:tcPr>
          <w:p w14:paraId="76C16F17" w14:textId="77777777" w:rsidR="00946D33" w:rsidRDefault="00946D33"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bottom w:val="single" w:sz="4" w:space="0" w:color="auto"/>
            </w:tcBorders>
          </w:tcPr>
          <w:p w14:paraId="76C16F18" w14:textId="1D5A2B85" w:rsidR="00946D33" w:rsidRPr="00A57A5D" w:rsidRDefault="00946D33" w:rsidP="002573A6">
            <w:pPr>
              <w:spacing w:before="60" w:after="60" w:line="240" w:lineRule="auto"/>
              <w:jc w:val="left"/>
              <w:rPr>
                <w:rFonts w:ascii="Arial" w:hAnsi="Arial" w:cs="Arial"/>
                <w:color w:val="000000"/>
                <w:sz w:val="16"/>
                <w:szCs w:val="16"/>
              </w:rPr>
            </w:pPr>
            <w:r w:rsidRPr="00EA43F3">
              <w:rPr>
                <w:rFonts w:ascii="Arial" w:hAnsi="Arial" w:cs="Arial"/>
                <w:color w:val="000000"/>
                <w:sz w:val="16"/>
                <w:szCs w:val="16"/>
              </w:rPr>
              <w:t>The annual average Commonwealth premium r</w:t>
            </w:r>
            <w:r w:rsidR="00ED2FF6">
              <w:rPr>
                <w:rFonts w:ascii="Arial" w:hAnsi="Arial" w:cs="Arial"/>
                <w:color w:val="000000"/>
                <w:sz w:val="16"/>
                <w:szCs w:val="16"/>
              </w:rPr>
              <w:t>ate is set to ensure the worker</w:t>
            </w:r>
            <w:r w:rsidRPr="00EA43F3">
              <w:rPr>
                <w:rFonts w:ascii="Arial" w:hAnsi="Arial" w:cs="Arial"/>
                <w:color w:val="000000"/>
                <w:sz w:val="16"/>
                <w:szCs w:val="16"/>
              </w:rPr>
              <w:t>s</w:t>
            </w:r>
            <w:r w:rsidR="00ED2FF6">
              <w:rPr>
                <w:rFonts w:ascii="Arial" w:hAnsi="Arial" w:cs="Arial"/>
                <w:color w:val="000000"/>
                <w:sz w:val="16"/>
                <w:szCs w:val="16"/>
              </w:rPr>
              <w:t>’</w:t>
            </w:r>
            <w:r w:rsidRPr="00EA43F3">
              <w:rPr>
                <w:rFonts w:ascii="Arial" w:hAnsi="Arial" w:cs="Arial"/>
                <w:color w:val="000000"/>
                <w:sz w:val="16"/>
                <w:szCs w:val="16"/>
              </w:rPr>
              <w:t xml:space="preserve"> compensation scheme remains financially sustainable.</w:t>
            </w:r>
          </w:p>
        </w:tc>
        <w:tc>
          <w:tcPr>
            <w:tcW w:w="2565" w:type="dxa"/>
            <w:tcBorders>
              <w:top w:val="single" w:sz="4" w:space="0" w:color="auto"/>
              <w:left w:val="single" w:sz="4" w:space="0" w:color="auto"/>
              <w:bottom w:val="single" w:sz="4" w:space="0" w:color="auto"/>
            </w:tcBorders>
          </w:tcPr>
          <w:p w14:paraId="76C16F19" w14:textId="77777777" w:rsidR="00946D33" w:rsidRPr="00A57A5D" w:rsidRDefault="00946D33" w:rsidP="00000A31">
            <w:pPr>
              <w:tabs>
                <w:tab w:val="left" w:pos="709"/>
              </w:tabs>
              <w:spacing w:before="60" w:after="60" w:line="240" w:lineRule="auto"/>
              <w:jc w:val="left"/>
              <w:rPr>
                <w:rFonts w:ascii="Arial" w:hAnsi="Arial" w:cs="Arial"/>
                <w:color w:val="000000"/>
                <w:sz w:val="16"/>
                <w:szCs w:val="16"/>
              </w:rPr>
            </w:pPr>
            <w:r w:rsidRPr="00EA43F3">
              <w:rPr>
                <w:rFonts w:ascii="Arial" w:hAnsi="Arial" w:cs="Arial"/>
                <w:color w:val="000000"/>
                <w:sz w:val="16"/>
                <w:szCs w:val="16"/>
              </w:rPr>
              <w:t xml:space="preserve">Average </w:t>
            </w:r>
            <w:r w:rsidR="002573A6" w:rsidRPr="00EA43F3">
              <w:rPr>
                <w:rFonts w:ascii="Arial" w:hAnsi="Arial" w:cs="Arial"/>
                <w:color w:val="000000"/>
                <w:sz w:val="16"/>
                <w:szCs w:val="16"/>
              </w:rPr>
              <w:t>Commonwealth</w:t>
            </w:r>
            <w:r w:rsidRPr="00EA43F3">
              <w:rPr>
                <w:rFonts w:ascii="Arial" w:hAnsi="Arial" w:cs="Arial"/>
                <w:color w:val="000000"/>
                <w:sz w:val="16"/>
                <w:szCs w:val="16"/>
              </w:rPr>
              <w:t xml:space="preserve"> premium rate = 1% of payroll</w:t>
            </w:r>
            <w:r>
              <w:rPr>
                <w:rFonts w:ascii="Arial" w:hAnsi="Arial" w:cs="Arial"/>
                <w:color w:val="000000"/>
                <w:sz w:val="16"/>
                <w:szCs w:val="16"/>
              </w:rPr>
              <w:t>.</w:t>
            </w:r>
          </w:p>
        </w:tc>
      </w:tr>
      <w:tr w:rsidR="00946D33" w:rsidRPr="00F71634" w14:paraId="76C16F1E" w14:textId="77777777" w:rsidTr="005A0812">
        <w:tc>
          <w:tcPr>
            <w:tcW w:w="1701" w:type="dxa"/>
            <w:vMerge/>
            <w:tcBorders>
              <w:right w:val="single" w:sz="4" w:space="0" w:color="auto"/>
            </w:tcBorders>
          </w:tcPr>
          <w:p w14:paraId="76C16F1B" w14:textId="77777777" w:rsidR="00946D33" w:rsidRDefault="00946D33"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bottom w:val="single" w:sz="4" w:space="0" w:color="auto"/>
            </w:tcBorders>
          </w:tcPr>
          <w:p w14:paraId="76C16F1C" w14:textId="356A5A32" w:rsidR="00946D33" w:rsidRPr="00A57A5D" w:rsidRDefault="00946D33" w:rsidP="00000A31">
            <w:pPr>
              <w:spacing w:before="60" w:after="60" w:line="240" w:lineRule="auto"/>
              <w:jc w:val="left"/>
              <w:rPr>
                <w:rFonts w:ascii="Arial" w:hAnsi="Arial" w:cs="Arial"/>
                <w:color w:val="000000"/>
                <w:sz w:val="16"/>
                <w:szCs w:val="16"/>
              </w:rPr>
            </w:pPr>
            <w:r>
              <w:rPr>
                <w:rFonts w:ascii="Arial" w:hAnsi="Arial" w:cs="Arial"/>
                <w:color w:val="000000"/>
                <w:sz w:val="16"/>
                <w:szCs w:val="16"/>
              </w:rPr>
              <w:t>Ensure the scheme financial sus</w:t>
            </w:r>
            <w:r w:rsidR="00246EF2">
              <w:rPr>
                <w:rFonts w:ascii="Arial" w:hAnsi="Arial" w:cs="Arial"/>
                <w:color w:val="000000"/>
                <w:sz w:val="16"/>
                <w:szCs w:val="16"/>
              </w:rPr>
              <w:t>tainability by reducing workers’</w:t>
            </w:r>
            <w:r>
              <w:rPr>
                <w:rFonts w:ascii="Arial" w:hAnsi="Arial" w:cs="Arial"/>
                <w:color w:val="000000"/>
                <w:sz w:val="16"/>
                <w:szCs w:val="16"/>
              </w:rPr>
              <w:t xml:space="preserve"> compensation liabilities.</w:t>
            </w:r>
          </w:p>
        </w:tc>
        <w:tc>
          <w:tcPr>
            <w:tcW w:w="2565" w:type="dxa"/>
            <w:tcBorders>
              <w:top w:val="single" w:sz="4" w:space="0" w:color="auto"/>
              <w:left w:val="single" w:sz="4" w:space="0" w:color="auto"/>
              <w:bottom w:val="single" w:sz="4" w:space="0" w:color="auto"/>
            </w:tcBorders>
          </w:tcPr>
          <w:p w14:paraId="76C16F1D" w14:textId="77777777" w:rsidR="00946D33" w:rsidRPr="00A57A5D" w:rsidRDefault="00946D33" w:rsidP="00000A31">
            <w:pPr>
              <w:tabs>
                <w:tab w:val="left" w:pos="709"/>
              </w:tabs>
              <w:spacing w:before="60" w:after="60" w:line="240" w:lineRule="auto"/>
              <w:jc w:val="left"/>
              <w:rPr>
                <w:rFonts w:ascii="Arial" w:hAnsi="Arial" w:cs="Arial"/>
                <w:color w:val="000000"/>
                <w:sz w:val="16"/>
                <w:szCs w:val="16"/>
              </w:rPr>
            </w:pPr>
            <w:r w:rsidRPr="00EA43F3">
              <w:rPr>
                <w:rFonts w:ascii="Arial" w:hAnsi="Arial" w:cs="Arial"/>
                <w:color w:val="000000"/>
                <w:sz w:val="16"/>
                <w:szCs w:val="16"/>
              </w:rPr>
              <w:t>Scheme liability is $1.71 billion or less 30 June 20</w:t>
            </w:r>
            <w:r>
              <w:rPr>
                <w:rFonts w:ascii="Arial" w:hAnsi="Arial" w:cs="Arial"/>
                <w:color w:val="000000"/>
                <w:sz w:val="16"/>
                <w:szCs w:val="16"/>
              </w:rPr>
              <w:t>20.</w:t>
            </w:r>
          </w:p>
        </w:tc>
      </w:tr>
      <w:tr w:rsidR="00946D33" w:rsidRPr="00F71634" w14:paraId="76C16F22" w14:textId="77777777" w:rsidTr="005A0812">
        <w:tc>
          <w:tcPr>
            <w:tcW w:w="1701" w:type="dxa"/>
            <w:vMerge/>
            <w:tcBorders>
              <w:bottom w:val="dotted" w:sz="4" w:space="0" w:color="auto"/>
              <w:right w:val="single" w:sz="4" w:space="0" w:color="auto"/>
            </w:tcBorders>
          </w:tcPr>
          <w:p w14:paraId="76C16F1F" w14:textId="77777777" w:rsidR="00946D33" w:rsidRPr="006906E4" w:rsidRDefault="00946D33"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bottom w:val="dotted" w:sz="4" w:space="0" w:color="auto"/>
            </w:tcBorders>
          </w:tcPr>
          <w:p w14:paraId="76C16F20" w14:textId="11D86583" w:rsidR="00946D33" w:rsidRPr="00A57A5D" w:rsidRDefault="00946D33" w:rsidP="00000A31">
            <w:pPr>
              <w:spacing w:before="60" w:after="60" w:line="240" w:lineRule="auto"/>
              <w:jc w:val="left"/>
              <w:rPr>
                <w:rFonts w:ascii="Arial" w:hAnsi="Arial" w:cs="Arial"/>
                <w:color w:val="000000"/>
                <w:sz w:val="16"/>
                <w:szCs w:val="16"/>
              </w:rPr>
            </w:pPr>
            <w:r w:rsidRPr="00EA43F3">
              <w:rPr>
                <w:rFonts w:ascii="Arial" w:hAnsi="Arial" w:cs="Arial"/>
                <w:color w:val="000000"/>
                <w:sz w:val="16"/>
                <w:szCs w:val="16"/>
              </w:rPr>
              <w:t>The insured workers</w:t>
            </w:r>
            <w:r w:rsidR="00EC50CD">
              <w:rPr>
                <w:rFonts w:ascii="Arial" w:hAnsi="Arial" w:cs="Arial"/>
                <w:color w:val="000000"/>
                <w:sz w:val="16"/>
                <w:szCs w:val="16"/>
              </w:rPr>
              <w:t>’</w:t>
            </w:r>
            <w:r w:rsidRPr="00EA43F3">
              <w:rPr>
                <w:rFonts w:ascii="Arial" w:hAnsi="Arial" w:cs="Arial"/>
                <w:color w:val="000000"/>
                <w:sz w:val="16"/>
                <w:szCs w:val="16"/>
              </w:rPr>
              <w:t xml:space="preserve"> compensation scheme continues to be fully funded.</w:t>
            </w:r>
          </w:p>
        </w:tc>
        <w:tc>
          <w:tcPr>
            <w:tcW w:w="2565" w:type="dxa"/>
            <w:tcBorders>
              <w:top w:val="single" w:sz="4" w:space="0" w:color="auto"/>
              <w:left w:val="single" w:sz="4" w:space="0" w:color="auto"/>
              <w:bottom w:val="dotted" w:sz="4" w:space="0" w:color="auto"/>
            </w:tcBorders>
          </w:tcPr>
          <w:p w14:paraId="76C16F21" w14:textId="77777777" w:rsidR="00946D33" w:rsidRPr="00A57A5D" w:rsidRDefault="00946D33" w:rsidP="00000A31">
            <w:pPr>
              <w:tabs>
                <w:tab w:val="left" w:pos="709"/>
              </w:tabs>
              <w:spacing w:before="60" w:after="60" w:line="240" w:lineRule="auto"/>
              <w:jc w:val="left"/>
              <w:rPr>
                <w:rFonts w:ascii="Arial" w:hAnsi="Arial" w:cs="Arial"/>
                <w:color w:val="000000"/>
                <w:sz w:val="16"/>
                <w:szCs w:val="16"/>
              </w:rPr>
            </w:pPr>
            <w:r w:rsidRPr="00EA43F3">
              <w:rPr>
                <w:rFonts w:ascii="Arial" w:hAnsi="Arial" w:cs="Arial"/>
                <w:color w:val="000000"/>
                <w:sz w:val="16"/>
                <w:szCs w:val="16"/>
              </w:rPr>
              <w:t>100–125%</w:t>
            </w:r>
          </w:p>
        </w:tc>
      </w:tr>
      <w:tr w:rsidR="00946D33" w:rsidRPr="00F71634" w14:paraId="76C16F26" w14:textId="77777777" w:rsidTr="005A0812">
        <w:tc>
          <w:tcPr>
            <w:tcW w:w="1701" w:type="dxa"/>
            <w:vMerge w:val="restart"/>
            <w:tcBorders>
              <w:top w:val="dotted" w:sz="4" w:space="0" w:color="auto"/>
              <w:right w:val="single" w:sz="4" w:space="0" w:color="auto"/>
            </w:tcBorders>
          </w:tcPr>
          <w:p w14:paraId="76C16F23" w14:textId="77777777" w:rsidR="00946D33" w:rsidRPr="006906E4" w:rsidRDefault="00946D33" w:rsidP="00000A31">
            <w:pPr>
              <w:tabs>
                <w:tab w:val="left" w:pos="709"/>
              </w:tabs>
              <w:spacing w:before="60" w:after="60" w:line="240" w:lineRule="auto"/>
              <w:jc w:val="left"/>
              <w:rPr>
                <w:rFonts w:ascii="Arial" w:hAnsi="Arial" w:cs="Arial"/>
                <w:sz w:val="16"/>
                <w:szCs w:val="16"/>
              </w:rPr>
            </w:pPr>
            <w:r>
              <w:rPr>
                <w:rFonts w:ascii="Arial" w:hAnsi="Arial" w:cs="Arial"/>
                <w:sz w:val="16"/>
                <w:szCs w:val="16"/>
              </w:rPr>
              <w:t>2020</w:t>
            </w:r>
            <w:r w:rsidRPr="001549B3">
              <w:rPr>
                <w:rFonts w:ascii="Arial" w:hAnsi="Arial" w:cs="Arial"/>
                <w:sz w:val="16"/>
                <w:szCs w:val="16"/>
              </w:rPr>
              <w:t>–2</w:t>
            </w:r>
            <w:r>
              <w:rPr>
                <w:rFonts w:ascii="Arial" w:hAnsi="Arial" w:cs="Arial"/>
                <w:sz w:val="16"/>
                <w:szCs w:val="16"/>
              </w:rPr>
              <w:t>1</w:t>
            </w:r>
            <w:r w:rsidRPr="001549B3">
              <w:rPr>
                <w:rFonts w:ascii="Arial" w:hAnsi="Arial" w:cs="Arial"/>
                <w:sz w:val="16"/>
                <w:szCs w:val="16"/>
              </w:rPr>
              <w:t xml:space="preserve"> and beyond</w:t>
            </w:r>
          </w:p>
        </w:tc>
        <w:tc>
          <w:tcPr>
            <w:tcW w:w="3475" w:type="dxa"/>
            <w:tcBorders>
              <w:top w:val="dotted" w:sz="4" w:space="0" w:color="auto"/>
              <w:bottom w:val="single" w:sz="4" w:space="0" w:color="auto"/>
            </w:tcBorders>
          </w:tcPr>
          <w:p w14:paraId="76C16F24" w14:textId="77777777" w:rsidR="00946D33" w:rsidRPr="0028314B" w:rsidRDefault="00946D33" w:rsidP="00000A31">
            <w:pPr>
              <w:tabs>
                <w:tab w:val="left" w:pos="709"/>
              </w:tabs>
              <w:spacing w:before="60" w:after="60" w:line="240" w:lineRule="auto"/>
              <w:jc w:val="left"/>
              <w:rPr>
                <w:rFonts w:ascii="Arial" w:hAnsi="Arial" w:cs="Arial"/>
                <w:color w:val="000000"/>
                <w:sz w:val="16"/>
                <w:szCs w:val="16"/>
              </w:rPr>
            </w:pPr>
            <w:r w:rsidRPr="00194400">
              <w:rPr>
                <w:rFonts w:ascii="Arial" w:hAnsi="Arial" w:cs="Arial"/>
                <w:color w:val="000000"/>
                <w:sz w:val="16"/>
                <w:szCs w:val="16"/>
              </w:rPr>
              <w:t>Increase the proportion of employees who have returned to work, measured by duration on incapacity benefits.</w:t>
            </w:r>
          </w:p>
        </w:tc>
        <w:tc>
          <w:tcPr>
            <w:tcW w:w="2565" w:type="dxa"/>
            <w:tcBorders>
              <w:top w:val="dotted" w:sz="4" w:space="0" w:color="auto"/>
              <w:left w:val="single" w:sz="4" w:space="0" w:color="auto"/>
              <w:bottom w:val="single" w:sz="4" w:space="0" w:color="auto"/>
            </w:tcBorders>
          </w:tcPr>
          <w:p w14:paraId="76C16F25" w14:textId="2836543F" w:rsidR="00946D33" w:rsidRPr="00A57A5D" w:rsidRDefault="00946D33" w:rsidP="00000A31">
            <w:pPr>
              <w:tabs>
                <w:tab w:val="left" w:pos="709"/>
              </w:tabs>
              <w:spacing w:before="60" w:after="60" w:line="240" w:lineRule="auto"/>
              <w:jc w:val="left"/>
              <w:rPr>
                <w:rFonts w:ascii="Arial" w:hAnsi="Arial" w:cs="Arial"/>
                <w:color w:val="000000"/>
                <w:sz w:val="16"/>
                <w:szCs w:val="16"/>
              </w:rPr>
            </w:pPr>
            <w:r w:rsidRPr="00EA43F3">
              <w:rPr>
                <w:rFonts w:ascii="Arial" w:hAnsi="Arial" w:cs="Arial"/>
                <w:color w:val="000000"/>
                <w:sz w:val="16"/>
                <w:szCs w:val="16"/>
              </w:rPr>
              <w:t xml:space="preserve">Measured as the proportion of employees whose accrued incapacity duration is less </w:t>
            </w:r>
            <w:r w:rsidR="00E35412">
              <w:rPr>
                <w:rFonts w:ascii="Arial" w:hAnsi="Arial" w:cs="Arial"/>
                <w:color w:val="000000"/>
                <w:sz w:val="16"/>
                <w:szCs w:val="16"/>
              </w:rPr>
              <w:t>than 4, 13, 26, 52 and 78 weeks</w:t>
            </w:r>
            <w:r w:rsidR="00DC6923">
              <w:rPr>
                <w:rFonts w:ascii="Arial" w:hAnsi="Arial" w:cs="Arial"/>
                <w:color w:val="000000"/>
                <w:sz w:val="16"/>
                <w:szCs w:val="16"/>
              </w:rPr>
              <w:t>.</w:t>
            </w:r>
          </w:p>
        </w:tc>
      </w:tr>
      <w:tr w:rsidR="00946D33" w:rsidRPr="00F71634" w14:paraId="76C16F2A" w14:textId="77777777" w:rsidTr="005A0812">
        <w:tc>
          <w:tcPr>
            <w:tcW w:w="1701" w:type="dxa"/>
            <w:vMerge/>
            <w:tcBorders>
              <w:right w:val="single" w:sz="4" w:space="0" w:color="auto"/>
            </w:tcBorders>
          </w:tcPr>
          <w:p w14:paraId="76C16F27" w14:textId="77777777" w:rsidR="00946D33" w:rsidRPr="006906E4" w:rsidRDefault="00946D33"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bottom w:val="single" w:sz="4" w:space="0" w:color="auto"/>
            </w:tcBorders>
          </w:tcPr>
          <w:p w14:paraId="76C16F28" w14:textId="77777777" w:rsidR="00946D33" w:rsidRPr="0028314B" w:rsidRDefault="00946D33" w:rsidP="00000A31">
            <w:pPr>
              <w:spacing w:before="60" w:after="60" w:line="240" w:lineRule="auto"/>
              <w:jc w:val="left"/>
              <w:rPr>
                <w:rFonts w:ascii="Arial" w:hAnsi="Arial" w:cs="Arial"/>
                <w:color w:val="000000"/>
                <w:sz w:val="16"/>
                <w:szCs w:val="16"/>
              </w:rPr>
            </w:pPr>
            <w:r>
              <w:rPr>
                <w:rFonts w:ascii="Arial" w:hAnsi="Arial" w:cs="Arial"/>
                <w:color w:val="000000"/>
                <w:sz w:val="16"/>
                <w:szCs w:val="16"/>
              </w:rPr>
              <w:t>Deliver appropriate, responsive and relevant services shown in sustained high levels of satisfaction and engagement with services offered.</w:t>
            </w:r>
          </w:p>
        </w:tc>
        <w:tc>
          <w:tcPr>
            <w:tcW w:w="2565" w:type="dxa"/>
            <w:tcBorders>
              <w:top w:val="single" w:sz="4" w:space="0" w:color="auto"/>
              <w:left w:val="single" w:sz="4" w:space="0" w:color="auto"/>
              <w:bottom w:val="single" w:sz="4" w:space="0" w:color="auto"/>
            </w:tcBorders>
          </w:tcPr>
          <w:p w14:paraId="76C16F29" w14:textId="77777777" w:rsidR="00946D33" w:rsidRPr="00A57A5D" w:rsidRDefault="00946D33" w:rsidP="00000A31">
            <w:pPr>
              <w:tabs>
                <w:tab w:val="left" w:pos="709"/>
              </w:tabs>
              <w:spacing w:before="60" w:after="60" w:line="240" w:lineRule="auto"/>
              <w:jc w:val="left"/>
              <w:rPr>
                <w:rFonts w:ascii="Arial" w:hAnsi="Arial" w:cs="Arial"/>
                <w:color w:val="000000"/>
                <w:sz w:val="16"/>
                <w:szCs w:val="16"/>
              </w:rPr>
            </w:pPr>
            <w:r w:rsidRPr="00EA43F3">
              <w:rPr>
                <w:rFonts w:ascii="Arial" w:hAnsi="Arial" w:cs="Arial"/>
                <w:color w:val="000000"/>
                <w:sz w:val="16"/>
                <w:szCs w:val="16"/>
              </w:rPr>
              <w:t>A stakeholder sat</w:t>
            </w:r>
            <w:r>
              <w:rPr>
                <w:rFonts w:ascii="Arial" w:hAnsi="Arial" w:cs="Arial"/>
                <w:color w:val="000000"/>
                <w:sz w:val="16"/>
                <w:szCs w:val="16"/>
              </w:rPr>
              <w:t>isfaction rating of 87–92% or more.</w:t>
            </w:r>
          </w:p>
        </w:tc>
      </w:tr>
      <w:tr w:rsidR="00946D33" w:rsidRPr="00F71634" w14:paraId="76C16F2E" w14:textId="77777777" w:rsidTr="005A0812">
        <w:tc>
          <w:tcPr>
            <w:tcW w:w="1701" w:type="dxa"/>
            <w:vMerge/>
            <w:tcBorders>
              <w:right w:val="single" w:sz="4" w:space="0" w:color="auto"/>
            </w:tcBorders>
          </w:tcPr>
          <w:p w14:paraId="76C16F2B" w14:textId="77777777" w:rsidR="00946D33" w:rsidRPr="006906E4" w:rsidRDefault="00946D33"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bottom w:val="single" w:sz="4" w:space="0" w:color="auto"/>
            </w:tcBorders>
          </w:tcPr>
          <w:p w14:paraId="76C16F2C" w14:textId="77777777" w:rsidR="00946D33" w:rsidRPr="0028314B" w:rsidRDefault="00946D33" w:rsidP="00000A31">
            <w:pPr>
              <w:spacing w:before="60" w:after="60" w:line="240" w:lineRule="auto"/>
              <w:jc w:val="left"/>
              <w:rPr>
                <w:rFonts w:ascii="Arial" w:hAnsi="Arial" w:cs="Arial"/>
                <w:color w:val="000000"/>
                <w:sz w:val="16"/>
                <w:szCs w:val="16"/>
              </w:rPr>
            </w:pPr>
            <w:r>
              <w:rPr>
                <w:rFonts w:ascii="Arial" w:hAnsi="Arial" w:cs="Arial"/>
                <w:color w:val="000000"/>
                <w:sz w:val="16"/>
                <w:szCs w:val="16"/>
              </w:rPr>
              <w:t>C</w:t>
            </w:r>
            <w:r w:rsidRPr="00EA43F3">
              <w:rPr>
                <w:rFonts w:ascii="Arial" w:hAnsi="Arial" w:cs="Arial"/>
                <w:color w:val="000000"/>
                <w:sz w:val="16"/>
                <w:szCs w:val="16"/>
              </w:rPr>
              <w:t>laims administration cost as a ratio of all claims expenses is 17 per cent or lower for each injury yea</w:t>
            </w:r>
            <w:r>
              <w:rPr>
                <w:rFonts w:ascii="Arial" w:hAnsi="Arial" w:cs="Arial"/>
                <w:color w:val="000000"/>
                <w:sz w:val="16"/>
                <w:szCs w:val="16"/>
              </w:rPr>
              <w:t>r</w:t>
            </w:r>
            <w:r w:rsidRPr="00EA43F3">
              <w:rPr>
                <w:rFonts w:ascii="Arial" w:hAnsi="Arial" w:cs="Arial"/>
                <w:color w:val="000000"/>
                <w:sz w:val="16"/>
                <w:szCs w:val="16"/>
              </w:rPr>
              <w:t>.</w:t>
            </w:r>
          </w:p>
        </w:tc>
        <w:tc>
          <w:tcPr>
            <w:tcW w:w="2565" w:type="dxa"/>
            <w:tcBorders>
              <w:top w:val="single" w:sz="4" w:space="0" w:color="auto"/>
              <w:left w:val="single" w:sz="4" w:space="0" w:color="auto"/>
              <w:bottom w:val="single" w:sz="4" w:space="0" w:color="auto"/>
            </w:tcBorders>
          </w:tcPr>
          <w:p w14:paraId="76C16F2D" w14:textId="77777777" w:rsidR="00946D33" w:rsidRPr="00A57A5D" w:rsidRDefault="00946D33" w:rsidP="00000A31">
            <w:pPr>
              <w:tabs>
                <w:tab w:val="left" w:pos="709"/>
              </w:tabs>
              <w:spacing w:before="60" w:after="60" w:line="240" w:lineRule="auto"/>
              <w:jc w:val="left"/>
              <w:rPr>
                <w:rFonts w:ascii="Arial" w:hAnsi="Arial" w:cs="Arial"/>
                <w:color w:val="000000"/>
                <w:sz w:val="16"/>
                <w:szCs w:val="16"/>
              </w:rPr>
            </w:pPr>
            <w:r w:rsidRPr="00EA43F3">
              <w:rPr>
                <w:rFonts w:ascii="Arial" w:hAnsi="Arial" w:cs="Arial"/>
                <w:color w:val="000000"/>
                <w:sz w:val="16"/>
                <w:szCs w:val="16"/>
              </w:rPr>
              <w:t>Administrative cost ratio is 17% or lower</w:t>
            </w:r>
            <w:r>
              <w:rPr>
                <w:rFonts w:ascii="Arial" w:hAnsi="Arial" w:cs="Arial"/>
                <w:color w:val="000000"/>
                <w:sz w:val="16"/>
                <w:szCs w:val="16"/>
              </w:rPr>
              <w:t>.</w:t>
            </w:r>
          </w:p>
        </w:tc>
      </w:tr>
      <w:tr w:rsidR="00946D33" w:rsidRPr="00F71634" w14:paraId="76C16F32" w14:textId="77777777" w:rsidTr="005A0812">
        <w:tc>
          <w:tcPr>
            <w:tcW w:w="1701" w:type="dxa"/>
            <w:vMerge/>
            <w:tcBorders>
              <w:right w:val="single" w:sz="4" w:space="0" w:color="auto"/>
            </w:tcBorders>
          </w:tcPr>
          <w:p w14:paraId="76C16F2F" w14:textId="77777777" w:rsidR="00946D33" w:rsidRPr="006906E4" w:rsidRDefault="00946D33"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bottom w:val="single" w:sz="4" w:space="0" w:color="auto"/>
            </w:tcBorders>
          </w:tcPr>
          <w:p w14:paraId="76C16F30" w14:textId="087338BB" w:rsidR="00946D33" w:rsidRPr="00A57A5D" w:rsidRDefault="00946D33" w:rsidP="002573A6">
            <w:pPr>
              <w:spacing w:before="60" w:after="60" w:line="240" w:lineRule="auto"/>
              <w:jc w:val="left"/>
              <w:rPr>
                <w:rFonts w:ascii="Arial" w:hAnsi="Arial" w:cs="Arial"/>
                <w:color w:val="000000"/>
                <w:sz w:val="16"/>
                <w:szCs w:val="16"/>
              </w:rPr>
            </w:pPr>
            <w:r w:rsidRPr="00EA43F3">
              <w:rPr>
                <w:rFonts w:ascii="Arial" w:hAnsi="Arial" w:cs="Arial"/>
                <w:color w:val="000000"/>
                <w:sz w:val="16"/>
                <w:szCs w:val="16"/>
              </w:rPr>
              <w:t>The annual average Commonwealth premium r</w:t>
            </w:r>
            <w:r w:rsidR="00ED2FF6">
              <w:rPr>
                <w:rFonts w:ascii="Arial" w:hAnsi="Arial" w:cs="Arial"/>
                <w:color w:val="000000"/>
                <w:sz w:val="16"/>
                <w:szCs w:val="16"/>
              </w:rPr>
              <w:t>ate is set to ensure the worker</w:t>
            </w:r>
            <w:r w:rsidRPr="00EA43F3">
              <w:rPr>
                <w:rFonts w:ascii="Arial" w:hAnsi="Arial" w:cs="Arial"/>
                <w:color w:val="000000"/>
                <w:sz w:val="16"/>
                <w:szCs w:val="16"/>
              </w:rPr>
              <w:t>s</w:t>
            </w:r>
            <w:r w:rsidR="00ED2FF6">
              <w:rPr>
                <w:rFonts w:ascii="Arial" w:hAnsi="Arial" w:cs="Arial"/>
                <w:color w:val="000000"/>
                <w:sz w:val="16"/>
                <w:szCs w:val="16"/>
              </w:rPr>
              <w:t>’</w:t>
            </w:r>
            <w:r w:rsidRPr="00EA43F3">
              <w:rPr>
                <w:rFonts w:ascii="Arial" w:hAnsi="Arial" w:cs="Arial"/>
                <w:color w:val="000000"/>
                <w:sz w:val="16"/>
                <w:szCs w:val="16"/>
              </w:rPr>
              <w:t xml:space="preserve"> compensation scheme remains financially sustainable.</w:t>
            </w:r>
          </w:p>
        </w:tc>
        <w:tc>
          <w:tcPr>
            <w:tcW w:w="2565" w:type="dxa"/>
            <w:tcBorders>
              <w:top w:val="single" w:sz="4" w:space="0" w:color="auto"/>
              <w:left w:val="single" w:sz="4" w:space="0" w:color="auto"/>
              <w:bottom w:val="single" w:sz="4" w:space="0" w:color="auto"/>
            </w:tcBorders>
          </w:tcPr>
          <w:p w14:paraId="76C16F31" w14:textId="77777777" w:rsidR="00946D33" w:rsidRPr="00A57A5D" w:rsidRDefault="00946D33" w:rsidP="00000A31">
            <w:pPr>
              <w:tabs>
                <w:tab w:val="left" w:pos="709"/>
              </w:tabs>
              <w:spacing w:before="60" w:after="60" w:line="240" w:lineRule="auto"/>
              <w:jc w:val="left"/>
              <w:rPr>
                <w:rFonts w:ascii="Arial" w:hAnsi="Arial" w:cs="Arial"/>
                <w:color w:val="000000"/>
                <w:sz w:val="16"/>
                <w:szCs w:val="16"/>
              </w:rPr>
            </w:pPr>
            <w:r w:rsidRPr="00EA43F3">
              <w:rPr>
                <w:rFonts w:ascii="Arial" w:hAnsi="Arial" w:cs="Arial"/>
                <w:color w:val="000000"/>
                <w:sz w:val="16"/>
                <w:szCs w:val="16"/>
              </w:rPr>
              <w:t xml:space="preserve">Average </w:t>
            </w:r>
            <w:r w:rsidR="002573A6" w:rsidRPr="00EA43F3">
              <w:rPr>
                <w:rFonts w:ascii="Arial" w:hAnsi="Arial" w:cs="Arial"/>
                <w:color w:val="000000"/>
                <w:sz w:val="16"/>
                <w:szCs w:val="16"/>
              </w:rPr>
              <w:t>Commonwealth</w:t>
            </w:r>
            <w:r w:rsidRPr="00EA43F3">
              <w:rPr>
                <w:rFonts w:ascii="Arial" w:hAnsi="Arial" w:cs="Arial"/>
                <w:color w:val="000000"/>
                <w:sz w:val="16"/>
                <w:szCs w:val="16"/>
              </w:rPr>
              <w:t xml:space="preserve"> premium rate = 1% of payroll</w:t>
            </w:r>
            <w:r>
              <w:rPr>
                <w:rFonts w:ascii="Arial" w:hAnsi="Arial" w:cs="Arial"/>
                <w:color w:val="000000"/>
                <w:sz w:val="16"/>
                <w:szCs w:val="16"/>
              </w:rPr>
              <w:t>.</w:t>
            </w:r>
          </w:p>
        </w:tc>
      </w:tr>
      <w:tr w:rsidR="00946D33" w:rsidRPr="00F71634" w14:paraId="76C16F36" w14:textId="77777777" w:rsidTr="005A0812">
        <w:tc>
          <w:tcPr>
            <w:tcW w:w="1701" w:type="dxa"/>
            <w:vMerge/>
            <w:tcBorders>
              <w:right w:val="single" w:sz="4" w:space="0" w:color="auto"/>
            </w:tcBorders>
          </w:tcPr>
          <w:p w14:paraId="76C16F33" w14:textId="77777777" w:rsidR="00946D33" w:rsidRPr="006906E4" w:rsidRDefault="00946D33"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bottom w:val="single" w:sz="4" w:space="0" w:color="auto"/>
            </w:tcBorders>
          </w:tcPr>
          <w:p w14:paraId="76C16F34" w14:textId="3016AE7B" w:rsidR="00946D33" w:rsidRPr="00A57A5D" w:rsidRDefault="00946D33" w:rsidP="00000A31">
            <w:pPr>
              <w:spacing w:before="60" w:after="60" w:line="240" w:lineRule="auto"/>
              <w:jc w:val="left"/>
              <w:rPr>
                <w:rFonts w:ascii="Arial" w:hAnsi="Arial" w:cs="Arial"/>
                <w:color w:val="000000"/>
                <w:sz w:val="16"/>
                <w:szCs w:val="16"/>
              </w:rPr>
            </w:pPr>
            <w:r>
              <w:rPr>
                <w:rFonts w:ascii="Arial" w:hAnsi="Arial" w:cs="Arial"/>
                <w:color w:val="000000"/>
                <w:sz w:val="16"/>
                <w:szCs w:val="16"/>
              </w:rPr>
              <w:t>Ensure the scheme financial sustainability by reducing workers</w:t>
            </w:r>
            <w:r w:rsidR="00EC50CD">
              <w:rPr>
                <w:rFonts w:ascii="Arial" w:hAnsi="Arial" w:cs="Arial"/>
                <w:color w:val="000000"/>
                <w:sz w:val="16"/>
                <w:szCs w:val="16"/>
              </w:rPr>
              <w:t>’</w:t>
            </w:r>
            <w:r>
              <w:rPr>
                <w:rFonts w:ascii="Arial" w:hAnsi="Arial" w:cs="Arial"/>
                <w:color w:val="000000"/>
                <w:sz w:val="16"/>
                <w:szCs w:val="16"/>
              </w:rPr>
              <w:t xml:space="preserve"> compensation liabilities.</w:t>
            </w:r>
          </w:p>
        </w:tc>
        <w:tc>
          <w:tcPr>
            <w:tcW w:w="2565" w:type="dxa"/>
            <w:tcBorders>
              <w:top w:val="single" w:sz="4" w:space="0" w:color="auto"/>
              <w:left w:val="single" w:sz="4" w:space="0" w:color="auto"/>
              <w:bottom w:val="single" w:sz="4" w:space="0" w:color="auto"/>
            </w:tcBorders>
          </w:tcPr>
          <w:p w14:paraId="76C16F35" w14:textId="77777777" w:rsidR="00946D33" w:rsidRPr="00A57A5D" w:rsidRDefault="00946D33" w:rsidP="00000A31">
            <w:pPr>
              <w:tabs>
                <w:tab w:val="left" w:pos="709"/>
              </w:tabs>
              <w:spacing w:before="60" w:after="60" w:line="240" w:lineRule="auto"/>
              <w:jc w:val="left"/>
              <w:rPr>
                <w:rFonts w:ascii="Arial" w:hAnsi="Arial" w:cs="Arial"/>
                <w:color w:val="000000"/>
                <w:sz w:val="16"/>
                <w:szCs w:val="16"/>
              </w:rPr>
            </w:pPr>
            <w:r w:rsidRPr="00EA43F3">
              <w:rPr>
                <w:rFonts w:ascii="Arial" w:hAnsi="Arial" w:cs="Arial"/>
                <w:color w:val="000000"/>
                <w:sz w:val="16"/>
                <w:szCs w:val="16"/>
              </w:rPr>
              <w:t>Scheme liability is $1.</w:t>
            </w:r>
            <w:r>
              <w:rPr>
                <w:rFonts w:ascii="Arial" w:hAnsi="Arial" w:cs="Arial"/>
                <w:color w:val="000000"/>
                <w:sz w:val="16"/>
                <w:szCs w:val="16"/>
              </w:rPr>
              <w:t>54–1.39</w:t>
            </w:r>
            <w:r w:rsidRPr="00EA43F3">
              <w:rPr>
                <w:rFonts w:ascii="Arial" w:hAnsi="Arial" w:cs="Arial"/>
                <w:color w:val="000000"/>
                <w:sz w:val="16"/>
                <w:szCs w:val="16"/>
              </w:rPr>
              <w:t xml:space="preserve"> billion or less</w:t>
            </w:r>
            <w:r>
              <w:rPr>
                <w:rFonts w:ascii="Arial" w:hAnsi="Arial" w:cs="Arial"/>
                <w:color w:val="000000"/>
                <w:sz w:val="16"/>
                <w:szCs w:val="16"/>
              </w:rPr>
              <w:t>.</w:t>
            </w:r>
          </w:p>
        </w:tc>
      </w:tr>
      <w:tr w:rsidR="00946D33" w:rsidRPr="00F71634" w14:paraId="76C16F3A" w14:textId="77777777" w:rsidTr="005A0812">
        <w:tc>
          <w:tcPr>
            <w:tcW w:w="1701" w:type="dxa"/>
            <w:vMerge/>
            <w:tcBorders>
              <w:right w:val="single" w:sz="4" w:space="0" w:color="auto"/>
            </w:tcBorders>
          </w:tcPr>
          <w:p w14:paraId="76C16F37" w14:textId="77777777" w:rsidR="00946D33" w:rsidRPr="006906E4" w:rsidRDefault="00946D33"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tcBorders>
          </w:tcPr>
          <w:p w14:paraId="76C16F38" w14:textId="7A0C5913" w:rsidR="00946D33" w:rsidRPr="00A57A5D" w:rsidRDefault="00946D33" w:rsidP="00000A31">
            <w:pPr>
              <w:spacing w:before="60" w:after="60" w:line="240" w:lineRule="auto"/>
              <w:jc w:val="left"/>
              <w:rPr>
                <w:rFonts w:ascii="Arial" w:hAnsi="Arial" w:cs="Arial"/>
                <w:color w:val="000000"/>
                <w:sz w:val="16"/>
                <w:szCs w:val="16"/>
              </w:rPr>
            </w:pPr>
            <w:r w:rsidRPr="00EA43F3">
              <w:rPr>
                <w:rFonts w:ascii="Arial" w:hAnsi="Arial" w:cs="Arial"/>
                <w:color w:val="000000"/>
                <w:sz w:val="16"/>
                <w:szCs w:val="16"/>
              </w:rPr>
              <w:t>The insured workers</w:t>
            </w:r>
            <w:r w:rsidR="00EC50CD">
              <w:rPr>
                <w:rFonts w:ascii="Arial" w:hAnsi="Arial" w:cs="Arial"/>
                <w:color w:val="000000"/>
                <w:sz w:val="16"/>
                <w:szCs w:val="16"/>
              </w:rPr>
              <w:t>’</w:t>
            </w:r>
            <w:r w:rsidRPr="00EA43F3">
              <w:rPr>
                <w:rFonts w:ascii="Arial" w:hAnsi="Arial" w:cs="Arial"/>
                <w:color w:val="000000"/>
                <w:sz w:val="16"/>
                <w:szCs w:val="16"/>
              </w:rPr>
              <w:t xml:space="preserve"> compensation scheme continues to be fully funded.</w:t>
            </w:r>
          </w:p>
        </w:tc>
        <w:tc>
          <w:tcPr>
            <w:tcW w:w="2565" w:type="dxa"/>
            <w:tcBorders>
              <w:top w:val="single" w:sz="4" w:space="0" w:color="auto"/>
              <w:left w:val="single" w:sz="4" w:space="0" w:color="auto"/>
              <w:bottom w:val="single" w:sz="4" w:space="0" w:color="auto"/>
            </w:tcBorders>
          </w:tcPr>
          <w:p w14:paraId="76C16F39" w14:textId="77777777" w:rsidR="00946D33" w:rsidRPr="00A57A5D" w:rsidRDefault="00946D33" w:rsidP="00000A31">
            <w:pPr>
              <w:tabs>
                <w:tab w:val="left" w:pos="709"/>
              </w:tabs>
              <w:spacing w:before="60" w:after="60" w:line="240" w:lineRule="auto"/>
              <w:jc w:val="left"/>
              <w:rPr>
                <w:rFonts w:ascii="Arial" w:hAnsi="Arial" w:cs="Arial"/>
                <w:color w:val="000000"/>
                <w:sz w:val="16"/>
                <w:szCs w:val="16"/>
              </w:rPr>
            </w:pPr>
            <w:r w:rsidRPr="00EA43F3">
              <w:rPr>
                <w:rFonts w:ascii="Arial" w:hAnsi="Arial" w:cs="Arial"/>
                <w:color w:val="000000"/>
                <w:sz w:val="16"/>
                <w:szCs w:val="16"/>
              </w:rPr>
              <w:t>100–125%</w:t>
            </w:r>
          </w:p>
        </w:tc>
      </w:tr>
      <w:tr w:rsidR="00946D33" w:rsidRPr="00CF7058" w14:paraId="76C16F3C" w14:textId="77777777" w:rsidTr="00000A31">
        <w:tc>
          <w:tcPr>
            <w:tcW w:w="7741" w:type="dxa"/>
            <w:gridSpan w:val="3"/>
          </w:tcPr>
          <w:p w14:paraId="76C16F3B" w14:textId="477B00EA" w:rsidR="00946D33" w:rsidRPr="00CF7058" w:rsidRDefault="00946D33" w:rsidP="00CF7058">
            <w:pPr>
              <w:spacing w:after="120"/>
              <w:jc w:val="left"/>
              <w:rPr>
                <w:rStyle w:val="BodyTextChar"/>
                <w:rFonts w:ascii="Arial" w:hAnsi="Arial"/>
                <w:b/>
                <w:sz w:val="16"/>
                <w:szCs w:val="16"/>
              </w:rPr>
            </w:pPr>
            <w:r w:rsidRPr="00CF7058">
              <w:rPr>
                <w:rStyle w:val="BodyTextChar"/>
                <w:rFonts w:ascii="Arial" w:hAnsi="Arial"/>
                <w:b/>
                <w:sz w:val="16"/>
                <w:szCs w:val="16"/>
              </w:rPr>
              <w:t xml:space="preserve">Material changes to Program 1.4 resulting from the following measures: </w:t>
            </w:r>
            <w:r w:rsidRPr="00CF7058">
              <w:rPr>
                <w:rStyle w:val="BodyTextChar"/>
                <w:rFonts w:ascii="Arial" w:hAnsi="Arial"/>
                <w:sz w:val="16"/>
                <w:szCs w:val="16"/>
              </w:rPr>
              <w:t>Nil</w:t>
            </w:r>
          </w:p>
        </w:tc>
      </w:tr>
    </w:tbl>
    <w:p w14:paraId="76C16F3D" w14:textId="77777777" w:rsidR="00946D33" w:rsidRDefault="00946D33" w:rsidP="00946D33"/>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946D33" w:rsidRPr="00F71634" w14:paraId="76C16F3F" w14:textId="77777777" w:rsidTr="00000A31">
        <w:trPr>
          <w:tblHeader/>
        </w:trPr>
        <w:tc>
          <w:tcPr>
            <w:tcW w:w="7741" w:type="dxa"/>
            <w:gridSpan w:val="3"/>
            <w:shd w:val="clear" w:color="auto" w:fill="F2F2F2"/>
          </w:tcPr>
          <w:p w14:paraId="76C16F3E" w14:textId="2BB95C35" w:rsidR="00946D33" w:rsidRPr="006906E4" w:rsidRDefault="004C7C00" w:rsidP="00000A31">
            <w:pPr>
              <w:pStyle w:val="TableColumnHeadingLeft"/>
            </w:pPr>
            <w:r>
              <w:lastRenderedPageBreak/>
              <w:t>Outcome 1</w:t>
            </w:r>
            <w:r w:rsidR="00B403B5">
              <w:t xml:space="preserve"> </w:t>
            </w:r>
            <w:r>
              <w:t>—</w:t>
            </w:r>
            <w:r w:rsidR="00B403B5">
              <w:t xml:space="preserve"> </w:t>
            </w:r>
            <w:r w:rsidR="00946D33">
              <w:t>Support participation and productivity through healthy and safe workplaces that minimise the impact of harm in the workplaces covered by Comcare.</w:t>
            </w:r>
          </w:p>
        </w:tc>
      </w:tr>
      <w:tr w:rsidR="00946D33" w:rsidRPr="00F71634" w14:paraId="76C16F41" w14:textId="77777777" w:rsidTr="006E4A48">
        <w:trPr>
          <w:tblHeader/>
        </w:trPr>
        <w:tc>
          <w:tcPr>
            <w:tcW w:w="7741" w:type="dxa"/>
            <w:gridSpan w:val="3"/>
            <w:shd w:val="clear" w:color="auto" w:fill="F2F2F2"/>
          </w:tcPr>
          <w:p w14:paraId="76C16F40" w14:textId="276FC916" w:rsidR="00946D33" w:rsidRPr="00C6362E" w:rsidRDefault="00946D33" w:rsidP="00000A31">
            <w:pPr>
              <w:tabs>
                <w:tab w:val="left" w:pos="709"/>
              </w:tabs>
              <w:spacing w:before="60" w:after="60" w:line="240" w:lineRule="auto"/>
              <w:jc w:val="left"/>
              <w:rPr>
                <w:rFonts w:ascii="Arial" w:hAnsi="Arial" w:cs="Arial"/>
                <w:b/>
                <w:sz w:val="16"/>
                <w:szCs w:val="16"/>
              </w:rPr>
            </w:pPr>
            <w:r w:rsidRPr="00C6362E">
              <w:rPr>
                <w:rFonts w:ascii="Arial" w:hAnsi="Arial" w:cs="Arial"/>
                <w:b/>
                <w:sz w:val="16"/>
                <w:szCs w:val="16"/>
              </w:rPr>
              <w:t>Program</w:t>
            </w:r>
            <w:r>
              <w:rPr>
                <w:rFonts w:ascii="Arial" w:hAnsi="Arial" w:cs="Arial"/>
                <w:b/>
                <w:sz w:val="16"/>
                <w:szCs w:val="16"/>
              </w:rPr>
              <w:t xml:space="preserve"> </w:t>
            </w:r>
            <w:r w:rsidRPr="005F6F33">
              <w:rPr>
                <w:rFonts w:ascii="Arial" w:hAnsi="Arial" w:cs="Arial"/>
                <w:b/>
                <w:sz w:val="16"/>
                <w:szCs w:val="16"/>
              </w:rPr>
              <w:t>Component</w:t>
            </w:r>
            <w:r w:rsidRPr="00C6362E">
              <w:rPr>
                <w:rFonts w:ascii="Arial" w:hAnsi="Arial" w:cs="Arial"/>
                <w:b/>
                <w:sz w:val="16"/>
                <w:szCs w:val="16"/>
              </w:rPr>
              <w:t xml:space="preserve"> 1.5</w:t>
            </w:r>
            <w:r w:rsidR="00B403B5">
              <w:rPr>
                <w:rFonts w:ascii="Arial" w:hAnsi="Arial" w:cs="Arial"/>
                <w:b/>
                <w:sz w:val="16"/>
                <w:szCs w:val="16"/>
              </w:rPr>
              <w:t xml:space="preserve"> </w:t>
            </w:r>
            <w:r w:rsidRPr="00C6362E">
              <w:rPr>
                <w:rFonts w:ascii="Arial" w:hAnsi="Arial" w:cs="Arial"/>
                <w:b/>
                <w:sz w:val="16"/>
                <w:szCs w:val="16"/>
              </w:rPr>
              <w:t>—</w:t>
            </w:r>
            <w:r w:rsidR="00B403B5">
              <w:rPr>
                <w:rFonts w:ascii="Arial" w:hAnsi="Arial" w:cs="Arial"/>
                <w:b/>
                <w:sz w:val="16"/>
                <w:szCs w:val="16"/>
              </w:rPr>
              <w:t xml:space="preserve"> </w:t>
            </w:r>
            <w:r w:rsidRPr="00C6362E">
              <w:rPr>
                <w:rFonts w:ascii="Arial" w:hAnsi="Arial" w:cs="Arial"/>
                <w:b/>
                <w:sz w:val="16"/>
                <w:szCs w:val="16"/>
              </w:rPr>
              <w:t xml:space="preserve">Pre-premium claims </w:t>
            </w:r>
          </w:p>
        </w:tc>
      </w:tr>
      <w:tr w:rsidR="00946D33" w:rsidRPr="00F71634" w14:paraId="76C16F44" w14:textId="77777777" w:rsidTr="00000A31">
        <w:tc>
          <w:tcPr>
            <w:tcW w:w="1701" w:type="dxa"/>
          </w:tcPr>
          <w:p w14:paraId="76C16F42" w14:textId="77777777" w:rsidR="00946D33" w:rsidRPr="006906E4" w:rsidRDefault="00946D33" w:rsidP="00000A31">
            <w:pPr>
              <w:tabs>
                <w:tab w:val="left" w:pos="709"/>
              </w:tabs>
              <w:spacing w:before="60" w:after="60" w:line="240" w:lineRule="auto"/>
              <w:jc w:val="left"/>
              <w:rPr>
                <w:rFonts w:ascii="Arial" w:hAnsi="Arial" w:cs="Arial"/>
                <w:b/>
                <w:sz w:val="16"/>
                <w:szCs w:val="16"/>
              </w:rPr>
            </w:pPr>
            <w:r>
              <w:rPr>
                <w:rFonts w:ascii="Arial" w:hAnsi="Arial" w:cs="Arial"/>
                <w:b/>
                <w:sz w:val="16"/>
                <w:szCs w:val="16"/>
              </w:rPr>
              <w:t>Purposes</w:t>
            </w:r>
          </w:p>
        </w:tc>
        <w:tc>
          <w:tcPr>
            <w:tcW w:w="6040" w:type="dxa"/>
            <w:gridSpan w:val="2"/>
          </w:tcPr>
          <w:p w14:paraId="76C16F43" w14:textId="1C884707" w:rsidR="00946D33" w:rsidRPr="00FB4283" w:rsidRDefault="00946D33" w:rsidP="00000A31">
            <w:pPr>
              <w:tabs>
                <w:tab w:val="left" w:pos="709"/>
              </w:tabs>
              <w:spacing w:before="60" w:after="60" w:line="240" w:lineRule="auto"/>
              <w:jc w:val="left"/>
              <w:rPr>
                <w:rFonts w:ascii="Arial" w:hAnsi="Arial" w:cs="Arial"/>
                <w:i/>
                <w:color w:val="FF0000"/>
                <w:sz w:val="16"/>
                <w:szCs w:val="16"/>
              </w:rPr>
            </w:pPr>
            <w:r w:rsidRPr="002573A6">
              <w:rPr>
                <w:rFonts w:ascii="Arial" w:hAnsi="Arial" w:cs="Arial"/>
                <w:color w:val="000000"/>
                <w:sz w:val="16"/>
                <w:szCs w:val="16"/>
              </w:rPr>
              <w:t>Leading workers</w:t>
            </w:r>
            <w:r w:rsidR="00EC50CD">
              <w:rPr>
                <w:rFonts w:ascii="Arial" w:hAnsi="Arial" w:cs="Arial"/>
                <w:color w:val="000000"/>
                <w:sz w:val="16"/>
                <w:szCs w:val="16"/>
              </w:rPr>
              <w:t>’</w:t>
            </w:r>
            <w:r w:rsidRPr="002573A6">
              <w:rPr>
                <w:rFonts w:ascii="Arial" w:hAnsi="Arial" w:cs="Arial"/>
                <w:color w:val="000000"/>
                <w:sz w:val="16"/>
                <w:szCs w:val="16"/>
              </w:rPr>
              <w:t xml:space="preserve"> compensation insurer</w:t>
            </w:r>
            <w:r>
              <w:rPr>
                <w:rFonts w:ascii="Arial" w:hAnsi="Arial" w:cs="Arial"/>
                <w:i/>
                <w:color w:val="000000"/>
                <w:sz w:val="16"/>
                <w:szCs w:val="16"/>
              </w:rPr>
              <w:t>—</w:t>
            </w:r>
            <w:r>
              <w:rPr>
                <w:rFonts w:ascii="Arial" w:hAnsi="Arial" w:cs="Arial"/>
                <w:color w:val="000000"/>
                <w:sz w:val="16"/>
                <w:szCs w:val="16"/>
              </w:rPr>
              <w:t>Working with employees and employers to minimise the impact of harm in workplaces, supporting optimal recovery and return to work, and delivering a viable scheme.</w:t>
            </w:r>
          </w:p>
        </w:tc>
      </w:tr>
      <w:tr w:rsidR="00946D33" w:rsidRPr="00F71634" w14:paraId="76C16F49" w14:textId="77777777" w:rsidTr="00000A31">
        <w:tc>
          <w:tcPr>
            <w:tcW w:w="1701" w:type="dxa"/>
            <w:tcBorders>
              <w:bottom w:val="double" w:sz="4" w:space="0" w:color="auto"/>
            </w:tcBorders>
          </w:tcPr>
          <w:p w14:paraId="76C16F45"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gridSpan w:val="2"/>
            <w:tcBorders>
              <w:bottom w:val="double" w:sz="4" w:space="0" w:color="auto"/>
            </w:tcBorders>
          </w:tcPr>
          <w:p w14:paraId="76C16F46" w14:textId="77777777" w:rsidR="00946D33" w:rsidRPr="00B9173F" w:rsidRDefault="00946D33" w:rsidP="00053DB9">
            <w:pPr>
              <w:pStyle w:val="TableTextBullet"/>
              <w:contextualSpacing/>
              <w:rPr>
                <w:rFonts w:cs="Arial"/>
                <w:color w:val="000000"/>
                <w:sz w:val="16"/>
                <w:szCs w:val="16"/>
              </w:rPr>
            </w:pPr>
            <w:r w:rsidRPr="00053DB9">
              <w:rPr>
                <w:rFonts w:cs="Arial"/>
                <w:sz w:val="16"/>
                <w:szCs w:val="16"/>
              </w:rPr>
              <w:t>Utilise evidence-based best practice in claims case management to facilitate optimal recovery an</w:t>
            </w:r>
            <w:r>
              <w:rPr>
                <w:rFonts w:cs="Arial"/>
                <w:color w:val="000000"/>
                <w:sz w:val="16"/>
                <w:szCs w:val="16"/>
              </w:rPr>
              <w:t xml:space="preserve">d return to work outcomes. </w:t>
            </w:r>
          </w:p>
          <w:p w14:paraId="76C16F47" w14:textId="77777777" w:rsidR="00946D33" w:rsidRPr="00B9173F" w:rsidRDefault="00946D33" w:rsidP="00053DB9">
            <w:pPr>
              <w:pStyle w:val="TableTextBullet"/>
              <w:contextualSpacing/>
              <w:rPr>
                <w:rFonts w:cs="Arial"/>
                <w:color w:val="000000"/>
                <w:sz w:val="16"/>
                <w:szCs w:val="16"/>
              </w:rPr>
            </w:pPr>
            <w:r w:rsidRPr="00053DB9">
              <w:rPr>
                <w:rFonts w:cs="Arial"/>
                <w:sz w:val="16"/>
                <w:szCs w:val="16"/>
              </w:rPr>
              <w:t xml:space="preserve">Actively engage employers in </w:t>
            </w:r>
            <w:r w:rsidR="004C7C00" w:rsidRPr="00B9173F">
              <w:rPr>
                <w:rFonts w:cs="Arial"/>
                <w:color w:val="000000"/>
                <w:sz w:val="16"/>
                <w:szCs w:val="16"/>
              </w:rPr>
              <w:t>prevention</w:t>
            </w:r>
            <w:r w:rsidRPr="00B9173F">
              <w:rPr>
                <w:rFonts w:cs="Arial"/>
                <w:color w:val="000000"/>
                <w:sz w:val="16"/>
                <w:szCs w:val="16"/>
              </w:rPr>
              <w:t xml:space="preserve"> return to work and claims management to minimise the imp</w:t>
            </w:r>
            <w:r>
              <w:rPr>
                <w:rFonts w:cs="Arial"/>
                <w:color w:val="000000"/>
                <w:sz w:val="16"/>
                <w:szCs w:val="16"/>
              </w:rPr>
              <w:t>act of harm in workplaces.</w:t>
            </w:r>
          </w:p>
          <w:p w14:paraId="76C16F48" w14:textId="77777777" w:rsidR="00946D33" w:rsidRPr="0028314B" w:rsidRDefault="00946D33" w:rsidP="00053DB9">
            <w:pPr>
              <w:pStyle w:val="TableTextBullet"/>
              <w:contextualSpacing/>
              <w:rPr>
                <w:rFonts w:cs="Arial"/>
                <w:color w:val="000000"/>
                <w:sz w:val="16"/>
                <w:szCs w:val="16"/>
              </w:rPr>
            </w:pPr>
            <w:r w:rsidRPr="00053DB9">
              <w:rPr>
                <w:rFonts w:cs="Arial"/>
                <w:sz w:val="16"/>
                <w:szCs w:val="16"/>
              </w:rPr>
              <w:t xml:space="preserve">Measure, monitor and forecast performance to inform </w:t>
            </w:r>
            <w:r w:rsidR="004C7C00">
              <w:rPr>
                <w:rFonts w:cs="Arial"/>
                <w:color w:val="000000"/>
                <w:sz w:val="16"/>
                <w:szCs w:val="16"/>
              </w:rPr>
              <w:t>decision-making</w:t>
            </w:r>
            <w:r>
              <w:rPr>
                <w:rFonts w:cs="Arial"/>
                <w:color w:val="000000"/>
                <w:sz w:val="16"/>
                <w:szCs w:val="16"/>
              </w:rPr>
              <w:t xml:space="preserve">, strengthen operations and improve outcomes. </w:t>
            </w:r>
          </w:p>
        </w:tc>
      </w:tr>
      <w:tr w:rsidR="00946D33" w:rsidRPr="00F71634" w14:paraId="76C16F4B" w14:textId="77777777" w:rsidTr="00000A31">
        <w:tc>
          <w:tcPr>
            <w:tcW w:w="7741" w:type="dxa"/>
            <w:gridSpan w:val="3"/>
            <w:tcBorders>
              <w:top w:val="double" w:sz="4" w:space="0" w:color="auto"/>
              <w:bottom w:val="double" w:sz="4" w:space="0" w:color="auto"/>
            </w:tcBorders>
          </w:tcPr>
          <w:p w14:paraId="76C16F4A"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946D33" w:rsidRPr="00F71634" w14:paraId="76C16F4F" w14:textId="77777777" w:rsidTr="005A0812">
        <w:tc>
          <w:tcPr>
            <w:tcW w:w="1701" w:type="dxa"/>
            <w:tcBorders>
              <w:top w:val="double" w:sz="4" w:space="0" w:color="auto"/>
              <w:bottom w:val="single" w:sz="4" w:space="0" w:color="auto"/>
              <w:right w:val="single" w:sz="4" w:space="0" w:color="auto"/>
            </w:tcBorders>
          </w:tcPr>
          <w:p w14:paraId="76C16F4C"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76C16F4D"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565" w:type="dxa"/>
            <w:tcBorders>
              <w:top w:val="double" w:sz="4" w:space="0" w:color="auto"/>
              <w:left w:val="single" w:sz="4" w:space="0" w:color="auto"/>
              <w:bottom w:val="single" w:sz="4" w:space="0" w:color="auto"/>
            </w:tcBorders>
          </w:tcPr>
          <w:p w14:paraId="76C16F4E"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946D33" w:rsidRPr="00F71634" w14:paraId="76C16F53" w14:textId="77777777" w:rsidTr="005A0812">
        <w:trPr>
          <w:trHeight w:val="60"/>
        </w:trPr>
        <w:tc>
          <w:tcPr>
            <w:tcW w:w="1701" w:type="dxa"/>
            <w:tcBorders>
              <w:top w:val="single" w:sz="4" w:space="0" w:color="auto"/>
              <w:bottom w:val="dotted" w:sz="4" w:space="0" w:color="auto"/>
              <w:right w:val="single" w:sz="4" w:space="0" w:color="auto"/>
            </w:tcBorders>
          </w:tcPr>
          <w:p w14:paraId="76C16F50" w14:textId="77777777" w:rsidR="00946D33" w:rsidRPr="006906E4" w:rsidRDefault="009A4174" w:rsidP="00000A31">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2018–19 </w:t>
            </w:r>
          </w:p>
        </w:tc>
        <w:tc>
          <w:tcPr>
            <w:tcW w:w="3475" w:type="dxa"/>
            <w:tcBorders>
              <w:top w:val="single" w:sz="4" w:space="0" w:color="auto"/>
              <w:left w:val="single" w:sz="4" w:space="0" w:color="auto"/>
              <w:bottom w:val="dotted" w:sz="4" w:space="0" w:color="auto"/>
              <w:right w:val="single" w:sz="4" w:space="0" w:color="auto"/>
            </w:tcBorders>
          </w:tcPr>
          <w:p w14:paraId="76C16F51" w14:textId="77777777" w:rsidR="00946D33" w:rsidRPr="0028314B" w:rsidRDefault="00946D33" w:rsidP="00000A31">
            <w:pPr>
              <w:spacing w:before="60" w:after="60" w:line="240" w:lineRule="auto"/>
              <w:jc w:val="left"/>
              <w:rPr>
                <w:rFonts w:ascii="Arial" w:hAnsi="Arial" w:cs="Arial"/>
                <w:color w:val="000000"/>
                <w:sz w:val="16"/>
                <w:szCs w:val="16"/>
              </w:rPr>
            </w:pPr>
            <w:r w:rsidRPr="00EA43F3">
              <w:rPr>
                <w:rFonts w:ascii="Arial" w:hAnsi="Arial" w:cs="Arial"/>
                <w:color w:val="000000"/>
                <w:sz w:val="16"/>
                <w:szCs w:val="16"/>
              </w:rPr>
              <w:t xml:space="preserve">That claims administration cost as a ratio of all claims expenses is </w:t>
            </w:r>
            <w:r>
              <w:rPr>
                <w:rFonts w:ascii="Arial" w:hAnsi="Arial" w:cs="Arial"/>
                <w:color w:val="000000"/>
                <w:sz w:val="16"/>
                <w:szCs w:val="16"/>
              </w:rPr>
              <w:t xml:space="preserve">20 </w:t>
            </w:r>
            <w:r w:rsidRPr="00EA43F3">
              <w:rPr>
                <w:rFonts w:ascii="Arial" w:hAnsi="Arial" w:cs="Arial"/>
                <w:color w:val="000000"/>
                <w:sz w:val="16"/>
                <w:szCs w:val="16"/>
              </w:rPr>
              <w:t xml:space="preserve">per cent or lower for each injury year, </w:t>
            </w:r>
            <w:r>
              <w:rPr>
                <w:rFonts w:ascii="Arial" w:hAnsi="Arial" w:cs="Arial"/>
                <w:color w:val="000000"/>
                <w:sz w:val="16"/>
                <w:szCs w:val="16"/>
              </w:rPr>
              <w:t xml:space="preserve">measured by Safe Work Australia’s comparative performance monitoring methodology, </w:t>
            </w:r>
            <w:r w:rsidRPr="00EA43F3">
              <w:rPr>
                <w:rFonts w:ascii="Arial" w:hAnsi="Arial" w:cs="Arial"/>
                <w:color w:val="000000"/>
                <w:sz w:val="16"/>
                <w:szCs w:val="16"/>
              </w:rPr>
              <w:t>to ensure cost effective management of the fund.</w:t>
            </w:r>
          </w:p>
        </w:tc>
        <w:tc>
          <w:tcPr>
            <w:tcW w:w="2565" w:type="dxa"/>
            <w:tcBorders>
              <w:top w:val="single" w:sz="4" w:space="0" w:color="auto"/>
              <w:left w:val="single" w:sz="4" w:space="0" w:color="auto"/>
              <w:bottom w:val="dotted" w:sz="4" w:space="0" w:color="auto"/>
            </w:tcBorders>
          </w:tcPr>
          <w:p w14:paraId="76C16F52" w14:textId="5A30D5D9" w:rsidR="00946D33" w:rsidRPr="006906E4" w:rsidRDefault="00946D33" w:rsidP="00000A31">
            <w:pPr>
              <w:tabs>
                <w:tab w:val="left" w:pos="709"/>
              </w:tabs>
              <w:spacing w:before="60" w:after="60" w:line="240" w:lineRule="auto"/>
              <w:jc w:val="left"/>
              <w:rPr>
                <w:rFonts w:ascii="Arial" w:hAnsi="Arial" w:cs="Arial"/>
                <w:i/>
                <w:color w:val="FF0000"/>
                <w:sz w:val="16"/>
                <w:szCs w:val="16"/>
              </w:rPr>
            </w:pPr>
            <w:r w:rsidRPr="0028314B">
              <w:rPr>
                <w:rFonts w:ascii="Arial" w:hAnsi="Arial" w:cs="Arial"/>
                <w:b/>
                <w:color w:val="000000"/>
                <w:sz w:val="16"/>
                <w:szCs w:val="16"/>
              </w:rPr>
              <w:t xml:space="preserve">Assessment: </w:t>
            </w:r>
            <w:r>
              <w:rPr>
                <w:rFonts w:ascii="Arial" w:hAnsi="Arial" w:cs="Arial"/>
                <w:color w:val="000000"/>
                <w:sz w:val="16"/>
                <w:szCs w:val="16"/>
              </w:rPr>
              <w:t>On</w:t>
            </w:r>
            <w:r w:rsidRPr="0028314B">
              <w:rPr>
                <w:rFonts w:ascii="Arial" w:hAnsi="Arial" w:cs="Arial"/>
                <w:color w:val="000000"/>
                <w:sz w:val="16"/>
                <w:szCs w:val="16"/>
              </w:rPr>
              <w:t xml:space="preserve"> track</w:t>
            </w:r>
            <w:r w:rsidR="005618A5">
              <w:rPr>
                <w:rFonts w:ascii="Arial" w:hAnsi="Arial" w:cs="Arial"/>
                <w:color w:val="000000"/>
                <w:sz w:val="16"/>
                <w:szCs w:val="16"/>
              </w:rPr>
              <w:t>.</w:t>
            </w:r>
          </w:p>
        </w:tc>
      </w:tr>
      <w:tr w:rsidR="00946D33" w:rsidRPr="00F71634" w14:paraId="76C16F57" w14:textId="77777777" w:rsidTr="005A0812">
        <w:tc>
          <w:tcPr>
            <w:tcW w:w="1701" w:type="dxa"/>
            <w:tcBorders>
              <w:top w:val="dotted" w:sz="4" w:space="0" w:color="auto"/>
              <w:bottom w:val="dotted" w:sz="4" w:space="0" w:color="auto"/>
              <w:right w:val="single" w:sz="4" w:space="0" w:color="auto"/>
            </w:tcBorders>
          </w:tcPr>
          <w:p w14:paraId="76C16F54" w14:textId="77777777" w:rsidR="00946D33" w:rsidRPr="006906E4" w:rsidRDefault="00946D33" w:rsidP="00000A31">
            <w:pPr>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475" w:type="dxa"/>
            <w:tcBorders>
              <w:top w:val="dotted" w:sz="4" w:space="0" w:color="auto"/>
              <w:bottom w:val="dotted" w:sz="4" w:space="0" w:color="auto"/>
            </w:tcBorders>
          </w:tcPr>
          <w:p w14:paraId="76C16F55" w14:textId="77777777" w:rsidR="00946D33" w:rsidRPr="0028314B" w:rsidRDefault="00946D33" w:rsidP="00000A31">
            <w:pPr>
              <w:spacing w:before="60" w:after="60" w:line="240" w:lineRule="auto"/>
              <w:jc w:val="left"/>
              <w:rPr>
                <w:rFonts w:ascii="Arial" w:hAnsi="Arial" w:cs="Arial"/>
                <w:color w:val="000000"/>
                <w:sz w:val="16"/>
                <w:szCs w:val="16"/>
              </w:rPr>
            </w:pPr>
            <w:r>
              <w:rPr>
                <w:rFonts w:ascii="Arial" w:hAnsi="Arial" w:cs="Arial"/>
                <w:color w:val="000000"/>
                <w:sz w:val="16"/>
                <w:szCs w:val="16"/>
              </w:rPr>
              <w:t>C</w:t>
            </w:r>
            <w:r w:rsidRPr="00EA43F3">
              <w:rPr>
                <w:rFonts w:ascii="Arial" w:hAnsi="Arial" w:cs="Arial"/>
                <w:color w:val="000000"/>
                <w:sz w:val="16"/>
                <w:szCs w:val="16"/>
              </w:rPr>
              <w:t>laims administration cost as a ratio of all claims expenses is 17 per cent or lower for each injury year.</w:t>
            </w:r>
          </w:p>
        </w:tc>
        <w:tc>
          <w:tcPr>
            <w:tcW w:w="2565" w:type="dxa"/>
            <w:tcBorders>
              <w:top w:val="dotted" w:sz="4" w:space="0" w:color="auto"/>
              <w:left w:val="single" w:sz="4" w:space="0" w:color="auto"/>
              <w:bottom w:val="dotted" w:sz="4" w:space="0" w:color="auto"/>
            </w:tcBorders>
          </w:tcPr>
          <w:p w14:paraId="76C16F56" w14:textId="77777777" w:rsidR="00946D33" w:rsidRPr="00A57A5D" w:rsidRDefault="00946D33" w:rsidP="00000A31">
            <w:pPr>
              <w:tabs>
                <w:tab w:val="left" w:pos="709"/>
              </w:tabs>
              <w:spacing w:before="60" w:after="60" w:line="240" w:lineRule="auto"/>
              <w:jc w:val="left"/>
              <w:rPr>
                <w:rFonts w:ascii="Arial" w:hAnsi="Arial" w:cs="Arial"/>
                <w:color w:val="000000"/>
                <w:sz w:val="16"/>
                <w:szCs w:val="16"/>
              </w:rPr>
            </w:pPr>
            <w:r w:rsidRPr="00EA43F3">
              <w:rPr>
                <w:rFonts w:ascii="Arial" w:hAnsi="Arial" w:cs="Arial"/>
                <w:color w:val="000000"/>
                <w:sz w:val="16"/>
                <w:szCs w:val="16"/>
              </w:rPr>
              <w:t>Administrative cost ratio is 17% or lower</w:t>
            </w:r>
            <w:r>
              <w:rPr>
                <w:rFonts w:ascii="Arial" w:hAnsi="Arial" w:cs="Arial"/>
                <w:color w:val="000000"/>
                <w:sz w:val="16"/>
                <w:szCs w:val="16"/>
              </w:rPr>
              <w:t>.</w:t>
            </w:r>
          </w:p>
        </w:tc>
      </w:tr>
      <w:tr w:rsidR="00946D33" w:rsidRPr="00F71634" w14:paraId="76C16F5B" w14:textId="77777777" w:rsidTr="005A0812">
        <w:tc>
          <w:tcPr>
            <w:tcW w:w="1701" w:type="dxa"/>
            <w:tcBorders>
              <w:top w:val="dotted" w:sz="4" w:space="0" w:color="auto"/>
              <w:right w:val="single" w:sz="4" w:space="0" w:color="auto"/>
            </w:tcBorders>
          </w:tcPr>
          <w:p w14:paraId="76C16F58" w14:textId="77777777" w:rsidR="00946D33" w:rsidRPr="006906E4" w:rsidRDefault="00946D33" w:rsidP="00000A31">
            <w:pPr>
              <w:tabs>
                <w:tab w:val="left" w:pos="709"/>
              </w:tabs>
              <w:spacing w:before="60" w:after="60" w:line="240" w:lineRule="auto"/>
              <w:jc w:val="left"/>
              <w:rPr>
                <w:rFonts w:ascii="Arial" w:hAnsi="Arial" w:cs="Arial"/>
                <w:sz w:val="16"/>
                <w:szCs w:val="16"/>
              </w:rPr>
            </w:pPr>
            <w:r>
              <w:rPr>
                <w:rFonts w:ascii="Arial" w:hAnsi="Arial" w:cs="Arial"/>
                <w:sz w:val="16"/>
                <w:szCs w:val="16"/>
              </w:rPr>
              <w:t>2020–21</w:t>
            </w:r>
            <w:r w:rsidRPr="006906E4">
              <w:rPr>
                <w:rFonts w:ascii="Arial" w:hAnsi="Arial" w:cs="Arial"/>
                <w:sz w:val="16"/>
                <w:szCs w:val="16"/>
              </w:rPr>
              <w:t xml:space="preserve"> and beyond</w:t>
            </w:r>
          </w:p>
        </w:tc>
        <w:tc>
          <w:tcPr>
            <w:tcW w:w="3475" w:type="dxa"/>
            <w:tcBorders>
              <w:top w:val="dotted" w:sz="4" w:space="0" w:color="auto"/>
              <w:left w:val="single" w:sz="4" w:space="0" w:color="auto"/>
              <w:bottom w:val="dotted" w:sz="4" w:space="0" w:color="auto"/>
              <w:right w:val="single" w:sz="4" w:space="0" w:color="auto"/>
            </w:tcBorders>
          </w:tcPr>
          <w:p w14:paraId="76C16F59" w14:textId="76329DD7" w:rsidR="00946D33" w:rsidRPr="0028314B" w:rsidRDefault="00DC6923" w:rsidP="00000A31">
            <w:pPr>
              <w:spacing w:before="60" w:after="60" w:line="240" w:lineRule="auto"/>
              <w:jc w:val="left"/>
              <w:rPr>
                <w:rFonts w:ascii="Arial" w:hAnsi="Arial" w:cs="Arial"/>
                <w:color w:val="000000"/>
                <w:sz w:val="16"/>
                <w:szCs w:val="16"/>
              </w:rPr>
            </w:pPr>
            <w:r>
              <w:rPr>
                <w:rFonts w:ascii="Arial" w:hAnsi="Arial" w:cs="Arial"/>
                <w:color w:val="000000"/>
                <w:sz w:val="16"/>
                <w:szCs w:val="16"/>
              </w:rPr>
              <w:t>As per 2019–20.</w:t>
            </w:r>
          </w:p>
        </w:tc>
        <w:tc>
          <w:tcPr>
            <w:tcW w:w="2565" w:type="dxa"/>
            <w:tcBorders>
              <w:top w:val="dotted" w:sz="4" w:space="0" w:color="auto"/>
              <w:left w:val="single" w:sz="4" w:space="0" w:color="auto"/>
              <w:bottom w:val="dotted" w:sz="4" w:space="0" w:color="auto"/>
            </w:tcBorders>
          </w:tcPr>
          <w:p w14:paraId="76C16F5A" w14:textId="10896838" w:rsidR="00946D33" w:rsidRPr="0028314B" w:rsidRDefault="00946D33" w:rsidP="00000A31">
            <w:pPr>
              <w:tabs>
                <w:tab w:val="left" w:pos="709"/>
              </w:tabs>
              <w:spacing w:before="60" w:after="60" w:line="240" w:lineRule="auto"/>
              <w:jc w:val="left"/>
              <w:rPr>
                <w:rFonts w:ascii="Arial" w:hAnsi="Arial" w:cs="Arial"/>
                <w:color w:val="000000"/>
                <w:sz w:val="16"/>
                <w:szCs w:val="16"/>
              </w:rPr>
            </w:pPr>
            <w:r>
              <w:rPr>
                <w:rFonts w:ascii="Arial" w:hAnsi="Arial" w:cs="Arial"/>
                <w:color w:val="000000"/>
                <w:sz w:val="16"/>
                <w:szCs w:val="16"/>
              </w:rPr>
              <w:t>As per 2019–20</w:t>
            </w:r>
            <w:r w:rsidR="00DC6923">
              <w:rPr>
                <w:rFonts w:ascii="Arial" w:hAnsi="Arial" w:cs="Arial"/>
                <w:color w:val="000000"/>
                <w:sz w:val="16"/>
                <w:szCs w:val="16"/>
              </w:rPr>
              <w:t>.</w:t>
            </w:r>
          </w:p>
        </w:tc>
      </w:tr>
      <w:tr w:rsidR="00946D33" w:rsidRPr="00CF7058" w14:paraId="76C16F5D" w14:textId="77777777" w:rsidTr="00000A31">
        <w:tc>
          <w:tcPr>
            <w:tcW w:w="7741" w:type="dxa"/>
            <w:gridSpan w:val="3"/>
          </w:tcPr>
          <w:p w14:paraId="76C16F5C" w14:textId="5A6EB191" w:rsidR="00946D33" w:rsidRPr="00CF7058" w:rsidRDefault="00946D33" w:rsidP="00CF7058">
            <w:pPr>
              <w:spacing w:after="120"/>
              <w:jc w:val="left"/>
              <w:rPr>
                <w:rStyle w:val="BodyTextChar"/>
                <w:rFonts w:ascii="Arial" w:hAnsi="Arial"/>
                <w:b/>
                <w:sz w:val="16"/>
                <w:szCs w:val="16"/>
              </w:rPr>
            </w:pPr>
            <w:r w:rsidRPr="00CF7058">
              <w:rPr>
                <w:rStyle w:val="BodyTextChar"/>
                <w:rFonts w:ascii="Arial" w:hAnsi="Arial"/>
                <w:b/>
                <w:sz w:val="16"/>
                <w:szCs w:val="16"/>
              </w:rPr>
              <w:t xml:space="preserve">Material changes to Program 1.5 resulting from the following measures: </w:t>
            </w:r>
            <w:r w:rsidRPr="00CF7058">
              <w:rPr>
                <w:rStyle w:val="BodyTextChar"/>
                <w:rFonts w:ascii="Arial" w:hAnsi="Arial"/>
                <w:sz w:val="16"/>
                <w:szCs w:val="16"/>
              </w:rPr>
              <w:t>Nil</w:t>
            </w:r>
          </w:p>
        </w:tc>
      </w:tr>
    </w:tbl>
    <w:p w14:paraId="76C16F5E" w14:textId="77777777" w:rsidR="00946D33" w:rsidRDefault="00946D33" w:rsidP="00946D33"/>
    <w:p w14:paraId="76C16F5F" w14:textId="77777777" w:rsidR="000706C9" w:rsidRDefault="000706C9">
      <w:pPr>
        <w:spacing w:after="0" w:line="240" w:lineRule="auto"/>
        <w:jc w:val="left"/>
      </w:pPr>
      <w:r>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946D33" w:rsidRPr="00F71634" w14:paraId="76C16F61" w14:textId="77777777" w:rsidTr="00000A31">
        <w:trPr>
          <w:tblHeader/>
        </w:trPr>
        <w:tc>
          <w:tcPr>
            <w:tcW w:w="7741" w:type="dxa"/>
            <w:gridSpan w:val="3"/>
            <w:shd w:val="clear" w:color="auto" w:fill="F2F2F2"/>
          </w:tcPr>
          <w:p w14:paraId="76C16F60" w14:textId="665C5B9F" w:rsidR="00946D33" w:rsidRPr="006906E4" w:rsidRDefault="004C7C00" w:rsidP="00000A31">
            <w:pPr>
              <w:pStyle w:val="TableColumnHeadingLeft"/>
            </w:pPr>
            <w:bookmarkStart w:id="5" w:name="_Toc476145054"/>
            <w:r>
              <w:lastRenderedPageBreak/>
              <w:t>Outcome 1</w:t>
            </w:r>
            <w:r w:rsidR="00B403B5">
              <w:t xml:space="preserve"> </w:t>
            </w:r>
            <w:r>
              <w:t>—</w:t>
            </w:r>
            <w:r w:rsidR="00B403B5">
              <w:t xml:space="preserve"> </w:t>
            </w:r>
            <w:r w:rsidR="00946D33">
              <w:t>Support participation and productivity through healthy and safe workplaces that minimise the impact of harm in the workplaces covered by Comcare.</w:t>
            </w:r>
          </w:p>
        </w:tc>
      </w:tr>
      <w:tr w:rsidR="00946D33" w:rsidRPr="00F71634" w14:paraId="76C16F63" w14:textId="77777777" w:rsidTr="006E4A48">
        <w:trPr>
          <w:tblHeader/>
        </w:trPr>
        <w:tc>
          <w:tcPr>
            <w:tcW w:w="7741" w:type="dxa"/>
            <w:gridSpan w:val="3"/>
            <w:shd w:val="clear" w:color="auto" w:fill="F2F2F2"/>
          </w:tcPr>
          <w:p w14:paraId="76C16F62" w14:textId="03DF31D6" w:rsidR="00946D33" w:rsidRPr="005F6F33" w:rsidRDefault="00946D33" w:rsidP="00000A31">
            <w:pPr>
              <w:tabs>
                <w:tab w:val="left" w:pos="709"/>
              </w:tabs>
              <w:spacing w:before="60" w:after="60" w:line="240" w:lineRule="auto"/>
              <w:jc w:val="left"/>
              <w:rPr>
                <w:rFonts w:ascii="Arial" w:hAnsi="Arial" w:cs="Arial"/>
                <w:b/>
                <w:sz w:val="16"/>
                <w:szCs w:val="16"/>
              </w:rPr>
            </w:pPr>
            <w:r w:rsidRPr="005F6F33">
              <w:rPr>
                <w:rFonts w:ascii="Arial" w:hAnsi="Arial" w:cs="Arial"/>
                <w:b/>
                <w:sz w:val="16"/>
                <w:szCs w:val="16"/>
              </w:rPr>
              <w:t>Program Component 1.6</w:t>
            </w:r>
            <w:r w:rsidR="00B403B5">
              <w:rPr>
                <w:rFonts w:ascii="Arial" w:hAnsi="Arial" w:cs="Arial"/>
                <w:b/>
                <w:sz w:val="16"/>
                <w:szCs w:val="16"/>
              </w:rPr>
              <w:t xml:space="preserve"> </w:t>
            </w:r>
            <w:r w:rsidRPr="005F6F33">
              <w:rPr>
                <w:rFonts w:ascii="Arial" w:hAnsi="Arial" w:cs="Arial"/>
                <w:b/>
                <w:sz w:val="16"/>
                <w:szCs w:val="16"/>
              </w:rPr>
              <w:t>—</w:t>
            </w:r>
            <w:r w:rsidR="00B403B5">
              <w:rPr>
                <w:rFonts w:ascii="Arial" w:hAnsi="Arial" w:cs="Arial"/>
                <w:b/>
                <w:sz w:val="16"/>
                <w:szCs w:val="16"/>
              </w:rPr>
              <w:t xml:space="preserve"> </w:t>
            </w:r>
            <w:r w:rsidRPr="005F6F33">
              <w:rPr>
                <w:rFonts w:ascii="Arial" w:hAnsi="Arial" w:cs="Arial"/>
                <w:b/>
                <w:sz w:val="16"/>
                <w:szCs w:val="16"/>
              </w:rPr>
              <w:t xml:space="preserve">Asbestos Claims </w:t>
            </w:r>
          </w:p>
        </w:tc>
      </w:tr>
      <w:tr w:rsidR="00946D33" w:rsidRPr="00F71634" w14:paraId="76C16F66" w14:textId="77777777" w:rsidTr="00000A31">
        <w:tc>
          <w:tcPr>
            <w:tcW w:w="1701" w:type="dxa"/>
          </w:tcPr>
          <w:p w14:paraId="76C16F64" w14:textId="77777777" w:rsidR="00946D33" w:rsidRPr="006906E4" w:rsidRDefault="00946D33" w:rsidP="00000A31">
            <w:pPr>
              <w:tabs>
                <w:tab w:val="left" w:pos="709"/>
              </w:tabs>
              <w:spacing w:before="60" w:after="60" w:line="240" w:lineRule="auto"/>
              <w:jc w:val="left"/>
              <w:rPr>
                <w:rFonts w:ascii="Arial" w:hAnsi="Arial" w:cs="Arial"/>
                <w:b/>
                <w:sz w:val="16"/>
                <w:szCs w:val="16"/>
              </w:rPr>
            </w:pPr>
            <w:r>
              <w:rPr>
                <w:rFonts w:ascii="Arial" w:hAnsi="Arial" w:cs="Arial"/>
                <w:b/>
                <w:sz w:val="16"/>
                <w:szCs w:val="16"/>
              </w:rPr>
              <w:t>Purposes</w:t>
            </w:r>
          </w:p>
        </w:tc>
        <w:tc>
          <w:tcPr>
            <w:tcW w:w="6040" w:type="dxa"/>
            <w:gridSpan w:val="2"/>
          </w:tcPr>
          <w:p w14:paraId="76C16F65" w14:textId="2ADFB7B5" w:rsidR="00946D33" w:rsidRPr="00FB4283" w:rsidRDefault="00946D33" w:rsidP="00000A31">
            <w:pPr>
              <w:tabs>
                <w:tab w:val="left" w:pos="709"/>
              </w:tabs>
              <w:spacing w:before="60" w:after="60" w:line="240" w:lineRule="auto"/>
              <w:jc w:val="left"/>
              <w:rPr>
                <w:rFonts w:ascii="Arial" w:hAnsi="Arial" w:cs="Arial"/>
                <w:i/>
                <w:color w:val="FF0000"/>
                <w:sz w:val="16"/>
                <w:szCs w:val="16"/>
              </w:rPr>
            </w:pPr>
            <w:r w:rsidRPr="002573A6">
              <w:rPr>
                <w:rFonts w:ascii="Arial" w:hAnsi="Arial" w:cs="Arial"/>
                <w:color w:val="000000"/>
                <w:sz w:val="16"/>
                <w:szCs w:val="16"/>
              </w:rPr>
              <w:t>Leading workers</w:t>
            </w:r>
            <w:r w:rsidR="00EC50CD">
              <w:rPr>
                <w:rFonts w:ascii="Arial" w:hAnsi="Arial" w:cs="Arial"/>
                <w:color w:val="000000"/>
                <w:sz w:val="16"/>
                <w:szCs w:val="16"/>
              </w:rPr>
              <w:t>’</w:t>
            </w:r>
            <w:r w:rsidRPr="002573A6">
              <w:rPr>
                <w:rFonts w:ascii="Arial" w:hAnsi="Arial" w:cs="Arial"/>
                <w:color w:val="000000"/>
                <w:sz w:val="16"/>
                <w:szCs w:val="16"/>
              </w:rPr>
              <w:t xml:space="preserve"> compensation insurer</w:t>
            </w:r>
            <w:r>
              <w:rPr>
                <w:rFonts w:ascii="Arial" w:hAnsi="Arial" w:cs="Arial"/>
                <w:i/>
                <w:color w:val="000000"/>
                <w:sz w:val="16"/>
                <w:szCs w:val="16"/>
              </w:rPr>
              <w:t>—</w:t>
            </w:r>
            <w:r>
              <w:rPr>
                <w:rFonts w:ascii="Arial" w:hAnsi="Arial" w:cs="Arial"/>
                <w:color w:val="000000"/>
                <w:sz w:val="16"/>
                <w:szCs w:val="16"/>
              </w:rPr>
              <w:t>Working with employees and employers to minimise the impact of harm in workplaces, supporting optimal recovery and return to work, and delivering a viable scheme.</w:t>
            </w:r>
          </w:p>
        </w:tc>
      </w:tr>
      <w:tr w:rsidR="00946D33" w:rsidRPr="00F71634" w14:paraId="76C16F69" w14:textId="77777777" w:rsidTr="00000A31">
        <w:tc>
          <w:tcPr>
            <w:tcW w:w="1701" w:type="dxa"/>
            <w:tcBorders>
              <w:bottom w:val="double" w:sz="4" w:space="0" w:color="auto"/>
            </w:tcBorders>
          </w:tcPr>
          <w:p w14:paraId="76C16F67"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gridSpan w:val="2"/>
            <w:tcBorders>
              <w:bottom w:val="double" w:sz="4" w:space="0" w:color="auto"/>
            </w:tcBorders>
          </w:tcPr>
          <w:p w14:paraId="76C16F68" w14:textId="77777777" w:rsidR="00946D33" w:rsidRPr="00A57A5D" w:rsidRDefault="00946D33" w:rsidP="00000A31">
            <w:pPr>
              <w:tabs>
                <w:tab w:val="left" w:pos="709"/>
              </w:tabs>
              <w:spacing w:before="60" w:after="60" w:line="240" w:lineRule="auto"/>
              <w:jc w:val="left"/>
              <w:rPr>
                <w:rFonts w:ascii="Arial" w:hAnsi="Arial" w:cs="Arial"/>
                <w:color w:val="000000"/>
                <w:sz w:val="16"/>
                <w:szCs w:val="16"/>
              </w:rPr>
            </w:pPr>
            <w:r w:rsidRPr="00A57A5D">
              <w:rPr>
                <w:rFonts w:ascii="Arial" w:hAnsi="Arial" w:cs="Arial"/>
                <w:color w:val="000000"/>
                <w:sz w:val="16"/>
                <w:szCs w:val="16"/>
              </w:rPr>
              <w:t>Proactive management of asbestos</w:t>
            </w:r>
            <w:r>
              <w:rPr>
                <w:rFonts w:ascii="Arial" w:hAnsi="Arial" w:cs="Arial"/>
                <w:color w:val="000000"/>
                <w:sz w:val="16"/>
                <w:szCs w:val="16"/>
              </w:rPr>
              <w:t xml:space="preserve">-related </w:t>
            </w:r>
            <w:r w:rsidRPr="00A57A5D">
              <w:rPr>
                <w:rFonts w:ascii="Arial" w:hAnsi="Arial" w:cs="Arial"/>
                <w:color w:val="000000"/>
                <w:sz w:val="16"/>
                <w:szCs w:val="16"/>
              </w:rPr>
              <w:t>claims and recoveries from third parties.</w:t>
            </w:r>
          </w:p>
        </w:tc>
      </w:tr>
      <w:tr w:rsidR="00946D33" w:rsidRPr="00F71634" w14:paraId="76C16F6B" w14:textId="77777777" w:rsidTr="00000A31">
        <w:tc>
          <w:tcPr>
            <w:tcW w:w="7741" w:type="dxa"/>
            <w:gridSpan w:val="3"/>
            <w:tcBorders>
              <w:top w:val="double" w:sz="4" w:space="0" w:color="auto"/>
              <w:bottom w:val="double" w:sz="4" w:space="0" w:color="auto"/>
            </w:tcBorders>
          </w:tcPr>
          <w:p w14:paraId="76C16F6A"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946D33" w:rsidRPr="00F71634" w14:paraId="76C16F6F" w14:textId="77777777" w:rsidTr="00000A31">
        <w:tc>
          <w:tcPr>
            <w:tcW w:w="1701" w:type="dxa"/>
            <w:tcBorders>
              <w:top w:val="double" w:sz="4" w:space="0" w:color="auto"/>
              <w:bottom w:val="single" w:sz="4" w:space="0" w:color="auto"/>
              <w:right w:val="single" w:sz="4" w:space="0" w:color="auto"/>
            </w:tcBorders>
          </w:tcPr>
          <w:p w14:paraId="76C16F6C"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76C16F6D"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565" w:type="dxa"/>
            <w:tcBorders>
              <w:top w:val="double" w:sz="4" w:space="0" w:color="auto"/>
              <w:left w:val="single" w:sz="4" w:space="0" w:color="auto"/>
              <w:bottom w:val="single" w:sz="4" w:space="0" w:color="auto"/>
            </w:tcBorders>
          </w:tcPr>
          <w:p w14:paraId="76C16F6E" w14:textId="77777777" w:rsidR="00946D33" w:rsidRPr="006906E4" w:rsidRDefault="00946D33" w:rsidP="00000A31">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5A0812" w:rsidRPr="00F71634" w14:paraId="76C16F74" w14:textId="77777777" w:rsidTr="00BE6AA2">
        <w:trPr>
          <w:trHeight w:val="60"/>
        </w:trPr>
        <w:tc>
          <w:tcPr>
            <w:tcW w:w="1701" w:type="dxa"/>
            <w:vMerge w:val="restart"/>
            <w:tcBorders>
              <w:top w:val="single" w:sz="4" w:space="0" w:color="auto"/>
              <w:right w:val="single" w:sz="4" w:space="0" w:color="auto"/>
            </w:tcBorders>
          </w:tcPr>
          <w:p w14:paraId="76C16F70" w14:textId="77777777" w:rsidR="005A0812" w:rsidRPr="006906E4" w:rsidRDefault="005A0812" w:rsidP="00000A31">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2018–19 </w:t>
            </w:r>
          </w:p>
        </w:tc>
        <w:tc>
          <w:tcPr>
            <w:tcW w:w="3475" w:type="dxa"/>
            <w:tcBorders>
              <w:top w:val="single" w:sz="4" w:space="0" w:color="auto"/>
              <w:left w:val="single" w:sz="4" w:space="0" w:color="auto"/>
              <w:bottom w:val="single" w:sz="4" w:space="0" w:color="auto"/>
              <w:right w:val="single" w:sz="4" w:space="0" w:color="auto"/>
            </w:tcBorders>
          </w:tcPr>
          <w:p w14:paraId="76C16F71" w14:textId="77777777" w:rsidR="005A0812" w:rsidRPr="00A57A5D" w:rsidRDefault="005A0812" w:rsidP="00000A31">
            <w:pPr>
              <w:tabs>
                <w:tab w:val="left" w:pos="709"/>
              </w:tabs>
              <w:spacing w:before="60" w:after="60" w:line="240" w:lineRule="auto"/>
              <w:jc w:val="left"/>
              <w:rPr>
                <w:rFonts w:ascii="Arial" w:hAnsi="Arial" w:cs="Arial"/>
                <w:color w:val="000000"/>
                <w:sz w:val="16"/>
                <w:szCs w:val="16"/>
              </w:rPr>
            </w:pPr>
            <w:r w:rsidRPr="00A57A5D">
              <w:rPr>
                <w:rFonts w:ascii="Arial" w:hAnsi="Arial" w:cs="Arial"/>
                <w:color w:val="000000"/>
                <w:sz w:val="16"/>
                <w:szCs w:val="16"/>
              </w:rPr>
              <w:t>Timeliness of claims resolution (i.e. percentage of primary asbestos claims resolved within 180 calendar days).</w:t>
            </w:r>
          </w:p>
        </w:tc>
        <w:tc>
          <w:tcPr>
            <w:tcW w:w="2565" w:type="dxa"/>
            <w:tcBorders>
              <w:top w:val="single" w:sz="4" w:space="0" w:color="auto"/>
              <w:left w:val="single" w:sz="4" w:space="0" w:color="auto"/>
              <w:bottom w:val="single" w:sz="4" w:space="0" w:color="auto"/>
            </w:tcBorders>
          </w:tcPr>
          <w:p w14:paraId="76C16F72" w14:textId="41A0C31D" w:rsidR="005A0812" w:rsidRDefault="005A0812" w:rsidP="00000A31">
            <w:pPr>
              <w:tabs>
                <w:tab w:val="left" w:pos="709"/>
              </w:tabs>
              <w:spacing w:before="60" w:after="60" w:line="240" w:lineRule="auto"/>
              <w:jc w:val="left"/>
              <w:rPr>
                <w:rFonts w:ascii="Arial" w:hAnsi="Arial" w:cs="Arial"/>
                <w:color w:val="000000"/>
                <w:sz w:val="16"/>
                <w:szCs w:val="16"/>
              </w:rPr>
            </w:pPr>
            <w:r w:rsidRPr="0037773C">
              <w:rPr>
                <w:rFonts w:ascii="Arial" w:hAnsi="Arial" w:cs="Arial"/>
                <w:b/>
                <w:color w:val="000000"/>
                <w:sz w:val="16"/>
                <w:szCs w:val="16"/>
              </w:rPr>
              <w:t xml:space="preserve">Assessment: </w:t>
            </w:r>
            <w:r w:rsidRPr="0037773C">
              <w:rPr>
                <w:rFonts w:ascii="Arial" w:hAnsi="Arial" w:cs="Arial"/>
                <w:color w:val="000000"/>
                <w:sz w:val="16"/>
                <w:szCs w:val="16"/>
              </w:rPr>
              <w:t>On track</w:t>
            </w:r>
            <w:r w:rsidR="00DC6923">
              <w:rPr>
                <w:rFonts w:ascii="Arial" w:hAnsi="Arial" w:cs="Arial"/>
                <w:color w:val="000000"/>
                <w:sz w:val="16"/>
                <w:szCs w:val="16"/>
              </w:rPr>
              <w:t>.</w:t>
            </w:r>
          </w:p>
          <w:p w14:paraId="76C16F73" w14:textId="77777777" w:rsidR="005A0812" w:rsidRPr="0028314B" w:rsidRDefault="005A0812" w:rsidP="00000A31">
            <w:pPr>
              <w:tabs>
                <w:tab w:val="left" w:pos="709"/>
              </w:tabs>
              <w:spacing w:before="60" w:after="60" w:line="240" w:lineRule="auto"/>
              <w:jc w:val="left"/>
              <w:rPr>
                <w:rFonts w:ascii="Arial" w:hAnsi="Arial" w:cs="Arial"/>
                <w:b/>
                <w:color w:val="000000"/>
                <w:sz w:val="16"/>
                <w:szCs w:val="16"/>
              </w:rPr>
            </w:pPr>
          </w:p>
        </w:tc>
      </w:tr>
      <w:tr w:rsidR="005A0812" w:rsidRPr="00F71634" w14:paraId="76C16F78" w14:textId="77777777" w:rsidTr="00BE6AA2">
        <w:tc>
          <w:tcPr>
            <w:tcW w:w="1701" w:type="dxa"/>
            <w:vMerge/>
            <w:tcBorders>
              <w:bottom w:val="dotted" w:sz="4" w:space="0" w:color="auto"/>
              <w:right w:val="single" w:sz="4" w:space="0" w:color="auto"/>
            </w:tcBorders>
          </w:tcPr>
          <w:p w14:paraId="76C16F75" w14:textId="77777777" w:rsidR="005A0812" w:rsidRDefault="005A0812"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6F76" w14:textId="77777777" w:rsidR="005A0812" w:rsidRPr="00A57A5D" w:rsidRDefault="005A0812" w:rsidP="00000A31">
            <w:pPr>
              <w:spacing w:before="60" w:after="60" w:line="240" w:lineRule="auto"/>
              <w:jc w:val="left"/>
              <w:rPr>
                <w:rFonts w:ascii="Arial" w:hAnsi="Arial" w:cs="Arial"/>
                <w:color w:val="000000"/>
                <w:sz w:val="16"/>
                <w:szCs w:val="16"/>
              </w:rPr>
            </w:pPr>
            <w:r w:rsidRPr="00A57A5D">
              <w:rPr>
                <w:rFonts w:ascii="Arial" w:hAnsi="Arial" w:cs="Arial"/>
                <w:color w:val="000000"/>
                <w:sz w:val="16"/>
                <w:szCs w:val="16"/>
              </w:rPr>
              <w:t>Third party recovery rate (i.e. percentage of the value of asbestos claims settlements recovered from third parties).</w:t>
            </w:r>
          </w:p>
        </w:tc>
        <w:tc>
          <w:tcPr>
            <w:tcW w:w="2565" w:type="dxa"/>
            <w:tcBorders>
              <w:top w:val="single" w:sz="4" w:space="0" w:color="auto"/>
              <w:left w:val="single" w:sz="4" w:space="0" w:color="auto"/>
              <w:bottom w:val="dotted" w:sz="4" w:space="0" w:color="auto"/>
            </w:tcBorders>
          </w:tcPr>
          <w:p w14:paraId="76C16F77" w14:textId="5712F2C3" w:rsidR="005A0812" w:rsidRPr="0028314B" w:rsidRDefault="005A0812" w:rsidP="00000A31">
            <w:pPr>
              <w:tabs>
                <w:tab w:val="left" w:pos="709"/>
              </w:tabs>
              <w:spacing w:before="60" w:after="60" w:line="240" w:lineRule="auto"/>
              <w:jc w:val="left"/>
              <w:rPr>
                <w:rFonts w:ascii="Arial" w:hAnsi="Arial" w:cs="Arial"/>
                <w:b/>
                <w:color w:val="000000"/>
                <w:sz w:val="16"/>
                <w:szCs w:val="16"/>
              </w:rPr>
            </w:pPr>
            <w:r w:rsidRPr="0028314B">
              <w:rPr>
                <w:rFonts w:ascii="Arial" w:hAnsi="Arial" w:cs="Arial"/>
                <w:b/>
                <w:color w:val="000000"/>
                <w:sz w:val="16"/>
                <w:szCs w:val="16"/>
              </w:rPr>
              <w:t xml:space="preserve">Assessment: </w:t>
            </w:r>
            <w:r w:rsidRPr="0028314B">
              <w:rPr>
                <w:rFonts w:ascii="Arial" w:hAnsi="Arial" w:cs="Arial"/>
                <w:color w:val="000000"/>
                <w:sz w:val="16"/>
                <w:szCs w:val="16"/>
              </w:rPr>
              <w:t>On track</w:t>
            </w:r>
            <w:r w:rsidR="00DC6923">
              <w:rPr>
                <w:rFonts w:ascii="Arial" w:hAnsi="Arial" w:cs="Arial"/>
                <w:color w:val="000000"/>
                <w:sz w:val="16"/>
                <w:szCs w:val="16"/>
              </w:rPr>
              <w:t>.</w:t>
            </w:r>
          </w:p>
        </w:tc>
      </w:tr>
      <w:tr w:rsidR="005A0812" w:rsidRPr="00F71634" w14:paraId="76C16F7C" w14:textId="77777777" w:rsidTr="00BE6AA2">
        <w:tc>
          <w:tcPr>
            <w:tcW w:w="1701" w:type="dxa"/>
            <w:vMerge w:val="restart"/>
            <w:tcBorders>
              <w:top w:val="dotted" w:sz="4" w:space="0" w:color="auto"/>
              <w:right w:val="single" w:sz="4" w:space="0" w:color="auto"/>
            </w:tcBorders>
          </w:tcPr>
          <w:p w14:paraId="76C16F79" w14:textId="77777777" w:rsidR="005A0812" w:rsidRPr="006906E4" w:rsidRDefault="005A0812" w:rsidP="00000A31">
            <w:pPr>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475" w:type="dxa"/>
            <w:tcBorders>
              <w:top w:val="dotted" w:sz="4" w:space="0" w:color="auto"/>
              <w:left w:val="single" w:sz="4" w:space="0" w:color="auto"/>
              <w:bottom w:val="single" w:sz="4" w:space="0" w:color="auto"/>
              <w:right w:val="single" w:sz="4" w:space="0" w:color="auto"/>
            </w:tcBorders>
          </w:tcPr>
          <w:p w14:paraId="76C16F7A" w14:textId="77777777" w:rsidR="005A0812" w:rsidRPr="00A57A5D" w:rsidRDefault="005A0812" w:rsidP="00000A31">
            <w:pPr>
              <w:tabs>
                <w:tab w:val="left" w:pos="709"/>
              </w:tabs>
              <w:spacing w:before="60" w:after="60" w:line="240" w:lineRule="auto"/>
              <w:jc w:val="left"/>
              <w:rPr>
                <w:rFonts w:ascii="Arial" w:hAnsi="Arial" w:cs="Arial"/>
                <w:color w:val="000000"/>
                <w:sz w:val="16"/>
                <w:szCs w:val="16"/>
              </w:rPr>
            </w:pPr>
            <w:r w:rsidRPr="00A57A5D">
              <w:rPr>
                <w:rFonts w:ascii="Arial" w:hAnsi="Arial" w:cs="Arial"/>
                <w:color w:val="000000"/>
                <w:sz w:val="16"/>
                <w:szCs w:val="16"/>
              </w:rPr>
              <w:t>Timeliness of claims resolution (i.e. percentage of primary asbestos claims resolved within 180 calendar days).</w:t>
            </w:r>
          </w:p>
        </w:tc>
        <w:tc>
          <w:tcPr>
            <w:tcW w:w="2565" w:type="dxa"/>
            <w:tcBorders>
              <w:top w:val="dotted" w:sz="4" w:space="0" w:color="auto"/>
              <w:left w:val="single" w:sz="4" w:space="0" w:color="auto"/>
              <w:bottom w:val="single" w:sz="4" w:space="0" w:color="auto"/>
            </w:tcBorders>
          </w:tcPr>
          <w:p w14:paraId="76C16F7B" w14:textId="77777777" w:rsidR="005A0812" w:rsidRPr="00A57A5D" w:rsidRDefault="005A0812" w:rsidP="00000A31">
            <w:pPr>
              <w:tabs>
                <w:tab w:val="left" w:pos="709"/>
              </w:tabs>
              <w:spacing w:before="60" w:after="60" w:line="240" w:lineRule="auto"/>
              <w:jc w:val="left"/>
              <w:rPr>
                <w:rFonts w:ascii="Arial" w:hAnsi="Arial" w:cs="Arial"/>
                <w:color w:val="000000"/>
                <w:sz w:val="16"/>
                <w:szCs w:val="16"/>
              </w:rPr>
            </w:pPr>
            <w:r w:rsidRPr="00A57A5D">
              <w:rPr>
                <w:rFonts w:ascii="Arial" w:hAnsi="Arial" w:cs="Arial"/>
                <w:color w:val="000000"/>
                <w:sz w:val="16"/>
                <w:szCs w:val="16"/>
              </w:rPr>
              <w:t>80%</w:t>
            </w:r>
          </w:p>
        </w:tc>
      </w:tr>
      <w:tr w:rsidR="005A0812" w:rsidRPr="00F71634" w14:paraId="76C16F80" w14:textId="77777777" w:rsidTr="00BE6AA2">
        <w:tc>
          <w:tcPr>
            <w:tcW w:w="1701" w:type="dxa"/>
            <w:vMerge/>
            <w:tcBorders>
              <w:bottom w:val="dotted" w:sz="4" w:space="0" w:color="auto"/>
              <w:right w:val="single" w:sz="4" w:space="0" w:color="auto"/>
            </w:tcBorders>
          </w:tcPr>
          <w:p w14:paraId="76C16F7D" w14:textId="77777777" w:rsidR="005A0812" w:rsidRDefault="005A0812" w:rsidP="00000A31">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6F7E" w14:textId="77777777" w:rsidR="005A0812" w:rsidRPr="00A57A5D" w:rsidRDefault="005A0812" w:rsidP="00000A31">
            <w:pPr>
              <w:spacing w:before="60" w:after="60" w:line="240" w:lineRule="auto"/>
              <w:jc w:val="left"/>
              <w:rPr>
                <w:rFonts w:ascii="Arial" w:hAnsi="Arial" w:cs="Arial"/>
                <w:color w:val="000000"/>
                <w:sz w:val="16"/>
                <w:szCs w:val="16"/>
              </w:rPr>
            </w:pPr>
            <w:r w:rsidRPr="00A57A5D">
              <w:rPr>
                <w:rFonts w:ascii="Arial" w:hAnsi="Arial" w:cs="Arial"/>
                <w:color w:val="000000"/>
                <w:sz w:val="16"/>
                <w:szCs w:val="16"/>
              </w:rPr>
              <w:t>Third party recovery rate (i.e. percentage of the value of asbestos claims settlements recovered from third parties).</w:t>
            </w:r>
          </w:p>
        </w:tc>
        <w:tc>
          <w:tcPr>
            <w:tcW w:w="2565" w:type="dxa"/>
            <w:tcBorders>
              <w:top w:val="single" w:sz="4" w:space="0" w:color="auto"/>
              <w:left w:val="single" w:sz="4" w:space="0" w:color="auto"/>
              <w:bottom w:val="dotted" w:sz="4" w:space="0" w:color="auto"/>
            </w:tcBorders>
          </w:tcPr>
          <w:p w14:paraId="76C16F7F" w14:textId="77777777" w:rsidR="005A0812" w:rsidRPr="00A57A5D" w:rsidRDefault="005A0812" w:rsidP="00000A31">
            <w:pPr>
              <w:tabs>
                <w:tab w:val="left" w:pos="709"/>
              </w:tabs>
              <w:spacing w:before="60" w:after="60" w:line="240" w:lineRule="auto"/>
              <w:jc w:val="left"/>
              <w:rPr>
                <w:rFonts w:ascii="Arial" w:hAnsi="Arial" w:cs="Arial"/>
                <w:color w:val="000000"/>
                <w:sz w:val="16"/>
                <w:szCs w:val="16"/>
              </w:rPr>
            </w:pPr>
            <w:r w:rsidRPr="00A57A5D">
              <w:rPr>
                <w:rFonts w:ascii="Arial" w:hAnsi="Arial" w:cs="Arial"/>
                <w:color w:val="000000"/>
                <w:sz w:val="16"/>
                <w:szCs w:val="16"/>
              </w:rPr>
              <w:t>10%</w:t>
            </w:r>
          </w:p>
        </w:tc>
      </w:tr>
      <w:tr w:rsidR="00946D33" w:rsidRPr="00F71634" w14:paraId="76C16F84" w14:textId="77777777" w:rsidTr="005A0812">
        <w:tc>
          <w:tcPr>
            <w:tcW w:w="1701" w:type="dxa"/>
            <w:tcBorders>
              <w:top w:val="dotted" w:sz="4" w:space="0" w:color="auto"/>
              <w:bottom w:val="single" w:sz="4" w:space="0" w:color="auto"/>
              <w:right w:val="single" w:sz="4" w:space="0" w:color="auto"/>
            </w:tcBorders>
          </w:tcPr>
          <w:p w14:paraId="76C16F81" w14:textId="77777777" w:rsidR="00946D33" w:rsidRPr="006906E4" w:rsidRDefault="00946D33" w:rsidP="00000A31">
            <w:pPr>
              <w:tabs>
                <w:tab w:val="left" w:pos="709"/>
              </w:tabs>
              <w:spacing w:before="60" w:after="60" w:line="240" w:lineRule="auto"/>
              <w:jc w:val="left"/>
              <w:rPr>
                <w:rFonts w:ascii="Arial" w:hAnsi="Arial" w:cs="Arial"/>
                <w:sz w:val="16"/>
                <w:szCs w:val="16"/>
              </w:rPr>
            </w:pPr>
            <w:r>
              <w:rPr>
                <w:rFonts w:ascii="Arial" w:hAnsi="Arial" w:cs="Arial"/>
                <w:sz w:val="16"/>
                <w:szCs w:val="16"/>
              </w:rPr>
              <w:t>2020–21</w:t>
            </w:r>
            <w:r w:rsidRPr="006906E4">
              <w:rPr>
                <w:rFonts w:ascii="Arial" w:hAnsi="Arial" w:cs="Arial"/>
                <w:sz w:val="16"/>
                <w:szCs w:val="16"/>
              </w:rPr>
              <w:t xml:space="preserve"> and beyond</w:t>
            </w:r>
          </w:p>
        </w:tc>
        <w:tc>
          <w:tcPr>
            <w:tcW w:w="3475" w:type="dxa"/>
            <w:tcBorders>
              <w:top w:val="dotted" w:sz="4" w:space="0" w:color="auto"/>
              <w:left w:val="single" w:sz="4" w:space="0" w:color="auto"/>
              <w:bottom w:val="single" w:sz="4" w:space="0" w:color="auto"/>
              <w:right w:val="single" w:sz="4" w:space="0" w:color="auto"/>
            </w:tcBorders>
          </w:tcPr>
          <w:p w14:paraId="76C16F82" w14:textId="129EA7E1" w:rsidR="00946D33" w:rsidRPr="0028314B" w:rsidRDefault="00DC6923" w:rsidP="00000A31">
            <w:pPr>
              <w:spacing w:before="60" w:after="60" w:line="240" w:lineRule="auto"/>
              <w:jc w:val="left"/>
              <w:rPr>
                <w:rFonts w:ascii="Arial" w:hAnsi="Arial" w:cs="Arial"/>
                <w:color w:val="000000"/>
                <w:sz w:val="16"/>
                <w:szCs w:val="16"/>
              </w:rPr>
            </w:pPr>
            <w:r>
              <w:rPr>
                <w:rFonts w:ascii="Arial" w:hAnsi="Arial" w:cs="Arial"/>
                <w:color w:val="000000"/>
                <w:sz w:val="16"/>
                <w:szCs w:val="16"/>
              </w:rPr>
              <w:t>As per 2019–20.</w:t>
            </w:r>
          </w:p>
        </w:tc>
        <w:tc>
          <w:tcPr>
            <w:tcW w:w="2565" w:type="dxa"/>
            <w:tcBorders>
              <w:top w:val="dotted" w:sz="4" w:space="0" w:color="auto"/>
              <w:left w:val="single" w:sz="4" w:space="0" w:color="auto"/>
              <w:bottom w:val="single" w:sz="4" w:space="0" w:color="auto"/>
            </w:tcBorders>
          </w:tcPr>
          <w:p w14:paraId="76C16F83" w14:textId="31A371EA" w:rsidR="00946D33" w:rsidRPr="0028314B" w:rsidRDefault="00946D33" w:rsidP="00000A31">
            <w:pPr>
              <w:tabs>
                <w:tab w:val="left" w:pos="709"/>
              </w:tabs>
              <w:spacing w:before="60" w:after="60" w:line="240" w:lineRule="auto"/>
              <w:jc w:val="left"/>
              <w:rPr>
                <w:rFonts w:ascii="Arial" w:hAnsi="Arial" w:cs="Arial"/>
                <w:color w:val="000000"/>
                <w:sz w:val="16"/>
                <w:szCs w:val="16"/>
              </w:rPr>
            </w:pPr>
            <w:r>
              <w:rPr>
                <w:rFonts w:ascii="Arial" w:hAnsi="Arial" w:cs="Arial"/>
                <w:color w:val="000000"/>
                <w:sz w:val="16"/>
                <w:szCs w:val="16"/>
              </w:rPr>
              <w:t>As per 2019–20</w:t>
            </w:r>
            <w:r w:rsidR="00DC6923">
              <w:rPr>
                <w:rFonts w:ascii="Arial" w:hAnsi="Arial" w:cs="Arial"/>
                <w:color w:val="000000"/>
                <w:sz w:val="16"/>
                <w:szCs w:val="16"/>
              </w:rPr>
              <w:t>.</w:t>
            </w:r>
          </w:p>
        </w:tc>
      </w:tr>
      <w:bookmarkEnd w:id="5"/>
      <w:tr w:rsidR="00946D33" w:rsidRPr="00CF7058" w14:paraId="76C16F86" w14:textId="77777777" w:rsidTr="002573A6">
        <w:tc>
          <w:tcPr>
            <w:tcW w:w="7741" w:type="dxa"/>
            <w:gridSpan w:val="3"/>
            <w:tcBorders>
              <w:top w:val="single" w:sz="4" w:space="0" w:color="auto"/>
            </w:tcBorders>
          </w:tcPr>
          <w:p w14:paraId="76C16F85" w14:textId="527290B6" w:rsidR="00946D33" w:rsidRPr="00CF7058" w:rsidRDefault="00946D33" w:rsidP="00CF7058">
            <w:pPr>
              <w:spacing w:after="120"/>
              <w:jc w:val="left"/>
              <w:rPr>
                <w:rStyle w:val="BodyTextChar"/>
                <w:rFonts w:ascii="Arial" w:hAnsi="Arial"/>
                <w:b/>
                <w:sz w:val="16"/>
                <w:szCs w:val="16"/>
              </w:rPr>
            </w:pPr>
            <w:r w:rsidRPr="00CF7058">
              <w:rPr>
                <w:rStyle w:val="BodyTextChar"/>
                <w:rFonts w:ascii="Arial" w:hAnsi="Arial"/>
                <w:b/>
                <w:sz w:val="16"/>
                <w:szCs w:val="16"/>
              </w:rPr>
              <w:t xml:space="preserve">Material changes to Program 1.6 resulting from the following measures: </w:t>
            </w:r>
            <w:r w:rsidRPr="00CF7058">
              <w:rPr>
                <w:rStyle w:val="BodyTextChar"/>
                <w:rFonts w:ascii="Arial" w:hAnsi="Arial"/>
                <w:sz w:val="16"/>
                <w:szCs w:val="16"/>
              </w:rPr>
              <w:t>Nil</w:t>
            </w:r>
          </w:p>
        </w:tc>
      </w:tr>
    </w:tbl>
    <w:p w14:paraId="76C16F87" w14:textId="77777777" w:rsidR="00DF0134" w:rsidRPr="00AD42E2" w:rsidRDefault="00DF0134" w:rsidP="00DF0134">
      <w:pPr>
        <w:pStyle w:val="Heading2"/>
      </w:pPr>
      <w:r w:rsidRPr="00C3303C">
        <w:rPr>
          <w:rFonts w:ascii="Book Antiqua" w:hAnsi="Book Antiqua"/>
          <w:i/>
          <w:color w:val="FF0000"/>
          <w:sz w:val="20"/>
        </w:rPr>
        <w:br w:type="page"/>
      </w:r>
      <w:r w:rsidRPr="00AD42E2">
        <w:lastRenderedPageBreak/>
        <w:t>Section 3: Budgeted financial statements</w:t>
      </w:r>
    </w:p>
    <w:p w14:paraId="76C16F88" w14:textId="77777777" w:rsidR="00DF0134" w:rsidRDefault="00DF0134" w:rsidP="00DF0134">
      <w:r>
        <w:t xml:space="preserve">Section 3 presents budgeted financial statements which provide a comprehensive snapshot of entity finances for the </w:t>
      </w:r>
      <w:r w:rsidR="009A4174">
        <w:t>2019–20</w:t>
      </w:r>
      <w:r>
        <w:rPr>
          <w:color w:val="00B050"/>
        </w:rPr>
        <w:t xml:space="preserve"> </w:t>
      </w:r>
      <w:r>
        <w:t>budget year, including the impact of budget measures and resourcing on financial statements.</w:t>
      </w:r>
    </w:p>
    <w:p w14:paraId="76C16F89" w14:textId="77777777" w:rsidR="00DF0134" w:rsidRDefault="00DF0134" w:rsidP="00DF0134">
      <w:pPr>
        <w:pStyle w:val="Heading3"/>
      </w:pPr>
      <w:r>
        <w:t>3.1</w:t>
      </w:r>
      <w:r>
        <w:tab/>
        <w:t>Budgeted financial statements</w:t>
      </w:r>
    </w:p>
    <w:p w14:paraId="76C16F8A" w14:textId="77777777" w:rsidR="00DF0134" w:rsidRDefault="00DF0134" w:rsidP="00DF0134">
      <w:pPr>
        <w:pStyle w:val="Heading4"/>
      </w:pPr>
      <w:r>
        <w:t>3.1.1</w:t>
      </w:r>
      <w:r>
        <w:tab/>
        <w:t>Differences between entity resourcing and financial statements</w:t>
      </w:r>
    </w:p>
    <w:p w14:paraId="76C16F8B" w14:textId="70294E8B" w:rsidR="00946D33" w:rsidRDefault="00946D33" w:rsidP="00946D33">
      <w:r w:rsidRPr="00705FEF">
        <w:t xml:space="preserve">The difference between the available resources shown in Table 1.1: Comcare resource statement and Table 3.1: Comprehensive Income Statement is due to prior year amounts available in </w:t>
      </w:r>
      <w:r w:rsidR="009A4174">
        <w:t>2019–20</w:t>
      </w:r>
      <w:r w:rsidRPr="00705FEF">
        <w:t>, and non-cash movements in the value of the workers</w:t>
      </w:r>
      <w:r w:rsidR="00EC50CD">
        <w:t>’</w:t>
      </w:r>
      <w:r w:rsidRPr="00705FEF">
        <w:t xml:space="preserve"> compensation claims liability and notional interest receipts. The prior year amounts relate to retained premium funds, which are held to discharge future premium claims liabilities. Table 3.2: Budgeted Departmental Balance Sheet also includes significant financial assets (appropriations receivable) which will fund claim payments over the lifetime of the outstanding claims liabilities.</w:t>
      </w:r>
    </w:p>
    <w:p w14:paraId="76C16F8C" w14:textId="77777777" w:rsidR="00DF0134" w:rsidRDefault="00DF0134" w:rsidP="00DF0134">
      <w:pPr>
        <w:pStyle w:val="Heading4"/>
      </w:pPr>
      <w:r>
        <w:t>3.1.2</w:t>
      </w:r>
      <w:r>
        <w:tab/>
        <w:t>Explanatory notes and analysis of budgeted financial statements</w:t>
      </w:r>
    </w:p>
    <w:p w14:paraId="76C16F8D" w14:textId="1ED8F1F7" w:rsidR="00946D33" w:rsidRDefault="00946D33" w:rsidP="00946D33">
      <w:r>
        <w:t xml:space="preserve">Comcare’s total income in </w:t>
      </w:r>
      <w:r w:rsidR="009A4174">
        <w:t>2019–20</w:t>
      </w:r>
      <w:r>
        <w:t xml:space="preserve"> is $267.4 million, compared to $176.3 million in </w:t>
      </w:r>
      <w:r w:rsidR="007B7B1A">
        <w:br/>
      </w:r>
      <w:r w:rsidR="009A4174">
        <w:t xml:space="preserve">2018–19 </w:t>
      </w:r>
      <w:r>
        <w:t>(an increase</w:t>
      </w:r>
      <w:r w:rsidR="000F02C2">
        <w:t xml:space="preserve"> of $91.1 million, Table 3.1). T</w:t>
      </w:r>
      <w:r>
        <w:t xml:space="preserve">otal income was higher in </w:t>
      </w:r>
      <w:r w:rsidR="009A4174">
        <w:t>2019–20</w:t>
      </w:r>
      <w:r>
        <w:t xml:space="preserve"> due to a significant favourable movement in premium liabilities in </w:t>
      </w:r>
      <w:r w:rsidR="009A4174">
        <w:t>2018–19</w:t>
      </w:r>
      <w:r>
        <w:t xml:space="preserve"> leading to a lower liability offset.</w:t>
      </w:r>
    </w:p>
    <w:p w14:paraId="76C16F8E" w14:textId="3167D9B5" w:rsidR="00946D33" w:rsidRPr="003E0897" w:rsidRDefault="00946D33" w:rsidP="00946D33">
      <w:pPr>
        <w:rPr>
          <w:rFonts w:eastAsia="Calibri"/>
        </w:rPr>
      </w:pPr>
      <w:r>
        <w:t>Premium revenue has decreased from $245.0</w:t>
      </w:r>
      <w:r w:rsidR="00DC6923">
        <w:t xml:space="preserve"> million</w:t>
      </w:r>
      <w:r>
        <w:t xml:space="preserve"> in </w:t>
      </w:r>
      <w:r w:rsidR="009A4174">
        <w:t>2018–19</w:t>
      </w:r>
      <w:r>
        <w:t xml:space="preserve"> to $156.5</w:t>
      </w:r>
      <w:r w:rsidR="00DC6923">
        <w:t xml:space="preserve"> </w:t>
      </w:r>
      <w:r>
        <w:t>m</w:t>
      </w:r>
      <w:r w:rsidR="00DC6923">
        <w:t>illion</w:t>
      </w:r>
      <w:r>
        <w:t xml:space="preserve"> in </w:t>
      </w:r>
      <w:r w:rsidR="009A4174">
        <w:t>2019–20</w:t>
      </w:r>
      <w:r>
        <w:t xml:space="preserve"> (i.e. by $88.5</w:t>
      </w:r>
      <w:r w:rsidR="00DC6923">
        <w:t xml:space="preserve"> </w:t>
      </w:r>
      <w:r>
        <w:t>m</w:t>
      </w:r>
      <w:r w:rsidR="00DC6923">
        <w:t>illion</w:t>
      </w:r>
      <w:r>
        <w:t xml:space="preserve">) due to </w:t>
      </w:r>
      <w:r>
        <w:rPr>
          <w:rFonts w:eastAsia="Calibri"/>
        </w:rPr>
        <w:t>t</w:t>
      </w:r>
      <w:r w:rsidRPr="003E0897">
        <w:rPr>
          <w:rFonts w:eastAsia="Calibri"/>
        </w:rPr>
        <w:t>he exit of the ACT Government from Comcare’s premium scheme</w:t>
      </w:r>
      <w:r>
        <w:rPr>
          <w:rFonts w:eastAsia="Calibri"/>
        </w:rPr>
        <w:t xml:space="preserve"> and other favourable movements in claims experience.</w:t>
      </w:r>
    </w:p>
    <w:p w14:paraId="76C16F8F" w14:textId="77777777" w:rsidR="00946D33" w:rsidRDefault="00946D33" w:rsidP="00946D33">
      <w:pPr>
        <w:pStyle w:val="Heading5"/>
      </w:pPr>
      <w:r>
        <w:t>Expenses</w:t>
      </w:r>
    </w:p>
    <w:p w14:paraId="76C16F90" w14:textId="77777777" w:rsidR="00946D33" w:rsidRDefault="00946D33" w:rsidP="00946D33">
      <w:r>
        <w:t xml:space="preserve">Comcare’s total expenses in </w:t>
      </w:r>
      <w:r w:rsidR="009A4174">
        <w:t>2019–20</w:t>
      </w:r>
      <w:r>
        <w:t xml:space="preserve"> are $267.4 million compared to $176.3 million in </w:t>
      </w:r>
      <w:r w:rsidR="004C7C00">
        <w:t>2018–19</w:t>
      </w:r>
      <w:r>
        <w:t>, mainly due to the favourable movement in premium liabilities.</w:t>
      </w:r>
    </w:p>
    <w:p w14:paraId="76C16F91" w14:textId="77777777" w:rsidR="00946D33" w:rsidRDefault="00946D33" w:rsidP="00946D33">
      <w:r>
        <w:t>Claims Payments have decreased from $253.9 million to $211.8 million (i.e. by $42.1 million) as the ACT Government will take responsibility for claims payments after their exit from Comcare’s premium scheme.</w:t>
      </w:r>
    </w:p>
    <w:p w14:paraId="76C16F92" w14:textId="77777777" w:rsidR="00946D33" w:rsidRDefault="00946D33" w:rsidP="00946D33">
      <w:pPr>
        <w:pStyle w:val="Heading5"/>
      </w:pPr>
      <w:r>
        <w:t>Operating Result</w:t>
      </w:r>
    </w:p>
    <w:p w14:paraId="76C16F93" w14:textId="77777777" w:rsidR="00946D33" w:rsidRDefault="00946D33" w:rsidP="00946D33">
      <w:r>
        <w:t xml:space="preserve">Comcare has budgeted for a break-even operating result for </w:t>
      </w:r>
      <w:r w:rsidR="009A4174">
        <w:t>2019–20</w:t>
      </w:r>
      <w:r>
        <w:t>.</w:t>
      </w:r>
    </w:p>
    <w:p w14:paraId="76C16F94" w14:textId="77777777" w:rsidR="00416B1B" w:rsidRDefault="00416B1B">
      <w:pPr>
        <w:spacing w:after="0" w:line="240" w:lineRule="auto"/>
        <w:jc w:val="left"/>
        <w:rPr>
          <w:rFonts w:ascii="Arial" w:hAnsi="Arial"/>
          <w:b/>
          <w:bCs/>
          <w:iCs/>
          <w:szCs w:val="26"/>
        </w:rPr>
      </w:pPr>
      <w:r>
        <w:br w:type="page"/>
      </w:r>
    </w:p>
    <w:p w14:paraId="76C16F95" w14:textId="77777777" w:rsidR="00946D33" w:rsidRDefault="00946D33" w:rsidP="00946D33">
      <w:pPr>
        <w:pStyle w:val="Heading5"/>
      </w:pPr>
      <w:r>
        <w:lastRenderedPageBreak/>
        <w:t>Claims Liability</w:t>
      </w:r>
    </w:p>
    <w:p w14:paraId="76C16F96" w14:textId="77777777" w:rsidR="00946D33" w:rsidRDefault="00946D33" w:rsidP="00946D33">
      <w:r>
        <w:t>Comcare has three separate claims liabilities:</w:t>
      </w:r>
    </w:p>
    <w:p w14:paraId="76C16F97" w14:textId="77777777" w:rsidR="00946D33" w:rsidRPr="00E80D04" w:rsidRDefault="00946D33" w:rsidP="00E80D04">
      <w:pPr>
        <w:pStyle w:val="Bullet"/>
        <w:spacing w:after="160"/>
        <w:ind w:left="284" w:hanging="284"/>
        <w:jc w:val="left"/>
        <w:rPr>
          <w:rFonts w:cstheme="minorHAnsi"/>
        </w:rPr>
      </w:pPr>
      <w:r w:rsidRPr="00E80D04">
        <w:rPr>
          <w:rFonts w:cstheme="minorHAnsi"/>
        </w:rPr>
        <w:t>Premium workers’ compensation claims—these relate to workers’ compensation claims from premium paying agencies with a date of injury on or after 1 July 1989.</w:t>
      </w:r>
    </w:p>
    <w:p w14:paraId="76C16F98" w14:textId="77777777" w:rsidR="00946D33" w:rsidRPr="00E80D04" w:rsidRDefault="00946D33" w:rsidP="00E80D04">
      <w:pPr>
        <w:pStyle w:val="Bullet"/>
        <w:spacing w:after="160"/>
        <w:ind w:left="284" w:hanging="284"/>
        <w:jc w:val="left"/>
        <w:rPr>
          <w:rFonts w:cstheme="minorHAnsi"/>
        </w:rPr>
      </w:pPr>
      <w:r w:rsidRPr="00E80D04">
        <w:rPr>
          <w:rFonts w:cstheme="minorHAnsi"/>
        </w:rPr>
        <w:t xml:space="preserve">Pre-premium workers’ compensation claims—these relate to workers’ compensation claims with a date of injury before 1 July 1989. It is expected that </w:t>
      </w:r>
      <w:r w:rsidRPr="00E80D04">
        <w:rPr>
          <w:rFonts w:cstheme="minorHAnsi"/>
        </w:rPr>
        <w:br/>
        <w:t>pre-premium claims liabilities will decrease over time as claims are settled.</w:t>
      </w:r>
    </w:p>
    <w:p w14:paraId="76C16F99" w14:textId="77777777" w:rsidR="00946D33" w:rsidRPr="00E80D04" w:rsidRDefault="00946D33" w:rsidP="00E80D04">
      <w:pPr>
        <w:pStyle w:val="Bullet"/>
        <w:spacing w:after="160"/>
        <w:ind w:left="284" w:hanging="284"/>
        <w:jc w:val="left"/>
        <w:rPr>
          <w:rFonts w:cstheme="minorHAnsi"/>
        </w:rPr>
      </w:pPr>
      <w:r w:rsidRPr="00E80D04">
        <w:rPr>
          <w:rFonts w:cstheme="minorHAnsi"/>
        </w:rPr>
        <w:t>Asbestos-related common law liabilities—these relate to asbestos related claims where the Commonwealth has a liability.</w:t>
      </w:r>
    </w:p>
    <w:p w14:paraId="76C16F9A" w14:textId="77777777" w:rsidR="00946D33" w:rsidRDefault="00946D33" w:rsidP="00946D33">
      <w:r>
        <w:t xml:space="preserve">In the </w:t>
      </w:r>
      <w:r w:rsidR="009A4174">
        <w:t>2019–20</w:t>
      </w:r>
      <w:r>
        <w:t xml:space="preserve"> Portfolio Budget Statements, all claims liability provisions are based on independent actuarial valuations on the basis of the central estimate plus a risk margin that would achieve a 75 per cent probability of sufficiency.</w:t>
      </w:r>
    </w:p>
    <w:p w14:paraId="76C16F9B" w14:textId="77777777" w:rsidR="00946D33" w:rsidRDefault="00946D33" w:rsidP="00946D33">
      <w:r>
        <w:t>Estimates for gross claims liabilities as at 30 June each year are outlined in the table below.</w:t>
      </w:r>
    </w:p>
    <w:p w14:paraId="76C16F9C" w14:textId="77777777" w:rsidR="00BA4391" w:rsidRDefault="00BA4391" w:rsidP="00BA4391">
      <w:pPr>
        <w:pStyle w:val="TableHeading"/>
        <w:rPr>
          <w:lang w:val="en-AU"/>
        </w:rPr>
      </w:pPr>
      <w:r>
        <w:t>Table 3.1.1 Estimates for gross claims liabilities as at 30 June each year</w:t>
      </w:r>
    </w:p>
    <w:tbl>
      <w:tblPr>
        <w:tblW w:w="7728" w:type="dxa"/>
        <w:tblInd w:w="93" w:type="dxa"/>
        <w:tblLook w:val="04A0" w:firstRow="1" w:lastRow="0" w:firstColumn="1" w:lastColumn="0" w:noHBand="0" w:noVBand="1"/>
      </w:tblPr>
      <w:tblGrid>
        <w:gridCol w:w="2976"/>
        <w:gridCol w:w="1040"/>
        <w:gridCol w:w="955"/>
        <w:gridCol w:w="955"/>
        <w:gridCol w:w="955"/>
        <w:gridCol w:w="955"/>
      </w:tblGrid>
      <w:tr w:rsidR="00BA4391" w:rsidRPr="0013171A" w14:paraId="76C16FA3" w14:textId="77777777" w:rsidTr="00BA4391">
        <w:trPr>
          <w:trHeight w:val="794"/>
        </w:trPr>
        <w:tc>
          <w:tcPr>
            <w:tcW w:w="2976" w:type="dxa"/>
            <w:tcBorders>
              <w:top w:val="single" w:sz="4" w:space="0" w:color="auto"/>
              <w:left w:val="nil"/>
              <w:bottom w:val="nil"/>
              <w:right w:val="nil"/>
            </w:tcBorders>
            <w:shd w:val="clear" w:color="auto" w:fill="auto"/>
            <w:vAlign w:val="center"/>
            <w:hideMark/>
          </w:tcPr>
          <w:p w14:paraId="76C16F9D" w14:textId="77777777" w:rsidR="00BA4391" w:rsidRPr="0013171A" w:rsidRDefault="00BA4391" w:rsidP="00BA4391">
            <w:pPr>
              <w:spacing w:after="0" w:line="240" w:lineRule="auto"/>
              <w:rPr>
                <w:rFonts w:ascii="Arial" w:hAnsi="Arial" w:cs="Arial"/>
                <w:b/>
                <w:bCs/>
                <w:color w:val="000000"/>
                <w:sz w:val="16"/>
                <w:szCs w:val="16"/>
              </w:rPr>
            </w:pPr>
          </w:p>
        </w:tc>
        <w:tc>
          <w:tcPr>
            <w:tcW w:w="1040" w:type="dxa"/>
            <w:tcBorders>
              <w:top w:val="single" w:sz="4" w:space="0" w:color="auto"/>
              <w:left w:val="nil"/>
              <w:bottom w:val="single" w:sz="4" w:space="0" w:color="auto"/>
              <w:right w:val="nil"/>
            </w:tcBorders>
            <w:shd w:val="clear" w:color="auto" w:fill="auto"/>
            <w:vAlign w:val="center"/>
            <w:hideMark/>
          </w:tcPr>
          <w:p w14:paraId="76C16F9E" w14:textId="77777777" w:rsidR="00BA4391" w:rsidRPr="0013171A" w:rsidRDefault="009A4174" w:rsidP="00BA4391">
            <w:pPr>
              <w:spacing w:after="0" w:line="240" w:lineRule="auto"/>
              <w:jc w:val="right"/>
              <w:rPr>
                <w:rFonts w:ascii="Arial" w:hAnsi="Arial" w:cs="Arial"/>
                <w:sz w:val="16"/>
                <w:szCs w:val="16"/>
              </w:rPr>
            </w:pPr>
            <w:r>
              <w:rPr>
                <w:rFonts w:ascii="Arial" w:hAnsi="Arial" w:cs="Arial"/>
                <w:sz w:val="16"/>
                <w:szCs w:val="16"/>
              </w:rPr>
              <w:t xml:space="preserve">2018–19 </w:t>
            </w:r>
            <w:r w:rsidR="00BA4391" w:rsidRPr="0013171A">
              <w:rPr>
                <w:rFonts w:ascii="Arial" w:hAnsi="Arial" w:cs="Arial"/>
                <w:sz w:val="16"/>
                <w:szCs w:val="16"/>
              </w:rPr>
              <w:t xml:space="preserve"> Estimated actual</w:t>
            </w:r>
            <w:r w:rsidR="00BA4391" w:rsidRPr="0013171A">
              <w:rPr>
                <w:rFonts w:ascii="Arial" w:hAnsi="Arial" w:cs="Arial"/>
                <w:sz w:val="16"/>
                <w:szCs w:val="16"/>
              </w:rPr>
              <w:br/>
              <w:t>$'000</w:t>
            </w:r>
          </w:p>
        </w:tc>
        <w:tc>
          <w:tcPr>
            <w:tcW w:w="928" w:type="dxa"/>
            <w:tcBorders>
              <w:top w:val="single" w:sz="4" w:space="0" w:color="auto"/>
              <w:left w:val="nil"/>
              <w:bottom w:val="single" w:sz="4" w:space="0" w:color="auto"/>
              <w:right w:val="nil"/>
            </w:tcBorders>
            <w:shd w:val="clear" w:color="000000" w:fill="E6E6E6"/>
            <w:vAlign w:val="center"/>
            <w:hideMark/>
          </w:tcPr>
          <w:p w14:paraId="76C16F9F" w14:textId="77777777" w:rsidR="00BA4391" w:rsidRPr="0013171A" w:rsidRDefault="009A4174" w:rsidP="00BA4391">
            <w:pPr>
              <w:spacing w:after="0" w:line="240" w:lineRule="auto"/>
              <w:jc w:val="right"/>
              <w:rPr>
                <w:rFonts w:ascii="Arial" w:hAnsi="Arial" w:cs="Arial"/>
                <w:sz w:val="16"/>
                <w:szCs w:val="16"/>
              </w:rPr>
            </w:pPr>
            <w:r>
              <w:rPr>
                <w:rFonts w:ascii="Arial" w:hAnsi="Arial" w:cs="Arial"/>
                <w:sz w:val="16"/>
                <w:szCs w:val="16"/>
              </w:rPr>
              <w:t>2019–20</w:t>
            </w:r>
            <w:r w:rsidR="00BA4391" w:rsidRPr="0013171A">
              <w:rPr>
                <w:rFonts w:ascii="Arial" w:hAnsi="Arial" w:cs="Arial"/>
                <w:sz w:val="16"/>
                <w:szCs w:val="16"/>
              </w:rPr>
              <w:br/>
              <w:t>Budget</w:t>
            </w:r>
            <w:r w:rsidR="00BA4391" w:rsidRPr="0013171A">
              <w:rPr>
                <w:rFonts w:ascii="Arial" w:hAnsi="Arial" w:cs="Arial"/>
                <w:sz w:val="16"/>
                <w:szCs w:val="16"/>
              </w:rPr>
              <w:br/>
            </w:r>
            <w:r w:rsidR="00BA4391" w:rsidRPr="0013171A">
              <w:rPr>
                <w:rFonts w:ascii="Arial" w:hAnsi="Arial" w:cs="Arial"/>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76C16FA0" w14:textId="07144FEB" w:rsidR="00BA4391" w:rsidRPr="0013171A" w:rsidRDefault="00014C66" w:rsidP="00BA4391">
            <w:pPr>
              <w:spacing w:after="0" w:line="240" w:lineRule="auto"/>
              <w:jc w:val="right"/>
              <w:rPr>
                <w:rFonts w:ascii="Arial" w:hAnsi="Arial" w:cs="Arial"/>
                <w:sz w:val="16"/>
                <w:szCs w:val="16"/>
              </w:rPr>
            </w:pPr>
            <w:r>
              <w:rPr>
                <w:rFonts w:ascii="Arial" w:hAnsi="Arial" w:cs="Arial"/>
                <w:sz w:val="16"/>
                <w:szCs w:val="16"/>
              </w:rPr>
              <w:t>2020–21</w:t>
            </w:r>
            <w:r w:rsidR="00BA4391" w:rsidRPr="0013171A">
              <w:rPr>
                <w:rFonts w:ascii="Arial" w:hAnsi="Arial" w:cs="Arial"/>
                <w:sz w:val="16"/>
                <w:szCs w:val="16"/>
              </w:rPr>
              <w:t xml:space="preserve"> Forward estimate</w:t>
            </w:r>
            <w:r w:rsidR="00BA4391" w:rsidRPr="0013171A">
              <w:rPr>
                <w:rFonts w:ascii="Arial" w:hAnsi="Arial" w:cs="Arial"/>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76C16FA1" w14:textId="77777777" w:rsidR="00BA4391" w:rsidRPr="0013171A" w:rsidRDefault="009A4174" w:rsidP="00BA4391">
            <w:pPr>
              <w:spacing w:after="0" w:line="240" w:lineRule="auto"/>
              <w:jc w:val="right"/>
              <w:rPr>
                <w:rFonts w:ascii="Arial" w:hAnsi="Arial" w:cs="Arial"/>
                <w:sz w:val="16"/>
                <w:szCs w:val="16"/>
              </w:rPr>
            </w:pPr>
            <w:r>
              <w:rPr>
                <w:rFonts w:ascii="Arial" w:hAnsi="Arial" w:cs="Arial"/>
                <w:sz w:val="16"/>
                <w:szCs w:val="16"/>
              </w:rPr>
              <w:t>2021–22</w:t>
            </w:r>
            <w:r w:rsidR="00BA4391" w:rsidRPr="0013171A">
              <w:rPr>
                <w:rFonts w:ascii="Arial" w:hAnsi="Arial" w:cs="Arial"/>
                <w:sz w:val="16"/>
                <w:szCs w:val="16"/>
              </w:rPr>
              <w:br/>
              <w:t>Forward estimate</w:t>
            </w:r>
            <w:r w:rsidR="00BA4391" w:rsidRPr="0013171A">
              <w:rPr>
                <w:rFonts w:ascii="Arial" w:hAnsi="Arial" w:cs="Arial"/>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76C16FA2" w14:textId="77777777" w:rsidR="00BA4391" w:rsidRPr="0013171A" w:rsidRDefault="009A4174" w:rsidP="00BA4391">
            <w:pPr>
              <w:spacing w:after="0" w:line="240" w:lineRule="auto"/>
              <w:jc w:val="right"/>
              <w:rPr>
                <w:rFonts w:ascii="Arial" w:hAnsi="Arial" w:cs="Arial"/>
                <w:sz w:val="16"/>
                <w:szCs w:val="16"/>
              </w:rPr>
            </w:pPr>
            <w:r>
              <w:rPr>
                <w:rFonts w:ascii="Arial" w:hAnsi="Arial" w:cs="Arial"/>
                <w:sz w:val="16"/>
                <w:szCs w:val="16"/>
              </w:rPr>
              <w:t>2022–23</w:t>
            </w:r>
            <w:r w:rsidR="00BA4391" w:rsidRPr="0013171A">
              <w:rPr>
                <w:rFonts w:ascii="Arial" w:hAnsi="Arial" w:cs="Arial"/>
                <w:sz w:val="16"/>
                <w:szCs w:val="16"/>
              </w:rPr>
              <w:br/>
              <w:t>Forward estimate</w:t>
            </w:r>
            <w:r w:rsidR="00BA4391" w:rsidRPr="0013171A">
              <w:rPr>
                <w:rFonts w:ascii="Arial" w:hAnsi="Arial" w:cs="Arial"/>
                <w:sz w:val="16"/>
                <w:szCs w:val="16"/>
              </w:rPr>
              <w:br/>
              <w:t>$'000</w:t>
            </w:r>
          </w:p>
        </w:tc>
      </w:tr>
      <w:tr w:rsidR="00BA4391" w:rsidRPr="0013171A" w14:paraId="76C16FAA" w14:textId="77777777" w:rsidTr="00BA4391">
        <w:trPr>
          <w:trHeight w:val="227"/>
        </w:trPr>
        <w:tc>
          <w:tcPr>
            <w:tcW w:w="2976" w:type="dxa"/>
            <w:tcBorders>
              <w:top w:val="nil"/>
              <w:left w:val="nil"/>
              <w:bottom w:val="nil"/>
              <w:right w:val="nil"/>
            </w:tcBorders>
            <w:shd w:val="clear" w:color="auto" w:fill="auto"/>
            <w:vAlign w:val="center"/>
            <w:hideMark/>
          </w:tcPr>
          <w:p w14:paraId="76C16FA4" w14:textId="77777777" w:rsidR="00BA4391" w:rsidRPr="00F724D8" w:rsidRDefault="00BA4391" w:rsidP="00A40BDC">
            <w:pPr>
              <w:spacing w:after="0" w:line="240" w:lineRule="auto"/>
              <w:rPr>
                <w:rFonts w:ascii="Arial" w:hAnsi="Arial" w:cs="Arial"/>
                <w:b/>
                <w:sz w:val="16"/>
                <w:szCs w:val="16"/>
              </w:rPr>
            </w:pPr>
            <w:r w:rsidRPr="00F724D8">
              <w:rPr>
                <w:rFonts w:ascii="Arial" w:hAnsi="Arial" w:cs="Arial"/>
                <w:b/>
                <w:sz w:val="16"/>
                <w:szCs w:val="16"/>
              </w:rPr>
              <w:t>Workers' compensation liabilities</w:t>
            </w:r>
          </w:p>
        </w:tc>
        <w:tc>
          <w:tcPr>
            <w:tcW w:w="1040" w:type="dxa"/>
            <w:tcBorders>
              <w:top w:val="nil"/>
              <w:left w:val="nil"/>
              <w:bottom w:val="nil"/>
              <w:right w:val="nil"/>
            </w:tcBorders>
            <w:shd w:val="clear" w:color="auto" w:fill="auto"/>
            <w:noWrap/>
            <w:vAlign w:val="center"/>
            <w:hideMark/>
          </w:tcPr>
          <w:p w14:paraId="76C16FA5" w14:textId="77777777" w:rsidR="00BA4391" w:rsidRPr="0013171A" w:rsidRDefault="00BA4391" w:rsidP="00BA4391">
            <w:pPr>
              <w:spacing w:after="0" w:line="240" w:lineRule="auto"/>
              <w:jc w:val="right"/>
              <w:rPr>
                <w:rFonts w:ascii="Arial" w:hAnsi="Arial" w:cs="Arial"/>
                <w:color w:val="000000"/>
                <w:sz w:val="16"/>
                <w:szCs w:val="16"/>
              </w:rPr>
            </w:pPr>
          </w:p>
        </w:tc>
        <w:tc>
          <w:tcPr>
            <w:tcW w:w="928" w:type="dxa"/>
            <w:tcBorders>
              <w:top w:val="nil"/>
              <w:left w:val="nil"/>
              <w:bottom w:val="nil"/>
              <w:right w:val="nil"/>
            </w:tcBorders>
            <w:shd w:val="clear" w:color="000000" w:fill="E6E6E6"/>
            <w:noWrap/>
            <w:vAlign w:val="center"/>
            <w:hideMark/>
          </w:tcPr>
          <w:p w14:paraId="76C16FA6" w14:textId="77777777" w:rsidR="00BA4391" w:rsidRPr="0013171A" w:rsidRDefault="00BA4391" w:rsidP="00BA4391">
            <w:pPr>
              <w:spacing w:after="0" w:line="240" w:lineRule="auto"/>
              <w:jc w:val="right"/>
              <w:rPr>
                <w:rFonts w:ascii="Arial" w:hAnsi="Arial" w:cs="Arial"/>
                <w:sz w:val="16"/>
                <w:szCs w:val="16"/>
              </w:rPr>
            </w:pPr>
            <w:r w:rsidRPr="0013171A">
              <w:rPr>
                <w:rFonts w:ascii="Arial" w:hAnsi="Arial" w:cs="Arial"/>
                <w:sz w:val="16"/>
                <w:szCs w:val="16"/>
              </w:rPr>
              <w:t> </w:t>
            </w:r>
          </w:p>
        </w:tc>
        <w:tc>
          <w:tcPr>
            <w:tcW w:w="928" w:type="dxa"/>
            <w:tcBorders>
              <w:top w:val="nil"/>
              <w:left w:val="nil"/>
              <w:bottom w:val="nil"/>
              <w:right w:val="nil"/>
            </w:tcBorders>
            <w:shd w:val="clear" w:color="auto" w:fill="auto"/>
            <w:noWrap/>
            <w:vAlign w:val="center"/>
            <w:hideMark/>
          </w:tcPr>
          <w:p w14:paraId="76C16FA7" w14:textId="77777777" w:rsidR="00BA4391" w:rsidRPr="0013171A" w:rsidRDefault="00BA4391" w:rsidP="00BA4391">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76C16FA8" w14:textId="77777777" w:rsidR="00BA4391" w:rsidRPr="0013171A" w:rsidRDefault="00BA4391" w:rsidP="00BA4391">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76C16FA9" w14:textId="77777777" w:rsidR="00BA4391" w:rsidRPr="0013171A" w:rsidRDefault="00BA4391" w:rsidP="00BA4391">
            <w:pPr>
              <w:spacing w:after="0" w:line="240" w:lineRule="auto"/>
              <w:jc w:val="right"/>
              <w:rPr>
                <w:rFonts w:ascii="Arial" w:hAnsi="Arial" w:cs="Arial"/>
                <w:sz w:val="16"/>
                <w:szCs w:val="16"/>
              </w:rPr>
            </w:pPr>
          </w:p>
        </w:tc>
      </w:tr>
      <w:tr w:rsidR="00BA4391" w:rsidRPr="0013171A" w14:paraId="76C16FB1" w14:textId="77777777" w:rsidTr="00BA4391">
        <w:trPr>
          <w:trHeight w:val="227"/>
        </w:trPr>
        <w:tc>
          <w:tcPr>
            <w:tcW w:w="2976" w:type="dxa"/>
            <w:tcBorders>
              <w:top w:val="nil"/>
              <w:left w:val="nil"/>
              <w:bottom w:val="nil"/>
              <w:right w:val="nil"/>
            </w:tcBorders>
            <w:shd w:val="clear" w:color="auto" w:fill="auto"/>
            <w:vAlign w:val="center"/>
            <w:hideMark/>
          </w:tcPr>
          <w:p w14:paraId="76C16FAB" w14:textId="77777777" w:rsidR="00BA4391" w:rsidRPr="0013171A" w:rsidRDefault="00BA4391" w:rsidP="00A40BDC">
            <w:pPr>
              <w:spacing w:after="0" w:line="240" w:lineRule="auto"/>
              <w:rPr>
                <w:rFonts w:ascii="Arial" w:hAnsi="Arial" w:cs="Arial"/>
                <w:sz w:val="16"/>
                <w:szCs w:val="16"/>
              </w:rPr>
            </w:pPr>
            <w:r w:rsidRPr="0013171A">
              <w:rPr>
                <w:rFonts w:ascii="Arial" w:hAnsi="Arial" w:cs="Arial"/>
                <w:sz w:val="16"/>
                <w:szCs w:val="16"/>
              </w:rPr>
              <w:t>Premium</w:t>
            </w:r>
          </w:p>
        </w:tc>
        <w:tc>
          <w:tcPr>
            <w:tcW w:w="1040" w:type="dxa"/>
            <w:tcBorders>
              <w:top w:val="nil"/>
              <w:left w:val="nil"/>
              <w:bottom w:val="nil"/>
              <w:right w:val="nil"/>
            </w:tcBorders>
            <w:shd w:val="clear" w:color="auto" w:fill="auto"/>
            <w:noWrap/>
            <w:vAlign w:val="center"/>
            <w:hideMark/>
          </w:tcPr>
          <w:p w14:paraId="76C16FAC" w14:textId="77777777" w:rsidR="00BA4391" w:rsidRPr="0013171A" w:rsidRDefault="00BA4391" w:rsidP="00BA4391">
            <w:pPr>
              <w:spacing w:after="0" w:line="240" w:lineRule="auto"/>
              <w:jc w:val="right"/>
              <w:rPr>
                <w:rFonts w:ascii="Arial" w:hAnsi="Arial" w:cs="Arial"/>
                <w:color w:val="000000"/>
                <w:sz w:val="16"/>
                <w:szCs w:val="16"/>
              </w:rPr>
            </w:pPr>
            <w:r>
              <w:rPr>
                <w:rFonts w:ascii="Arial" w:hAnsi="Arial" w:cs="Arial"/>
                <w:color w:val="000000"/>
                <w:sz w:val="16"/>
                <w:szCs w:val="16"/>
              </w:rPr>
              <w:t>1,657,710</w:t>
            </w:r>
            <w:r w:rsidRPr="0013171A">
              <w:rPr>
                <w:rFonts w:ascii="Arial" w:hAnsi="Arial" w:cs="Arial"/>
                <w:color w:val="000000"/>
                <w:sz w:val="16"/>
                <w:szCs w:val="16"/>
              </w:rPr>
              <w:t xml:space="preserve"> </w:t>
            </w:r>
          </w:p>
        </w:tc>
        <w:tc>
          <w:tcPr>
            <w:tcW w:w="928" w:type="dxa"/>
            <w:tcBorders>
              <w:top w:val="nil"/>
              <w:left w:val="nil"/>
              <w:bottom w:val="nil"/>
              <w:right w:val="nil"/>
            </w:tcBorders>
            <w:shd w:val="clear" w:color="000000" w:fill="E6E6E6"/>
            <w:noWrap/>
            <w:vAlign w:val="center"/>
            <w:hideMark/>
          </w:tcPr>
          <w:p w14:paraId="76C16FAD" w14:textId="77777777" w:rsidR="00BA4391" w:rsidRPr="0013171A" w:rsidRDefault="00BA4391" w:rsidP="00BA4391">
            <w:pPr>
              <w:spacing w:after="0" w:line="240" w:lineRule="auto"/>
              <w:jc w:val="right"/>
              <w:rPr>
                <w:rFonts w:ascii="Arial" w:hAnsi="Arial" w:cs="Arial"/>
                <w:sz w:val="16"/>
                <w:szCs w:val="16"/>
              </w:rPr>
            </w:pPr>
            <w:r>
              <w:rPr>
                <w:rFonts w:ascii="Arial" w:hAnsi="Arial" w:cs="Arial"/>
                <w:sz w:val="16"/>
                <w:szCs w:val="16"/>
              </w:rPr>
              <w:t>1,656,806</w:t>
            </w:r>
          </w:p>
        </w:tc>
        <w:tc>
          <w:tcPr>
            <w:tcW w:w="928" w:type="dxa"/>
            <w:tcBorders>
              <w:top w:val="nil"/>
              <w:left w:val="nil"/>
              <w:bottom w:val="nil"/>
              <w:right w:val="nil"/>
            </w:tcBorders>
            <w:shd w:val="clear" w:color="auto" w:fill="auto"/>
            <w:noWrap/>
            <w:vAlign w:val="center"/>
            <w:hideMark/>
          </w:tcPr>
          <w:p w14:paraId="76C16FAE" w14:textId="77777777" w:rsidR="00BA4391" w:rsidRPr="0013171A" w:rsidRDefault="00BA4391" w:rsidP="00BA4391">
            <w:pPr>
              <w:spacing w:after="0" w:line="240" w:lineRule="auto"/>
              <w:jc w:val="right"/>
              <w:rPr>
                <w:rFonts w:ascii="Arial" w:hAnsi="Arial" w:cs="Arial"/>
                <w:sz w:val="16"/>
                <w:szCs w:val="16"/>
              </w:rPr>
            </w:pPr>
            <w:r>
              <w:rPr>
                <w:rFonts w:ascii="Arial" w:hAnsi="Arial" w:cs="Arial"/>
                <w:sz w:val="16"/>
                <w:szCs w:val="16"/>
              </w:rPr>
              <w:t>1,661,665</w:t>
            </w:r>
          </w:p>
        </w:tc>
        <w:tc>
          <w:tcPr>
            <w:tcW w:w="928" w:type="dxa"/>
            <w:tcBorders>
              <w:top w:val="nil"/>
              <w:left w:val="nil"/>
              <w:bottom w:val="nil"/>
              <w:right w:val="nil"/>
            </w:tcBorders>
            <w:shd w:val="clear" w:color="auto" w:fill="auto"/>
            <w:noWrap/>
            <w:vAlign w:val="center"/>
            <w:hideMark/>
          </w:tcPr>
          <w:p w14:paraId="76C16FAF" w14:textId="77777777" w:rsidR="00BA4391" w:rsidRPr="0013171A" w:rsidRDefault="00BA4391" w:rsidP="00BA4391">
            <w:pPr>
              <w:spacing w:after="0" w:line="240" w:lineRule="auto"/>
              <w:jc w:val="right"/>
              <w:rPr>
                <w:rFonts w:ascii="Arial" w:hAnsi="Arial" w:cs="Arial"/>
                <w:sz w:val="16"/>
                <w:szCs w:val="16"/>
              </w:rPr>
            </w:pPr>
            <w:r>
              <w:rPr>
                <w:rFonts w:ascii="Arial" w:hAnsi="Arial" w:cs="Arial"/>
                <w:sz w:val="16"/>
                <w:szCs w:val="16"/>
              </w:rPr>
              <w:t>1,674,999</w:t>
            </w:r>
          </w:p>
        </w:tc>
        <w:tc>
          <w:tcPr>
            <w:tcW w:w="928" w:type="dxa"/>
            <w:tcBorders>
              <w:top w:val="nil"/>
              <w:left w:val="nil"/>
              <w:bottom w:val="nil"/>
              <w:right w:val="nil"/>
            </w:tcBorders>
            <w:shd w:val="clear" w:color="auto" w:fill="auto"/>
            <w:noWrap/>
            <w:vAlign w:val="center"/>
            <w:hideMark/>
          </w:tcPr>
          <w:p w14:paraId="76C16FB0" w14:textId="77777777" w:rsidR="00BA4391" w:rsidRPr="0013171A" w:rsidRDefault="00BA4391" w:rsidP="00BA4391">
            <w:pPr>
              <w:spacing w:after="0" w:line="240" w:lineRule="auto"/>
              <w:jc w:val="right"/>
              <w:rPr>
                <w:rFonts w:ascii="Arial" w:hAnsi="Arial" w:cs="Arial"/>
                <w:sz w:val="16"/>
                <w:szCs w:val="16"/>
              </w:rPr>
            </w:pPr>
            <w:r>
              <w:rPr>
                <w:rFonts w:ascii="Arial" w:hAnsi="Arial" w:cs="Arial"/>
                <w:sz w:val="16"/>
                <w:szCs w:val="16"/>
              </w:rPr>
              <w:t>1,694,435</w:t>
            </w:r>
            <w:r w:rsidRPr="0013171A">
              <w:rPr>
                <w:rFonts w:ascii="Arial" w:hAnsi="Arial" w:cs="Arial"/>
                <w:sz w:val="16"/>
                <w:szCs w:val="16"/>
              </w:rPr>
              <w:t xml:space="preserve"> </w:t>
            </w:r>
          </w:p>
        </w:tc>
      </w:tr>
      <w:tr w:rsidR="00BA4391" w:rsidRPr="0013171A" w14:paraId="76C16FB8" w14:textId="77777777" w:rsidTr="00BA4391">
        <w:trPr>
          <w:trHeight w:val="227"/>
        </w:trPr>
        <w:tc>
          <w:tcPr>
            <w:tcW w:w="2976" w:type="dxa"/>
            <w:tcBorders>
              <w:top w:val="nil"/>
              <w:left w:val="nil"/>
              <w:bottom w:val="nil"/>
              <w:right w:val="nil"/>
            </w:tcBorders>
            <w:shd w:val="clear" w:color="auto" w:fill="auto"/>
            <w:vAlign w:val="center"/>
            <w:hideMark/>
          </w:tcPr>
          <w:p w14:paraId="76C16FB2" w14:textId="77777777" w:rsidR="00BA4391" w:rsidRPr="0013171A" w:rsidRDefault="00BA4391" w:rsidP="00A40BDC">
            <w:pPr>
              <w:spacing w:after="0" w:line="240" w:lineRule="auto"/>
              <w:rPr>
                <w:rFonts w:ascii="Arial" w:hAnsi="Arial" w:cs="Arial"/>
                <w:sz w:val="16"/>
                <w:szCs w:val="16"/>
              </w:rPr>
            </w:pPr>
            <w:r w:rsidRPr="0013171A">
              <w:rPr>
                <w:rFonts w:ascii="Arial" w:hAnsi="Arial" w:cs="Arial"/>
                <w:sz w:val="16"/>
                <w:szCs w:val="16"/>
              </w:rPr>
              <w:t>Pre-premium</w:t>
            </w:r>
          </w:p>
        </w:tc>
        <w:tc>
          <w:tcPr>
            <w:tcW w:w="1040" w:type="dxa"/>
            <w:tcBorders>
              <w:top w:val="nil"/>
              <w:left w:val="nil"/>
              <w:bottom w:val="nil"/>
              <w:right w:val="nil"/>
            </w:tcBorders>
            <w:shd w:val="clear" w:color="auto" w:fill="auto"/>
            <w:noWrap/>
            <w:vAlign w:val="center"/>
            <w:hideMark/>
          </w:tcPr>
          <w:p w14:paraId="76C16FB3" w14:textId="77777777" w:rsidR="00BA4391" w:rsidRPr="0013171A" w:rsidRDefault="00BA4391" w:rsidP="00BA4391">
            <w:pPr>
              <w:spacing w:after="0" w:line="240" w:lineRule="auto"/>
              <w:jc w:val="right"/>
              <w:rPr>
                <w:rFonts w:ascii="Arial" w:hAnsi="Arial" w:cs="Arial"/>
                <w:color w:val="000000"/>
                <w:sz w:val="16"/>
                <w:szCs w:val="16"/>
              </w:rPr>
            </w:pPr>
            <w:r>
              <w:rPr>
                <w:rFonts w:ascii="Arial" w:hAnsi="Arial" w:cs="Arial"/>
                <w:color w:val="000000"/>
                <w:sz w:val="16"/>
                <w:szCs w:val="16"/>
              </w:rPr>
              <w:t>314,434</w:t>
            </w:r>
            <w:r w:rsidRPr="0013171A">
              <w:rPr>
                <w:rFonts w:ascii="Arial" w:hAnsi="Arial" w:cs="Arial"/>
                <w:color w:val="000000"/>
                <w:sz w:val="16"/>
                <w:szCs w:val="16"/>
              </w:rPr>
              <w:t xml:space="preserve"> </w:t>
            </w:r>
          </w:p>
        </w:tc>
        <w:tc>
          <w:tcPr>
            <w:tcW w:w="928" w:type="dxa"/>
            <w:tcBorders>
              <w:top w:val="nil"/>
              <w:left w:val="nil"/>
              <w:bottom w:val="nil"/>
              <w:right w:val="nil"/>
            </w:tcBorders>
            <w:shd w:val="clear" w:color="000000" w:fill="E6E6E6"/>
            <w:noWrap/>
            <w:vAlign w:val="center"/>
            <w:hideMark/>
          </w:tcPr>
          <w:p w14:paraId="76C16FB4" w14:textId="77777777" w:rsidR="00BA4391" w:rsidRPr="0013171A" w:rsidRDefault="00BA4391" w:rsidP="00BA4391">
            <w:pPr>
              <w:spacing w:after="0" w:line="240" w:lineRule="auto"/>
              <w:jc w:val="right"/>
              <w:rPr>
                <w:rFonts w:ascii="Arial" w:hAnsi="Arial" w:cs="Arial"/>
                <w:sz w:val="16"/>
                <w:szCs w:val="16"/>
              </w:rPr>
            </w:pPr>
            <w:r>
              <w:rPr>
                <w:rFonts w:ascii="Arial" w:hAnsi="Arial" w:cs="Arial"/>
                <w:sz w:val="16"/>
                <w:szCs w:val="16"/>
              </w:rPr>
              <w:t>288,571</w:t>
            </w:r>
          </w:p>
        </w:tc>
        <w:tc>
          <w:tcPr>
            <w:tcW w:w="928" w:type="dxa"/>
            <w:tcBorders>
              <w:top w:val="nil"/>
              <w:left w:val="nil"/>
              <w:bottom w:val="nil"/>
              <w:right w:val="nil"/>
            </w:tcBorders>
            <w:shd w:val="clear" w:color="auto" w:fill="auto"/>
            <w:noWrap/>
            <w:vAlign w:val="center"/>
            <w:hideMark/>
          </w:tcPr>
          <w:p w14:paraId="76C16FB5" w14:textId="77777777" w:rsidR="00BA4391" w:rsidRPr="0013171A" w:rsidRDefault="00BA4391" w:rsidP="00BA4391">
            <w:pPr>
              <w:spacing w:after="0" w:line="240" w:lineRule="auto"/>
              <w:jc w:val="right"/>
              <w:rPr>
                <w:rFonts w:ascii="Arial" w:hAnsi="Arial" w:cs="Arial"/>
                <w:sz w:val="16"/>
                <w:szCs w:val="16"/>
              </w:rPr>
            </w:pPr>
            <w:r>
              <w:rPr>
                <w:rFonts w:ascii="Arial" w:hAnsi="Arial" w:cs="Arial"/>
                <w:sz w:val="16"/>
                <w:szCs w:val="16"/>
              </w:rPr>
              <w:t>264,106</w:t>
            </w:r>
          </w:p>
        </w:tc>
        <w:tc>
          <w:tcPr>
            <w:tcW w:w="928" w:type="dxa"/>
            <w:tcBorders>
              <w:top w:val="nil"/>
              <w:left w:val="nil"/>
              <w:bottom w:val="nil"/>
              <w:right w:val="nil"/>
            </w:tcBorders>
            <w:shd w:val="clear" w:color="auto" w:fill="auto"/>
            <w:noWrap/>
            <w:vAlign w:val="center"/>
          </w:tcPr>
          <w:p w14:paraId="76C16FB6" w14:textId="77777777" w:rsidR="00BA4391" w:rsidRPr="0013171A" w:rsidRDefault="00BA4391" w:rsidP="00BA4391">
            <w:pPr>
              <w:spacing w:after="0" w:line="240" w:lineRule="auto"/>
              <w:jc w:val="right"/>
              <w:rPr>
                <w:rFonts w:ascii="Arial" w:hAnsi="Arial" w:cs="Arial"/>
                <w:sz w:val="16"/>
                <w:szCs w:val="16"/>
              </w:rPr>
            </w:pPr>
            <w:r>
              <w:rPr>
                <w:rFonts w:ascii="Arial" w:hAnsi="Arial" w:cs="Arial"/>
                <w:sz w:val="16"/>
                <w:szCs w:val="16"/>
              </w:rPr>
              <w:t>241,155</w:t>
            </w:r>
          </w:p>
        </w:tc>
        <w:tc>
          <w:tcPr>
            <w:tcW w:w="928" w:type="dxa"/>
            <w:tcBorders>
              <w:top w:val="nil"/>
              <w:left w:val="nil"/>
              <w:bottom w:val="nil"/>
              <w:right w:val="nil"/>
            </w:tcBorders>
            <w:shd w:val="clear" w:color="auto" w:fill="auto"/>
            <w:noWrap/>
            <w:vAlign w:val="center"/>
            <w:hideMark/>
          </w:tcPr>
          <w:p w14:paraId="76C16FB7" w14:textId="77777777" w:rsidR="00BA4391" w:rsidRPr="0013171A" w:rsidRDefault="00BA4391" w:rsidP="00BA4391">
            <w:pPr>
              <w:spacing w:after="0" w:line="240" w:lineRule="auto"/>
              <w:jc w:val="right"/>
              <w:rPr>
                <w:rFonts w:ascii="Arial" w:hAnsi="Arial" w:cs="Arial"/>
                <w:sz w:val="16"/>
                <w:szCs w:val="16"/>
              </w:rPr>
            </w:pPr>
            <w:r>
              <w:rPr>
                <w:rFonts w:ascii="Arial" w:hAnsi="Arial" w:cs="Arial"/>
                <w:sz w:val="16"/>
                <w:szCs w:val="16"/>
              </w:rPr>
              <w:t>220,185</w:t>
            </w:r>
          </w:p>
        </w:tc>
      </w:tr>
      <w:tr w:rsidR="00BA4391" w:rsidRPr="003732E1" w14:paraId="76C16FBF" w14:textId="77777777" w:rsidTr="003732E1">
        <w:trPr>
          <w:trHeight w:val="259"/>
        </w:trPr>
        <w:tc>
          <w:tcPr>
            <w:tcW w:w="2976" w:type="dxa"/>
            <w:tcBorders>
              <w:top w:val="nil"/>
              <w:left w:val="nil"/>
              <w:bottom w:val="single" w:sz="4" w:space="0" w:color="auto"/>
              <w:right w:val="nil"/>
            </w:tcBorders>
            <w:shd w:val="clear" w:color="auto" w:fill="auto"/>
            <w:noWrap/>
            <w:vAlign w:val="center"/>
            <w:hideMark/>
          </w:tcPr>
          <w:p w14:paraId="76C16FB9" w14:textId="77777777" w:rsidR="00BA4391" w:rsidRPr="0013171A" w:rsidRDefault="00BA4391" w:rsidP="00A40BDC">
            <w:pPr>
              <w:spacing w:after="0" w:line="240" w:lineRule="auto"/>
              <w:jc w:val="left"/>
              <w:rPr>
                <w:rFonts w:ascii="Arial" w:hAnsi="Arial" w:cs="Arial"/>
                <w:sz w:val="16"/>
                <w:szCs w:val="16"/>
              </w:rPr>
            </w:pPr>
            <w:r>
              <w:rPr>
                <w:rFonts w:ascii="Arial" w:hAnsi="Arial" w:cs="Arial"/>
                <w:sz w:val="16"/>
                <w:szCs w:val="16"/>
              </w:rPr>
              <w:t>Asbestos related—</w:t>
            </w:r>
            <w:r w:rsidRPr="0013171A">
              <w:rPr>
                <w:rFonts w:ascii="Arial" w:hAnsi="Arial" w:cs="Arial"/>
                <w:sz w:val="16"/>
                <w:szCs w:val="16"/>
              </w:rPr>
              <w:t xml:space="preserve"> common law</w:t>
            </w:r>
          </w:p>
        </w:tc>
        <w:tc>
          <w:tcPr>
            <w:tcW w:w="1040" w:type="dxa"/>
            <w:tcBorders>
              <w:top w:val="nil"/>
              <w:left w:val="nil"/>
              <w:bottom w:val="single" w:sz="4" w:space="0" w:color="auto"/>
              <w:right w:val="nil"/>
            </w:tcBorders>
            <w:shd w:val="clear" w:color="auto" w:fill="auto"/>
            <w:vAlign w:val="center"/>
            <w:hideMark/>
          </w:tcPr>
          <w:p w14:paraId="76C16FBA" w14:textId="77777777" w:rsidR="00BA4391" w:rsidRPr="003732E1" w:rsidRDefault="00BA4391" w:rsidP="003732E1">
            <w:pPr>
              <w:spacing w:after="0" w:line="240" w:lineRule="auto"/>
              <w:ind w:firstLineChars="100" w:firstLine="160"/>
              <w:jc w:val="right"/>
              <w:rPr>
                <w:rFonts w:ascii="Arial" w:hAnsi="Arial" w:cs="Arial"/>
                <w:sz w:val="16"/>
                <w:szCs w:val="16"/>
              </w:rPr>
            </w:pPr>
            <w:r w:rsidRPr="003732E1">
              <w:rPr>
                <w:rFonts w:ascii="Arial" w:hAnsi="Arial" w:cs="Arial"/>
                <w:sz w:val="16"/>
                <w:szCs w:val="16"/>
              </w:rPr>
              <w:t>822,640</w:t>
            </w:r>
          </w:p>
        </w:tc>
        <w:tc>
          <w:tcPr>
            <w:tcW w:w="928" w:type="dxa"/>
            <w:tcBorders>
              <w:top w:val="nil"/>
              <w:left w:val="nil"/>
              <w:bottom w:val="single" w:sz="4" w:space="0" w:color="auto"/>
              <w:right w:val="nil"/>
            </w:tcBorders>
            <w:shd w:val="clear" w:color="000000" w:fill="E6E6E6"/>
            <w:noWrap/>
            <w:vAlign w:val="center"/>
            <w:hideMark/>
          </w:tcPr>
          <w:p w14:paraId="76C16FBB" w14:textId="77777777" w:rsidR="00BA4391" w:rsidRPr="0013171A" w:rsidRDefault="00BA4391" w:rsidP="003732E1">
            <w:pPr>
              <w:spacing w:after="0" w:line="240" w:lineRule="auto"/>
              <w:ind w:firstLineChars="100" w:firstLine="160"/>
              <w:jc w:val="right"/>
              <w:rPr>
                <w:rFonts w:ascii="Arial" w:hAnsi="Arial" w:cs="Arial"/>
                <w:sz w:val="16"/>
                <w:szCs w:val="16"/>
              </w:rPr>
            </w:pPr>
            <w:r>
              <w:rPr>
                <w:rFonts w:ascii="Arial" w:hAnsi="Arial" w:cs="Arial"/>
                <w:sz w:val="16"/>
                <w:szCs w:val="16"/>
              </w:rPr>
              <w:t>789,880</w:t>
            </w:r>
          </w:p>
        </w:tc>
        <w:tc>
          <w:tcPr>
            <w:tcW w:w="928" w:type="dxa"/>
            <w:tcBorders>
              <w:top w:val="nil"/>
              <w:left w:val="nil"/>
              <w:bottom w:val="single" w:sz="4" w:space="0" w:color="auto"/>
              <w:right w:val="nil"/>
            </w:tcBorders>
            <w:shd w:val="clear" w:color="auto" w:fill="auto"/>
            <w:noWrap/>
            <w:vAlign w:val="center"/>
          </w:tcPr>
          <w:p w14:paraId="76C16FBC" w14:textId="77777777" w:rsidR="00BA4391" w:rsidRPr="0013171A" w:rsidRDefault="00BA4391" w:rsidP="003732E1">
            <w:pPr>
              <w:spacing w:after="0" w:line="240" w:lineRule="auto"/>
              <w:ind w:firstLineChars="100" w:firstLine="160"/>
              <w:jc w:val="right"/>
              <w:rPr>
                <w:rFonts w:ascii="Arial" w:hAnsi="Arial" w:cs="Arial"/>
                <w:sz w:val="16"/>
                <w:szCs w:val="16"/>
              </w:rPr>
            </w:pPr>
            <w:r>
              <w:rPr>
                <w:rFonts w:ascii="Arial" w:hAnsi="Arial" w:cs="Arial"/>
                <w:sz w:val="16"/>
                <w:szCs w:val="16"/>
              </w:rPr>
              <w:t>756,560</w:t>
            </w:r>
          </w:p>
        </w:tc>
        <w:tc>
          <w:tcPr>
            <w:tcW w:w="928" w:type="dxa"/>
            <w:tcBorders>
              <w:top w:val="nil"/>
              <w:left w:val="nil"/>
              <w:bottom w:val="single" w:sz="4" w:space="0" w:color="auto"/>
              <w:right w:val="nil"/>
            </w:tcBorders>
            <w:shd w:val="clear" w:color="auto" w:fill="auto"/>
            <w:noWrap/>
            <w:vAlign w:val="center"/>
            <w:hideMark/>
          </w:tcPr>
          <w:p w14:paraId="76C16FBD" w14:textId="77777777" w:rsidR="00BA4391" w:rsidRPr="0013171A" w:rsidRDefault="00BA4391" w:rsidP="003732E1">
            <w:pPr>
              <w:spacing w:after="0" w:line="240" w:lineRule="auto"/>
              <w:ind w:firstLineChars="100" w:firstLine="160"/>
              <w:jc w:val="right"/>
              <w:rPr>
                <w:rFonts w:ascii="Arial" w:hAnsi="Arial" w:cs="Arial"/>
                <w:sz w:val="16"/>
                <w:szCs w:val="16"/>
              </w:rPr>
            </w:pPr>
            <w:r>
              <w:rPr>
                <w:rFonts w:ascii="Arial" w:hAnsi="Arial" w:cs="Arial"/>
                <w:sz w:val="16"/>
                <w:szCs w:val="16"/>
              </w:rPr>
              <w:t>723,660</w:t>
            </w:r>
          </w:p>
        </w:tc>
        <w:tc>
          <w:tcPr>
            <w:tcW w:w="928" w:type="dxa"/>
            <w:tcBorders>
              <w:top w:val="nil"/>
              <w:left w:val="nil"/>
              <w:bottom w:val="single" w:sz="4" w:space="0" w:color="auto"/>
              <w:right w:val="nil"/>
            </w:tcBorders>
            <w:shd w:val="clear" w:color="auto" w:fill="auto"/>
            <w:noWrap/>
            <w:vAlign w:val="center"/>
            <w:hideMark/>
          </w:tcPr>
          <w:p w14:paraId="76C16FBE" w14:textId="77777777" w:rsidR="00BA4391" w:rsidRPr="0013171A" w:rsidRDefault="00BA4391" w:rsidP="003732E1">
            <w:pPr>
              <w:spacing w:after="0" w:line="240" w:lineRule="auto"/>
              <w:ind w:firstLineChars="100" w:firstLine="160"/>
              <w:jc w:val="right"/>
              <w:rPr>
                <w:rFonts w:ascii="Arial" w:hAnsi="Arial" w:cs="Arial"/>
                <w:sz w:val="16"/>
                <w:szCs w:val="16"/>
              </w:rPr>
            </w:pPr>
            <w:r>
              <w:rPr>
                <w:rFonts w:ascii="Arial" w:hAnsi="Arial" w:cs="Arial"/>
                <w:sz w:val="16"/>
                <w:szCs w:val="16"/>
              </w:rPr>
              <w:t>691,460</w:t>
            </w:r>
          </w:p>
        </w:tc>
      </w:tr>
    </w:tbl>
    <w:p w14:paraId="76C16FC0" w14:textId="77777777" w:rsidR="00BA4391" w:rsidRDefault="00BA4391" w:rsidP="00946D33"/>
    <w:p w14:paraId="76C16FC1" w14:textId="77777777" w:rsidR="00DF0134" w:rsidRPr="00000A31" w:rsidRDefault="00DF0134" w:rsidP="00333065">
      <w:pPr>
        <w:pStyle w:val="Heading3"/>
      </w:pPr>
      <w:r w:rsidRPr="00000A31">
        <w:br w:type="page"/>
      </w:r>
      <w:r w:rsidRPr="00000A31">
        <w:lastRenderedPageBreak/>
        <w:t>3.2.</w:t>
      </w:r>
      <w:r w:rsidRPr="00000A31">
        <w:tab/>
        <w:t>Budgeted financial statements tables</w:t>
      </w:r>
    </w:p>
    <w:p w14:paraId="76C16FC2" w14:textId="77777777" w:rsidR="00DF0134" w:rsidRDefault="00DF0134" w:rsidP="00DF0134">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711" w:type="dxa"/>
        <w:tblLook w:val="04A0" w:firstRow="1" w:lastRow="0" w:firstColumn="1" w:lastColumn="0" w:noHBand="0" w:noVBand="1"/>
      </w:tblPr>
      <w:tblGrid>
        <w:gridCol w:w="3547"/>
        <w:gridCol w:w="949"/>
        <w:gridCol w:w="840"/>
        <w:gridCol w:w="841"/>
        <w:gridCol w:w="841"/>
        <w:gridCol w:w="841"/>
      </w:tblGrid>
      <w:tr w:rsidR="00BA4391" w:rsidRPr="00BA4391" w14:paraId="76C16FC9" w14:textId="77777777" w:rsidTr="004C7C00">
        <w:trPr>
          <w:trHeight w:val="800"/>
        </w:trPr>
        <w:tc>
          <w:tcPr>
            <w:tcW w:w="3547" w:type="dxa"/>
            <w:tcBorders>
              <w:top w:val="single" w:sz="4" w:space="0" w:color="auto"/>
              <w:left w:val="nil"/>
              <w:bottom w:val="nil"/>
              <w:right w:val="nil"/>
            </w:tcBorders>
            <w:shd w:val="clear" w:color="auto" w:fill="auto"/>
            <w:noWrap/>
            <w:hideMark/>
          </w:tcPr>
          <w:p w14:paraId="76C16FC3" w14:textId="77777777" w:rsidR="00BA4391" w:rsidRPr="00BA4391" w:rsidRDefault="00BA4391" w:rsidP="00BA4391">
            <w:pPr>
              <w:spacing w:after="0" w:line="240" w:lineRule="auto"/>
              <w:jc w:val="left"/>
              <w:rPr>
                <w:rFonts w:ascii="Arial" w:hAnsi="Arial" w:cs="Arial"/>
                <w:b/>
                <w:bCs/>
                <w:sz w:val="16"/>
                <w:szCs w:val="16"/>
              </w:rPr>
            </w:pPr>
            <w:r w:rsidRPr="00BA4391">
              <w:rPr>
                <w:rFonts w:ascii="Arial" w:hAnsi="Arial" w:cs="Arial"/>
                <w:b/>
                <w:bCs/>
                <w:sz w:val="16"/>
                <w:szCs w:val="16"/>
              </w:rPr>
              <w:t> </w:t>
            </w:r>
          </w:p>
        </w:tc>
        <w:tc>
          <w:tcPr>
            <w:tcW w:w="949" w:type="dxa"/>
            <w:tcBorders>
              <w:top w:val="single" w:sz="4" w:space="0" w:color="auto"/>
              <w:left w:val="nil"/>
              <w:bottom w:val="single" w:sz="4" w:space="0" w:color="auto"/>
              <w:right w:val="nil"/>
            </w:tcBorders>
            <w:shd w:val="clear" w:color="auto" w:fill="auto"/>
            <w:hideMark/>
          </w:tcPr>
          <w:p w14:paraId="76C16FC4" w14:textId="77777777" w:rsidR="00BA4391" w:rsidRPr="00BA4391" w:rsidRDefault="009A4174" w:rsidP="00BA4391">
            <w:pPr>
              <w:spacing w:after="0" w:line="240" w:lineRule="auto"/>
              <w:jc w:val="right"/>
              <w:rPr>
                <w:rFonts w:ascii="Arial" w:hAnsi="Arial" w:cs="Arial"/>
                <w:sz w:val="16"/>
                <w:szCs w:val="16"/>
              </w:rPr>
            </w:pPr>
            <w:r>
              <w:rPr>
                <w:rFonts w:ascii="Arial" w:hAnsi="Arial" w:cs="Arial"/>
                <w:sz w:val="16"/>
                <w:szCs w:val="16"/>
              </w:rPr>
              <w:t xml:space="preserve">2018–19 </w:t>
            </w:r>
            <w:r w:rsidR="00BA4391" w:rsidRPr="00BA4391">
              <w:rPr>
                <w:rFonts w:ascii="Arial" w:hAnsi="Arial" w:cs="Arial"/>
                <w:sz w:val="16"/>
                <w:szCs w:val="16"/>
              </w:rPr>
              <w:t xml:space="preserve"> Estimated actual</w:t>
            </w:r>
            <w:r w:rsidR="00BA4391" w:rsidRPr="00BA439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000000" w:fill="E6E6E6"/>
            <w:hideMark/>
          </w:tcPr>
          <w:p w14:paraId="76C16FC5" w14:textId="77777777" w:rsidR="00BA4391" w:rsidRPr="00BA4391" w:rsidRDefault="009A4174" w:rsidP="00BA4391">
            <w:pPr>
              <w:spacing w:after="0" w:line="240" w:lineRule="auto"/>
              <w:jc w:val="right"/>
              <w:rPr>
                <w:rFonts w:ascii="Arial" w:hAnsi="Arial" w:cs="Arial"/>
                <w:sz w:val="16"/>
                <w:szCs w:val="16"/>
              </w:rPr>
            </w:pPr>
            <w:r>
              <w:rPr>
                <w:rFonts w:ascii="Arial" w:hAnsi="Arial" w:cs="Arial"/>
                <w:sz w:val="16"/>
                <w:szCs w:val="16"/>
              </w:rPr>
              <w:t>2019–20</w:t>
            </w:r>
            <w:r w:rsidR="00BA4391" w:rsidRPr="00BA4391">
              <w:rPr>
                <w:rFonts w:ascii="Arial" w:hAnsi="Arial" w:cs="Arial"/>
                <w:sz w:val="16"/>
                <w:szCs w:val="16"/>
              </w:rPr>
              <w:br/>
              <w:t>Budget</w:t>
            </w:r>
            <w:r w:rsidR="00BA4391" w:rsidRPr="00BA4391">
              <w:rPr>
                <w:rFonts w:ascii="Arial" w:hAnsi="Arial" w:cs="Arial"/>
                <w:sz w:val="16"/>
                <w:szCs w:val="16"/>
              </w:rPr>
              <w:br/>
            </w:r>
            <w:r w:rsidR="00BA4391" w:rsidRPr="00BA4391">
              <w:rPr>
                <w:rFonts w:ascii="Arial" w:hAnsi="Arial" w:cs="Arial"/>
                <w:sz w:val="16"/>
                <w:szCs w:val="16"/>
              </w:rPr>
              <w:br/>
              <w:t>$'000</w:t>
            </w:r>
          </w:p>
        </w:tc>
        <w:tc>
          <w:tcPr>
            <w:tcW w:w="841" w:type="dxa"/>
            <w:tcBorders>
              <w:top w:val="single" w:sz="4" w:space="0" w:color="auto"/>
              <w:left w:val="nil"/>
              <w:bottom w:val="single" w:sz="4" w:space="0" w:color="auto"/>
              <w:right w:val="nil"/>
            </w:tcBorders>
            <w:shd w:val="clear" w:color="auto" w:fill="auto"/>
            <w:hideMark/>
          </w:tcPr>
          <w:p w14:paraId="76C16FC6" w14:textId="146B9877" w:rsidR="00BA4391" w:rsidRPr="00BA4391" w:rsidRDefault="00014C66" w:rsidP="00BA4391">
            <w:pPr>
              <w:spacing w:after="0" w:line="240" w:lineRule="auto"/>
              <w:jc w:val="right"/>
              <w:rPr>
                <w:rFonts w:ascii="Arial" w:hAnsi="Arial" w:cs="Arial"/>
                <w:sz w:val="16"/>
                <w:szCs w:val="16"/>
              </w:rPr>
            </w:pPr>
            <w:r>
              <w:rPr>
                <w:rFonts w:ascii="Arial" w:hAnsi="Arial" w:cs="Arial"/>
                <w:sz w:val="16"/>
                <w:szCs w:val="16"/>
              </w:rPr>
              <w:t>2020–21</w:t>
            </w:r>
            <w:r w:rsidR="00BA4391" w:rsidRPr="00BA4391">
              <w:rPr>
                <w:rFonts w:ascii="Arial" w:hAnsi="Arial" w:cs="Arial"/>
                <w:sz w:val="16"/>
                <w:szCs w:val="16"/>
              </w:rPr>
              <w:t xml:space="preserve"> Forward estimate</w:t>
            </w:r>
            <w:r w:rsidR="00BA4391" w:rsidRPr="00BA4391">
              <w:rPr>
                <w:rFonts w:ascii="Arial" w:hAnsi="Arial" w:cs="Arial"/>
                <w:sz w:val="16"/>
                <w:szCs w:val="16"/>
              </w:rPr>
              <w:br/>
              <w:t>$'000</w:t>
            </w:r>
          </w:p>
        </w:tc>
        <w:tc>
          <w:tcPr>
            <w:tcW w:w="841" w:type="dxa"/>
            <w:tcBorders>
              <w:top w:val="single" w:sz="4" w:space="0" w:color="auto"/>
              <w:left w:val="nil"/>
              <w:bottom w:val="single" w:sz="4" w:space="0" w:color="auto"/>
              <w:right w:val="nil"/>
            </w:tcBorders>
            <w:shd w:val="clear" w:color="auto" w:fill="auto"/>
            <w:hideMark/>
          </w:tcPr>
          <w:p w14:paraId="76C16FC7" w14:textId="77777777" w:rsidR="00BA4391" w:rsidRPr="00BA4391" w:rsidRDefault="009A4174" w:rsidP="00BA4391">
            <w:pPr>
              <w:spacing w:after="0" w:line="240" w:lineRule="auto"/>
              <w:jc w:val="right"/>
              <w:rPr>
                <w:rFonts w:ascii="Arial" w:hAnsi="Arial" w:cs="Arial"/>
                <w:sz w:val="16"/>
                <w:szCs w:val="16"/>
              </w:rPr>
            </w:pPr>
            <w:r>
              <w:rPr>
                <w:rFonts w:ascii="Arial" w:hAnsi="Arial" w:cs="Arial"/>
                <w:sz w:val="16"/>
                <w:szCs w:val="16"/>
              </w:rPr>
              <w:t>2021–22</w:t>
            </w:r>
            <w:r w:rsidR="00BA4391" w:rsidRPr="00BA4391">
              <w:rPr>
                <w:rFonts w:ascii="Arial" w:hAnsi="Arial" w:cs="Arial"/>
                <w:sz w:val="16"/>
                <w:szCs w:val="16"/>
              </w:rPr>
              <w:t xml:space="preserve"> Forward estimate</w:t>
            </w:r>
            <w:r w:rsidR="00BA4391" w:rsidRPr="00BA4391">
              <w:rPr>
                <w:rFonts w:ascii="Arial" w:hAnsi="Arial" w:cs="Arial"/>
                <w:sz w:val="16"/>
                <w:szCs w:val="16"/>
              </w:rPr>
              <w:br/>
              <w:t>$'000</w:t>
            </w:r>
          </w:p>
        </w:tc>
        <w:tc>
          <w:tcPr>
            <w:tcW w:w="841" w:type="dxa"/>
            <w:tcBorders>
              <w:top w:val="single" w:sz="4" w:space="0" w:color="auto"/>
              <w:left w:val="nil"/>
              <w:bottom w:val="single" w:sz="4" w:space="0" w:color="auto"/>
              <w:right w:val="nil"/>
            </w:tcBorders>
            <w:shd w:val="clear" w:color="auto" w:fill="auto"/>
            <w:hideMark/>
          </w:tcPr>
          <w:p w14:paraId="76C16FC8" w14:textId="77777777" w:rsidR="00BA4391" w:rsidRPr="00BA4391" w:rsidRDefault="009A4174" w:rsidP="00BA4391">
            <w:pPr>
              <w:spacing w:after="0" w:line="240" w:lineRule="auto"/>
              <w:jc w:val="right"/>
              <w:rPr>
                <w:rFonts w:ascii="Arial" w:hAnsi="Arial" w:cs="Arial"/>
                <w:sz w:val="16"/>
                <w:szCs w:val="16"/>
              </w:rPr>
            </w:pPr>
            <w:r>
              <w:rPr>
                <w:rFonts w:ascii="Arial" w:hAnsi="Arial" w:cs="Arial"/>
                <w:sz w:val="16"/>
                <w:szCs w:val="16"/>
              </w:rPr>
              <w:t>2022–23</w:t>
            </w:r>
            <w:r w:rsidR="00BA4391" w:rsidRPr="00BA4391">
              <w:rPr>
                <w:rFonts w:ascii="Arial" w:hAnsi="Arial" w:cs="Arial"/>
                <w:sz w:val="16"/>
                <w:szCs w:val="16"/>
              </w:rPr>
              <w:br/>
              <w:t>Forward estimate</w:t>
            </w:r>
            <w:r w:rsidR="00BA4391" w:rsidRPr="00BA4391">
              <w:rPr>
                <w:rFonts w:ascii="Arial" w:hAnsi="Arial" w:cs="Arial"/>
                <w:sz w:val="16"/>
                <w:szCs w:val="16"/>
              </w:rPr>
              <w:br/>
              <w:t>$'000</w:t>
            </w:r>
          </w:p>
        </w:tc>
      </w:tr>
      <w:tr w:rsidR="00BA4391" w:rsidRPr="00BA4391" w14:paraId="76C16FD0" w14:textId="77777777" w:rsidTr="004C7C00">
        <w:trPr>
          <w:trHeight w:val="225"/>
        </w:trPr>
        <w:tc>
          <w:tcPr>
            <w:tcW w:w="3547" w:type="dxa"/>
            <w:tcBorders>
              <w:top w:val="nil"/>
              <w:left w:val="nil"/>
              <w:bottom w:val="nil"/>
              <w:right w:val="nil"/>
            </w:tcBorders>
            <w:shd w:val="clear" w:color="auto" w:fill="auto"/>
            <w:noWrap/>
            <w:vAlign w:val="bottom"/>
            <w:hideMark/>
          </w:tcPr>
          <w:p w14:paraId="76C16FCA" w14:textId="77777777" w:rsidR="00BA4391" w:rsidRPr="00BA4391" w:rsidRDefault="00BA4391" w:rsidP="00BA4391">
            <w:pPr>
              <w:spacing w:after="0" w:line="240" w:lineRule="auto"/>
              <w:jc w:val="left"/>
              <w:rPr>
                <w:rFonts w:ascii="Arial" w:hAnsi="Arial" w:cs="Arial"/>
                <w:b/>
                <w:bCs/>
                <w:sz w:val="16"/>
                <w:szCs w:val="16"/>
              </w:rPr>
            </w:pPr>
            <w:r w:rsidRPr="00BA4391">
              <w:rPr>
                <w:rFonts w:ascii="Arial" w:hAnsi="Arial" w:cs="Arial"/>
                <w:b/>
                <w:bCs/>
                <w:sz w:val="16"/>
                <w:szCs w:val="16"/>
              </w:rPr>
              <w:t>EXPENSES</w:t>
            </w:r>
          </w:p>
        </w:tc>
        <w:tc>
          <w:tcPr>
            <w:tcW w:w="949" w:type="dxa"/>
            <w:tcBorders>
              <w:top w:val="nil"/>
              <w:left w:val="nil"/>
              <w:bottom w:val="nil"/>
              <w:right w:val="nil"/>
            </w:tcBorders>
            <w:shd w:val="clear" w:color="auto" w:fill="auto"/>
            <w:noWrap/>
            <w:vAlign w:val="bottom"/>
            <w:hideMark/>
          </w:tcPr>
          <w:p w14:paraId="76C16FCB" w14:textId="77777777" w:rsidR="00BA4391" w:rsidRPr="00BA4391" w:rsidRDefault="00BA4391" w:rsidP="00BA4391">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000000" w:fill="E6E6E6"/>
            <w:noWrap/>
            <w:vAlign w:val="bottom"/>
            <w:hideMark/>
          </w:tcPr>
          <w:p w14:paraId="76C16FCC"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w:t>
            </w:r>
          </w:p>
        </w:tc>
        <w:tc>
          <w:tcPr>
            <w:tcW w:w="841" w:type="dxa"/>
            <w:tcBorders>
              <w:top w:val="nil"/>
              <w:left w:val="nil"/>
              <w:bottom w:val="nil"/>
              <w:right w:val="nil"/>
            </w:tcBorders>
            <w:shd w:val="clear" w:color="auto" w:fill="auto"/>
            <w:noWrap/>
            <w:vAlign w:val="bottom"/>
            <w:hideMark/>
          </w:tcPr>
          <w:p w14:paraId="76C16FCD" w14:textId="77777777" w:rsidR="00BA4391" w:rsidRPr="00BA4391" w:rsidRDefault="00BA4391" w:rsidP="00BA4391">
            <w:pPr>
              <w:spacing w:after="0" w:line="240" w:lineRule="auto"/>
              <w:jc w:val="right"/>
              <w:rPr>
                <w:rFonts w:ascii="Arial" w:hAnsi="Arial" w:cs="Arial"/>
                <w:b/>
                <w:bCs/>
                <w:sz w:val="16"/>
                <w:szCs w:val="16"/>
              </w:rPr>
            </w:pPr>
          </w:p>
        </w:tc>
        <w:tc>
          <w:tcPr>
            <w:tcW w:w="841" w:type="dxa"/>
            <w:tcBorders>
              <w:top w:val="nil"/>
              <w:left w:val="nil"/>
              <w:bottom w:val="nil"/>
              <w:right w:val="nil"/>
            </w:tcBorders>
            <w:shd w:val="clear" w:color="auto" w:fill="auto"/>
            <w:noWrap/>
            <w:vAlign w:val="bottom"/>
            <w:hideMark/>
          </w:tcPr>
          <w:p w14:paraId="76C16FCE" w14:textId="77777777" w:rsidR="00BA4391" w:rsidRPr="00BA4391" w:rsidRDefault="00BA4391" w:rsidP="00BA4391">
            <w:pPr>
              <w:spacing w:after="0" w:line="240" w:lineRule="auto"/>
              <w:jc w:val="right"/>
              <w:rPr>
                <w:rFonts w:ascii="Times New Roman" w:hAnsi="Times New Roman"/>
              </w:rPr>
            </w:pPr>
          </w:p>
        </w:tc>
        <w:tc>
          <w:tcPr>
            <w:tcW w:w="841" w:type="dxa"/>
            <w:tcBorders>
              <w:top w:val="nil"/>
              <w:left w:val="nil"/>
              <w:bottom w:val="nil"/>
              <w:right w:val="nil"/>
            </w:tcBorders>
            <w:shd w:val="clear" w:color="auto" w:fill="auto"/>
            <w:noWrap/>
            <w:vAlign w:val="bottom"/>
            <w:hideMark/>
          </w:tcPr>
          <w:p w14:paraId="76C16FCF" w14:textId="77777777" w:rsidR="00BA4391" w:rsidRPr="00BA4391" w:rsidRDefault="00BA4391" w:rsidP="00BA4391">
            <w:pPr>
              <w:spacing w:after="0" w:line="240" w:lineRule="auto"/>
              <w:jc w:val="right"/>
              <w:rPr>
                <w:rFonts w:ascii="Times New Roman" w:hAnsi="Times New Roman"/>
              </w:rPr>
            </w:pPr>
          </w:p>
        </w:tc>
      </w:tr>
      <w:tr w:rsidR="00BA4391" w:rsidRPr="00BA4391" w14:paraId="76C16FD7" w14:textId="77777777" w:rsidTr="004C7C00">
        <w:trPr>
          <w:trHeight w:val="225"/>
        </w:trPr>
        <w:tc>
          <w:tcPr>
            <w:tcW w:w="3547" w:type="dxa"/>
            <w:tcBorders>
              <w:top w:val="nil"/>
              <w:left w:val="nil"/>
              <w:bottom w:val="nil"/>
              <w:right w:val="nil"/>
            </w:tcBorders>
            <w:shd w:val="clear" w:color="auto" w:fill="auto"/>
            <w:noWrap/>
            <w:vAlign w:val="bottom"/>
            <w:hideMark/>
          </w:tcPr>
          <w:p w14:paraId="76C16FD1" w14:textId="77777777" w:rsidR="00BA4391" w:rsidRPr="00BA4391" w:rsidRDefault="00BA4391" w:rsidP="00BA4391">
            <w:pPr>
              <w:spacing w:after="0" w:line="240" w:lineRule="auto"/>
              <w:ind w:firstLineChars="100" w:firstLine="160"/>
              <w:jc w:val="left"/>
              <w:rPr>
                <w:rFonts w:ascii="Arial" w:hAnsi="Arial" w:cs="Arial"/>
                <w:sz w:val="16"/>
                <w:szCs w:val="16"/>
              </w:rPr>
            </w:pPr>
            <w:r w:rsidRPr="00BA4391">
              <w:rPr>
                <w:rFonts w:ascii="Arial" w:hAnsi="Arial" w:cs="Arial"/>
                <w:sz w:val="16"/>
                <w:szCs w:val="16"/>
              </w:rPr>
              <w:t>Employee benefits</w:t>
            </w:r>
          </w:p>
        </w:tc>
        <w:tc>
          <w:tcPr>
            <w:tcW w:w="949" w:type="dxa"/>
            <w:tcBorders>
              <w:top w:val="nil"/>
              <w:left w:val="nil"/>
              <w:bottom w:val="nil"/>
              <w:right w:val="nil"/>
            </w:tcBorders>
            <w:shd w:val="clear" w:color="auto" w:fill="auto"/>
            <w:noWrap/>
            <w:vAlign w:val="bottom"/>
            <w:hideMark/>
          </w:tcPr>
          <w:p w14:paraId="76C16FD2"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68,925 </w:t>
            </w:r>
          </w:p>
        </w:tc>
        <w:tc>
          <w:tcPr>
            <w:tcW w:w="840" w:type="dxa"/>
            <w:tcBorders>
              <w:top w:val="nil"/>
              <w:left w:val="nil"/>
              <w:bottom w:val="nil"/>
              <w:right w:val="nil"/>
            </w:tcBorders>
            <w:shd w:val="clear" w:color="000000" w:fill="E6E6E6"/>
            <w:noWrap/>
            <w:vAlign w:val="bottom"/>
            <w:hideMark/>
          </w:tcPr>
          <w:p w14:paraId="76C16FD3"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70,188 </w:t>
            </w:r>
          </w:p>
        </w:tc>
        <w:tc>
          <w:tcPr>
            <w:tcW w:w="841" w:type="dxa"/>
            <w:tcBorders>
              <w:top w:val="nil"/>
              <w:left w:val="nil"/>
              <w:bottom w:val="nil"/>
              <w:right w:val="nil"/>
            </w:tcBorders>
            <w:shd w:val="clear" w:color="auto" w:fill="auto"/>
            <w:noWrap/>
            <w:vAlign w:val="bottom"/>
            <w:hideMark/>
          </w:tcPr>
          <w:p w14:paraId="76C16FD4"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71,991 </w:t>
            </w:r>
          </w:p>
        </w:tc>
        <w:tc>
          <w:tcPr>
            <w:tcW w:w="841" w:type="dxa"/>
            <w:tcBorders>
              <w:top w:val="nil"/>
              <w:left w:val="nil"/>
              <w:bottom w:val="nil"/>
              <w:right w:val="nil"/>
            </w:tcBorders>
            <w:shd w:val="clear" w:color="auto" w:fill="auto"/>
            <w:noWrap/>
            <w:vAlign w:val="bottom"/>
            <w:hideMark/>
          </w:tcPr>
          <w:p w14:paraId="76C16FD5"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71,387 </w:t>
            </w:r>
          </w:p>
        </w:tc>
        <w:tc>
          <w:tcPr>
            <w:tcW w:w="841" w:type="dxa"/>
            <w:tcBorders>
              <w:top w:val="nil"/>
              <w:left w:val="nil"/>
              <w:bottom w:val="nil"/>
              <w:right w:val="nil"/>
            </w:tcBorders>
            <w:shd w:val="clear" w:color="auto" w:fill="auto"/>
            <w:noWrap/>
            <w:vAlign w:val="bottom"/>
            <w:hideMark/>
          </w:tcPr>
          <w:p w14:paraId="76C16FD6"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73,610 </w:t>
            </w:r>
          </w:p>
        </w:tc>
      </w:tr>
      <w:tr w:rsidR="00BA4391" w:rsidRPr="00BA4391" w14:paraId="76C16FDE" w14:textId="77777777" w:rsidTr="004C7C00">
        <w:trPr>
          <w:trHeight w:val="225"/>
        </w:trPr>
        <w:tc>
          <w:tcPr>
            <w:tcW w:w="3547" w:type="dxa"/>
            <w:tcBorders>
              <w:top w:val="nil"/>
              <w:left w:val="nil"/>
              <w:bottom w:val="nil"/>
              <w:right w:val="nil"/>
            </w:tcBorders>
            <w:shd w:val="clear" w:color="auto" w:fill="auto"/>
            <w:noWrap/>
            <w:vAlign w:val="bottom"/>
            <w:hideMark/>
          </w:tcPr>
          <w:p w14:paraId="76C16FD8" w14:textId="77777777" w:rsidR="00BA4391" w:rsidRPr="00BA4391" w:rsidRDefault="00BA4391" w:rsidP="00BA4391">
            <w:pPr>
              <w:spacing w:after="0" w:line="240" w:lineRule="auto"/>
              <w:ind w:firstLineChars="100" w:firstLine="160"/>
              <w:jc w:val="left"/>
              <w:rPr>
                <w:rFonts w:ascii="Arial" w:hAnsi="Arial" w:cs="Arial"/>
                <w:sz w:val="16"/>
                <w:szCs w:val="16"/>
              </w:rPr>
            </w:pPr>
            <w:r w:rsidRPr="00BA4391">
              <w:rPr>
                <w:rFonts w:ascii="Arial" w:hAnsi="Arial" w:cs="Arial"/>
                <w:sz w:val="16"/>
                <w:szCs w:val="16"/>
              </w:rPr>
              <w:t>Suppliers</w:t>
            </w:r>
          </w:p>
        </w:tc>
        <w:tc>
          <w:tcPr>
            <w:tcW w:w="949" w:type="dxa"/>
            <w:tcBorders>
              <w:top w:val="nil"/>
              <w:left w:val="nil"/>
              <w:bottom w:val="nil"/>
              <w:right w:val="nil"/>
            </w:tcBorders>
            <w:shd w:val="clear" w:color="auto" w:fill="auto"/>
            <w:noWrap/>
            <w:vAlign w:val="bottom"/>
            <w:hideMark/>
          </w:tcPr>
          <w:p w14:paraId="76C16FD9"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34,630 </w:t>
            </w:r>
          </w:p>
        </w:tc>
        <w:tc>
          <w:tcPr>
            <w:tcW w:w="840" w:type="dxa"/>
            <w:tcBorders>
              <w:top w:val="nil"/>
              <w:left w:val="nil"/>
              <w:bottom w:val="nil"/>
              <w:right w:val="nil"/>
            </w:tcBorders>
            <w:shd w:val="clear" w:color="000000" w:fill="E6E6E6"/>
            <w:noWrap/>
            <w:vAlign w:val="bottom"/>
            <w:hideMark/>
          </w:tcPr>
          <w:p w14:paraId="76C16FDA"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34,982 </w:t>
            </w:r>
          </w:p>
        </w:tc>
        <w:tc>
          <w:tcPr>
            <w:tcW w:w="841" w:type="dxa"/>
            <w:tcBorders>
              <w:top w:val="nil"/>
              <w:left w:val="nil"/>
              <w:bottom w:val="nil"/>
              <w:right w:val="nil"/>
            </w:tcBorders>
            <w:shd w:val="clear" w:color="auto" w:fill="auto"/>
            <w:noWrap/>
            <w:vAlign w:val="bottom"/>
            <w:hideMark/>
          </w:tcPr>
          <w:p w14:paraId="76C16FDB"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34,975 </w:t>
            </w:r>
          </w:p>
        </w:tc>
        <w:tc>
          <w:tcPr>
            <w:tcW w:w="841" w:type="dxa"/>
            <w:tcBorders>
              <w:top w:val="nil"/>
              <w:left w:val="nil"/>
              <w:bottom w:val="nil"/>
              <w:right w:val="nil"/>
            </w:tcBorders>
            <w:shd w:val="clear" w:color="auto" w:fill="auto"/>
            <w:noWrap/>
            <w:vAlign w:val="bottom"/>
            <w:hideMark/>
          </w:tcPr>
          <w:p w14:paraId="76C16FDC"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34,980 </w:t>
            </w:r>
          </w:p>
        </w:tc>
        <w:tc>
          <w:tcPr>
            <w:tcW w:w="841" w:type="dxa"/>
            <w:tcBorders>
              <w:top w:val="nil"/>
              <w:left w:val="nil"/>
              <w:bottom w:val="nil"/>
              <w:right w:val="nil"/>
            </w:tcBorders>
            <w:shd w:val="clear" w:color="auto" w:fill="auto"/>
            <w:noWrap/>
            <w:vAlign w:val="bottom"/>
            <w:hideMark/>
          </w:tcPr>
          <w:p w14:paraId="76C16FDD"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34,970 </w:t>
            </w:r>
          </w:p>
        </w:tc>
      </w:tr>
      <w:tr w:rsidR="00BA4391" w:rsidRPr="00BA4391" w14:paraId="76C16FE5" w14:textId="77777777" w:rsidTr="004C7C00">
        <w:trPr>
          <w:trHeight w:val="225"/>
        </w:trPr>
        <w:tc>
          <w:tcPr>
            <w:tcW w:w="3547" w:type="dxa"/>
            <w:tcBorders>
              <w:top w:val="nil"/>
              <w:left w:val="nil"/>
              <w:bottom w:val="nil"/>
              <w:right w:val="nil"/>
            </w:tcBorders>
            <w:shd w:val="clear" w:color="auto" w:fill="auto"/>
            <w:noWrap/>
            <w:vAlign w:val="bottom"/>
            <w:hideMark/>
          </w:tcPr>
          <w:p w14:paraId="76C16FDF" w14:textId="77777777" w:rsidR="00BA4391" w:rsidRPr="00BA4391" w:rsidRDefault="00BA4391" w:rsidP="00BA4391">
            <w:pPr>
              <w:spacing w:after="0" w:line="240" w:lineRule="auto"/>
              <w:ind w:firstLineChars="100" w:firstLine="160"/>
              <w:jc w:val="left"/>
              <w:rPr>
                <w:rFonts w:ascii="Arial" w:hAnsi="Arial" w:cs="Arial"/>
                <w:sz w:val="16"/>
                <w:szCs w:val="16"/>
              </w:rPr>
            </w:pPr>
            <w:r w:rsidRPr="00BA4391">
              <w:rPr>
                <w:rFonts w:ascii="Arial" w:hAnsi="Arial" w:cs="Arial"/>
                <w:sz w:val="16"/>
                <w:szCs w:val="16"/>
              </w:rPr>
              <w:t>Depreciation and amortisation</w:t>
            </w:r>
          </w:p>
        </w:tc>
        <w:tc>
          <w:tcPr>
            <w:tcW w:w="949" w:type="dxa"/>
            <w:tcBorders>
              <w:top w:val="nil"/>
              <w:left w:val="nil"/>
              <w:bottom w:val="nil"/>
              <w:right w:val="nil"/>
            </w:tcBorders>
            <w:shd w:val="clear" w:color="auto" w:fill="auto"/>
            <w:noWrap/>
            <w:vAlign w:val="bottom"/>
            <w:hideMark/>
          </w:tcPr>
          <w:p w14:paraId="76C16FE0"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5,041 </w:t>
            </w:r>
          </w:p>
        </w:tc>
        <w:tc>
          <w:tcPr>
            <w:tcW w:w="840" w:type="dxa"/>
            <w:tcBorders>
              <w:top w:val="nil"/>
              <w:left w:val="nil"/>
              <w:bottom w:val="nil"/>
              <w:right w:val="nil"/>
            </w:tcBorders>
            <w:shd w:val="clear" w:color="000000" w:fill="E6E6E6"/>
            <w:noWrap/>
            <w:vAlign w:val="bottom"/>
            <w:hideMark/>
          </w:tcPr>
          <w:p w14:paraId="76C16FE1"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4,873 </w:t>
            </w:r>
          </w:p>
        </w:tc>
        <w:tc>
          <w:tcPr>
            <w:tcW w:w="841" w:type="dxa"/>
            <w:tcBorders>
              <w:top w:val="nil"/>
              <w:left w:val="nil"/>
              <w:bottom w:val="nil"/>
              <w:right w:val="nil"/>
            </w:tcBorders>
            <w:shd w:val="clear" w:color="auto" w:fill="auto"/>
            <w:noWrap/>
            <w:vAlign w:val="bottom"/>
            <w:hideMark/>
          </w:tcPr>
          <w:p w14:paraId="76C16FE2"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4,873 </w:t>
            </w:r>
          </w:p>
        </w:tc>
        <w:tc>
          <w:tcPr>
            <w:tcW w:w="841" w:type="dxa"/>
            <w:tcBorders>
              <w:top w:val="nil"/>
              <w:left w:val="nil"/>
              <w:bottom w:val="nil"/>
              <w:right w:val="nil"/>
            </w:tcBorders>
            <w:shd w:val="clear" w:color="auto" w:fill="auto"/>
            <w:noWrap/>
            <w:vAlign w:val="bottom"/>
            <w:hideMark/>
          </w:tcPr>
          <w:p w14:paraId="76C16FE3"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4,873 </w:t>
            </w:r>
          </w:p>
        </w:tc>
        <w:tc>
          <w:tcPr>
            <w:tcW w:w="841" w:type="dxa"/>
            <w:tcBorders>
              <w:top w:val="nil"/>
              <w:left w:val="nil"/>
              <w:bottom w:val="nil"/>
              <w:right w:val="nil"/>
            </w:tcBorders>
            <w:shd w:val="clear" w:color="auto" w:fill="auto"/>
            <w:noWrap/>
            <w:vAlign w:val="bottom"/>
            <w:hideMark/>
          </w:tcPr>
          <w:p w14:paraId="76C16FE4"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4,873 </w:t>
            </w:r>
          </w:p>
        </w:tc>
      </w:tr>
      <w:tr w:rsidR="00BA4391" w:rsidRPr="00BA4391" w14:paraId="76C16FEC" w14:textId="77777777" w:rsidTr="004C7C00">
        <w:trPr>
          <w:trHeight w:val="225"/>
        </w:trPr>
        <w:tc>
          <w:tcPr>
            <w:tcW w:w="3547" w:type="dxa"/>
            <w:tcBorders>
              <w:top w:val="nil"/>
              <w:left w:val="nil"/>
              <w:bottom w:val="nil"/>
              <w:right w:val="nil"/>
            </w:tcBorders>
            <w:shd w:val="clear" w:color="auto" w:fill="auto"/>
            <w:noWrap/>
            <w:vAlign w:val="bottom"/>
            <w:hideMark/>
          </w:tcPr>
          <w:p w14:paraId="76C16FE6" w14:textId="77777777" w:rsidR="00BA4391" w:rsidRPr="00BA4391" w:rsidRDefault="00BA4391" w:rsidP="00BA4391">
            <w:pPr>
              <w:spacing w:after="0" w:line="240" w:lineRule="auto"/>
              <w:ind w:firstLineChars="100" w:firstLine="160"/>
              <w:jc w:val="left"/>
              <w:rPr>
                <w:rFonts w:ascii="Arial" w:hAnsi="Arial" w:cs="Arial"/>
                <w:sz w:val="16"/>
                <w:szCs w:val="16"/>
              </w:rPr>
            </w:pPr>
            <w:r w:rsidRPr="00BA4391">
              <w:rPr>
                <w:rFonts w:ascii="Arial" w:hAnsi="Arial" w:cs="Arial"/>
                <w:sz w:val="16"/>
                <w:szCs w:val="16"/>
              </w:rPr>
              <w:t>Claims Payments</w:t>
            </w:r>
          </w:p>
        </w:tc>
        <w:tc>
          <w:tcPr>
            <w:tcW w:w="949" w:type="dxa"/>
            <w:tcBorders>
              <w:top w:val="nil"/>
              <w:left w:val="nil"/>
              <w:bottom w:val="nil"/>
              <w:right w:val="nil"/>
            </w:tcBorders>
            <w:shd w:val="clear" w:color="auto" w:fill="auto"/>
            <w:noWrap/>
            <w:vAlign w:val="bottom"/>
            <w:hideMark/>
          </w:tcPr>
          <w:p w14:paraId="76C16FE7"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253,879 </w:t>
            </w:r>
          </w:p>
        </w:tc>
        <w:tc>
          <w:tcPr>
            <w:tcW w:w="840" w:type="dxa"/>
            <w:tcBorders>
              <w:top w:val="nil"/>
              <w:left w:val="nil"/>
              <w:bottom w:val="nil"/>
              <w:right w:val="nil"/>
            </w:tcBorders>
            <w:shd w:val="clear" w:color="000000" w:fill="E6E6E6"/>
            <w:noWrap/>
            <w:vAlign w:val="bottom"/>
            <w:hideMark/>
          </w:tcPr>
          <w:p w14:paraId="76C16FE8"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211,771 </w:t>
            </w:r>
          </w:p>
        </w:tc>
        <w:tc>
          <w:tcPr>
            <w:tcW w:w="841" w:type="dxa"/>
            <w:tcBorders>
              <w:top w:val="nil"/>
              <w:left w:val="nil"/>
              <w:bottom w:val="nil"/>
              <w:right w:val="nil"/>
            </w:tcBorders>
            <w:shd w:val="clear" w:color="auto" w:fill="auto"/>
            <w:noWrap/>
            <w:vAlign w:val="bottom"/>
            <w:hideMark/>
          </w:tcPr>
          <w:p w14:paraId="76C16FE9"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213,639 </w:t>
            </w:r>
          </w:p>
        </w:tc>
        <w:tc>
          <w:tcPr>
            <w:tcW w:w="841" w:type="dxa"/>
            <w:tcBorders>
              <w:top w:val="nil"/>
              <w:left w:val="nil"/>
              <w:bottom w:val="nil"/>
              <w:right w:val="nil"/>
            </w:tcBorders>
            <w:shd w:val="clear" w:color="auto" w:fill="auto"/>
            <w:noWrap/>
            <w:vAlign w:val="bottom"/>
            <w:hideMark/>
          </w:tcPr>
          <w:p w14:paraId="76C16FEA"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213,774 </w:t>
            </w:r>
          </w:p>
        </w:tc>
        <w:tc>
          <w:tcPr>
            <w:tcW w:w="841" w:type="dxa"/>
            <w:tcBorders>
              <w:top w:val="nil"/>
              <w:left w:val="nil"/>
              <w:bottom w:val="nil"/>
              <w:right w:val="nil"/>
            </w:tcBorders>
            <w:shd w:val="clear" w:color="auto" w:fill="auto"/>
            <w:noWrap/>
            <w:vAlign w:val="bottom"/>
            <w:hideMark/>
          </w:tcPr>
          <w:p w14:paraId="76C16FEB"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215,508 </w:t>
            </w:r>
          </w:p>
        </w:tc>
      </w:tr>
      <w:tr w:rsidR="00BA4391" w:rsidRPr="00BA4391" w14:paraId="76C16FF3" w14:textId="77777777" w:rsidTr="004C7C00">
        <w:trPr>
          <w:trHeight w:val="225"/>
        </w:trPr>
        <w:tc>
          <w:tcPr>
            <w:tcW w:w="3547" w:type="dxa"/>
            <w:tcBorders>
              <w:top w:val="nil"/>
              <w:left w:val="nil"/>
              <w:bottom w:val="nil"/>
              <w:right w:val="nil"/>
            </w:tcBorders>
            <w:shd w:val="clear" w:color="auto" w:fill="auto"/>
            <w:noWrap/>
            <w:vAlign w:val="bottom"/>
            <w:hideMark/>
          </w:tcPr>
          <w:p w14:paraId="76C16FED" w14:textId="77777777" w:rsidR="00BA4391" w:rsidRPr="00BA4391" w:rsidRDefault="00BA4391" w:rsidP="00BA4391">
            <w:pPr>
              <w:spacing w:after="0" w:line="240" w:lineRule="auto"/>
              <w:ind w:firstLineChars="100" w:firstLine="160"/>
              <w:jc w:val="left"/>
              <w:rPr>
                <w:rFonts w:ascii="Arial" w:hAnsi="Arial" w:cs="Arial"/>
                <w:sz w:val="16"/>
                <w:szCs w:val="16"/>
              </w:rPr>
            </w:pPr>
            <w:r w:rsidRPr="00BA4391">
              <w:rPr>
                <w:rFonts w:ascii="Arial" w:hAnsi="Arial" w:cs="Arial"/>
                <w:sz w:val="16"/>
                <w:szCs w:val="16"/>
              </w:rPr>
              <w:t>Claims - Movement in liabilities</w:t>
            </w:r>
          </w:p>
        </w:tc>
        <w:tc>
          <w:tcPr>
            <w:tcW w:w="949" w:type="dxa"/>
            <w:tcBorders>
              <w:top w:val="nil"/>
              <w:left w:val="nil"/>
              <w:bottom w:val="nil"/>
              <w:right w:val="nil"/>
            </w:tcBorders>
            <w:shd w:val="clear" w:color="auto" w:fill="auto"/>
            <w:noWrap/>
            <w:vAlign w:val="bottom"/>
            <w:hideMark/>
          </w:tcPr>
          <w:p w14:paraId="76C16FEE"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(186,205)</w:t>
            </w:r>
          </w:p>
        </w:tc>
        <w:tc>
          <w:tcPr>
            <w:tcW w:w="840" w:type="dxa"/>
            <w:tcBorders>
              <w:top w:val="nil"/>
              <w:left w:val="nil"/>
              <w:bottom w:val="nil"/>
              <w:right w:val="nil"/>
            </w:tcBorders>
            <w:shd w:val="clear" w:color="000000" w:fill="E6E6E6"/>
            <w:noWrap/>
            <w:vAlign w:val="bottom"/>
            <w:hideMark/>
          </w:tcPr>
          <w:p w14:paraId="76C16FEF"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(54,375)</w:t>
            </w:r>
          </w:p>
        </w:tc>
        <w:tc>
          <w:tcPr>
            <w:tcW w:w="841" w:type="dxa"/>
            <w:tcBorders>
              <w:top w:val="nil"/>
              <w:left w:val="nil"/>
              <w:bottom w:val="nil"/>
              <w:right w:val="nil"/>
            </w:tcBorders>
            <w:shd w:val="clear" w:color="auto" w:fill="auto"/>
            <w:noWrap/>
            <w:vAlign w:val="bottom"/>
            <w:hideMark/>
          </w:tcPr>
          <w:p w14:paraId="76C16FF0"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(47,859)</w:t>
            </w:r>
          </w:p>
        </w:tc>
        <w:tc>
          <w:tcPr>
            <w:tcW w:w="841" w:type="dxa"/>
            <w:tcBorders>
              <w:top w:val="nil"/>
              <w:left w:val="nil"/>
              <w:bottom w:val="nil"/>
              <w:right w:val="nil"/>
            </w:tcBorders>
            <w:shd w:val="clear" w:color="auto" w:fill="auto"/>
            <w:noWrap/>
            <w:vAlign w:val="bottom"/>
            <w:hideMark/>
          </w:tcPr>
          <w:p w14:paraId="76C16FF1"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(37,728)</w:t>
            </w:r>
          </w:p>
        </w:tc>
        <w:tc>
          <w:tcPr>
            <w:tcW w:w="841" w:type="dxa"/>
            <w:tcBorders>
              <w:top w:val="nil"/>
              <w:left w:val="nil"/>
              <w:bottom w:val="nil"/>
              <w:right w:val="nil"/>
            </w:tcBorders>
            <w:shd w:val="clear" w:color="auto" w:fill="auto"/>
            <w:noWrap/>
            <w:vAlign w:val="bottom"/>
            <w:hideMark/>
          </w:tcPr>
          <w:p w14:paraId="76C16FF2"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(28,948)</w:t>
            </w:r>
          </w:p>
        </w:tc>
      </w:tr>
      <w:tr w:rsidR="00BA4391" w:rsidRPr="00BA4391" w14:paraId="76C16FFA" w14:textId="77777777" w:rsidTr="004C7C00">
        <w:trPr>
          <w:trHeight w:val="225"/>
        </w:trPr>
        <w:tc>
          <w:tcPr>
            <w:tcW w:w="3547" w:type="dxa"/>
            <w:tcBorders>
              <w:top w:val="nil"/>
              <w:left w:val="nil"/>
              <w:bottom w:val="nil"/>
              <w:right w:val="nil"/>
            </w:tcBorders>
            <w:shd w:val="clear" w:color="auto" w:fill="auto"/>
            <w:noWrap/>
            <w:hideMark/>
          </w:tcPr>
          <w:p w14:paraId="76C16FF4" w14:textId="77777777" w:rsidR="00BA4391" w:rsidRPr="00BA4391" w:rsidRDefault="00BA4391" w:rsidP="00BA4391">
            <w:pPr>
              <w:spacing w:after="0" w:line="240" w:lineRule="auto"/>
              <w:jc w:val="left"/>
              <w:rPr>
                <w:rFonts w:ascii="Arial" w:hAnsi="Arial" w:cs="Arial"/>
                <w:b/>
                <w:bCs/>
                <w:sz w:val="16"/>
                <w:szCs w:val="16"/>
              </w:rPr>
            </w:pPr>
            <w:r w:rsidRPr="00BA4391">
              <w:rPr>
                <w:rFonts w:ascii="Arial" w:hAnsi="Arial" w:cs="Arial"/>
                <w:b/>
                <w:bCs/>
                <w:sz w:val="16"/>
                <w:szCs w:val="16"/>
              </w:rPr>
              <w:t>Total expenses</w:t>
            </w:r>
          </w:p>
        </w:tc>
        <w:tc>
          <w:tcPr>
            <w:tcW w:w="949" w:type="dxa"/>
            <w:tcBorders>
              <w:top w:val="single" w:sz="4" w:space="0" w:color="auto"/>
              <w:left w:val="nil"/>
              <w:bottom w:val="single" w:sz="4" w:space="0" w:color="auto"/>
              <w:right w:val="nil"/>
            </w:tcBorders>
            <w:shd w:val="clear" w:color="auto" w:fill="auto"/>
            <w:noWrap/>
            <w:hideMark/>
          </w:tcPr>
          <w:p w14:paraId="76C16FF5"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176,270 </w:t>
            </w:r>
          </w:p>
        </w:tc>
        <w:tc>
          <w:tcPr>
            <w:tcW w:w="840" w:type="dxa"/>
            <w:tcBorders>
              <w:top w:val="single" w:sz="4" w:space="0" w:color="auto"/>
              <w:left w:val="nil"/>
              <w:bottom w:val="single" w:sz="4" w:space="0" w:color="auto"/>
              <w:right w:val="nil"/>
            </w:tcBorders>
            <w:shd w:val="clear" w:color="000000" w:fill="E6E6E6"/>
            <w:noWrap/>
            <w:hideMark/>
          </w:tcPr>
          <w:p w14:paraId="76C16FF6"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267,439 </w:t>
            </w:r>
          </w:p>
        </w:tc>
        <w:tc>
          <w:tcPr>
            <w:tcW w:w="841" w:type="dxa"/>
            <w:tcBorders>
              <w:top w:val="single" w:sz="4" w:space="0" w:color="auto"/>
              <w:left w:val="nil"/>
              <w:bottom w:val="single" w:sz="4" w:space="0" w:color="auto"/>
              <w:right w:val="nil"/>
            </w:tcBorders>
            <w:shd w:val="clear" w:color="auto" w:fill="auto"/>
            <w:noWrap/>
            <w:hideMark/>
          </w:tcPr>
          <w:p w14:paraId="76C16FF7"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277,619 </w:t>
            </w:r>
          </w:p>
        </w:tc>
        <w:tc>
          <w:tcPr>
            <w:tcW w:w="841" w:type="dxa"/>
            <w:tcBorders>
              <w:top w:val="single" w:sz="4" w:space="0" w:color="auto"/>
              <w:left w:val="nil"/>
              <w:bottom w:val="single" w:sz="4" w:space="0" w:color="auto"/>
              <w:right w:val="nil"/>
            </w:tcBorders>
            <w:shd w:val="clear" w:color="auto" w:fill="auto"/>
            <w:noWrap/>
            <w:hideMark/>
          </w:tcPr>
          <w:p w14:paraId="76C16FF8"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287,286 </w:t>
            </w:r>
          </w:p>
        </w:tc>
        <w:tc>
          <w:tcPr>
            <w:tcW w:w="841" w:type="dxa"/>
            <w:tcBorders>
              <w:top w:val="single" w:sz="4" w:space="0" w:color="auto"/>
              <w:left w:val="nil"/>
              <w:bottom w:val="single" w:sz="4" w:space="0" w:color="auto"/>
              <w:right w:val="nil"/>
            </w:tcBorders>
            <w:shd w:val="clear" w:color="auto" w:fill="auto"/>
            <w:noWrap/>
            <w:hideMark/>
          </w:tcPr>
          <w:p w14:paraId="76C16FF9"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300,013 </w:t>
            </w:r>
          </w:p>
        </w:tc>
      </w:tr>
      <w:tr w:rsidR="00BA4391" w:rsidRPr="00BA4391" w14:paraId="76C17001" w14:textId="77777777" w:rsidTr="004C7C00">
        <w:trPr>
          <w:trHeight w:val="225"/>
        </w:trPr>
        <w:tc>
          <w:tcPr>
            <w:tcW w:w="3547" w:type="dxa"/>
            <w:tcBorders>
              <w:top w:val="nil"/>
              <w:left w:val="nil"/>
              <w:bottom w:val="nil"/>
              <w:right w:val="nil"/>
            </w:tcBorders>
            <w:shd w:val="clear" w:color="auto" w:fill="auto"/>
            <w:noWrap/>
            <w:vAlign w:val="bottom"/>
            <w:hideMark/>
          </w:tcPr>
          <w:p w14:paraId="76C16FFB" w14:textId="77777777" w:rsidR="00BA4391" w:rsidRPr="00BA4391" w:rsidRDefault="00BA4391" w:rsidP="00BA4391">
            <w:pPr>
              <w:spacing w:after="0" w:line="240" w:lineRule="auto"/>
              <w:jc w:val="left"/>
              <w:rPr>
                <w:rFonts w:ascii="Arial" w:hAnsi="Arial" w:cs="Arial"/>
                <w:b/>
                <w:bCs/>
                <w:sz w:val="16"/>
                <w:szCs w:val="16"/>
              </w:rPr>
            </w:pPr>
            <w:r w:rsidRPr="00BA4391">
              <w:rPr>
                <w:rFonts w:ascii="Arial" w:hAnsi="Arial" w:cs="Arial"/>
                <w:b/>
                <w:bCs/>
                <w:sz w:val="16"/>
                <w:szCs w:val="16"/>
              </w:rPr>
              <w:t xml:space="preserve">LESS: </w:t>
            </w:r>
          </w:p>
        </w:tc>
        <w:tc>
          <w:tcPr>
            <w:tcW w:w="949" w:type="dxa"/>
            <w:tcBorders>
              <w:top w:val="nil"/>
              <w:left w:val="nil"/>
              <w:bottom w:val="nil"/>
              <w:right w:val="nil"/>
            </w:tcBorders>
            <w:shd w:val="clear" w:color="auto" w:fill="auto"/>
            <w:noWrap/>
            <w:vAlign w:val="bottom"/>
            <w:hideMark/>
          </w:tcPr>
          <w:p w14:paraId="76C16FFC" w14:textId="77777777" w:rsidR="00BA4391" w:rsidRPr="00BA4391" w:rsidRDefault="00BA4391" w:rsidP="00BA4391">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000000" w:fill="E6E6E6"/>
            <w:noWrap/>
            <w:vAlign w:val="bottom"/>
            <w:hideMark/>
          </w:tcPr>
          <w:p w14:paraId="76C16FFD"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w:t>
            </w:r>
          </w:p>
        </w:tc>
        <w:tc>
          <w:tcPr>
            <w:tcW w:w="841" w:type="dxa"/>
            <w:tcBorders>
              <w:top w:val="nil"/>
              <w:left w:val="nil"/>
              <w:bottom w:val="nil"/>
              <w:right w:val="nil"/>
            </w:tcBorders>
            <w:shd w:val="clear" w:color="auto" w:fill="auto"/>
            <w:noWrap/>
            <w:vAlign w:val="bottom"/>
            <w:hideMark/>
          </w:tcPr>
          <w:p w14:paraId="76C16FFE" w14:textId="77777777" w:rsidR="00BA4391" w:rsidRPr="00BA4391" w:rsidRDefault="00BA4391" w:rsidP="00BA4391">
            <w:pPr>
              <w:spacing w:after="0" w:line="240" w:lineRule="auto"/>
              <w:jc w:val="right"/>
              <w:rPr>
                <w:rFonts w:ascii="Arial" w:hAnsi="Arial" w:cs="Arial"/>
                <w:b/>
                <w:bCs/>
                <w:sz w:val="16"/>
                <w:szCs w:val="16"/>
              </w:rPr>
            </w:pPr>
          </w:p>
        </w:tc>
        <w:tc>
          <w:tcPr>
            <w:tcW w:w="841" w:type="dxa"/>
            <w:tcBorders>
              <w:top w:val="nil"/>
              <w:left w:val="nil"/>
              <w:bottom w:val="nil"/>
              <w:right w:val="nil"/>
            </w:tcBorders>
            <w:shd w:val="clear" w:color="auto" w:fill="auto"/>
            <w:noWrap/>
            <w:vAlign w:val="bottom"/>
            <w:hideMark/>
          </w:tcPr>
          <w:p w14:paraId="76C16FFF" w14:textId="77777777" w:rsidR="00BA4391" w:rsidRPr="00BA4391" w:rsidRDefault="00BA4391" w:rsidP="00BA4391">
            <w:pPr>
              <w:spacing w:after="0" w:line="240" w:lineRule="auto"/>
              <w:jc w:val="right"/>
              <w:rPr>
                <w:rFonts w:ascii="Times New Roman" w:hAnsi="Times New Roman"/>
              </w:rPr>
            </w:pPr>
          </w:p>
        </w:tc>
        <w:tc>
          <w:tcPr>
            <w:tcW w:w="841" w:type="dxa"/>
            <w:tcBorders>
              <w:top w:val="nil"/>
              <w:left w:val="nil"/>
              <w:bottom w:val="nil"/>
              <w:right w:val="nil"/>
            </w:tcBorders>
            <w:shd w:val="clear" w:color="auto" w:fill="auto"/>
            <w:noWrap/>
            <w:vAlign w:val="bottom"/>
            <w:hideMark/>
          </w:tcPr>
          <w:p w14:paraId="76C17000" w14:textId="77777777" w:rsidR="00BA4391" w:rsidRPr="00BA4391" w:rsidRDefault="00BA4391" w:rsidP="00BA4391">
            <w:pPr>
              <w:spacing w:after="0" w:line="240" w:lineRule="auto"/>
              <w:jc w:val="right"/>
              <w:rPr>
                <w:rFonts w:ascii="Times New Roman" w:hAnsi="Times New Roman"/>
              </w:rPr>
            </w:pPr>
          </w:p>
        </w:tc>
      </w:tr>
      <w:tr w:rsidR="00BA4391" w:rsidRPr="00BA4391" w14:paraId="76C17008" w14:textId="77777777" w:rsidTr="004C7C00">
        <w:trPr>
          <w:trHeight w:val="225"/>
        </w:trPr>
        <w:tc>
          <w:tcPr>
            <w:tcW w:w="3547" w:type="dxa"/>
            <w:tcBorders>
              <w:top w:val="nil"/>
              <w:left w:val="nil"/>
              <w:bottom w:val="nil"/>
              <w:right w:val="nil"/>
            </w:tcBorders>
            <w:shd w:val="clear" w:color="auto" w:fill="auto"/>
            <w:noWrap/>
            <w:vAlign w:val="bottom"/>
            <w:hideMark/>
          </w:tcPr>
          <w:p w14:paraId="76C17002" w14:textId="77777777" w:rsidR="00BA4391" w:rsidRPr="00BA4391" w:rsidRDefault="00BA4391" w:rsidP="00BA4391">
            <w:pPr>
              <w:spacing w:after="0" w:line="240" w:lineRule="auto"/>
              <w:jc w:val="left"/>
              <w:rPr>
                <w:rFonts w:ascii="Arial" w:hAnsi="Arial" w:cs="Arial"/>
                <w:b/>
                <w:bCs/>
                <w:sz w:val="16"/>
                <w:szCs w:val="16"/>
              </w:rPr>
            </w:pPr>
            <w:r w:rsidRPr="00BA4391">
              <w:rPr>
                <w:rFonts w:ascii="Arial" w:hAnsi="Arial" w:cs="Arial"/>
                <w:b/>
                <w:bCs/>
                <w:sz w:val="16"/>
                <w:szCs w:val="16"/>
              </w:rPr>
              <w:t>OWN-SOURCE INCOME</w:t>
            </w:r>
          </w:p>
        </w:tc>
        <w:tc>
          <w:tcPr>
            <w:tcW w:w="949" w:type="dxa"/>
            <w:tcBorders>
              <w:top w:val="nil"/>
              <w:left w:val="nil"/>
              <w:bottom w:val="nil"/>
              <w:right w:val="nil"/>
            </w:tcBorders>
            <w:shd w:val="clear" w:color="auto" w:fill="auto"/>
            <w:noWrap/>
            <w:vAlign w:val="bottom"/>
            <w:hideMark/>
          </w:tcPr>
          <w:p w14:paraId="76C17003" w14:textId="77777777" w:rsidR="00BA4391" w:rsidRPr="00BA4391" w:rsidRDefault="00BA4391" w:rsidP="00BA4391">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000000" w:fill="E6E6E6"/>
            <w:noWrap/>
            <w:vAlign w:val="bottom"/>
            <w:hideMark/>
          </w:tcPr>
          <w:p w14:paraId="76C17004"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w:t>
            </w:r>
          </w:p>
        </w:tc>
        <w:tc>
          <w:tcPr>
            <w:tcW w:w="841" w:type="dxa"/>
            <w:tcBorders>
              <w:top w:val="nil"/>
              <w:left w:val="nil"/>
              <w:bottom w:val="nil"/>
              <w:right w:val="nil"/>
            </w:tcBorders>
            <w:shd w:val="clear" w:color="auto" w:fill="auto"/>
            <w:noWrap/>
            <w:vAlign w:val="bottom"/>
            <w:hideMark/>
          </w:tcPr>
          <w:p w14:paraId="76C17005" w14:textId="77777777" w:rsidR="00BA4391" w:rsidRPr="00BA4391" w:rsidRDefault="00BA4391" w:rsidP="00BA4391">
            <w:pPr>
              <w:spacing w:after="0" w:line="240" w:lineRule="auto"/>
              <w:jc w:val="right"/>
              <w:rPr>
                <w:rFonts w:ascii="Arial" w:hAnsi="Arial" w:cs="Arial"/>
                <w:b/>
                <w:bCs/>
                <w:sz w:val="16"/>
                <w:szCs w:val="16"/>
              </w:rPr>
            </w:pPr>
          </w:p>
        </w:tc>
        <w:tc>
          <w:tcPr>
            <w:tcW w:w="841" w:type="dxa"/>
            <w:tcBorders>
              <w:top w:val="nil"/>
              <w:left w:val="nil"/>
              <w:bottom w:val="nil"/>
              <w:right w:val="nil"/>
            </w:tcBorders>
            <w:shd w:val="clear" w:color="auto" w:fill="auto"/>
            <w:noWrap/>
            <w:vAlign w:val="bottom"/>
            <w:hideMark/>
          </w:tcPr>
          <w:p w14:paraId="76C17006" w14:textId="77777777" w:rsidR="00BA4391" w:rsidRPr="00BA4391" w:rsidRDefault="00BA4391" w:rsidP="00BA4391">
            <w:pPr>
              <w:spacing w:after="0" w:line="240" w:lineRule="auto"/>
              <w:jc w:val="right"/>
              <w:rPr>
                <w:rFonts w:ascii="Times New Roman" w:hAnsi="Times New Roman"/>
              </w:rPr>
            </w:pPr>
          </w:p>
        </w:tc>
        <w:tc>
          <w:tcPr>
            <w:tcW w:w="841" w:type="dxa"/>
            <w:tcBorders>
              <w:top w:val="nil"/>
              <w:left w:val="nil"/>
              <w:bottom w:val="nil"/>
              <w:right w:val="nil"/>
            </w:tcBorders>
            <w:shd w:val="clear" w:color="auto" w:fill="auto"/>
            <w:noWrap/>
            <w:vAlign w:val="bottom"/>
            <w:hideMark/>
          </w:tcPr>
          <w:p w14:paraId="76C17007" w14:textId="77777777" w:rsidR="00BA4391" w:rsidRPr="00BA4391" w:rsidRDefault="00BA4391" w:rsidP="00BA4391">
            <w:pPr>
              <w:spacing w:after="0" w:line="240" w:lineRule="auto"/>
              <w:jc w:val="right"/>
              <w:rPr>
                <w:rFonts w:ascii="Times New Roman" w:hAnsi="Times New Roman"/>
              </w:rPr>
            </w:pPr>
          </w:p>
        </w:tc>
      </w:tr>
      <w:tr w:rsidR="00BA4391" w:rsidRPr="00BA4391" w14:paraId="76C1700F" w14:textId="77777777" w:rsidTr="004C7C00">
        <w:trPr>
          <w:trHeight w:val="225"/>
        </w:trPr>
        <w:tc>
          <w:tcPr>
            <w:tcW w:w="3547" w:type="dxa"/>
            <w:tcBorders>
              <w:top w:val="nil"/>
              <w:left w:val="nil"/>
              <w:bottom w:val="nil"/>
              <w:right w:val="nil"/>
            </w:tcBorders>
            <w:shd w:val="clear" w:color="auto" w:fill="auto"/>
            <w:noWrap/>
            <w:vAlign w:val="bottom"/>
            <w:hideMark/>
          </w:tcPr>
          <w:p w14:paraId="76C17009" w14:textId="77777777" w:rsidR="00BA4391" w:rsidRPr="00BA4391" w:rsidRDefault="00BA4391" w:rsidP="00BA4391">
            <w:pPr>
              <w:spacing w:after="0" w:line="240" w:lineRule="auto"/>
              <w:jc w:val="left"/>
              <w:rPr>
                <w:rFonts w:ascii="Arial" w:hAnsi="Arial" w:cs="Arial"/>
                <w:b/>
                <w:bCs/>
                <w:sz w:val="16"/>
                <w:szCs w:val="16"/>
              </w:rPr>
            </w:pPr>
            <w:r w:rsidRPr="00BA4391">
              <w:rPr>
                <w:rFonts w:ascii="Arial" w:hAnsi="Arial" w:cs="Arial"/>
                <w:b/>
                <w:bCs/>
                <w:sz w:val="16"/>
                <w:szCs w:val="16"/>
              </w:rPr>
              <w:t>Own-source revenue</w:t>
            </w:r>
          </w:p>
        </w:tc>
        <w:tc>
          <w:tcPr>
            <w:tcW w:w="949" w:type="dxa"/>
            <w:tcBorders>
              <w:top w:val="nil"/>
              <w:left w:val="nil"/>
              <w:bottom w:val="nil"/>
              <w:right w:val="nil"/>
            </w:tcBorders>
            <w:shd w:val="clear" w:color="auto" w:fill="auto"/>
            <w:noWrap/>
            <w:vAlign w:val="bottom"/>
            <w:hideMark/>
          </w:tcPr>
          <w:p w14:paraId="76C1700A" w14:textId="77777777" w:rsidR="00BA4391" w:rsidRPr="00BA4391" w:rsidRDefault="00BA4391" w:rsidP="00BA4391">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000000" w:fill="E6E6E6"/>
            <w:noWrap/>
            <w:vAlign w:val="bottom"/>
            <w:hideMark/>
          </w:tcPr>
          <w:p w14:paraId="76C1700B"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w:t>
            </w:r>
          </w:p>
        </w:tc>
        <w:tc>
          <w:tcPr>
            <w:tcW w:w="841" w:type="dxa"/>
            <w:tcBorders>
              <w:top w:val="nil"/>
              <w:left w:val="nil"/>
              <w:bottom w:val="nil"/>
              <w:right w:val="nil"/>
            </w:tcBorders>
            <w:shd w:val="clear" w:color="auto" w:fill="auto"/>
            <w:noWrap/>
            <w:vAlign w:val="bottom"/>
            <w:hideMark/>
          </w:tcPr>
          <w:p w14:paraId="76C1700C" w14:textId="77777777" w:rsidR="00BA4391" w:rsidRPr="00BA4391" w:rsidRDefault="00BA4391" w:rsidP="00BA4391">
            <w:pPr>
              <w:spacing w:after="0" w:line="240" w:lineRule="auto"/>
              <w:jc w:val="right"/>
              <w:rPr>
                <w:rFonts w:ascii="Arial" w:hAnsi="Arial" w:cs="Arial"/>
                <w:b/>
                <w:bCs/>
                <w:sz w:val="16"/>
                <w:szCs w:val="16"/>
              </w:rPr>
            </w:pPr>
          </w:p>
        </w:tc>
        <w:tc>
          <w:tcPr>
            <w:tcW w:w="841" w:type="dxa"/>
            <w:tcBorders>
              <w:top w:val="nil"/>
              <w:left w:val="nil"/>
              <w:bottom w:val="nil"/>
              <w:right w:val="nil"/>
            </w:tcBorders>
            <w:shd w:val="clear" w:color="auto" w:fill="auto"/>
            <w:noWrap/>
            <w:vAlign w:val="bottom"/>
            <w:hideMark/>
          </w:tcPr>
          <w:p w14:paraId="76C1700D" w14:textId="77777777" w:rsidR="00BA4391" w:rsidRPr="00BA4391" w:rsidRDefault="00BA4391" w:rsidP="00BA4391">
            <w:pPr>
              <w:spacing w:after="0" w:line="240" w:lineRule="auto"/>
              <w:jc w:val="right"/>
              <w:rPr>
                <w:rFonts w:ascii="Times New Roman" w:hAnsi="Times New Roman"/>
              </w:rPr>
            </w:pPr>
          </w:p>
        </w:tc>
        <w:tc>
          <w:tcPr>
            <w:tcW w:w="841" w:type="dxa"/>
            <w:tcBorders>
              <w:top w:val="nil"/>
              <w:left w:val="nil"/>
              <w:bottom w:val="nil"/>
              <w:right w:val="nil"/>
            </w:tcBorders>
            <w:shd w:val="clear" w:color="auto" w:fill="auto"/>
            <w:noWrap/>
            <w:vAlign w:val="bottom"/>
            <w:hideMark/>
          </w:tcPr>
          <w:p w14:paraId="76C1700E" w14:textId="77777777" w:rsidR="00BA4391" w:rsidRPr="00BA4391" w:rsidRDefault="00BA4391" w:rsidP="00BA4391">
            <w:pPr>
              <w:spacing w:after="0" w:line="240" w:lineRule="auto"/>
              <w:jc w:val="right"/>
              <w:rPr>
                <w:rFonts w:ascii="Times New Roman" w:hAnsi="Times New Roman"/>
              </w:rPr>
            </w:pPr>
          </w:p>
        </w:tc>
      </w:tr>
      <w:tr w:rsidR="00BA4391" w:rsidRPr="00BA4391" w14:paraId="76C17016" w14:textId="77777777" w:rsidTr="000F02C2">
        <w:trPr>
          <w:trHeight w:val="123"/>
        </w:trPr>
        <w:tc>
          <w:tcPr>
            <w:tcW w:w="3547" w:type="dxa"/>
            <w:tcBorders>
              <w:top w:val="nil"/>
              <w:left w:val="nil"/>
              <w:bottom w:val="nil"/>
              <w:right w:val="nil"/>
            </w:tcBorders>
            <w:shd w:val="clear" w:color="auto" w:fill="auto"/>
            <w:vAlign w:val="bottom"/>
            <w:hideMark/>
          </w:tcPr>
          <w:p w14:paraId="76C17010" w14:textId="721133EE" w:rsidR="00BA4391" w:rsidRPr="00BA4391" w:rsidRDefault="00BA4391" w:rsidP="000F02C2">
            <w:pPr>
              <w:spacing w:after="0" w:line="240" w:lineRule="auto"/>
              <w:ind w:firstLineChars="100" w:firstLine="160"/>
              <w:jc w:val="left"/>
              <w:rPr>
                <w:rFonts w:ascii="Arial" w:hAnsi="Arial" w:cs="Arial"/>
                <w:sz w:val="16"/>
                <w:szCs w:val="16"/>
              </w:rPr>
            </w:pPr>
            <w:r w:rsidRPr="00BA4391">
              <w:rPr>
                <w:rFonts w:ascii="Arial" w:hAnsi="Arial" w:cs="Arial"/>
                <w:sz w:val="16"/>
                <w:szCs w:val="16"/>
              </w:rPr>
              <w:t>Sale of goods and rendering of services</w:t>
            </w:r>
          </w:p>
        </w:tc>
        <w:tc>
          <w:tcPr>
            <w:tcW w:w="949" w:type="dxa"/>
            <w:tcBorders>
              <w:top w:val="nil"/>
              <w:left w:val="nil"/>
              <w:bottom w:val="nil"/>
              <w:right w:val="nil"/>
            </w:tcBorders>
            <w:shd w:val="clear" w:color="auto" w:fill="auto"/>
            <w:noWrap/>
            <w:vAlign w:val="bottom"/>
            <w:hideMark/>
          </w:tcPr>
          <w:p w14:paraId="76C17011"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4,170 </w:t>
            </w:r>
          </w:p>
        </w:tc>
        <w:tc>
          <w:tcPr>
            <w:tcW w:w="840" w:type="dxa"/>
            <w:tcBorders>
              <w:top w:val="nil"/>
              <w:left w:val="nil"/>
              <w:bottom w:val="nil"/>
              <w:right w:val="nil"/>
            </w:tcBorders>
            <w:shd w:val="clear" w:color="000000" w:fill="E6E6E6"/>
            <w:noWrap/>
            <w:vAlign w:val="bottom"/>
            <w:hideMark/>
          </w:tcPr>
          <w:p w14:paraId="76C17012"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3,472 </w:t>
            </w:r>
          </w:p>
        </w:tc>
        <w:tc>
          <w:tcPr>
            <w:tcW w:w="841" w:type="dxa"/>
            <w:tcBorders>
              <w:top w:val="nil"/>
              <w:left w:val="nil"/>
              <w:bottom w:val="nil"/>
              <w:right w:val="nil"/>
            </w:tcBorders>
            <w:shd w:val="clear" w:color="auto" w:fill="auto"/>
            <w:noWrap/>
            <w:vAlign w:val="bottom"/>
            <w:hideMark/>
          </w:tcPr>
          <w:p w14:paraId="76C17013"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4,307 </w:t>
            </w:r>
          </w:p>
        </w:tc>
        <w:tc>
          <w:tcPr>
            <w:tcW w:w="841" w:type="dxa"/>
            <w:tcBorders>
              <w:top w:val="nil"/>
              <w:left w:val="nil"/>
              <w:bottom w:val="nil"/>
              <w:right w:val="nil"/>
            </w:tcBorders>
            <w:shd w:val="clear" w:color="auto" w:fill="auto"/>
            <w:noWrap/>
            <w:vAlign w:val="bottom"/>
            <w:hideMark/>
          </w:tcPr>
          <w:p w14:paraId="76C17014"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1,331 </w:t>
            </w:r>
          </w:p>
        </w:tc>
        <w:tc>
          <w:tcPr>
            <w:tcW w:w="841" w:type="dxa"/>
            <w:tcBorders>
              <w:top w:val="nil"/>
              <w:left w:val="nil"/>
              <w:bottom w:val="nil"/>
              <w:right w:val="nil"/>
            </w:tcBorders>
            <w:shd w:val="clear" w:color="auto" w:fill="auto"/>
            <w:noWrap/>
            <w:vAlign w:val="bottom"/>
            <w:hideMark/>
          </w:tcPr>
          <w:p w14:paraId="76C17015"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1,941 </w:t>
            </w:r>
          </w:p>
        </w:tc>
      </w:tr>
      <w:tr w:rsidR="00BA4391" w:rsidRPr="00BA4391" w14:paraId="76C1701D" w14:textId="77777777" w:rsidTr="004C7C00">
        <w:trPr>
          <w:trHeight w:val="225"/>
        </w:trPr>
        <w:tc>
          <w:tcPr>
            <w:tcW w:w="3547" w:type="dxa"/>
            <w:tcBorders>
              <w:top w:val="nil"/>
              <w:left w:val="nil"/>
              <w:bottom w:val="nil"/>
              <w:right w:val="nil"/>
            </w:tcBorders>
            <w:shd w:val="clear" w:color="auto" w:fill="auto"/>
            <w:noWrap/>
            <w:vAlign w:val="bottom"/>
            <w:hideMark/>
          </w:tcPr>
          <w:p w14:paraId="76C17017" w14:textId="77777777" w:rsidR="00BA4391" w:rsidRPr="00BA4391" w:rsidRDefault="00BA4391" w:rsidP="00BA4391">
            <w:pPr>
              <w:spacing w:after="0" w:line="240" w:lineRule="auto"/>
              <w:ind w:firstLineChars="100" w:firstLine="160"/>
              <w:jc w:val="left"/>
              <w:rPr>
                <w:rFonts w:ascii="Arial" w:hAnsi="Arial" w:cs="Arial"/>
                <w:sz w:val="16"/>
                <w:szCs w:val="16"/>
              </w:rPr>
            </w:pPr>
            <w:r w:rsidRPr="00BA4391">
              <w:rPr>
                <w:rFonts w:ascii="Arial" w:hAnsi="Arial" w:cs="Arial"/>
                <w:sz w:val="16"/>
                <w:szCs w:val="16"/>
              </w:rPr>
              <w:t>Licence Fees</w:t>
            </w:r>
          </w:p>
        </w:tc>
        <w:tc>
          <w:tcPr>
            <w:tcW w:w="949" w:type="dxa"/>
            <w:tcBorders>
              <w:top w:val="nil"/>
              <w:left w:val="nil"/>
              <w:bottom w:val="nil"/>
              <w:right w:val="nil"/>
            </w:tcBorders>
            <w:shd w:val="clear" w:color="auto" w:fill="auto"/>
            <w:noWrap/>
            <w:vAlign w:val="bottom"/>
            <w:hideMark/>
          </w:tcPr>
          <w:p w14:paraId="76C17018"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15,998 </w:t>
            </w:r>
          </w:p>
        </w:tc>
        <w:tc>
          <w:tcPr>
            <w:tcW w:w="840" w:type="dxa"/>
            <w:tcBorders>
              <w:top w:val="nil"/>
              <w:left w:val="nil"/>
              <w:bottom w:val="nil"/>
              <w:right w:val="nil"/>
            </w:tcBorders>
            <w:shd w:val="clear" w:color="000000" w:fill="E6E6E6"/>
            <w:noWrap/>
            <w:vAlign w:val="bottom"/>
            <w:hideMark/>
          </w:tcPr>
          <w:p w14:paraId="76C17019"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16,298 </w:t>
            </w:r>
          </w:p>
        </w:tc>
        <w:tc>
          <w:tcPr>
            <w:tcW w:w="841" w:type="dxa"/>
            <w:tcBorders>
              <w:top w:val="nil"/>
              <w:left w:val="nil"/>
              <w:bottom w:val="nil"/>
              <w:right w:val="nil"/>
            </w:tcBorders>
            <w:shd w:val="clear" w:color="auto" w:fill="auto"/>
            <w:noWrap/>
            <w:vAlign w:val="bottom"/>
            <w:hideMark/>
          </w:tcPr>
          <w:p w14:paraId="76C1701A"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16,955 </w:t>
            </w:r>
          </w:p>
        </w:tc>
        <w:tc>
          <w:tcPr>
            <w:tcW w:w="841" w:type="dxa"/>
            <w:tcBorders>
              <w:top w:val="nil"/>
              <w:left w:val="nil"/>
              <w:bottom w:val="nil"/>
              <w:right w:val="nil"/>
            </w:tcBorders>
            <w:shd w:val="clear" w:color="auto" w:fill="auto"/>
            <w:noWrap/>
            <w:vAlign w:val="bottom"/>
            <w:hideMark/>
          </w:tcPr>
          <w:p w14:paraId="76C1701B"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17,217 </w:t>
            </w:r>
          </w:p>
        </w:tc>
        <w:tc>
          <w:tcPr>
            <w:tcW w:w="841" w:type="dxa"/>
            <w:tcBorders>
              <w:top w:val="nil"/>
              <w:left w:val="nil"/>
              <w:bottom w:val="nil"/>
              <w:right w:val="nil"/>
            </w:tcBorders>
            <w:shd w:val="clear" w:color="auto" w:fill="auto"/>
            <w:noWrap/>
            <w:vAlign w:val="bottom"/>
            <w:hideMark/>
          </w:tcPr>
          <w:p w14:paraId="76C1701C"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17,508 </w:t>
            </w:r>
          </w:p>
        </w:tc>
      </w:tr>
      <w:tr w:rsidR="00BA4391" w:rsidRPr="00BA4391" w14:paraId="76C17024" w14:textId="77777777" w:rsidTr="004C7C00">
        <w:trPr>
          <w:trHeight w:val="225"/>
        </w:trPr>
        <w:tc>
          <w:tcPr>
            <w:tcW w:w="3547" w:type="dxa"/>
            <w:tcBorders>
              <w:top w:val="nil"/>
              <w:left w:val="nil"/>
              <w:bottom w:val="nil"/>
              <w:right w:val="nil"/>
            </w:tcBorders>
            <w:shd w:val="clear" w:color="auto" w:fill="auto"/>
            <w:noWrap/>
            <w:vAlign w:val="bottom"/>
            <w:hideMark/>
          </w:tcPr>
          <w:p w14:paraId="76C1701E" w14:textId="77777777" w:rsidR="00BA4391" w:rsidRPr="00BA4391" w:rsidRDefault="00BA4391" w:rsidP="00BA4391">
            <w:pPr>
              <w:spacing w:after="0" w:line="240" w:lineRule="auto"/>
              <w:ind w:firstLineChars="100" w:firstLine="160"/>
              <w:jc w:val="left"/>
              <w:rPr>
                <w:rFonts w:ascii="Arial" w:hAnsi="Arial" w:cs="Arial"/>
                <w:sz w:val="16"/>
                <w:szCs w:val="16"/>
              </w:rPr>
            </w:pPr>
            <w:r w:rsidRPr="00BA4391">
              <w:rPr>
                <w:rFonts w:ascii="Arial" w:hAnsi="Arial" w:cs="Arial"/>
                <w:sz w:val="16"/>
                <w:szCs w:val="16"/>
              </w:rPr>
              <w:t>Regulatory Contributions</w:t>
            </w:r>
          </w:p>
        </w:tc>
        <w:tc>
          <w:tcPr>
            <w:tcW w:w="949" w:type="dxa"/>
            <w:tcBorders>
              <w:top w:val="nil"/>
              <w:left w:val="nil"/>
              <w:bottom w:val="nil"/>
              <w:right w:val="nil"/>
            </w:tcBorders>
            <w:shd w:val="clear" w:color="auto" w:fill="auto"/>
            <w:noWrap/>
            <w:vAlign w:val="bottom"/>
            <w:hideMark/>
          </w:tcPr>
          <w:p w14:paraId="76C1701F"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19,462 </w:t>
            </w:r>
          </w:p>
        </w:tc>
        <w:tc>
          <w:tcPr>
            <w:tcW w:w="840" w:type="dxa"/>
            <w:tcBorders>
              <w:top w:val="nil"/>
              <w:left w:val="nil"/>
              <w:bottom w:val="nil"/>
              <w:right w:val="nil"/>
            </w:tcBorders>
            <w:shd w:val="clear" w:color="000000" w:fill="E6E6E6"/>
            <w:noWrap/>
            <w:vAlign w:val="bottom"/>
            <w:hideMark/>
          </w:tcPr>
          <w:p w14:paraId="76C17020"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19,706 </w:t>
            </w:r>
          </w:p>
        </w:tc>
        <w:tc>
          <w:tcPr>
            <w:tcW w:w="841" w:type="dxa"/>
            <w:tcBorders>
              <w:top w:val="nil"/>
              <w:left w:val="nil"/>
              <w:bottom w:val="nil"/>
              <w:right w:val="nil"/>
            </w:tcBorders>
            <w:shd w:val="clear" w:color="auto" w:fill="auto"/>
            <w:noWrap/>
            <w:vAlign w:val="bottom"/>
            <w:hideMark/>
          </w:tcPr>
          <w:p w14:paraId="76C17021"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20,489 </w:t>
            </w:r>
          </w:p>
        </w:tc>
        <w:tc>
          <w:tcPr>
            <w:tcW w:w="841" w:type="dxa"/>
            <w:tcBorders>
              <w:top w:val="nil"/>
              <w:left w:val="nil"/>
              <w:bottom w:val="nil"/>
              <w:right w:val="nil"/>
            </w:tcBorders>
            <w:shd w:val="clear" w:color="auto" w:fill="auto"/>
            <w:noWrap/>
            <w:vAlign w:val="bottom"/>
            <w:hideMark/>
          </w:tcPr>
          <w:p w14:paraId="76C17022"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20,811 </w:t>
            </w:r>
          </w:p>
        </w:tc>
        <w:tc>
          <w:tcPr>
            <w:tcW w:w="841" w:type="dxa"/>
            <w:tcBorders>
              <w:top w:val="nil"/>
              <w:left w:val="nil"/>
              <w:bottom w:val="nil"/>
              <w:right w:val="nil"/>
            </w:tcBorders>
            <w:shd w:val="clear" w:color="auto" w:fill="auto"/>
            <w:noWrap/>
            <w:vAlign w:val="bottom"/>
            <w:hideMark/>
          </w:tcPr>
          <w:p w14:paraId="76C17023"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21,168 </w:t>
            </w:r>
          </w:p>
        </w:tc>
      </w:tr>
      <w:tr w:rsidR="00BA4391" w:rsidRPr="00BA4391" w14:paraId="76C1702B" w14:textId="77777777" w:rsidTr="004C7C00">
        <w:trPr>
          <w:trHeight w:val="225"/>
        </w:trPr>
        <w:tc>
          <w:tcPr>
            <w:tcW w:w="3547" w:type="dxa"/>
            <w:tcBorders>
              <w:top w:val="nil"/>
              <w:left w:val="nil"/>
              <w:bottom w:val="nil"/>
              <w:right w:val="nil"/>
            </w:tcBorders>
            <w:shd w:val="clear" w:color="auto" w:fill="auto"/>
            <w:noWrap/>
            <w:vAlign w:val="bottom"/>
            <w:hideMark/>
          </w:tcPr>
          <w:p w14:paraId="76C17025" w14:textId="77777777" w:rsidR="00BA4391" w:rsidRPr="00BA4391" w:rsidRDefault="00BA4391" w:rsidP="00BA4391">
            <w:pPr>
              <w:spacing w:after="0" w:line="240" w:lineRule="auto"/>
              <w:ind w:firstLineChars="100" w:firstLine="160"/>
              <w:jc w:val="left"/>
              <w:rPr>
                <w:rFonts w:ascii="Arial" w:hAnsi="Arial" w:cs="Arial"/>
                <w:sz w:val="16"/>
                <w:szCs w:val="16"/>
              </w:rPr>
            </w:pPr>
            <w:r w:rsidRPr="00BA4391">
              <w:rPr>
                <w:rFonts w:ascii="Arial" w:hAnsi="Arial" w:cs="Arial"/>
                <w:sz w:val="16"/>
                <w:szCs w:val="16"/>
              </w:rPr>
              <w:t>Interest</w:t>
            </w:r>
          </w:p>
        </w:tc>
        <w:tc>
          <w:tcPr>
            <w:tcW w:w="949" w:type="dxa"/>
            <w:tcBorders>
              <w:top w:val="nil"/>
              <w:left w:val="nil"/>
              <w:bottom w:val="nil"/>
              <w:right w:val="nil"/>
            </w:tcBorders>
            <w:shd w:val="clear" w:color="auto" w:fill="auto"/>
            <w:noWrap/>
            <w:vAlign w:val="bottom"/>
            <w:hideMark/>
          </w:tcPr>
          <w:p w14:paraId="76C17026"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30,048 </w:t>
            </w:r>
          </w:p>
        </w:tc>
        <w:tc>
          <w:tcPr>
            <w:tcW w:w="840" w:type="dxa"/>
            <w:tcBorders>
              <w:top w:val="nil"/>
              <w:left w:val="nil"/>
              <w:bottom w:val="nil"/>
              <w:right w:val="nil"/>
            </w:tcBorders>
            <w:shd w:val="clear" w:color="000000" w:fill="E6E6E6"/>
            <w:noWrap/>
            <w:vAlign w:val="bottom"/>
            <w:hideMark/>
          </w:tcPr>
          <w:p w14:paraId="76C17027"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25,224 </w:t>
            </w:r>
          </w:p>
        </w:tc>
        <w:tc>
          <w:tcPr>
            <w:tcW w:w="841" w:type="dxa"/>
            <w:tcBorders>
              <w:top w:val="nil"/>
              <w:left w:val="nil"/>
              <w:bottom w:val="nil"/>
              <w:right w:val="nil"/>
            </w:tcBorders>
            <w:shd w:val="clear" w:color="auto" w:fill="auto"/>
            <w:noWrap/>
            <w:vAlign w:val="bottom"/>
            <w:hideMark/>
          </w:tcPr>
          <w:p w14:paraId="76C17028"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25,224 </w:t>
            </w:r>
          </w:p>
        </w:tc>
        <w:tc>
          <w:tcPr>
            <w:tcW w:w="841" w:type="dxa"/>
            <w:tcBorders>
              <w:top w:val="nil"/>
              <w:left w:val="nil"/>
              <w:bottom w:val="nil"/>
              <w:right w:val="nil"/>
            </w:tcBorders>
            <w:shd w:val="clear" w:color="auto" w:fill="auto"/>
            <w:noWrap/>
            <w:vAlign w:val="bottom"/>
            <w:hideMark/>
          </w:tcPr>
          <w:p w14:paraId="76C17029"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25,224 </w:t>
            </w:r>
          </w:p>
        </w:tc>
        <w:tc>
          <w:tcPr>
            <w:tcW w:w="841" w:type="dxa"/>
            <w:tcBorders>
              <w:top w:val="nil"/>
              <w:left w:val="nil"/>
              <w:bottom w:val="nil"/>
              <w:right w:val="nil"/>
            </w:tcBorders>
            <w:shd w:val="clear" w:color="auto" w:fill="auto"/>
            <w:noWrap/>
            <w:vAlign w:val="bottom"/>
            <w:hideMark/>
          </w:tcPr>
          <w:p w14:paraId="76C1702A"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25,224 </w:t>
            </w:r>
          </w:p>
        </w:tc>
      </w:tr>
      <w:tr w:rsidR="00BA4391" w:rsidRPr="00BA4391" w14:paraId="76C17032" w14:textId="77777777" w:rsidTr="004C7C00">
        <w:trPr>
          <w:trHeight w:val="225"/>
        </w:trPr>
        <w:tc>
          <w:tcPr>
            <w:tcW w:w="3547" w:type="dxa"/>
            <w:tcBorders>
              <w:top w:val="nil"/>
              <w:left w:val="nil"/>
              <w:bottom w:val="nil"/>
              <w:right w:val="nil"/>
            </w:tcBorders>
            <w:shd w:val="clear" w:color="auto" w:fill="auto"/>
            <w:noWrap/>
            <w:vAlign w:val="bottom"/>
            <w:hideMark/>
          </w:tcPr>
          <w:p w14:paraId="76C1702C" w14:textId="77777777" w:rsidR="00BA4391" w:rsidRPr="00BA4391" w:rsidRDefault="00BA4391" w:rsidP="00BA4391">
            <w:pPr>
              <w:spacing w:after="0" w:line="240" w:lineRule="auto"/>
              <w:ind w:firstLineChars="100" w:firstLine="160"/>
              <w:jc w:val="left"/>
              <w:rPr>
                <w:rFonts w:ascii="Arial" w:hAnsi="Arial" w:cs="Arial"/>
                <w:sz w:val="16"/>
                <w:szCs w:val="16"/>
              </w:rPr>
            </w:pPr>
            <w:r w:rsidRPr="00BA4391">
              <w:rPr>
                <w:rFonts w:ascii="Arial" w:hAnsi="Arial" w:cs="Arial"/>
                <w:sz w:val="16"/>
                <w:szCs w:val="16"/>
              </w:rPr>
              <w:t>Grants Received from Portfolio Department</w:t>
            </w:r>
          </w:p>
        </w:tc>
        <w:tc>
          <w:tcPr>
            <w:tcW w:w="949" w:type="dxa"/>
            <w:tcBorders>
              <w:top w:val="nil"/>
              <w:left w:val="nil"/>
              <w:bottom w:val="nil"/>
              <w:right w:val="nil"/>
            </w:tcBorders>
            <w:shd w:val="clear" w:color="auto" w:fill="auto"/>
            <w:noWrap/>
            <w:vAlign w:val="bottom"/>
            <w:hideMark/>
          </w:tcPr>
          <w:p w14:paraId="76C1702D"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60,083 </w:t>
            </w:r>
          </w:p>
        </w:tc>
        <w:tc>
          <w:tcPr>
            <w:tcW w:w="840" w:type="dxa"/>
            <w:tcBorders>
              <w:top w:val="nil"/>
              <w:left w:val="nil"/>
              <w:bottom w:val="nil"/>
              <w:right w:val="nil"/>
            </w:tcBorders>
            <w:shd w:val="clear" w:color="000000" w:fill="E6E6E6"/>
            <w:noWrap/>
            <w:vAlign w:val="bottom"/>
            <w:hideMark/>
          </w:tcPr>
          <w:p w14:paraId="76C1702E"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55,188 </w:t>
            </w:r>
          </w:p>
        </w:tc>
        <w:tc>
          <w:tcPr>
            <w:tcW w:w="841" w:type="dxa"/>
            <w:tcBorders>
              <w:top w:val="nil"/>
              <w:left w:val="nil"/>
              <w:bottom w:val="nil"/>
              <w:right w:val="nil"/>
            </w:tcBorders>
            <w:shd w:val="clear" w:color="auto" w:fill="auto"/>
            <w:noWrap/>
            <w:vAlign w:val="bottom"/>
            <w:hideMark/>
          </w:tcPr>
          <w:p w14:paraId="76C1702F"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54,885 </w:t>
            </w:r>
          </w:p>
        </w:tc>
        <w:tc>
          <w:tcPr>
            <w:tcW w:w="841" w:type="dxa"/>
            <w:tcBorders>
              <w:top w:val="nil"/>
              <w:left w:val="nil"/>
              <w:bottom w:val="nil"/>
              <w:right w:val="nil"/>
            </w:tcBorders>
            <w:shd w:val="clear" w:color="auto" w:fill="auto"/>
            <w:noWrap/>
            <w:vAlign w:val="bottom"/>
            <w:hideMark/>
          </w:tcPr>
          <w:p w14:paraId="76C17030"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54,632 </w:t>
            </w:r>
          </w:p>
        </w:tc>
        <w:tc>
          <w:tcPr>
            <w:tcW w:w="841" w:type="dxa"/>
            <w:tcBorders>
              <w:top w:val="nil"/>
              <w:left w:val="nil"/>
              <w:bottom w:val="nil"/>
              <w:right w:val="nil"/>
            </w:tcBorders>
            <w:shd w:val="clear" w:color="auto" w:fill="auto"/>
            <w:noWrap/>
            <w:vAlign w:val="bottom"/>
            <w:hideMark/>
          </w:tcPr>
          <w:p w14:paraId="76C17031"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53,819 </w:t>
            </w:r>
          </w:p>
        </w:tc>
      </w:tr>
      <w:tr w:rsidR="00BA4391" w:rsidRPr="00BA4391" w14:paraId="76C17039" w14:textId="77777777" w:rsidTr="004C7C00">
        <w:trPr>
          <w:trHeight w:val="225"/>
        </w:trPr>
        <w:tc>
          <w:tcPr>
            <w:tcW w:w="3547" w:type="dxa"/>
            <w:tcBorders>
              <w:top w:val="nil"/>
              <w:left w:val="nil"/>
              <w:bottom w:val="nil"/>
              <w:right w:val="nil"/>
            </w:tcBorders>
            <w:shd w:val="clear" w:color="auto" w:fill="auto"/>
            <w:noWrap/>
            <w:vAlign w:val="bottom"/>
            <w:hideMark/>
          </w:tcPr>
          <w:p w14:paraId="76C17033" w14:textId="59DAF614" w:rsidR="00BA4391" w:rsidRPr="00BA4391" w:rsidRDefault="00BA4391" w:rsidP="00BA4391">
            <w:pPr>
              <w:spacing w:after="0" w:line="240" w:lineRule="auto"/>
              <w:ind w:firstLineChars="100" w:firstLine="160"/>
              <w:jc w:val="left"/>
              <w:rPr>
                <w:rFonts w:ascii="Arial" w:hAnsi="Arial" w:cs="Arial"/>
                <w:sz w:val="16"/>
                <w:szCs w:val="16"/>
              </w:rPr>
            </w:pPr>
            <w:r w:rsidRPr="00BA4391">
              <w:rPr>
                <w:rFonts w:ascii="Arial" w:hAnsi="Arial" w:cs="Arial"/>
                <w:sz w:val="16"/>
                <w:szCs w:val="16"/>
              </w:rPr>
              <w:t>Wo</w:t>
            </w:r>
            <w:r w:rsidR="000F02C2">
              <w:rPr>
                <w:rFonts w:ascii="Arial" w:hAnsi="Arial" w:cs="Arial"/>
                <w:sz w:val="16"/>
                <w:szCs w:val="16"/>
              </w:rPr>
              <w:t>r</w:t>
            </w:r>
            <w:r w:rsidRPr="00BA4391">
              <w:rPr>
                <w:rFonts w:ascii="Arial" w:hAnsi="Arial" w:cs="Arial"/>
                <w:sz w:val="16"/>
                <w:szCs w:val="16"/>
              </w:rPr>
              <w:t>kers</w:t>
            </w:r>
            <w:r w:rsidR="00EC50CD">
              <w:rPr>
                <w:rFonts w:ascii="Arial" w:hAnsi="Arial" w:cs="Arial"/>
                <w:sz w:val="16"/>
                <w:szCs w:val="16"/>
              </w:rPr>
              <w:t>’</w:t>
            </w:r>
            <w:r w:rsidRPr="00BA4391">
              <w:rPr>
                <w:rFonts w:ascii="Arial" w:hAnsi="Arial" w:cs="Arial"/>
                <w:sz w:val="16"/>
                <w:szCs w:val="16"/>
              </w:rPr>
              <w:t xml:space="preserve"> Compensation Premium</w:t>
            </w:r>
          </w:p>
        </w:tc>
        <w:tc>
          <w:tcPr>
            <w:tcW w:w="949" w:type="dxa"/>
            <w:tcBorders>
              <w:top w:val="nil"/>
              <w:left w:val="nil"/>
              <w:bottom w:val="nil"/>
              <w:right w:val="nil"/>
            </w:tcBorders>
            <w:shd w:val="clear" w:color="auto" w:fill="auto"/>
            <w:noWrap/>
            <w:vAlign w:val="bottom"/>
            <w:hideMark/>
          </w:tcPr>
          <w:p w14:paraId="76C17034"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244,972 </w:t>
            </w:r>
          </w:p>
        </w:tc>
        <w:tc>
          <w:tcPr>
            <w:tcW w:w="840" w:type="dxa"/>
            <w:tcBorders>
              <w:top w:val="nil"/>
              <w:left w:val="nil"/>
              <w:bottom w:val="nil"/>
              <w:right w:val="nil"/>
            </w:tcBorders>
            <w:shd w:val="clear" w:color="000000" w:fill="E6E6E6"/>
            <w:noWrap/>
            <w:vAlign w:val="bottom"/>
            <w:hideMark/>
          </w:tcPr>
          <w:p w14:paraId="76C17035"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156,461 </w:t>
            </w:r>
          </w:p>
        </w:tc>
        <w:tc>
          <w:tcPr>
            <w:tcW w:w="841" w:type="dxa"/>
            <w:tcBorders>
              <w:top w:val="nil"/>
              <w:left w:val="nil"/>
              <w:bottom w:val="nil"/>
              <w:right w:val="nil"/>
            </w:tcBorders>
            <w:shd w:val="clear" w:color="auto" w:fill="auto"/>
            <w:noWrap/>
            <w:vAlign w:val="bottom"/>
            <w:hideMark/>
          </w:tcPr>
          <w:p w14:paraId="76C17036"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176,660 </w:t>
            </w:r>
          </w:p>
        </w:tc>
        <w:tc>
          <w:tcPr>
            <w:tcW w:w="841" w:type="dxa"/>
            <w:tcBorders>
              <w:top w:val="nil"/>
              <w:left w:val="nil"/>
              <w:bottom w:val="nil"/>
              <w:right w:val="nil"/>
            </w:tcBorders>
            <w:shd w:val="clear" w:color="auto" w:fill="auto"/>
            <w:noWrap/>
            <w:vAlign w:val="bottom"/>
            <w:hideMark/>
          </w:tcPr>
          <w:p w14:paraId="76C17037"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182,449 </w:t>
            </w:r>
          </w:p>
        </w:tc>
        <w:tc>
          <w:tcPr>
            <w:tcW w:w="841" w:type="dxa"/>
            <w:tcBorders>
              <w:top w:val="nil"/>
              <w:left w:val="nil"/>
              <w:bottom w:val="nil"/>
              <w:right w:val="nil"/>
            </w:tcBorders>
            <w:shd w:val="clear" w:color="auto" w:fill="auto"/>
            <w:noWrap/>
            <w:vAlign w:val="bottom"/>
            <w:hideMark/>
          </w:tcPr>
          <w:p w14:paraId="76C17038"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188,360 </w:t>
            </w:r>
          </w:p>
        </w:tc>
      </w:tr>
      <w:tr w:rsidR="00BA4391" w:rsidRPr="00BA4391" w14:paraId="76C17040" w14:textId="77777777" w:rsidTr="004C7C00">
        <w:trPr>
          <w:trHeight w:val="225"/>
        </w:trPr>
        <w:tc>
          <w:tcPr>
            <w:tcW w:w="3547" w:type="dxa"/>
            <w:tcBorders>
              <w:top w:val="nil"/>
              <w:left w:val="nil"/>
              <w:bottom w:val="nil"/>
              <w:right w:val="nil"/>
            </w:tcBorders>
            <w:shd w:val="clear" w:color="auto" w:fill="auto"/>
            <w:noWrap/>
            <w:vAlign w:val="bottom"/>
            <w:hideMark/>
          </w:tcPr>
          <w:p w14:paraId="76C1703A" w14:textId="77777777" w:rsidR="00BA4391" w:rsidRPr="00BA4391" w:rsidRDefault="00BA4391" w:rsidP="00BA4391">
            <w:pPr>
              <w:spacing w:after="0" w:line="240" w:lineRule="auto"/>
              <w:ind w:firstLineChars="100" w:firstLine="160"/>
              <w:jc w:val="left"/>
              <w:rPr>
                <w:rFonts w:ascii="Arial" w:hAnsi="Arial" w:cs="Arial"/>
                <w:sz w:val="16"/>
                <w:szCs w:val="16"/>
              </w:rPr>
            </w:pPr>
            <w:r w:rsidRPr="00BA4391">
              <w:rPr>
                <w:rFonts w:ascii="Arial" w:hAnsi="Arial" w:cs="Arial"/>
                <w:sz w:val="16"/>
                <w:szCs w:val="16"/>
              </w:rPr>
              <w:t>Other Non-Tax Revenue (a)</w:t>
            </w:r>
          </w:p>
        </w:tc>
        <w:tc>
          <w:tcPr>
            <w:tcW w:w="949" w:type="dxa"/>
            <w:tcBorders>
              <w:top w:val="nil"/>
              <w:left w:val="nil"/>
              <w:bottom w:val="nil"/>
              <w:right w:val="nil"/>
            </w:tcBorders>
            <w:shd w:val="clear" w:color="auto" w:fill="auto"/>
            <w:noWrap/>
            <w:vAlign w:val="bottom"/>
            <w:hideMark/>
          </w:tcPr>
          <w:p w14:paraId="76C1703B"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(204,452)</w:t>
            </w:r>
          </w:p>
        </w:tc>
        <w:tc>
          <w:tcPr>
            <w:tcW w:w="840" w:type="dxa"/>
            <w:tcBorders>
              <w:top w:val="nil"/>
              <w:left w:val="nil"/>
              <w:bottom w:val="nil"/>
              <w:right w:val="nil"/>
            </w:tcBorders>
            <w:shd w:val="clear" w:color="000000" w:fill="E6E6E6"/>
            <w:noWrap/>
            <w:vAlign w:val="bottom"/>
            <w:hideMark/>
          </w:tcPr>
          <w:p w14:paraId="76C1703C"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(14,899)</w:t>
            </w:r>
          </w:p>
        </w:tc>
        <w:tc>
          <w:tcPr>
            <w:tcW w:w="841" w:type="dxa"/>
            <w:tcBorders>
              <w:top w:val="nil"/>
              <w:left w:val="nil"/>
              <w:bottom w:val="nil"/>
              <w:right w:val="nil"/>
            </w:tcBorders>
            <w:shd w:val="clear" w:color="auto" w:fill="auto"/>
            <w:noWrap/>
            <w:vAlign w:val="bottom"/>
            <w:hideMark/>
          </w:tcPr>
          <w:p w14:paraId="76C1703D"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(26,929)</w:t>
            </w:r>
          </w:p>
        </w:tc>
        <w:tc>
          <w:tcPr>
            <w:tcW w:w="841" w:type="dxa"/>
            <w:tcBorders>
              <w:top w:val="nil"/>
              <w:left w:val="nil"/>
              <w:bottom w:val="nil"/>
              <w:right w:val="nil"/>
            </w:tcBorders>
            <w:shd w:val="clear" w:color="auto" w:fill="auto"/>
            <w:noWrap/>
            <w:vAlign w:val="bottom"/>
            <w:hideMark/>
          </w:tcPr>
          <w:p w14:paraId="76C1703E"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(20,447)</w:t>
            </w:r>
          </w:p>
        </w:tc>
        <w:tc>
          <w:tcPr>
            <w:tcW w:w="841" w:type="dxa"/>
            <w:tcBorders>
              <w:top w:val="nil"/>
              <w:left w:val="nil"/>
              <w:bottom w:val="nil"/>
              <w:right w:val="nil"/>
            </w:tcBorders>
            <w:shd w:val="clear" w:color="auto" w:fill="auto"/>
            <w:noWrap/>
            <w:vAlign w:val="bottom"/>
            <w:hideMark/>
          </w:tcPr>
          <w:p w14:paraId="76C1703F"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(14,117)</w:t>
            </w:r>
          </w:p>
        </w:tc>
      </w:tr>
      <w:tr w:rsidR="00BA4391" w:rsidRPr="00BA4391" w14:paraId="76C17047" w14:textId="77777777" w:rsidTr="004C7C00">
        <w:trPr>
          <w:trHeight w:val="225"/>
        </w:trPr>
        <w:tc>
          <w:tcPr>
            <w:tcW w:w="3547" w:type="dxa"/>
            <w:tcBorders>
              <w:top w:val="nil"/>
              <w:left w:val="nil"/>
              <w:bottom w:val="nil"/>
              <w:right w:val="nil"/>
            </w:tcBorders>
            <w:shd w:val="clear" w:color="auto" w:fill="auto"/>
            <w:noWrap/>
            <w:vAlign w:val="bottom"/>
            <w:hideMark/>
          </w:tcPr>
          <w:p w14:paraId="76C17041" w14:textId="77777777" w:rsidR="00BA4391" w:rsidRPr="00BA4391" w:rsidRDefault="00BA4391" w:rsidP="00BA4391">
            <w:pPr>
              <w:spacing w:after="0" w:line="240" w:lineRule="auto"/>
              <w:jc w:val="left"/>
              <w:rPr>
                <w:rFonts w:ascii="Arial" w:hAnsi="Arial" w:cs="Arial"/>
                <w:b/>
                <w:bCs/>
                <w:sz w:val="16"/>
                <w:szCs w:val="16"/>
              </w:rPr>
            </w:pPr>
            <w:r w:rsidRPr="00BA4391">
              <w:rPr>
                <w:rFonts w:ascii="Arial" w:hAnsi="Arial" w:cs="Arial"/>
                <w:b/>
                <w:bCs/>
                <w:sz w:val="16"/>
                <w:szCs w:val="16"/>
              </w:rPr>
              <w:t>Total own-source revenue</w:t>
            </w:r>
          </w:p>
        </w:tc>
        <w:tc>
          <w:tcPr>
            <w:tcW w:w="949" w:type="dxa"/>
            <w:tcBorders>
              <w:top w:val="single" w:sz="4" w:space="0" w:color="auto"/>
              <w:left w:val="nil"/>
              <w:bottom w:val="single" w:sz="4" w:space="0" w:color="auto"/>
              <w:right w:val="nil"/>
            </w:tcBorders>
            <w:shd w:val="clear" w:color="auto" w:fill="auto"/>
            <w:noWrap/>
            <w:vAlign w:val="bottom"/>
            <w:hideMark/>
          </w:tcPr>
          <w:p w14:paraId="76C17042"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170,281 </w:t>
            </w:r>
          </w:p>
        </w:tc>
        <w:tc>
          <w:tcPr>
            <w:tcW w:w="840" w:type="dxa"/>
            <w:tcBorders>
              <w:top w:val="single" w:sz="4" w:space="0" w:color="auto"/>
              <w:left w:val="nil"/>
              <w:bottom w:val="single" w:sz="4" w:space="0" w:color="auto"/>
              <w:right w:val="nil"/>
            </w:tcBorders>
            <w:shd w:val="clear" w:color="000000" w:fill="E6E6E6"/>
            <w:noWrap/>
            <w:vAlign w:val="bottom"/>
            <w:hideMark/>
          </w:tcPr>
          <w:p w14:paraId="76C17043"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261,450 </w:t>
            </w:r>
          </w:p>
        </w:tc>
        <w:tc>
          <w:tcPr>
            <w:tcW w:w="841" w:type="dxa"/>
            <w:tcBorders>
              <w:top w:val="single" w:sz="4" w:space="0" w:color="auto"/>
              <w:left w:val="nil"/>
              <w:bottom w:val="single" w:sz="4" w:space="0" w:color="auto"/>
              <w:right w:val="nil"/>
            </w:tcBorders>
            <w:shd w:val="clear" w:color="auto" w:fill="auto"/>
            <w:noWrap/>
            <w:vAlign w:val="bottom"/>
            <w:hideMark/>
          </w:tcPr>
          <w:p w14:paraId="76C17044"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271,591 </w:t>
            </w:r>
          </w:p>
        </w:tc>
        <w:tc>
          <w:tcPr>
            <w:tcW w:w="841" w:type="dxa"/>
            <w:tcBorders>
              <w:top w:val="single" w:sz="4" w:space="0" w:color="auto"/>
              <w:left w:val="nil"/>
              <w:bottom w:val="single" w:sz="4" w:space="0" w:color="auto"/>
              <w:right w:val="nil"/>
            </w:tcBorders>
            <w:shd w:val="clear" w:color="auto" w:fill="auto"/>
            <w:noWrap/>
            <w:vAlign w:val="bottom"/>
            <w:hideMark/>
          </w:tcPr>
          <w:p w14:paraId="76C17045"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281,217 </w:t>
            </w:r>
          </w:p>
        </w:tc>
        <w:tc>
          <w:tcPr>
            <w:tcW w:w="841" w:type="dxa"/>
            <w:tcBorders>
              <w:top w:val="single" w:sz="4" w:space="0" w:color="auto"/>
              <w:left w:val="nil"/>
              <w:bottom w:val="single" w:sz="4" w:space="0" w:color="auto"/>
              <w:right w:val="nil"/>
            </w:tcBorders>
            <w:shd w:val="clear" w:color="auto" w:fill="auto"/>
            <w:noWrap/>
            <w:vAlign w:val="bottom"/>
            <w:hideMark/>
          </w:tcPr>
          <w:p w14:paraId="76C17046"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293,903 </w:t>
            </w:r>
          </w:p>
        </w:tc>
      </w:tr>
      <w:tr w:rsidR="00BA4391" w:rsidRPr="00BA4391" w14:paraId="76C1704E" w14:textId="77777777" w:rsidTr="004C7C00">
        <w:trPr>
          <w:trHeight w:val="225"/>
        </w:trPr>
        <w:tc>
          <w:tcPr>
            <w:tcW w:w="3547" w:type="dxa"/>
            <w:tcBorders>
              <w:top w:val="nil"/>
              <w:left w:val="nil"/>
              <w:bottom w:val="nil"/>
              <w:right w:val="nil"/>
            </w:tcBorders>
            <w:shd w:val="clear" w:color="auto" w:fill="auto"/>
            <w:noWrap/>
            <w:vAlign w:val="bottom"/>
            <w:hideMark/>
          </w:tcPr>
          <w:p w14:paraId="76C17048" w14:textId="77777777" w:rsidR="00BA4391" w:rsidRPr="00BA4391" w:rsidRDefault="00BA4391" w:rsidP="00BA4391">
            <w:pPr>
              <w:spacing w:after="0" w:line="240" w:lineRule="auto"/>
              <w:jc w:val="left"/>
              <w:rPr>
                <w:rFonts w:ascii="Arial" w:hAnsi="Arial" w:cs="Arial"/>
                <w:b/>
                <w:bCs/>
                <w:sz w:val="16"/>
                <w:szCs w:val="16"/>
              </w:rPr>
            </w:pPr>
            <w:r w:rsidRPr="00BA4391">
              <w:rPr>
                <w:rFonts w:ascii="Arial" w:hAnsi="Arial" w:cs="Arial"/>
                <w:b/>
                <w:bCs/>
                <w:sz w:val="16"/>
                <w:szCs w:val="16"/>
              </w:rPr>
              <w:t>Total own-source income</w:t>
            </w:r>
          </w:p>
        </w:tc>
        <w:tc>
          <w:tcPr>
            <w:tcW w:w="949" w:type="dxa"/>
            <w:tcBorders>
              <w:top w:val="nil"/>
              <w:left w:val="nil"/>
              <w:bottom w:val="single" w:sz="4" w:space="0" w:color="auto"/>
              <w:right w:val="nil"/>
            </w:tcBorders>
            <w:shd w:val="clear" w:color="auto" w:fill="auto"/>
            <w:noWrap/>
            <w:vAlign w:val="bottom"/>
            <w:hideMark/>
          </w:tcPr>
          <w:p w14:paraId="76C17049"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170,281 </w:t>
            </w:r>
          </w:p>
        </w:tc>
        <w:tc>
          <w:tcPr>
            <w:tcW w:w="840" w:type="dxa"/>
            <w:tcBorders>
              <w:top w:val="nil"/>
              <w:left w:val="nil"/>
              <w:bottom w:val="single" w:sz="4" w:space="0" w:color="auto"/>
              <w:right w:val="nil"/>
            </w:tcBorders>
            <w:shd w:val="clear" w:color="000000" w:fill="E6E6E6"/>
            <w:noWrap/>
            <w:vAlign w:val="bottom"/>
            <w:hideMark/>
          </w:tcPr>
          <w:p w14:paraId="76C1704A"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261,450 </w:t>
            </w:r>
          </w:p>
        </w:tc>
        <w:tc>
          <w:tcPr>
            <w:tcW w:w="841" w:type="dxa"/>
            <w:tcBorders>
              <w:top w:val="nil"/>
              <w:left w:val="nil"/>
              <w:bottom w:val="single" w:sz="4" w:space="0" w:color="auto"/>
              <w:right w:val="nil"/>
            </w:tcBorders>
            <w:shd w:val="clear" w:color="auto" w:fill="auto"/>
            <w:noWrap/>
            <w:vAlign w:val="bottom"/>
            <w:hideMark/>
          </w:tcPr>
          <w:p w14:paraId="76C1704B"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271,591 </w:t>
            </w:r>
          </w:p>
        </w:tc>
        <w:tc>
          <w:tcPr>
            <w:tcW w:w="841" w:type="dxa"/>
            <w:tcBorders>
              <w:top w:val="nil"/>
              <w:left w:val="nil"/>
              <w:bottom w:val="single" w:sz="4" w:space="0" w:color="auto"/>
              <w:right w:val="nil"/>
            </w:tcBorders>
            <w:shd w:val="clear" w:color="auto" w:fill="auto"/>
            <w:noWrap/>
            <w:vAlign w:val="bottom"/>
            <w:hideMark/>
          </w:tcPr>
          <w:p w14:paraId="76C1704C"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281,217 </w:t>
            </w:r>
          </w:p>
        </w:tc>
        <w:tc>
          <w:tcPr>
            <w:tcW w:w="841" w:type="dxa"/>
            <w:tcBorders>
              <w:top w:val="nil"/>
              <w:left w:val="nil"/>
              <w:bottom w:val="single" w:sz="4" w:space="0" w:color="auto"/>
              <w:right w:val="nil"/>
            </w:tcBorders>
            <w:shd w:val="clear" w:color="auto" w:fill="auto"/>
            <w:noWrap/>
            <w:vAlign w:val="bottom"/>
            <w:hideMark/>
          </w:tcPr>
          <w:p w14:paraId="76C1704D"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293,903 </w:t>
            </w:r>
          </w:p>
        </w:tc>
      </w:tr>
      <w:tr w:rsidR="00BA4391" w:rsidRPr="00BA4391" w14:paraId="76C17055" w14:textId="77777777" w:rsidTr="000F02C2">
        <w:trPr>
          <w:trHeight w:val="241"/>
        </w:trPr>
        <w:tc>
          <w:tcPr>
            <w:tcW w:w="3547" w:type="dxa"/>
            <w:tcBorders>
              <w:top w:val="nil"/>
              <w:left w:val="nil"/>
              <w:bottom w:val="nil"/>
              <w:right w:val="nil"/>
            </w:tcBorders>
            <w:shd w:val="clear" w:color="auto" w:fill="auto"/>
            <w:vAlign w:val="center"/>
            <w:hideMark/>
          </w:tcPr>
          <w:p w14:paraId="76C1704F" w14:textId="23B0472C" w:rsidR="00BA4391" w:rsidRPr="00BA4391" w:rsidRDefault="00BA4391" w:rsidP="000F02C2">
            <w:pPr>
              <w:spacing w:after="0" w:line="240" w:lineRule="auto"/>
              <w:jc w:val="left"/>
              <w:rPr>
                <w:rFonts w:ascii="Arial" w:hAnsi="Arial" w:cs="Arial"/>
                <w:b/>
                <w:bCs/>
                <w:color w:val="000000"/>
                <w:sz w:val="16"/>
                <w:szCs w:val="16"/>
              </w:rPr>
            </w:pPr>
            <w:r w:rsidRPr="00BA4391">
              <w:rPr>
                <w:rFonts w:ascii="Arial" w:hAnsi="Arial" w:cs="Arial"/>
                <w:b/>
                <w:bCs/>
                <w:color w:val="000000"/>
                <w:sz w:val="16"/>
                <w:szCs w:val="16"/>
              </w:rPr>
              <w:t>Net (cost of)/contribution by services</w:t>
            </w:r>
          </w:p>
        </w:tc>
        <w:tc>
          <w:tcPr>
            <w:tcW w:w="949" w:type="dxa"/>
            <w:tcBorders>
              <w:top w:val="nil"/>
              <w:left w:val="nil"/>
              <w:bottom w:val="nil"/>
              <w:right w:val="nil"/>
            </w:tcBorders>
            <w:shd w:val="clear" w:color="auto" w:fill="auto"/>
            <w:noWrap/>
            <w:vAlign w:val="bottom"/>
            <w:hideMark/>
          </w:tcPr>
          <w:p w14:paraId="76C17050"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(5,989)</w:t>
            </w:r>
          </w:p>
        </w:tc>
        <w:tc>
          <w:tcPr>
            <w:tcW w:w="840" w:type="dxa"/>
            <w:tcBorders>
              <w:top w:val="nil"/>
              <w:left w:val="nil"/>
              <w:bottom w:val="nil"/>
              <w:right w:val="nil"/>
            </w:tcBorders>
            <w:shd w:val="clear" w:color="000000" w:fill="E6E6E6"/>
            <w:noWrap/>
            <w:vAlign w:val="bottom"/>
            <w:hideMark/>
          </w:tcPr>
          <w:p w14:paraId="76C17051"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(5,989)</w:t>
            </w:r>
          </w:p>
        </w:tc>
        <w:tc>
          <w:tcPr>
            <w:tcW w:w="841" w:type="dxa"/>
            <w:tcBorders>
              <w:top w:val="nil"/>
              <w:left w:val="nil"/>
              <w:bottom w:val="nil"/>
              <w:right w:val="nil"/>
            </w:tcBorders>
            <w:shd w:val="clear" w:color="auto" w:fill="auto"/>
            <w:noWrap/>
            <w:vAlign w:val="bottom"/>
            <w:hideMark/>
          </w:tcPr>
          <w:p w14:paraId="76C17052"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(6,028)</w:t>
            </w:r>
          </w:p>
        </w:tc>
        <w:tc>
          <w:tcPr>
            <w:tcW w:w="841" w:type="dxa"/>
            <w:tcBorders>
              <w:top w:val="nil"/>
              <w:left w:val="nil"/>
              <w:bottom w:val="nil"/>
              <w:right w:val="nil"/>
            </w:tcBorders>
            <w:shd w:val="clear" w:color="auto" w:fill="auto"/>
            <w:noWrap/>
            <w:vAlign w:val="bottom"/>
            <w:hideMark/>
          </w:tcPr>
          <w:p w14:paraId="76C17053"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(6,069)</w:t>
            </w:r>
          </w:p>
        </w:tc>
        <w:tc>
          <w:tcPr>
            <w:tcW w:w="841" w:type="dxa"/>
            <w:tcBorders>
              <w:top w:val="nil"/>
              <w:left w:val="nil"/>
              <w:bottom w:val="nil"/>
              <w:right w:val="nil"/>
            </w:tcBorders>
            <w:shd w:val="clear" w:color="auto" w:fill="auto"/>
            <w:noWrap/>
            <w:vAlign w:val="bottom"/>
            <w:hideMark/>
          </w:tcPr>
          <w:p w14:paraId="76C17054"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(6,110)</w:t>
            </w:r>
          </w:p>
        </w:tc>
      </w:tr>
      <w:tr w:rsidR="00BA4391" w:rsidRPr="00BA4391" w14:paraId="76C1705C" w14:textId="77777777" w:rsidTr="004C7C00">
        <w:trPr>
          <w:trHeight w:val="225"/>
        </w:trPr>
        <w:tc>
          <w:tcPr>
            <w:tcW w:w="3547" w:type="dxa"/>
            <w:tcBorders>
              <w:top w:val="nil"/>
              <w:left w:val="nil"/>
              <w:bottom w:val="nil"/>
              <w:right w:val="nil"/>
            </w:tcBorders>
            <w:shd w:val="clear" w:color="auto" w:fill="auto"/>
            <w:noWrap/>
            <w:vAlign w:val="bottom"/>
            <w:hideMark/>
          </w:tcPr>
          <w:p w14:paraId="76C17056" w14:textId="77777777" w:rsidR="00BA4391" w:rsidRPr="00BA4391" w:rsidRDefault="00BA4391" w:rsidP="00BA4391">
            <w:pPr>
              <w:spacing w:after="0" w:line="240" w:lineRule="auto"/>
              <w:ind w:firstLineChars="100" w:firstLine="160"/>
              <w:jc w:val="left"/>
              <w:rPr>
                <w:rFonts w:ascii="Arial" w:hAnsi="Arial" w:cs="Arial"/>
                <w:sz w:val="16"/>
                <w:szCs w:val="16"/>
              </w:rPr>
            </w:pPr>
            <w:r w:rsidRPr="00BA4391">
              <w:rPr>
                <w:rFonts w:ascii="Arial" w:hAnsi="Arial" w:cs="Arial"/>
                <w:sz w:val="16"/>
                <w:szCs w:val="16"/>
              </w:rPr>
              <w:t>Revenue from Government</w:t>
            </w:r>
          </w:p>
        </w:tc>
        <w:tc>
          <w:tcPr>
            <w:tcW w:w="949" w:type="dxa"/>
            <w:tcBorders>
              <w:top w:val="single" w:sz="4" w:space="0" w:color="auto"/>
              <w:left w:val="nil"/>
              <w:bottom w:val="single" w:sz="4" w:space="0" w:color="auto"/>
              <w:right w:val="nil"/>
            </w:tcBorders>
            <w:shd w:val="clear" w:color="auto" w:fill="auto"/>
            <w:noWrap/>
            <w:vAlign w:val="bottom"/>
            <w:hideMark/>
          </w:tcPr>
          <w:p w14:paraId="76C17057"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5,989 </w:t>
            </w:r>
          </w:p>
        </w:tc>
        <w:tc>
          <w:tcPr>
            <w:tcW w:w="840" w:type="dxa"/>
            <w:tcBorders>
              <w:top w:val="single" w:sz="4" w:space="0" w:color="auto"/>
              <w:left w:val="nil"/>
              <w:bottom w:val="single" w:sz="4" w:space="0" w:color="auto"/>
              <w:right w:val="nil"/>
            </w:tcBorders>
            <w:shd w:val="clear" w:color="000000" w:fill="E6E6E6"/>
            <w:noWrap/>
            <w:vAlign w:val="bottom"/>
            <w:hideMark/>
          </w:tcPr>
          <w:p w14:paraId="76C17058"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5,989 </w:t>
            </w:r>
          </w:p>
        </w:tc>
        <w:tc>
          <w:tcPr>
            <w:tcW w:w="841" w:type="dxa"/>
            <w:tcBorders>
              <w:top w:val="single" w:sz="4" w:space="0" w:color="auto"/>
              <w:left w:val="nil"/>
              <w:bottom w:val="single" w:sz="4" w:space="0" w:color="auto"/>
              <w:right w:val="nil"/>
            </w:tcBorders>
            <w:shd w:val="clear" w:color="auto" w:fill="auto"/>
            <w:noWrap/>
            <w:vAlign w:val="bottom"/>
            <w:hideMark/>
          </w:tcPr>
          <w:p w14:paraId="76C17059"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6,028 </w:t>
            </w:r>
          </w:p>
        </w:tc>
        <w:tc>
          <w:tcPr>
            <w:tcW w:w="841" w:type="dxa"/>
            <w:tcBorders>
              <w:top w:val="single" w:sz="4" w:space="0" w:color="auto"/>
              <w:left w:val="nil"/>
              <w:bottom w:val="single" w:sz="4" w:space="0" w:color="auto"/>
              <w:right w:val="nil"/>
            </w:tcBorders>
            <w:shd w:val="clear" w:color="auto" w:fill="auto"/>
            <w:noWrap/>
            <w:vAlign w:val="bottom"/>
            <w:hideMark/>
          </w:tcPr>
          <w:p w14:paraId="76C1705A"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6,069 </w:t>
            </w:r>
          </w:p>
        </w:tc>
        <w:tc>
          <w:tcPr>
            <w:tcW w:w="841" w:type="dxa"/>
            <w:tcBorders>
              <w:top w:val="single" w:sz="4" w:space="0" w:color="auto"/>
              <w:left w:val="nil"/>
              <w:bottom w:val="single" w:sz="4" w:space="0" w:color="auto"/>
              <w:right w:val="nil"/>
            </w:tcBorders>
            <w:shd w:val="clear" w:color="auto" w:fill="auto"/>
            <w:noWrap/>
            <w:vAlign w:val="bottom"/>
            <w:hideMark/>
          </w:tcPr>
          <w:p w14:paraId="76C1705B" w14:textId="77777777" w:rsidR="00BA4391" w:rsidRPr="00BA4391" w:rsidRDefault="00BA4391" w:rsidP="00BA4391">
            <w:pPr>
              <w:spacing w:after="0" w:line="240" w:lineRule="auto"/>
              <w:jc w:val="right"/>
              <w:rPr>
                <w:rFonts w:ascii="Arial" w:hAnsi="Arial" w:cs="Arial"/>
                <w:sz w:val="16"/>
                <w:szCs w:val="16"/>
              </w:rPr>
            </w:pPr>
            <w:r w:rsidRPr="00BA4391">
              <w:rPr>
                <w:rFonts w:ascii="Arial" w:hAnsi="Arial" w:cs="Arial"/>
                <w:sz w:val="16"/>
                <w:szCs w:val="16"/>
              </w:rPr>
              <w:t xml:space="preserve">6,110 </w:t>
            </w:r>
          </w:p>
        </w:tc>
      </w:tr>
      <w:tr w:rsidR="00BA4391" w:rsidRPr="00BA4391" w14:paraId="76C17063" w14:textId="77777777" w:rsidTr="004C7C00">
        <w:trPr>
          <w:trHeight w:val="420"/>
        </w:trPr>
        <w:tc>
          <w:tcPr>
            <w:tcW w:w="3547" w:type="dxa"/>
            <w:tcBorders>
              <w:top w:val="nil"/>
              <w:left w:val="nil"/>
              <w:bottom w:val="nil"/>
              <w:right w:val="nil"/>
            </w:tcBorders>
            <w:shd w:val="clear" w:color="auto" w:fill="auto"/>
            <w:vAlign w:val="bottom"/>
            <w:hideMark/>
          </w:tcPr>
          <w:p w14:paraId="76C1705D" w14:textId="65664BE8" w:rsidR="00BA4391" w:rsidRPr="00BA4391" w:rsidRDefault="00BA4391" w:rsidP="000F02C2">
            <w:pPr>
              <w:spacing w:after="0" w:line="240" w:lineRule="auto"/>
              <w:jc w:val="left"/>
              <w:rPr>
                <w:rFonts w:ascii="Arial" w:hAnsi="Arial" w:cs="Arial"/>
                <w:b/>
                <w:bCs/>
                <w:sz w:val="16"/>
                <w:szCs w:val="16"/>
              </w:rPr>
            </w:pPr>
            <w:r w:rsidRPr="00BA4391">
              <w:rPr>
                <w:rFonts w:ascii="Arial" w:hAnsi="Arial" w:cs="Arial"/>
                <w:b/>
                <w:bCs/>
                <w:sz w:val="16"/>
                <w:szCs w:val="16"/>
              </w:rPr>
              <w:t>Surplus/(deficit) attributable to the Australian Government</w:t>
            </w:r>
          </w:p>
        </w:tc>
        <w:tc>
          <w:tcPr>
            <w:tcW w:w="949" w:type="dxa"/>
            <w:tcBorders>
              <w:top w:val="nil"/>
              <w:left w:val="nil"/>
              <w:bottom w:val="single" w:sz="4" w:space="0" w:color="auto"/>
              <w:right w:val="nil"/>
            </w:tcBorders>
            <w:shd w:val="clear" w:color="auto" w:fill="auto"/>
            <w:noWrap/>
            <w:vAlign w:val="bottom"/>
            <w:hideMark/>
          </w:tcPr>
          <w:p w14:paraId="76C1705E"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0" w:type="dxa"/>
            <w:tcBorders>
              <w:top w:val="nil"/>
              <w:left w:val="nil"/>
              <w:bottom w:val="single" w:sz="4" w:space="0" w:color="auto"/>
              <w:right w:val="nil"/>
            </w:tcBorders>
            <w:shd w:val="clear" w:color="000000" w:fill="E6E6E6"/>
            <w:noWrap/>
            <w:vAlign w:val="bottom"/>
            <w:hideMark/>
          </w:tcPr>
          <w:p w14:paraId="76C1705F"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1" w:type="dxa"/>
            <w:tcBorders>
              <w:top w:val="nil"/>
              <w:left w:val="nil"/>
              <w:bottom w:val="single" w:sz="4" w:space="0" w:color="auto"/>
              <w:right w:val="nil"/>
            </w:tcBorders>
            <w:shd w:val="clear" w:color="auto" w:fill="auto"/>
            <w:noWrap/>
            <w:vAlign w:val="bottom"/>
            <w:hideMark/>
          </w:tcPr>
          <w:p w14:paraId="76C17060"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1" w:type="dxa"/>
            <w:tcBorders>
              <w:top w:val="nil"/>
              <w:left w:val="nil"/>
              <w:bottom w:val="single" w:sz="4" w:space="0" w:color="auto"/>
              <w:right w:val="nil"/>
            </w:tcBorders>
            <w:shd w:val="clear" w:color="auto" w:fill="auto"/>
            <w:noWrap/>
            <w:vAlign w:val="bottom"/>
            <w:hideMark/>
          </w:tcPr>
          <w:p w14:paraId="76C17061"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1" w:type="dxa"/>
            <w:tcBorders>
              <w:top w:val="nil"/>
              <w:left w:val="nil"/>
              <w:bottom w:val="single" w:sz="4" w:space="0" w:color="auto"/>
              <w:right w:val="nil"/>
            </w:tcBorders>
            <w:shd w:val="clear" w:color="auto" w:fill="auto"/>
            <w:noWrap/>
            <w:vAlign w:val="bottom"/>
            <w:hideMark/>
          </w:tcPr>
          <w:p w14:paraId="76C17062"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r>
      <w:tr w:rsidR="00BA4391" w:rsidRPr="00BA4391" w14:paraId="76C1706A" w14:textId="77777777" w:rsidTr="004C7C00">
        <w:trPr>
          <w:trHeight w:val="225"/>
        </w:trPr>
        <w:tc>
          <w:tcPr>
            <w:tcW w:w="3547" w:type="dxa"/>
            <w:tcBorders>
              <w:top w:val="nil"/>
              <w:left w:val="nil"/>
              <w:bottom w:val="nil"/>
              <w:right w:val="nil"/>
            </w:tcBorders>
            <w:shd w:val="clear" w:color="auto" w:fill="auto"/>
            <w:noWrap/>
            <w:vAlign w:val="bottom"/>
            <w:hideMark/>
          </w:tcPr>
          <w:p w14:paraId="76C17064" w14:textId="77777777" w:rsidR="00BA4391" w:rsidRPr="00BA4391" w:rsidRDefault="00BA4391" w:rsidP="00BA4391">
            <w:pPr>
              <w:spacing w:after="0" w:line="240" w:lineRule="auto"/>
              <w:jc w:val="left"/>
              <w:rPr>
                <w:rFonts w:ascii="Arial" w:hAnsi="Arial" w:cs="Arial"/>
                <w:b/>
                <w:bCs/>
                <w:sz w:val="16"/>
                <w:szCs w:val="16"/>
              </w:rPr>
            </w:pPr>
            <w:r w:rsidRPr="00BA4391">
              <w:rPr>
                <w:rFonts w:ascii="Arial" w:hAnsi="Arial" w:cs="Arial"/>
                <w:b/>
                <w:bCs/>
                <w:sz w:val="16"/>
                <w:szCs w:val="16"/>
              </w:rPr>
              <w:t>OTHER COMPREHENSIVE INCOME</w:t>
            </w:r>
          </w:p>
        </w:tc>
        <w:tc>
          <w:tcPr>
            <w:tcW w:w="949" w:type="dxa"/>
            <w:tcBorders>
              <w:top w:val="nil"/>
              <w:left w:val="nil"/>
              <w:bottom w:val="nil"/>
              <w:right w:val="nil"/>
            </w:tcBorders>
            <w:shd w:val="clear" w:color="auto" w:fill="auto"/>
            <w:noWrap/>
            <w:vAlign w:val="bottom"/>
            <w:hideMark/>
          </w:tcPr>
          <w:p w14:paraId="76C17065" w14:textId="77777777" w:rsidR="00BA4391" w:rsidRPr="00BA4391" w:rsidRDefault="00BA4391" w:rsidP="00BA4391">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000000" w:fill="E6E6E6"/>
            <w:noWrap/>
            <w:vAlign w:val="bottom"/>
            <w:hideMark/>
          </w:tcPr>
          <w:p w14:paraId="76C17066"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w:t>
            </w:r>
          </w:p>
        </w:tc>
        <w:tc>
          <w:tcPr>
            <w:tcW w:w="841" w:type="dxa"/>
            <w:tcBorders>
              <w:top w:val="nil"/>
              <w:left w:val="nil"/>
              <w:bottom w:val="nil"/>
              <w:right w:val="nil"/>
            </w:tcBorders>
            <w:shd w:val="clear" w:color="auto" w:fill="auto"/>
            <w:noWrap/>
            <w:vAlign w:val="bottom"/>
            <w:hideMark/>
          </w:tcPr>
          <w:p w14:paraId="76C17067" w14:textId="77777777" w:rsidR="00BA4391" w:rsidRPr="00BA4391" w:rsidRDefault="00BA4391" w:rsidP="00BA4391">
            <w:pPr>
              <w:spacing w:after="0" w:line="240" w:lineRule="auto"/>
              <w:jc w:val="right"/>
              <w:rPr>
                <w:rFonts w:ascii="Arial" w:hAnsi="Arial" w:cs="Arial"/>
                <w:b/>
                <w:bCs/>
                <w:sz w:val="16"/>
                <w:szCs w:val="16"/>
              </w:rPr>
            </w:pPr>
          </w:p>
        </w:tc>
        <w:tc>
          <w:tcPr>
            <w:tcW w:w="841" w:type="dxa"/>
            <w:tcBorders>
              <w:top w:val="nil"/>
              <w:left w:val="nil"/>
              <w:bottom w:val="nil"/>
              <w:right w:val="nil"/>
            </w:tcBorders>
            <w:shd w:val="clear" w:color="auto" w:fill="auto"/>
            <w:noWrap/>
            <w:vAlign w:val="bottom"/>
            <w:hideMark/>
          </w:tcPr>
          <w:p w14:paraId="76C17068" w14:textId="77777777" w:rsidR="00BA4391" w:rsidRPr="00BA4391" w:rsidRDefault="00BA4391" w:rsidP="00BA4391">
            <w:pPr>
              <w:spacing w:after="0" w:line="240" w:lineRule="auto"/>
              <w:jc w:val="right"/>
              <w:rPr>
                <w:rFonts w:ascii="Times New Roman" w:hAnsi="Times New Roman"/>
              </w:rPr>
            </w:pPr>
          </w:p>
        </w:tc>
        <w:tc>
          <w:tcPr>
            <w:tcW w:w="841" w:type="dxa"/>
            <w:tcBorders>
              <w:top w:val="nil"/>
              <w:left w:val="nil"/>
              <w:bottom w:val="nil"/>
              <w:right w:val="nil"/>
            </w:tcBorders>
            <w:shd w:val="clear" w:color="auto" w:fill="auto"/>
            <w:noWrap/>
            <w:vAlign w:val="bottom"/>
            <w:hideMark/>
          </w:tcPr>
          <w:p w14:paraId="76C17069" w14:textId="77777777" w:rsidR="00BA4391" w:rsidRPr="00BA4391" w:rsidRDefault="00BA4391" w:rsidP="00BA4391">
            <w:pPr>
              <w:spacing w:after="0" w:line="240" w:lineRule="auto"/>
              <w:jc w:val="right"/>
              <w:rPr>
                <w:rFonts w:ascii="Times New Roman" w:hAnsi="Times New Roman"/>
              </w:rPr>
            </w:pPr>
          </w:p>
        </w:tc>
      </w:tr>
      <w:tr w:rsidR="00BA4391" w:rsidRPr="00BA4391" w14:paraId="76C17071" w14:textId="77777777" w:rsidTr="004C7C00">
        <w:trPr>
          <w:trHeight w:val="225"/>
        </w:trPr>
        <w:tc>
          <w:tcPr>
            <w:tcW w:w="3547" w:type="dxa"/>
            <w:tcBorders>
              <w:top w:val="nil"/>
              <w:left w:val="nil"/>
              <w:bottom w:val="nil"/>
              <w:right w:val="nil"/>
            </w:tcBorders>
            <w:shd w:val="clear" w:color="auto" w:fill="auto"/>
            <w:noWrap/>
            <w:vAlign w:val="bottom"/>
            <w:hideMark/>
          </w:tcPr>
          <w:p w14:paraId="76C1706B" w14:textId="77777777" w:rsidR="00BA4391" w:rsidRPr="00BA4391" w:rsidRDefault="00BA4391" w:rsidP="00BA4391">
            <w:pPr>
              <w:spacing w:after="0" w:line="240" w:lineRule="auto"/>
              <w:ind w:firstLineChars="100" w:firstLine="160"/>
              <w:jc w:val="left"/>
              <w:rPr>
                <w:rFonts w:ascii="Arial" w:hAnsi="Arial" w:cs="Arial"/>
                <w:sz w:val="16"/>
                <w:szCs w:val="16"/>
              </w:rPr>
            </w:pPr>
            <w:r w:rsidRPr="00BA4391">
              <w:rPr>
                <w:rFonts w:ascii="Arial" w:hAnsi="Arial" w:cs="Arial"/>
                <w:sz w:val="16"/>
                <w:szCs w:val="16"/>
              </w:rPr>
              <w:t>Changes in asset revaluation surplus</w:t>
            </w:r>
          </w:p>
        </w:tc>
        <w:tc>
          <w:tcPr>
            <w:tcW w:w="949" w:type="dxa"/>
            <w:tcBorders>
              <w:top w:val="nil"/>
              <w:left w:val="nil"/>
              <w:bottom w:val="nil"/>
              <w:right w:val="nil"/>
            </w:tcBorders>
            <w:shd w:val="clear" w:color="auto" w:fill="auto"/>
            <w:noWrap/>
            <w:vAlign w:val="bottom"/>
            <w:hideMark/>
          </w:tcPr>
          <w:p w14:paraId="76C1706C"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0" w:type="dxa"/>
            <w:tcBorders>
              <w:top w:val="nil"/>
              <w:left w:val="nil"/>
              <w:bottom w:val="nil"/>
              <w:right w:val="nil"/>
            </w:tcBorders>
            <w:shd w:val="clear" w:color="000000" w:fill="E6E6E6"/>
            <w:noWrap/>
            <w:vAlign w:val="bottom"/>
            <w:hideMark/>
          </w:tcPr>
          <w:p w14:paraId="76C1706D"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1" w:type="dxa"/>
            <w:tcBorders>
              <w:top w:val="nil"/>
              <w:left w:val="nil"/>
              <w:bottom w:val="nil"/>
              <w:right w:val="nil"/>
            </w:tcBorders>
            <w:shd w:val="clear" w:color="auto" w:fill="auto"/>
            <w:noWrap/>
            <w:vAlign w:val="bottom"/>
            <w:hideMark/>
          </w:tcPr>
          <w:p w14:paraId="76C1706E"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1" w:type="dxa"/>
            <w:tcBorders>
              <w:top w:val="nil"/>
              <w:left w:val="nil"/>
              <w:bottom w:val="nil"/>
              <w:right w:val="nil"/>
            </w:tcBorders>
            <w:shd w:val="clear" w:color="auto" w:fill="auto"/>
            <w:noWrap/>
            <w:vAlign w:val="bottom"/>
            <w:hideMark/>
          </w:tcPr>
          <w:p w14:paraId="76C1706F"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1" w:type="dxa"/>
            <w:tcBorders>
              <w:top w:val="nil"/>
              <w:left w:val="nil"/>
              <w:bottom w:val="nil"/>
              <w:right w:val="nil"/>
            </w:tcBorders>
            <w:shd w:val="clear" w:color="auto" w:fill="auto"/>
            <w:noWrap/>
            <w:vAlign w:val="bottom"/>
            <w:hideMark/>
          </w:tcPr>
          <w:p w14:paraId="76C17070"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r>
      <w:tr w:rsidR="00BA4391" w:rsidRPr="00BA4391" w14:paraId="76C17078" w14:textId="77777777" w:rsidTr="004C7C00">
        <w:trPr>
          <w:trHeight w:val="225"/>
        </w:trPr>
        <w:tc>
          <w:tcPr>
            <w:tcW w:w="3547" w:type="dxa"/>
            <w:tcBorders>
              <w:top w:val="nil"/>
              <w:left w:val="nil"/>
              <w:bottom w:val="nil"/>
              <w:right w:val="nil"/>
            </w:tcBorders>
            <w:shd w:val="clear" w:color="auto" w:fill="auto"/>
            <w:noWrap/>
            <w:vAlign w:val="bottom"/>
            <w:hideMark/>
          </w:tcPr>
          <w:p w14:paraId="76C17072" w14:textId="77777777" w:rsidR="00BA4391" w:rsidRPr="00BA4391" w:rsidRDefault="00BA4391" w:rsidP="00BA4391">
            <w:pPr>
              <w:spacing w:after="0" w:line="240" w:lineRule="auto"/>
              <w:jc w:val="left"/>
              <w:rPr>
                <w:rFonts w:ascii="Arial" w:hAnsi="Arial" w:cs="Arial"/>
                <w:b/>
                <w:bCs/>
                <w:sz w:val="16"/>
                <w:szCs w:val="16"/>
              </w:rPr>
            </w:pPr>
            <w:r w:rsidRPr="00BA4391">
              <w:rPr>
                <w:rFonts w:ascii="Arial" w:hAnsi="Arial" w:cs="Arial"/>
                <w:b/>
                <w:bCs/>
                <w:sz w:val="16"/>
                <w:szCs w:val="16"/>
              </w:rPr>
              <w:t xml:space="preserve">Total other comprehensive income </w:t>
            </w:r>
          </w:p>
        </w:tc>
        <w:tc>
          <w:tcPr>
            <w:tcW w:w="949" w:type="dxa"/>
            <w:tcBorders>
              <w:top w:val="single" w:sz="4" w:space="0" w:color="auto"/>
              <w:left w:val="nil"/>
              <w:bottom w:val="single" w:sz="4" w:space="0" w:color="auto"/>
              <w:right w:val="nil"/>
            </w:tcBorders>
            <w:shd w:val="clear" w:color="auto" w:fill="auto"/>
            <w:noWrap/>
            <w:vAlign w:val="bottom"/>
            <w:hideMark/>
          </w:tcPr>
          <w:p w14:paraId="76C17073"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0" w:type="dxa"/>
            <w:tcBorders>
              <w:top w:val="single" w:sz="4" w:space="0" w:color="auto"/>
              <w:left w:val="nil"/>
              <w:bottom w:val="single" w:sz="4" w:space="0" w:color="auto"/>
              <w:right w:val="nil"/>
            </w:tcBorders>
            <w:shd w:val="clear" w:color="000000" w:fill="E6E6E6"/>
            <w:noWrap/>
            <w:vAlign w:val="bottom"/>
            <w:hideMark/>
          </w:tcPr>
          <w:p w14:paraId="76C17074"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1" w:type="dxa"/>
            <w:tcBorders>
              <w:top w:val="single" w:sz="4" w:space="0" w:color="auto"/>
              <w:left w:val="nil"/>
              <w:bottom w:val="single" w:sz="4" w:space="0" w:color="auto"/>
              <w:right w:val="nil"/>
            </w:tcBorders>
            <w:shd w:val="clear" w:color="auto" w:fill="auto"/>
            <w:noWrap/>
            <w:vAlign w:val="bottom"/>
            <w:hideMark/>
          </w:tcPr>
          <w:p w14:paraId="76C17075"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1" w:type="dxa"/>
            <w:tcBorders>
              <w:top w:val="single" w:sz="4" w:space="0" w:color="auto"/>
              <w:left w:val="nil"/>
              <w:bottom w:val="single" w:sz="4" w:space="0" w:color="auto"/>
              <w:right w:val="nil"/>
            </w:tcBorders>
            <w:shd w:val="clear" w:color="auto" w:fill="auto"/>
            <w:noWrap/>
            <w:vAlign w:val="bottom"/>
            <w:hideMark/>
          </w:tcPr>
          <w:p w14:paraId="76C17076"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1" w:type="dxa"/>
            <w:tcBorders>
              <w:top w:val="single" w:sz="4" w:space="0" w:color="auto"/>
              <w:left w:val="nil"/>
              <w:bottom w:val="single" w:sz="4" w:space="0" w:color="auto"/>
              <w:right w:val="nil"/>
            </w:tcBorders>
            <w:shd w:val="clear" w:color="auto" w:fill="auto"/>
            <w:noWrap/>
            <w:vAlign w:val="bottom"/>
            <w:hideMark/>
          </w:tcPr>
          <w:p w14:paraId="76C17077"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r>
      <w:tr w:rsidR="00BA4391" w:rsidRPr="00BA4391" w14:paraId="76C1707F" w14:textId="77777777" w:rsidTr="004C7C00">
        <w:trPr>
          <w:trHeight w:val="225"/>
        </w:trPr>
        <w:tc>
          <w:tcPr>
            <w:tcW w:w="3547" w:type="dxa"/>
            <w:tcBorders>
              <w:top w:val="nil"/>
              <w:left w:val="nil"/>
              <w:bottom w:val="nil"/>
              <w:right w:val="nil"/>
            </w:tcBorders>
            <w:shd w:val="clear" w:color="auto" w:fill="auto"/>
            <w:noWrap/>
            <w:vAlign w:val="bottom"/>
            <w:hideMark/>
          </w:tcPr>
          <w:p w14:paraId="76C17079" w14:textId="77777777" w:rsidR="00BA4391" w:rsidRPr="00BA4391" w:rsidRDefault="00BA4391" w:rsidP="00BA4391">
            <w:pPr>
              <w:spacing w:after="0" w:line="240" w:lineRule="auto"/>
              <w:jc w:val="left"/>
              <w:rPr>
                <w:rFonts w:ascii="Arial" w:hAnsi="Arial" w:cs="Arial"/>
                <w:b/>
                <w:bCs/>
                <w:sz w:val="16"/>
                <w:szCs w:val="16"/>
              </w:rPr>
            </w:pPr>
            <w:r w:rsidRPr="00BA4391">
              <w:rPr>
                <w:rFonts w:ascii="Arial" w:hAnsi="Arial" w:cs="Arial"/>
                <w:b/>
                <w:bCs/>
                <w:sz w:val="16"/>
                <w:szCs w:val="16"/>
              </w:rPr>
              <w:t>Total comprehensive income/(loss)</w:t>
            </w:r>
          </w:p>
        </w:tc>
        <w:tc>
          <w:tcPr>
            <w:tcW w:w="949" w:type="dxa"/>
            <w:tcBorders>
              <w:top w:val="nil"/>
              <w:left w:val="nil"/>
              <w:bottom w:val="single" w:sz="4" w:space="0" w:color="auto"/>
              <w:right w:val="nil"/>
            </w:tcBorders>
            <w:shd w:val="clear" w:color="auto" w:fill="auto"/>
            <w:noWrap/>
            <w:vAlign w:val="bottom"/>
            <w:hideMark/>
          </w:tcPr>
          <w:p w14:paraId="76C1707A"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0" w:type="dxa"/>
            <w:tcBorders>
              <w:top w:val="nil"/>
              <w:left w:val="nil"/>
              <w:bottom w:val="single" w:sz="4" w:space="0" w:color="auto"/>
              <w:right w:val="nil"/>
            </w:tcBorders>
            <w:shd w:val="clear" w:color="000000" w:fill="E6E6E6"/>
            <w:noWrap/>
            <w:vAlign w:val="bottom"/>
            <w:hideMark/>
          </w:tcPr>
          <w:p w14:paraId="76C1707B"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1" w:type="dxa"/>
            <w:tcBorders>
              <w:top w:val="nil"/>
              <w:left w:val="nil"/>
              <w:bottom w:val="single" w:sz="4" w:space="0" w:color="auto"/>
              <w:right w:val="nil"/>
            </w:tcBorders>
            <w:shd w:val="clear" w:color="auto" w:fill="auto"/>
            <w:noWrap/>
            <w:vAlign w:val="bottom"/>
            <w:hideMark/>
          </w:tcPr>
          <w:p w14:paraId="76C1707C"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1" w:type="dxa"/>
            <w:tcBorders>
              <w:top w:val="nil"/>
              <w:left w:val="nil"/>
              <w:bottom w:val="single" w:sz="4" w:space="0" w:color="auto"/>
              <w:right w:val="nil"/>
            </w:tcBorders>
            <w:shd w:val="clear" w:color="auto" w:fill="auto"/>
            <w:noWrap/>
            <w:vAlign w:val="bottom"/>
            <w:hideMark/>
          </w:tcPr>
          <w:p w14:paraId="76C1707D"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1" w:type="dxa"/>
            <w:tcBorders>
              <w:top w:val="nil"/>
              <w:left w:val="nil"/>
              <w:bottom w:val="single" w:sz="4" w:space="0" w:color="auto"/>
              <w:right w:val="nil"/>
            </w:tcBorders>
            <w:shd w:val="clear" w:color="auto" w:fill="auto"/>
            <w:noWrap/>
            <w:vAlign w:val="bottom"/>
            <w:hideMark/>
          </w:tcPr>
          <w:p w14:paraId="76C1707E"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r>
      <w:tr w:rsidR="00BA4391" w:rsidRPr="00BA4391" w14:paraId="76C17086" w14:textId="77777777" w:rsidTr="000F02C2">
        <w:trPr>
          <w:trHeight w:val="327"/>
        </w:trPr>
        <w:tc>
          <w:tcPr>
            <w:tcW w:w="3547" w:type="dxa"/>
            <w:tcBorders>
              <w:top w:val="nil"/>
              <w:left w:val="nil"/>
              <w:bottom w:val="single" w:sz="4" w:space="0" w:color="auto"/>
              <w:right w:val="nil"/>
            </w:tcBorders>
            <w:shd w:val="clear" w:color="auto" w:fill="auto"/>
            <w:vAlign w:val="bottom"/>
            <w:hideMark/>
          </w:tcPr>
          <w:p w14:paraId="76C17080" w14:textId="06CF8B1C" w:rsidR="00BA4391" w:rsidRPr="00BA4391" w:rsidRDefault="00BA4391" w:rsidP="000F02C2">
            <w:pPr>
              <w:spacing w:after="0" w:line="240" w:lineRule="auto"/>
              <w:jc w:val="left"/>
              <w:rPr>
                <w:rFonts w:ascii="Arial" w:hAnsi="Arial" w:cs="Arial"/>
                <w:b/>
                <w:bCs/>
                <w:sz w:val="16"/>
                <w:szCs w:val="16"/>
              </w:rPr>
            </w:pPr>
            <w:r w:rsidRPr="00BA4391">
              <w:rPr>
                <w:rFonts w:ascii="Arial" w:hAnsi="Arial" w:cs="Arial"/>
                <w:b/>
                <w:bCs/>
                <w:sz w:val="16"/>
                <w:szCs w:val="16"/>
              </w:rPr>
              <w:t>Total comprehensive income/(loss) attributable to the Australian Government</w:t>
            </w:r>
          </w:p>
        </w:tc>
        <w:tc>
          <w:tcPr>
            <w:tcW w:w="949" w:type="dxa"/>
            <w:tcBorders>
              <w:top w:val="nil"/>
              <w:left w:val="nil"/>
              <w:bottom w:val="single" w:sz="4" w:space="0" w:color="auto"/>
              <w:right w:val="nil"/>
            </w:tcBorders>
            <w:shd w:val="clear" w:color="auto" w:fill="auto"/>
            <w:noWrap/>
            <w:vAlign w:val="bottom"/>
            <w:hideMark/>
          </w:tcPr>
          <w:p w14:paraId="76C17081"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0" w:type="dxa"/>
            <w:tcBorders>
              <w:top w:val="nil"/>
              <w:left w:val="nil"/>
              <w:bottom w:val="single" w:sz="4" w:space="0" w:color="auto"/>
              <w:right w:val="nil"/>
            </w:tcBorders>
            <w:shd w:val="clear" w:color="000000" w:fill="E6E6E6"/>
            <w:noWrap/>
            <w:vAlign w:val="bottom"/>
            <w:hideMark/>
          </w:tcPr>
          <w:p w14:paraId="76C17082"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1" w:type="dxa"/>
            <w:tcBorders>
              <w:top w:val="nil"/>
              <w:left w:val="nil"/>
              <w:bottom w:val="single" w:sz="4" w:space="0" w:color="auto"/>
              <w:right w:val="nil"/>
            </w:tcBorders>
            <w:shd w:val="clear" w:color="auto" w:fill="auto"/>
            <w:noWrap/>
            <w:vAlign w:val="bottom"/>
            <w:hideMark/>
          </w:tcPr>
          <w:p w14:paraId="76C17083"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1" w:type="dxa"/>
            <w:tcBorders>
              <w:top w:val="nil"/>
              <w:left w:val="nil"/>
              <w:bottom w:val="single" w:sz="4" w:space="0" w:color="auto"/>
              <w:right w:val="nil"/>
            </w:tcBorders>
            <w:shd w:val="clear" w:color="auto" w:fill="auto"/>
            <w:noWrap/>
            <w:vAlign w:val="bottom"/>
            <w:hideMark/>
          </w:tcPr>
          <w:p w14:paraId="76C17084"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c>
          <w:tcPr>
            <w:tcW w:w="841" w:type="dxa"/>
            <w:tcBorders>
              <w:top w:val="nil"/>
              <w:left w:val="nil"/>
              <w:bottom w:val="single" w:sz="4" w:space="0" w:color="auto"/>
              <w:right w:val="nil"/>
            </w:tcBorders>
            <w:shd w:val="clear" w:color="auto" w:fill="auto"/>
            <w:noWrap/>
            <w:vAlign w:val="bottom"/>
            <w:hideMark/>
          </w:tcPr>
          <w:p w14:paraId="76C17085" w14:textId="77777777" w:rsidR="00BA4391" w:rsidRPr="00BA4391" w:rsidRDefault="00BA4391" w:rsidP="00BA4391">
            <w:pPr>
              <w:spacing w:after="0" w:line="240" w:lineRule="auto"/>
              <w:jc w:val="right"/>
              <w:rPr>
                <w:rFonts w:ascii="Arial" w:hAnsi="Arial" w:cs="Arial"/>
                <w:b/>
                <w:bCs/>
                <w:sz w:val="16"/>
                <w:szCs w:val="16"/>
              </w:rPr>
            </w:pPr>
            <w:r w:rsidRPr="00BA4391">
              <w:rPr>
                <w:rFonts w:ascii="Arial" w:hAnsi="Arial" w:cs="Arial"/>
                <w:b/>
                <w:bCs/>
                <w:sz w:val="16"/>
                <w:szCs w:val="16"/>
              </w:rPr>
              <w:t xml:space="preserve">- </w:t>
            </w:r>
          </w:p>
        </w:tc>
      </w:tr>
    </w:tbl>
    <w:p w14:paraId="76C17087" w14:textId="5966BE4C" w:rsidR="00DF0134" w:rsidRPr="00EC50CD" w:rsidRDefault="00000A31" w:rsidP="00EC50CD">
      <w:pPr>
        <w:pStyle w:val="ListParagraph"/>
        <w:numPr>
          <w:ilvl w:val="0"/>
          <w:numId w:val="46"/>
        </w:numPr>
        <w:spacing w:before="120" w:after="0" w:line="240" w:lineRule="auto"/>
        <w:rPr>
          <w:rFonts w:ascii="Arial" w:hAnsi="Arial" w:cs="Arial"/>
          <w:sz w:val="16"/>
          <w:szCs w:val="16"/>
        </w:rPr>
      </w:pPr>
      <w:r w:rsidRPr="00000A31">
        <w:rPr>
          <w:rFonts w:ascii="Arial" w:hAnsi="Arial" w:cs="Arial"/>
          <w:sz w:val="16"/>
          <w:szCs w:val="16"/>
        </w:rPr>
        <w:t>This relates to non-cash movements in workers</w:t>
      </w:r>
      <w:r w:rsidR="00EC50CD">
        <w:rPr>
          <w:rFonts w:ascii="Arial" w:hAnsi="Arial" w:cs="Arial"/>
          <w:sz w:val="16"/>
          <w:szCs w:val="16"/>
        </w:rPr>
        <w:t>’</w:t>
      </w:r>
      <w:r w:rsidRPr="00EC50CD">
        <w:rPr>
          <w:rFonts w:ascii="Arial" w:hAnsi="Arial" w:cs="Arial"/>
          <w:sz w:val="16"/>
          <w:szCs w:val="16"/>
        </w:rPr>
        <w:t xml:space="preserve"> compensation claims liabilities and asbestos related claims liabilities.</w:t>
      </w:r>
    </w:p>
    <w:p w14:paraId="76C17088" w14:textId="77777777" w:rsidR="00ED16A4" w:rsidRPr="00ED16A4" w:rsidRDefault="00ED16A4" w:rsidP="003732E1">
      <w:pPr>
        <w:pStyle w:val="Source"/>
        <w:spacing w:before="120"/>
        <w:jc w:val="left"/>
        <w:rPr>
          <w:rFonts w:cs="Arial"/>
        </w:rPr>
      </w:pPr>
      <w:r w:rsidRPr="00ED16A4">
        <w:rPr>
          <w:rFonts w:cs="Arial"/>
        </w:rPr>
        <w:t>Prepared on Australian Accounting Standards basis.</w:t>
      </w:r>
    </w:p>
    <w:p w14:paraId="76C17089" w14:textId="77777777" w:rsidR="00DF0134" w:rsidRDefault="00DF0134" w:rsidP="00000A31">
      <w:pPr>
        <w:pStyle w:val="TableHeadingcontinued"/>
      </w:pPr>
      <w:r>
        <w:br w:type="page"/>
      </w:r>
      <w:r w:rsidRPr="00E4582E">
        <w:lastRenderedPageBreak/>
        <w:t>Table</w:t>
      </w:r>
      <w:r>
        <w:t xml:space="preserve"> 3.</w:t>
      </w:r>
      <w:r w:rsidRPr="00E4582E">
        <w:t>2: Budg</w:t>
      </w:r>
      <w:r>
        <w:t xml:space="preserve">eted departmental balance sheet </w:t>
      </w:r>
      <w:r w:rsidRPr="00E4582E">
        <w:t>(as at 30 June)</w:t>
      </w:r>
    </w:p>
    <w:tbl>
      <w:tblPr>
        <w:tblW w:w="8400" w:type="dxa"/>
        <w:tblCellMar>
          <w:left w:w="0" w:type="dxa"/>
          <w:right w:w="0" w:type="dxa"/>
        </w:tblCellMar>
        <w:tblLook w:val="04A0" w:firstRow="1" w:lastRow="0" w:firstColumn="1" w:lastColumn="0" w:noHBand="0" w:noVBand="1"/>
      </w:tblPr>
      <w:tblGrid>
        <w:gridCol w:w="3100"/>
        <w:gridCol w:w="1060"/>
        <w:gridCol w:w="1060"/>
        <w:gridCol w:w="1060"/>
        <w:gridCol w:w="1060"/>
        <w:gridCol w:w="1060"/>
      </w:tblGrid>
      <w:tr w:rsidR="00BA4391" w:rsidRPr="00BA4391" w14:paraId="76C17090" w14:textId="77777777" w:rsidTr="00BA4391">
        <w:trPr>
          <w:trHeight w:val="800"/>
        </w:trPr>
        <w:tc>
          <w:tcPr>
            <w:tcW w:w="3100" w:type="dxa"/>
            <w:tcBorders>
              <w:top w:val="single" w:sz="4" w:space="0" w:color="auto"/>
              <w:left w:val="nil"/>
              <w:bottom w:val="nil"/>
              <w:right w:val="nil"/>
            </w:tcBorders>
            <w:shd w:val="clear" w:color="auto" w:fill="auto"/>
            <w:noWrap/>
            <w:tcMar>
              <w:top w:w="15" w:type="dxa"/>
              <w:left w:w="15" w:type="dxa"/>
              <w:bottom w:w="0" w:type="dxa"/>
              <w:right w:w="15" w:type="dxa"/>
            </w:tcMar>
            <w:hideMark/>
          </w:tcPr>
          <w:p w14:paraId="76C1708A" w14:textId="77777777" w:rsidR="00BA4391" w:rsidRPr="00BA4391" w:rsidRDefault="00BA4391" w:rsidP="00BA4391">
            <w:pPr>
              <w:spacing w:after="0" w:line="240" w:lineRule="auto"/>
              <w:jc w:val="left"/>
              <w:rPr>
                <w:rFonts w:ascii="Arial" w:hAnsi="Arial" w:cs="Arial"/>
                <w:b/>
                <w:bCs/>
                <w:sz w:val="16"/>
                <w:szCs w:val="16"/>
              </w:rPr>
            </w:pPr>
            <w:r w:rsidRPr="00BA4391">
              <w:rPr>
                <w:rFonts w:ascii="Arial" w:hAnsi="Arial" w:cs="Arial"/>
                <w:b/>
                <w:bCs/>
                <w:sz w:val="16"/>
                <w:szCs w:val="16"/>
              </w:rPr>
              <w:t> </w:t>
            </w:r>
          </w:p>
        </w:tc>
        <w:tc>
          <w:tcPr>
            <w:tcW w:w="1060" w:type="dxa"/>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14:paraId="76C1708B" w14:textId="77777777" w:rsidR="00BA4391" w:rsidRPr="00BA4391" w:rsidRDefault="009A4174" w:rsidP="00BA4391">
            <w:pPr>
              <w:spacing w:after="0" w:line="240" w:lineRule="auto"/>
              <w:jc w:val="right"/>
              <w:rPr>
                <w:rFonts w:ascii="Arial" w:hAnsi="Arial" w:cs="Arial"/>
                <w:sz w:val="16"/>
                <w:szCs w:val="16"/>
              </w:rPr>
            </w:pPr>
            <w:r>
              <w:rPr>
                <w:rFonts w:ascii="Arial" w:hAnsi="Arial" w:cs="Arial"/>
                <w:sz w:val="16"/>
                <w:szCs w:val="16"/>
              </w:rPr>
              <w:t xml:space="preserve">2018–19 </w:t>
            </w:r>
            <w:r w:rsidR="00BA4391" w:rsidRPr="00BA4391">
              <w:rPr>
                <w:rFonts w:ascii="Arial" w:hAnsi="Arial" w:cs="Arial"/>
                <w:sz w:val="16"/>
                <w:szCs w:val="16"/>
              </w:rPr>
              <w:t xml:space="preserve"> Estimated actual</w:t>
            </w:r>
            <w:r w:rsidR="00BA4391" w:rsidRPr="00BA4391">
              <w:rPr>
                <w:rFonts w:ascii="Arial" w:hAnsi="Arial" w:cs="Arial"/>
                <w:sz w:val="16"/>
                <w:szCs w:val="16"/>
              </w:rPr>
              <w:br/>
              <w:t>$'000</w:t>
            </w:r>
          </w:p>
        </w:tc>
        <w:tc>
          <w:tcPr>
            <w:tcW w:w="1060" w:type="dxa"/>
            <w:tcBorders>
              <w:top w:val="single" w:sz="4" w:space="0" w:color="auto"/>
              <w:left w:val="nil"/>
              <w:bottom w:val="single" w:sz="4" w:space="0" w:color="auto"/>
              <w:right w:val="nil"/>
            </w:tcBorders>
            <w:shd w:val="clear" w:color="000000" w:fill="E6E6E6"/>
            <w:tcMar>
              <w:top w:w="15" w:type="dxa"/>
              <w:left w:w="15" w:type="dxa"/>
              <w:bottom w:w="0" w:type="dxa"/>
              <w:right w:w="15" w:type="dxa"/>
            </w:tcMar>
            <w:hideMark/>
          </w:tcPr>
          <w:p w14:paraId="76C1708C" w14:textId="77777777" w:rsidR="00BA4391" w:rsidRPr="00BA4391" w:rsidRDefault="009A4174" w:rsidP="00BA4391">
            <w:pPr>
              <w:spacing w:after="0" w:line="240" w:lineRule="auto"/>
              <w:jc w:val="right"/>
              <w:rPr>
                <w:rFonts w:ascii="Arial" w:hAnsi="Arial" w:cs="Arial"/>
                <w:sz w:val="16"/>
                <w:szCs w:val="16"/>
              </w:rPr>
            </w:pPr>
            <w:r>
              <w:rPr>
                <w:rFonts w:ascii="Arial" w:hAnsi="Arial" w:cs="Arial"/>
                <w:sz w:val="16"/>
                <w:szCs w:val="16"/>
              </w:rPr>
              <w:t>2019–20</w:t>
            </w:r>
            <w:r w:rsidR="00BA4391" w:rsidRPr="00BA4391">
              <w:rPr>
                <w:rFonts w:ascii="Arial" w:hAnsi="Arial" w:cs="Arial"/>
                <w:sz w:val="16"/>
                <w:szCs w:val="16"/>
              </w:rPr>
              <w:br/>
              <w:t>Budget</w:t>
            </w:r>
            <w:r w:rsidR="00BA4391" w:rsidRPr="00BA4391">
              <w:rPr>
                <w:rFonts w:ascii="Arial" w:hAnsi="Arial" w:cs="Arial"/>
                <w:sz w:val="16"/>
                <w:szCs w:val="16"/>
              </w:rPr>
              <w:br/>
            </w:r>
            <w:r w:rsidR="00BA4391" w:rsidRPr="00BA4391">
              <w:rPr>
                <w:rFonts w:ascii="Arial" w:hAnsi="Arial" w:cs="Arial"/>
                <w:sz w:val="16"/>
                <w:szCs w:val="16"/>
              </w:rPr>
              <w:br/>
              <w:t>$'000</w:t>
            </w:r>
          </w:p>
        </w:tc>
        <w:tc>
          <w:tcPr>
            <w:tcW w:w="1060" w:type="dxa"/>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14:paraId="76C1708D" w14:textId="614661B4" w:rsidR="00BA4391" w:rsidRPr="00BA4391" w:rsidRDefault="00014C66" w:rsidP="00BA4391">
            <w:pPr>
              <w:spacing w:after="0" w:line="240" w:lineRule="auto"/>
              <w:jc w:val="right"/>
              <w:rPr>
                <w:rFonts w:ascii="Arial" w:hAnsi="Arial" w:cs="Arial"/>
                <w:sz w:val="16"/>
                <w:szCs w:val="16"/>
              </w:rPr>
            </w:pPr>
            <w:r>
              <w:rPr>
                <w:rFonts w:ascii="Arial" w:hAnsi="Arial" w:cs="Arial"/>
                <w:sz w:val="16"/>
                <w:szCs w:val="16"/>
              </w:rPr>
              <w:t>2020–21</w:t>
            </w:r>
            <w:r w:rsidR="00BA4391" w:rsidRPr="00BA4391">
              <w:rPr>
                <w:rFonts w:ascii="Arial" w:hAnsi="Arial" w:cs="Arial"/>
                <w:sz w:val="16"/>
                <w:szCs w:val="16"/>
              </w:rPr>
              <w:t xml:space="preserve"> Forward estimate</w:t>
            </w:r>
            <w:r w:rsidR="00BA4391" w:rsidRPr="00BA4391">
              <w:rPr>
                <w:rFonts w:ascii="Arial" w:hAnsi="Arial" w:cs="Arial"/>
                <w:sz w:val="16"/>
                <w:szCs w:val="16"/>
              </w:rPr>
              <w:br/>
              <w:t>$'000</w:t>
            </w:r>
          </w:p>
        </w:tc>
        <w:tc>
          <w:tcPr>
            <w:tcW w:w="1060" w:type="dxa"/>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14:paraId="76C1708E" w14:textId="77777777" w:rsidR="00BA4391" w:rsidRPr="00BA4391" w:rsidRDefault="009A4174" w:rsidP="00BA4391">
            <w:pPr>
              <w:spacing w:after="0" w:line="240" w:lineRule="auto"/>
              <w:jc w:val="right"/>
              <w:rPr>
                <w:rFonts w:ascii="Arial" w:hAnsi="Arial" w:cs="Arial"/>
                <w:sz w:val="16"/>
                <w:szCs w:val="16"/>
              </w:rPr>
            </w:pPr>
            <w:r>
              <w:rPr>
                <w:rFonts w:ascii="Arial" w:hAnsi="Arial" w:cs="Arial"/>
                <w:sz w:val="16"/>
                <w:szCs w:val="16"/>
              </w:rPr>
              <w:t>2021–22</w:t>
            </w:r>
            <w:r w:rsidR="00BA4391" w:rsidRPr="00BA4391">
              <w:rPr>
                <w:rFonts w:ascii="Arial" w:hAnsi="Arial" w:cs="Arial"/>
                <w:sz w:val="16"/>
                <w:szCs w:val="16"/>
              </w:rPr>
              <w:t xml:space="preserve"> Forward estimate</w:t>
            </w:r>
            <w:r w:rsidR="00BA4391" w:rsidRPr="00BA4391">
              <w:rPr>
                <w:rFonts w:ascii="Arial" w:hAnsi="Arial" w:cs="Arial"/>
                <w:sz w:val="16"/>
                <w:szCs w:val="16"/>
              </w:rPr>
              <w:br/>
              <w:t>$'000</w:t>
            </w:r>
          </w:p>
        </w:tc>
        <w:tc>
          <w:tcPr>
            <w:tcW w:w="1060" w:type="dxa"/>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14:paraId="76C1708F" w14:textId="77777777" w:rsidR="00BA4391" w:rsidRPr="00BA4391" w:rsidRDefault="009A4174" w:rsidP="00BA4391">
            <w:pPr>
              <w:spacing w:after="0" w:line="240" w:lineRule="auto"/>
              <w:jc w:val="right"/>
              <w:rPr>
                <w:rFonts w:ascii="Arial" w:hAnsi="Arial" w:cs="Arial"/>
                <w:sz w:val="16"/>
                <w:szCs w:val="16"/>
              </w:rPr>
            </w:pPr>
            <w:r>
              <w:rPr>
                <w:rFonts w:ascii="Arial" w:hAnsi="Arial" w:cs="Arial"/>
                <w:sz w:val="16"/>
                <w:szCs w:val="16"/>
              </w:rPr>
              <w:t>2022–23</w:t>
            </w:r>
            <w:r w:rsidR="00BA4391" w:rsidRPr="00BA4391">
              <w:rPr>
                <w:rFonts w:ascii="Arial" w:hAnsi="Arial" w:cs="Arial"/>
                <w:sz w:val="16"/>
                <w:szCs w:val="16"/>
              </w:rPr>
              <w:br/>
              <w:t>Forward estimate</w:t>
            </w:r>
            <w:r w:rsidR="00BA4391" w:rsidRPr="00BA4391">
              <w:rPr>
                <w:rFonts w:ascii="Arial" w:hAnsi="Arial" w:cs="Arial"/>
                <w:sz w:val="16"/>
                <w:szCs w:val="16"/>
              </w:rPr>
              <w:br/>
              <w:t>$'000</w:t>
            </w:r>
          </w:p>
        </w:tc>
      </w:tr>
      <w:tr w:rsidR="00BA4391" w:rsidRPr="00BA4391" w14:paraId="76C17097" w14:textId="77777777" w:rsidTr="00BA4391">
        <w:tblPrEx>
          <w:tblCellMar>
            <w:left w:w="108" w:type="dxa"/>
            <w:right w:w="108" w:type="dxa"/>
          </w:tblCellMar>
        </w:tblPrEx>
        <w:trPr>
          <w:trHeight w:val="210"/>
        </w:trPr>
        <w:tc>
          <w:tcPr>
            <w:tcW w:w="3100" w:type="dxa"/>
            <w:tcBorders>
              <w:top w:val="nil"/>
              <w:left w:val="nil"/>
              <w:bottom w:val="nil"/>
              <w:right w:val="nil"/>
            </w:tcBorders>
            <w:shd w:val="clear" w:color="auto" w:fill="auto"/>
            <w:noWrap/>
            <w:vAlign w:val="center"/>
            <w:hideMark/>
          </w:tcPr>
          <w:p w14:paraId="76C17091" w14:textId="77777777" w:rsidR="00BA4391" w:rsidRPr="00BA4391" w:rsidRDefault="00BA4391" w:rsidP="00BA4391">
            <w:pPr>
              <w:spacing w:after="0" w:line="240" w:lineRule="auto"/>
              <w:jc w:val="left"/>
              <w:rPr>
                <w:rFonts w:ascii="Arial" w:hAnsi="Arial" w:cs="Arial"/>
                <w:b/>
                <w:bCs/>
                <w:color w:val="000000"/>
                <w:sz w:val="16"/>
                <w:szCs w:val="16"/>
              </w:rPr>
            </w:pPr>
            <w:r w:rsidRPr="00BA4391">
              <w:rPr>
                <w:rFonts w:ascii="Arial" w:hAnsi="Arial" w:cs="Arial"/>
                <w:b/>
                <w:bCs/>
                <w:color w:val="000000"/>
                <w:sz w:val="16"/>
                <w:szCs w:val="16"/>
              </w:rPr>
              <w:t>ASSETS</w:t>
            </w:r>
          </w:p>
        </w:tc>
        <w:tc>
          <w:tcPr>
            <w:tcW w:w="1060" w:type="dxa"/>
            <w:tcBorders>
              <w:top w:val="nil"/>
              <w:left w:val="nil"/>
              <w:bottom w:val="nil"/>
              <w:right w:val="nil"/>
            </w:tcBorders>
            <w:shd w:val="clear" w:color="auto" w:fill="auto"/>
            <w:noWrap/>
            <w:vAlign w:val="center"/>
            <w:hideMark/>
          </w:tcPr>
          <w:p w14:paraId="76C17092" w14:textId="77777777" w:rsidR="00BA4391" w:rsidRPr="00BA4391" w:rsidRDefault="00BA4391" w:rsidP="00BA4391">
            <w:pPr>
              <w:spacing w:after="0" w:line="240" w:lineRule="auto"/>
              <w:jc w:val="left"/>
              <w:rPr>
                <w:rFonts w:ascii="Arial" w:hAnsi="Arial" w:cs="Arial"/>
                <w:b/>
                <w:bCs/>
                <w:color w:val="000000"/>
                <w:sz w:val="16"/>
                <w:szCs w:val="16"/>
              </w:rPr>
            </w:pPr>
          </w:p>
        </w:tc>
        <w:tc>
          <w:tcPr>
            <w:tcW w:w="1060" w:type="dxa"/>
            <w:tcBorders>
              <w:top w:val="nil"/>
              <w:left w:val="nil"/>
              <w:bottom w:val="nil"/>
              <w:right w:val="nil"/>
            </w:tcBorders>
            <w:shd w:val="clear" w:color="000000" w:fill="E6E6E6"/>
            <w:noWrap/>
            <w:vAlign w:val="center"/>
            <w:hideMark/>
          </w:tcPr>
          <w:p w14:paraId="76C17093" w14:textId="77777777" w:rsidR="00BA4391" w:rsidRPr="00BA4391" w:rsidRDefault="00BA4391" w:rsidP="00BA4391">
            <w:pPr>
              <w:spacing w:after="0" w:line="240" w:lineRule="auto"/>
              <w:jc w:val="left"/>
              <w:rPr>
                <w:rFonts w:ascii="Arial" w:hAnsi="Arial" w:cs="Arial"/>
                <w:color w:val="000000"/>
                <w:sz w:val="16"/>
                <w:szCs w:val="16"/>
              </w:rPr>
            </w:pPr>
            <w:r w:rsidRPr="00BA4391">
              <w:rPr>
                <w:rFonts w:ascii="Arial" w:hAnsi="Arial" w:cs="Arial"/>
                <w:color w:val="000000"/>
                <w:sz w:val="16"/>
                <w:szCs w:val="16"/>
              </w:rPr>
              <w:t> </w:t>
            </w:r>
          </w:p>
        </w:tc>
        <w:tc>
          <w:tcPr>
            <w:tcW w:w="1060" w:type="dxa"/>
            <w:tcBorders>
              <w:top w:val="nil"/>
              <w:left w:val="nil"/>
              <w:bottom w:val="nil"/>
              <w:right w:val="nil"/>
            </w:tcBorders>
            <w:shd w:val="clear" w:color="auto" w:fill="auto"/>
            <w:noWrap/>
            <w:vAlign w:val="center"/>
            <w:hideMark/>
          </w:tcPr>
          <w:p w14:paraId="76C17094" w14:textId="77777777" w:rsidR="00BA4391" w:rsidRPr="00BA4391" w:rsidRDefault="00BA4391" w:rsidP="00BA4391">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14:paraId="76C17095" w14:textId="77777777" w:rsidR="00BA4391" w:rsidRPr="00BA4391" w:rsidRDefault="00BA4391" w:rsidP="00BA4391">
            <w:pPr>
              <w:spacing w:after="0" w:line="240" w:lineRule="auto"/>
              <w:jc w:val="left"/>
              <w:rPr>
                <w:rFonts w:ascii="Times New Roman" w:hAnsi="Times New Roman"/>
              </w:rPr>
            </w:pPr>
          </w:p>
        </w:tc>
        <w:tc>
          <w:tcPr>
            <w:tcW w:w="1060" w:type="dxa"/>
            <w:tcBorders>
              <w:top w:val="nil"/>
              <w:left w:val="nil"/>
              <w:bottom w:val="nil"/>
              <w:right w:val="nil"/>
            </w:tcBorders>
            <w:shd w:val="clear" w:color="auto" w:fill="auto"/>
            <w:noWrap/>
            <w:vAlign w:val="center"/>
            <w:hideMark/>
          </w:tcPr>
          <w:p w14:paraId="76C17096" w14:textId="77777777" w:rsidR="00BA4391" w:rsidRPr="00BA4391" w:rsidRDefault="00BA4391" w:rsidP="00BA4391">
            <w:pPr>
              <w:spacing w:after="0" w:line="240" w:lineRule="auto"/>
              <w:jc w:val="left"/>
              <w:rPr>
                <w:rFonts w:ascii="Times New Roman" w:hAnsi="Times New Roman"/>
              </w:rPr>
            </w:pPr>
          </w:p>
        </w:tc>
      </w:tr>
      <w:tr w:rsidR="00BA4391" w:rsidRPr="00BA4391" w14:paraId="76C1709E" w14:textId="77777777" w:rsidTr="00BA4391">
        <w:tblPrEx>
          <w:tblCellMar>
            <w:left w:w="108" w:type="dxa"/>
            <w:right w:w="108" w:type="dxa"/>
          </w:tblCellMar>
        </w:tblPrEx>
        <w:trPr>
          <w:trHeight w:val="210"/>
        </w:trPr>
        <w:tc>
          <w:tcPr>
            <w:tcW w:w="3100" w:type="dxa"/>
            <w:tcBorders>
              <w:top w:val="nil"/>
              <w:left w:val="nil"/>
              <w:bottom w:val="nil"/>
              <w:right w:val="nil"/>
            </w:tcBorders>
            <w:shd w:val="clear" w:color="auto" w:fill="auto"/>
            <w:noWrap/>
            <w:vAlign w:val="center"/>
            <w:hideMark/>
          </w:tcPr>
          <w:p w14:paraId="76C17098" w14:textId="77777777" w:rsidR="00BA4391" w:rsidRPr="00BA4391" w:rsidRDefault="00BA4391" w:rsidP="00BA4391">
            <w:pPr>
              <w:spacing w:after="0" w:line="240" w:lineRule="auto"/>
              <w:jc w:val="left"/>
              <w:rPr>
                <w:rFonts w:ascii="Arial" w:hAnsi="Arial" w:cs="Arial"/>
                <w:b/>
                <w:bCs/>
                <w:color w:val="000000"/>
                <w:sz w:val="16"/>
                <w:szCs w:val="16"/>
              </w:rPr>
            </w:pPr>
            <w:r w:rsidRPr="00BA4391">
              <w:rPr>
                <w:rFonts w:ascii="Arial" w:hAnsi="Arial" w:cs="Arial"/>
                <w:b/>
                <w:bCs/>
                <w:color w:val="000000"/>
                <w:sz w:val="16"/>
                <w:szCs w:val="16"/>
              </w:rPr>
              <w:t>Financial assets</w:t>
            </w:r>
          </w:p>
        </w:tc>
        <w:tc>
          <w:tcPr>
            <w:tcW w:w="1060" w:type="dxa"/>
            <w:tcBorders>
              <w:top w:val="nil"/>
              <w:left w:val="nil"/>
              <w:bottom w:val="nil"/>
              <w:right w:val="nil"/>
            </w:tcBorders>
            <w:shd w:val="clear" w:color="auto" w:fill="auto"/>
            <w:noWrap/>
            <w:vAlign w:val="center"/>
            <w:hideMark/>
          </w:tcPr>
          <w:p w14:paraId="76C17099" w14:textId="77777777" w:rsidR="00BA4391" w:rsidRPr="00BA4391" w:rsidRDefault="00BA4391" w:rsidP="00BA4391">
            <w:pPr>
              <w:spacing w:after="0" w:line="240" w:lineRule="auto"/>
              <w:jc w:val="left"/>
              <w:rPr>
                <w:rFonts w:ascii="Arial" w:hAnsi="Arial" w:cs="Arial"/>
                <w:b/>
                <w:bCs/>
                <w:color w:val="000000"/>
                <w:sz w:val="16"/>
                <w:szCs w:val="16"/>
              </w:rPr>
            </w:pPr>
          </w:p>
        </w:tc>
        <w:tc>
          <w:tcPr>
            <w:tcW w:w="1060" w:type="dxa"/>
            <w:tcBorders>
              <w:top w:val="nil"/>
              <w:left w:val="nil"/>
              <w:bottom w:val="nil"/>
              <w:right w:val="nil"/>
            </w:tcBorders>
            <w:shd w:val="clear" w:color="000000" w:fill="E6E6E6"/>
            <w:noWrap/>
            <w:vAlign w:val="center"/>
            <w:hideMark/>
          </w:tcPr>
          <w:p w14:paraId="76C1709A" w14:textId="77777777" w:rsidR="00BA4391" w:rsidRPr="00BA4391" w:rsidRDefault="00BA4391" w:rsidP="00BA4391">
            <w:pPr>
              <w:spacing w:after="0" w:line="240" w:lineRule="auto"/>
              <w:jc w:val="left"/>
              <w:rPr>
                <w:rFonts w:ascii="Arial" w:hAnsi="Arial" w:cs="Arial"/>
                <w:color w:val="000000"/>
                <w:sz w:val="16"/>
                <w:szCs w:val="16"/>
              </w:rPr>
            </w:pPr>
            <w:r w:rsidRPr="00BA4391">
              <w:rPr>
                <w:rFonts w:ascii="Arial" w:hAnsi="Arial" w:cs="Arial"/>
                <w:color w:val="000000"/>
                <w:sz w:val="16"/>
                <w:szCs w:val="16"/>
              </w:rPr>
              <w:t> </w:t>
            </w:r>
          </w:p>
        </w:tc>
        <w:tc>
          <w:tcPr>
            <w:tcW w:w="1060" w:type="dxa"/>
            <w:tcBorders>
              <w:top w:val="nil"/>
              <w:left w:val="nil"/>
              <w:bottom w:val="nil"/>
              <w:right w:val="nil"/>
            </w:tcBorders>
            <w:shd w:val="clear" w:color="auto" w:fill="auto"/>
            <w:noWrap/>
            <w:vAlign w:val="center"/>
            <w:hideMark/>
          </w:tcPr>
          <w:p w14:paraId="76C1709B" w14:textId="77777777" w:rsidR="00BA4391" w:rsidRPr="00BA4391" w:rsidRDefault="00BA4391" w:rsidP="00BA4391">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14:paraId="76C1709C" w14:textId="77777777" w:rsidR="00BA4391" w:rsidRPr="00BA4391" w:rsidRDefault="00BA4391" w:rsidP="00BA4391">
            <w:pPr>
              <w:spacing w:after="0" w:line="240" w:lineRule="auto"/>
              <w:jc w:val="left"/>
              <w:rPr>
                <w:rFonts w:ascii="Times New Roman" w:hAnsi="Times New Roman"/>
              </w:rPr>
            </w:pPr>
          </w:p>
        </w:tc>
        <w:tc>
          <w:tcPr>
            <w:tcW w:w="1060" w:type="dxa"/>
            <w:tcBorders>
              <w:top w:val="nil"/>
              <w:left w:val="nil"/>
              <w:bottom w:val="nil"/>
              <w:right w:val="nil"/>
            </w:tcBorders>
            <w:shd w:val="clear" w:color="auto" w:fill="auto"/>
            <w:noWrap/>
            <w:vAlign w:val="center"/>
            <w:hideMark/>
          </w:tcPr>
          <w:p w14:paraId="76C1709D" w14:textId="77777777" w:rsidR="00BA4391" w:rsidRPr="00BA4391" w:rsidRDefault="00BA4391" w:rsidP="00BA4391">
            <w:pPr>
              <w:spacing w:after="0" w:line="240" w:lineRule="auto"/>
              <w:jc w:val="left"/>
              <w:rPr>
                <w:rFonts w:ascii="Times New Roman" w:hAnsi="Times New Roman"/>
              </w:rPr>
            </w:pPr>
          </w:p>
        </w:tc>
      </w:tr>
      <w:tr w:rsidR="00BA4391" w:rsidRPr="00BA4391" w14:paraId="76C170A5"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09F" w14:textId="77777777" w:rsidR="00BA4391" w:rsidRPr="00BA4391" w:rsidRDefault="00BA4391" w:rsidP="00BA4391">
            <w:pPr>
              <w:spacing w:after="0" w:line="240" w:lineRule="auto"/>
              <w:ind w:firstLineChars="100" w:firstLine="160"/>
              <w:jc w:val="left"/>
              <w:rPr>
                <w:rFonts w:ascii="Arial" w:hAnsi="Arial" w:cs="Arial"/>
                <w:color w:val="000000"/>
                <w:sz w:val="16"/>
                <w:szCs w:val="16"/>
              </w:rPr>
            </w:pPr>
            <w:r w:rsidRPr="00BA4391">
              <w:rPr>
                <w:rFonts w:ascii="Arial" w:hAnsi="Arial" w:cs="Arial"/>
                <w:color w:val="000000"/>
                <w:sz w:val="16"/>
                <w:szCs w:val="16"/>
              </w:rPr>
              <w:t xml:space="preserve">Cash </w:t>
            </w:r>
            <w:r w:rsidRPr="00BA4391">
              <w:rPr>
                <w:rFonts w:ascii="Arial" w:hAnsi="Arial" w:cs="Arial"/>
                <w:sz w:val="16"/>
                <w:szCs w:val="16"/>
              </w:rPr>
              <w:t>and cash equivalents</w:t>
            </w:r>
          </w:p>
        </w:tc>
        <w:tc>
          <w:tcPr>
            <w:tcW w:w="1060" w:type="dxa"/>
            <w:tcBorders>
              <w:top w:val="nil"/>
              <w:left w:val="nil"/>
              <w:bottom w:val="nil"/>
              <w:right w:val="nil"/>
            </w:tcBorders>
            <w:shd w:val="clear" w:color="auto" w:fill="auto"/>
            <w:noWrap/>
            <w:vAlign w:val="center"/>
            <w:hideMark/>
          </w:tcPr>
          <w:p w14:paraId="76C170A0"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979,071</w:t>
            </w:r>
          </w:p>
        </w:tc>
        <w:tc>
          <w:tcPr>
            <w:tcW w:w="1060" w:type="dxa"/>
            <w:tcBorders>
              <w:top w:val="nil"/>
              <w:left w:val="nil"/>
              <w:bottom w:val="nil"/>
              <w:right w:val="nil"/>
            </w:tcBorders>
            <w:shd w:val="clear" w:color="000000" w:fill="E6E6E6"/>
            <w:noWrap/>
            <w:vAlign w:val="center"/>
            <w:hideMark/>
          </w:tcPr>
          <w:p w14:paraId="76C170A1"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939,092</w:t>
            </w:r>
          </w:p>
        </w:tc>
        <w:tc>
          <w:tcPr>
            <w:tcW w:w="1060" w:type="dxa"/>
            <w:tcBorders>
              <w:top w:val="nil"/>
              <w:left w:val="nil"/>
              <w:bottom w:val="nil"/>
              <w:right w:val="nil"/>
            </w:tcBorders>
            <w:shd w:val="clear" w:color="auto" w:fill="auto"/>
            <w:noWrap/>
            <w:vAlign w:val="center"/>
            <w:hideMark/>
          </w:tcPr>
          <w:p w14:paraId="76C170A2"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917,267</w:t>
            </w:r>
          </w:p>
        </w:tc>
        <w:tc>
          <w:tcPr>
            <w:tcW w:w="1060" w:type="dxa"/>
            <w:tcBorders>
              <w:top w:val="nil"/>
              <w:left w:val="nil"/>
              <w:bottom w:val="nil"/>
              <w:right w:val="nil"/>
            </w:tcBorders>
            <w:shd w:val="clear" w:color="auto" w:fill="auto"/>
            <w:noWrap/>
            <w:vAlign w:val="center"/>
            <w:hideMark/>
          </w:tcPr>
          <w:p w14:paraId="76C170A3"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898,428</w:t>
            </w:r>
          </w:p>
        </w:tc>
        <w:tc>
          <w:tcPr>
            <w:tcW w:w="1060" w:type="dxa"/>
            <w:tcBorders>
              <w:top w:val="nil"/>
              <w:left w:val="nil"/>
              <w:bottom w:val="nil"/>
              <w:right w:val="nil"/>
            </w:tcBorders>
            <w:shd w:val="clear" w:color="auto" w:fill="auto"/>
            <w:noWrap/>
            <w:vAlign w:val="center"/>
            <w:hideMark/>
          </w:tcPr>
          <w:p w14:paraId="76C170A4"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884,891</w:t>
            </w:r>
          </w:p>
        </w:tc>
      </w:tr>
      <w:tr w:rsidR="00BA4391" w:rsidRPr="00BA4391" w14:paraId="76C170AC"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0A6" w14:textId="77777777" w:rsidR="00BA4391" w:rsidRPr="00BA4391" w:rsidRDefault="00BA4391" w:rsidP="00BA4391">
            <w:pPr>
              <w:spacing w:after="0" w:line="240" w:lineRule="auto"/>
              <w:ind w:firstLineChars="100" w:firstLine="160"/>
              <w:jc w:val="left"/>
              <w:rPr>
                <w:rFonts w:ascii="Arial" w:hAnsi="Arial" w:cs="Arial"/>
                <w:sz w:val="16"/>
                <w:szCs w:val="16"/>
              </w:rPr>
            </w:pPr>
            <w:r w:rsidRPr="00BA4391">
              <w:rPr>
                <w:rFonts w:ascii="Arial" w:hAnsi="Arial" w:cs="Arial"/>
                <w:sz w:val="16"/>
                <w:szCs w:val="16"/>
              </w:rPr>
              <w:t>Trade and other receivables</w:t>
            </w:r>
          </w:p>
        </w:tc>
        <w:tc>
          <w:tcPr>
            <w:tcW w:w="1060" w:type="dxa"/>
            <w:tcBorders>
              <w:top w:val="nil"/>
              <w:left w:val="nil"/>
              <w:bottom w:val="nil"/>
              <w:right w:val="nil"/>
            </w:tcBorders>
            <w:shd w:val="clear" w:color="auto" w:fill="auto"/>
            <w:noWrap/>
            <w:vAlign w:val="center"/>
            <w:hideMark/>
          </w:tcPr>
          <w:p w14:paraId="76C170A7"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2,196,077</w:t>
            </w:r>
          </w:p>
        </w:tc>
        <w:tc>
          <w:tcPr>
            <w:tcW w:w="1060" w:type="dxa"/>
            <w:tcBorders>
              <w:top w:val="nil"/>
              <w:left w:val="nil"/>
              <w:bottom w:val="nil"/>
              <w:right w:val="nil"/>
            </w:tcBorders>
            <w:shd w:val="clear" w:color="000000" w:fill="E6E6E6"/>
            <w:noWrap/>
            <w:vAlign w:val="center"/>
            <w:hideMark/>
          </w:tcPr>
          <w:p w14:paraId="76C170A8"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2,176,640</w:t>
            </w:r>
          </w:p>
        </w:tc>
        <w:tc>
          <w:tcPr>
            <w:tcW w:w="1060" w:type="dxa"/>
            <w:tcBorders>
              <w:top w:val="nil"/>
              <w:left w:val="nil"/>
              <w:bottom w:val="nil"/>
              <w:right w:val="nil"/>
            </w:tcBorders>
            <w:shd w:val="clear" w:color="auto" w:fill="auto"/>
            <w:noWrap/>
            <w:vAlign w:val="center"/>
            <w:hideMark/>
          </w:tcPr>
          <w:p w14:paraId="76C170A9"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2,144,532</w:t>
            </w:r>
          </w:p>
        </w:tc>
        <w:tc>
          <w:tcPr>
            <w:tcW w:w="1060" w:type="dxa"/>
            <w:tcBorders>
              <w:top w:val="nil"/>
              <w:left w:val="nil"/>
              <w:bottom w:val="nil"/>
              <w:right w:val="nil"/>
            </w:tcBorders>
            <w:shd w:val="clear" w:color="auto" w:fill="auto"/>
            <w:noWrap/>
            <w:vAlign w:val="center"/>
            <w:hideMark/>
          </w:tcPr>
          <w:p w14:paraId="76C170AA"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2,119,298</w:t>
            </w:r>
          </w:p>
        </w:tc>
        <w:tc>
          <w:tcPr>
            <w:tcW w:w="1060" w:type="dxa"/>
            <w:tcBorders>
              <w:top w:val="nil"/>
              <w:left w:val="nil"/>
              <w:bottom w:val="nil"/>
              <w:right w:val="nil"/>
            </w:tcBorders>
            <w:shd w:val="clear" w:color="auto" w:fill="auto"/>
            <w:noWrap/>
            <w:vAlign w:val="center"/>
            <w:hideMark/>
          </w:tcPr>
          <w:p w14:paraId="76C170AB"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2,100,394</w:t>
            </w:r>
          </w:p>
        </w:tc>
      </w:tr>
      <w:tr w:rsidR="00BA4391" w:rsidRPr="00BA4391" w14:paraId="76C170B3"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0AD" w14:textId="77777777" w:rsidR="00BA4391" w:rsidRPr="00BA4391" w:rsidRDefault="00BA4391" w:rsidP="00BA4391">
            <w:pPr>
              <w:spacing w:after="0" w:line="240" w:lineRule="auto"/>
              <w:ind w:firstLineChars="100" w:firstLine="160"/>
              <w:jc w:val="left"/>
              <w:rPr>
                <w:rFonts w:ascii="Arial" w:hAnsi="Arial" w:cs="Arial"/>
                <w:color w:val="000000"/>
                <w:sz w:val="16"/>
                <w:szCs w:val="16"/>
              </w:rPr>
            </w:pPr>
            <w:r w:rsidRPr="00BA4391">
              <w:rPr>
                <w:rFonts w:ascii="Arial" w:hAnsi="Arial" w:cs="Arial"/>
                <w:color w:val="000000"/>
                <w:sz w:val="16"/>
                <w:szCs w:val="16"/>
              </w:rPr>
              <w:t>Other financial assets</w:t>
            </w:r>
          </w:p>
        </w:tc>
        <w:tc>
          <w:tcPr>
            <w:tcW w:w="1060" w:type="dxa"/>
            <w:tcBorders>
              <w:top w:val="nil"/>
              <w:left w:val="nil"/>
              <w:bottom w:val="nil"/>
              <w:right w:val="nil"/>
            </w:tcBorders>
            <w:shd w:val="clear" w:color="auto" w:fill="auto"/>
            <w:noWrap/>
            <w:vAlign w:val="center"/>
            <w:hideMark/>
          </w:tcPr>
          <w:p w14:paraId="76C170AE"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11,833</w:t>
            </w:r>
          </w:p>
        </w:tc>
        <w:tc>
          <w:tcPr>
            <w:tcW w:w="1060" w:type="dxa"/>
            <w:tcBorders>
              <w:top w:val="nil"/>
              <w:left w:val="nil"/>
              <w:bottom w:val="nil"/>
              <w:right w:val="nil"/>
            </w:tcBorders>
            <w:shd w:val="clear" w:color="000000" w:fill="E6E6E6"/>
            <w:noWrap/>
            <w:vAlign w:val="center"/>
            <w:hideMark/>
          </w:tcPr>
          <w:p w14:paraId="76C170AF"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11,833</w:t>
            </w:r>
          </w:p>
        </w:tc>
        <w:tc>
          <w:tcPr>
            <w:tcW w:w="1060" w:type="dxa"/>
            <w:tcBorders>
              <w:top w:val="nil"/>
              <w:left w:val="nil"/>
              <w:bottom w:val="nil"/>
              <w:right w:val="nil"/>
            </w:tcBorders>
            <w:shd w:val="clear" w:color="auto" w:fill="auto"/>
            <w:noWrap/>
            <w:vAlign w:val="center"/>
            <w:hideMark/>
          </w:tcPr>
          <w:p w14:paraId="76C170B0"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11,833</w:t>
            </w:r>
          </w:p>
        </w:tc>
        <w:tc>
          <w:tcPr>
            <w:tcW w:w="1060" w:type="dxa"/>
            <w:tcBorders>
              <w:top w:val="nil"/>
              <w:left w:val="nil"/>
              <w:bottom w:val="nil"/>
              <w:right w:val="nil"/>
            </w:tcBorders>
            <w:shd w:val="clear" w:color="auto" w:fill="auto"/>
            <w:noWrap/>
            <w:vAlign w:val="center"/>
            <w:hideMark/>
          </w:tcPr>
          <w:p w14:paraId="76C170B1"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11,833</w:t>
            </w:r>
          </w:p>
        </w:tc>
        <w:tc>
          <w:tcPr>
            <w:tcW w:w="1060" w:type="dxa"/>
            <w:tcBorders>
              <w:top w:val="nil"/>
              <w:left w:val="nil"/>
              <w:bottom w:val="nil"/>
              <w:right w:val="nil"/>
            </w:tcBorders>
            <w:shd w:val="clear" w:color="auto" w:fill="auto"/>
            <w:noWrap/>
            <w:vAlign w:val="center"/>
            <w:hideMark/>
          </w:tcPr>
          <w:p w14:paraId="76C170B2"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11,833</w:t>
            </w:r>
          </w:p>
        </w:tc>
      </w:tr>
      <w:tr w:rsidR="00BA4391" w:rsidRPr="00BA4391" w14:paraId="76C170BA"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0B4" w14:textId="77777777" w:rsidR="00BA4391" w:rsidRPr="00BA4391" w:rsidRDefault="00BA4391" w:rsidP="00BA4391">
            <w:pPr>
              <w:spacing w:after="0" w:line="240" w:lineRule="auto"/>
              <w:jc w:val="left"/>
              <w:rPr>
                <w:rFonts w:ascii="Arial" w:hAnsi="Arial" w:cs="Arial"/>
                <w:b/>
                <w:bCs/>
                <w:i/>
                <w:iCs/>
                <w:color w:val="000000"/>
                <w:sz w:val="16"/>
                <w:szCs w:val="16"/>
              </w:rPr>
            </w:pPr>
            <w:r w:rsidRPr="00BA4391">
              <w:rPr>
                <w:rFonts w:ascii="Arial" w:hAnsi="Arial" w:cs="Arial"/>
                <w:b/>
                <w:bCs/>
                <w:i/>
                <w:iCs/>
                <w:color w:val="000000"/>
                <w:sz w:val="16"/>
                <w:szCs w:val="16"/>
              </w:rPr>
              <w:t>Total financial assets</w:t>
            </w:r>
          </w:p>
        </w:tc>
        <w:tc>
          <w:tcPr>
            <w:tcW w:w="1060" w:type="dxa"/>
            <w:tcBorders>
              <w:top w:val="single" w:sz="4" w:space="0" w:color="auto"/>
              <w:left w:val="nil"/>
              <w:bottom w:val="single" w:sz="4" w:space="0" w:color="auto"/>
              <w:right w:val="nil"/>
            </w:tcBorders>
            <w:shd w:val="clear" w:color="auto" w:fill="auto"/>
            <w:noWrap/>
            <w:vAlign w:val="center"/>
            <w:hideMark/>
          </w:tcPr>
          <w:p w14:paraId="76C170B5" w14:textId="2DB97CF6" w:rsidR="00BA4391" w:rsidRPr="00BA4391" w:rsidRDefault="00BA4391" w:rsidP="00D14D9E">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3,186,981 </w:t>
            </w:r>
          </w:p>
        </w:tc>
        <w:tc>
          <w:tcPr>
            <w:tcW w:w="1060" w:type="dxa"/>
            <w:tcBorders>
              <w:top w:val="single" w:sz="4" w:space="0" w:color="auto"/>
              <w:left w:val="nil"/>
              <w:bottom w:val="single" w:sz="4" w:space="0" w:color="auto"/>
              <w:right w:val="nil"/>
            </w:tcBorders>
            <w:shd w:val="clear" w:color="000000" w:fill="E6E6E6"/>
            <w:noWrap/>
            <w:vAlign w:val="center"/>
            <w:hideMark/>
          </w:tcPr>
          <w:p w14:paraId="76C170B6" w14:textId="3B2705CD" w:rsidR="00BA4391" w:rsidRPr="00BA4391" w:rsidRDefault="00BA4391" w:rsidP="00D14D9E">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3,127,565 </w:t>
            </w:r>
          </w:p>
        </w:tc>
        <w:tc>
          <w:tcPr>
            <w:tcW w:w="1060" w:type="dxa"/>
            <w:tcBorders>
              <w:top w:val="single" w:sz="4" w:space="0" w:color="auto"/>
              <w:left w:val="nil"/>
              <w:bottom w:val="single" w:sz="4" w:space="0" w:color="auto"/>
              <w:right w:val="nil"/>
            </w:tcBorders>
            <w:shd w:val="clear" w:color="auto" w:fill="auto"/>
            <w:noWrap/>
            <w:vAlign w:val="center"/>
            <w:hideMark/>
          </w:tcPr>
          <w:p w14:paraId="76C170B7" w14:textId="4C113D73" w:rsidR="00BA4391" w:rsidRPr="00BA4391" w:rsidRDefault="00BA4391" w:rsidP="00D14D9E">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3,073,632 </w:t>
            </w:r>
          </w:p>
        </w:tc>
        <w:tc>
          <w:tcPr>
            <w:tcW w:w="1060" w:type="dxa"/>
            <w:tcBorders>
              <w:top w:val="single" w:sz="4" w:space="0" w:color="auto"/>
              <w:left w:val="nil"/>
              <w:bottom w:val="single" w:sz="4" w:space="0" w:color="auto"/>
              <w:right w:val="nil"/>
            </w:tcBorders>
            <w:shd w:val="clear" w:color="auto" w:fill="auto"/>
            <w:noWrap/>
            <w:vAlign w:val="center"/>
            <w:hideMark/>
          </w:tcPr>
          <w:p w14:paraId="76C170B8" w14:textId="66D10F24" w:rsidR="00BA4391" w:rsidRPr="00BA4391" w:rsidRDefault="00BA4391" w:rsidP="00D14D9E">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3,029,559 </w:t>
            </w:r>
          </w:p>
        </w:tc>
        <w:tc>
          <w:tcPr>
            <w:tcW w:w="1060" w:type="dxa"/>
            <w:tcBorders>
              <w:top w:val="single" w:sz="4" w:space="0" w:color="auto"/>
              <w:left w:val="nil"/>
              <w:bottom w:val="single" w:sz="4" w:space="0" w:color="auto"/>
              <w:right w:val="nil"/>
            </w:tcBorders>
            <w:shd w:val="clear" w:color="auto" w:fill="auto"/>
            <w:noWrap/>
            <w:vAlign w:val="center"/>
            <w:hideMark/>
          </w:tcPr>
          <w:p w14:paraId="76C170B9" w14:textId="09009F8F" w:rsidR="00BA4391" w:rsidRPr="00BA4391" w:rsidRDefault="00BA4391" w:rsidP="00D14D9E">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2,997,118 </w:t>
            </w:r>
          </w:p>
        </w:tc>
      </w:tr>
      <w:tr w:rsidR="00BA4391" w:rsidRPr="00BA4391" w14:paraId="76C170C1" w14:textId="77777777" w:rsidTr="00BA4391">
        <w:tblPrEx>
          <w:tblCellMar>
            <w:left w:w="108" w:type="dxa"/>
            <w:right w:w="108" w:type="dxa"/>
          </w:tblCellMar>
        </w:tblPrEx>
        <w:trPr>
          <w:trHeight w:val="210"/>
        </w:trPr>
        <w:tc>
          <w:tcPr>
            <w:tcW w:w="3100" w:type="dxa"/>
            <w:tcBorders>
              <w:top w:val="nil"/>
              <w:left w:val="nil"/>
              <w:bottom w:val="nil"/>
              <w:right w:val="nil"/>
            </w:tcBorders>
            <w:shd w:val="clear" w:color="auto" w:fill="auto"/>
            <w:noWrap/>
            <w:vAlign w:val="center"/>
            <w:hideMark/>
          </w:tcPr>
          <w:p w14:paraId="76C170BB" w14:textId="77777777" w:rsidR="00BA4391" w:rsidRPr="00BA4391" w:rsidRDefault="00BA4391" w:rsidP="00BA4391">
            <w:pPr>
              <w:spacing w:after="0" w:line="240" w:lineRule="auto"/>
              <w:jc w:val="left"/>
              <w:rPr>
                <w:rFonts w:ascii="Arial" w:hAnsi="Arial" w:cs="Arial"/>
                <w:b/>
                <w:bCs/>
                <w:color w:val="000000"/>
                <w:sz w:val="16"/>
                <w:szCs w:val="16"/>
              </w:rPr>
            </w:pPr>
            <w:r w:rsidRPr="00BA4391">
              <w:rPr>
                <w:rFonts w:ascii="Arial" w:hAnsi="Arial" w:cs="Arial"/>
                <w:b/>
                <w:bCs/>
                <w:color w:val="000000"/>
                <w:sz w:val="16"/>
                <w:szCs w:val="16"/>
              </w:rPr>
              <w:t>Non-financial assets</w:t>
            </w:r>
          </w:p>
        </w:tc>
        <w:tc>
          <w:tcPr>
            <w:tcW w:w="1060" w:type="dxa"/>
            <w:tcBorders>
              <w:top w:val="nil"/>
              <w:left w:val="nil"/>
              <w:bottom w:val="nil"/>
              <w:right w:val="nil"/>
            </w:tcBorders>
            <w:shd w:val="clear" w:color="auto" w:fill="auto"/>
            <w:noWrap/>
            <w:vAlign w:val="center"/>
            <w:hideMark/>
          </w:tcPr>
          <w:p w14:paraId="76C170BC" w14:textId="77777777" w:rsidR="00BA4391" w:rsidRPr="00BA4391" w:rsidRDefault="00BA4391" w:rsidP="00BA4391">
            <w:pPr>
              <w:spacing w:after="0" w:line="240" w:lineRule="auto"/>
              <w:jc w:val="left"/>
              <w:rPr>
                <w:rFonts w:ascii="Arial" w:hAnsi="Arial" w:cs="Arial"/>
                <w:b/>
                <w:bCs/>
                <w:color w:val="000000"/>
                <w:sz w:val="16"/>
                <w:szCs w:val="16"/>
              </w:rPr>
            </w:pPr>
          </w:p>
        </w:tc>
        <w:tc>
          <w:tcPr>
            <w:tcW w:w="1060" w:type="dxa"/>
            <w:tcBorders>
              <w:top w:val="nil"/>
              <w:left w:val="nil"/>
              <w:bottom w:val="nil"/>
              <w:right w:val="nil"/>
            </w:tcBorders>
            <w:shd w:val="clear" w:color="000000" w:fill="E6E6E6"/>
            <w:noWrap/>
            <w:vAlign w:val="center"/>
            <w:hideMark/>
          </w:tcPr>
          <w:p w14:paraId="76C170BD"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w:t>
            </w:r>
          </w:p>
        </w:tc>
        <w:tc>
          <w:tcPr>
            <w:tcW w:w="1060" w:type="dxa"/>
            <w:tcBorders>
              <w:top w:val="nil"/>
              <w:left w:val="nil"/>
              <w:bottom w:val="nil"/>
              <w:right w:val="nil"/>
            </w:tcBorders>
            <w:shd w:val="clear" w:color="auto" w:fill="auto"/>
            <w:noWrap/>
            <w:vAlign w:val="center"/>
            <w:hideMark/>
          </w:tcPr>
          <w:p w14:paraId="76C170BE" w14:textId="77777777" w:rsidR="00BA4391" w:rsidRPr="00BA4391" w:rsidRDefault="00BA4391" w:rsidP="00BA4391">
            <w:pPr>
              <w:spacing w:after="0" w:line="240" w:lineRule="auto"/>
              <w:jc w:val="righ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14:paraId="76C170BF" w14:textId="77777777" w:rsidR="00BA4391" w:rsidRPr="00BA4391" w:rsidRDefault="00BA4391" w:rsidP="00BA4391">
            <w:pPr>
              <w:spacing w:after="0" w:line="240" w:lineRule="auto"/>
              <w:jc w:val="right"/>
              <w:rPr>
                <w:rFonts w:ascii="Times New Roman" w:hAnsi="Times New Roman"/>
              </w:rPr>
            </w:pPr>
          </w:p>
        </w:tc>
        <w:tc>
          <w:tcPr>
            <w:tcW w:w="1060" w:type="dxa"/>
            <w:tcBorders>
              <w:top w:val="nil"/>
              <w:left w:val="nil"/>
              <w:bottom w:val="nil"/>
              <w:right w:val="nil"/>
            </w:tcBorders>
            <w:shd w:val="clear" w:color="auto" w:fill="auto"/>
            <w:noWrap/>
            <w:vAlign w:val="center"/>
            <w:hideMark/>
          </w:tcPr>
          <w:p w14:paraId="76C170C0" w14:textId="77777777" w:rsidR="00BA4391" w:rsidRPr="00BA4391" w:rsidRDefault="00BA4391" w:rsidP="00BA4391">
            <w:pPr>
              <w:spacing w:after="0" w:line="240" w:lineRule="auto"/>
              <w:jc w:val="right"/>
              <w:rPr>
                <w:rFonts w:ascii="Times New Roman" w:hAnsi="Times New Roman"/>
              </w:rPr>
            </w:pPr>
          </w:p>
        </w:tc>
      </w:tr>
      <w:tr w:rsidR="00BA4391" w:rsidRPr="00BA4391" w14:paraId="76C170C8"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0C2" w14:textId="77777777" w:rsidR="00BA4391" w:rsidRPr="00BA4391" w:rsidRDefault="00BA4391" w:rsidP="00BA4391">
            <w:pPr>
              <w:spacing w:after="0" w:line="240" w:lineRule="auto"/>
              <w:ind w:firstLineChars="100" w:firstLine="160"/>
              <w:jc w:val="left"/>
              <w:rPr>
                <w:rFonts w:ascii="Arial" w:hAnsi="Arial" w:cs="Arial"/>
                <w:color w:val="000000"/>
                <w:sz w:val="16"/>
                <w:szCs w:val="16"/>
              </w:rPr>
            </w:pPr>
            <w:r w:rsidRPr="00BA4391">
              <w:rPr>
                <w:rFonts w:ascii="Arial" w:hAnsi="Arial" w:cs="Arial"/>
                <w:color w:val="000000"/>
                <w:sz w:val="16"/>
                <w:szCs w:val="16"/>
              </w:rPr>
              <w:t>Property, plant and equipment</w:t>
            </w:r>
          </w:p>
        </w:tc>
        <w:tc>
          <w:tcPr>
            <w:tcW w:w="1060" w:type="dxa"/>
            <w:tcBorders>
              <w:top w:val="nil"/>
              <w:left w:val="nil"/>
              <w:bottom w:val="nil"/>
              <w:right w:val="nil"/>
            </w:tcBorders>
            <w:shd w:val="clear" w:color="auto" w:fill="auto"/>
            <w:noWrap/>
            <w:vAlign w:val="center"/>
            <w:hideMark/>
          </w:tcPr>
          <w:p w14:paraId="76C170C3"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11,096</w:t>
            </w:r>
          </w:p>
        </w:tc>
        <w:tc>
          <w:tcPr>
            <w:tcW w:w="1060" w:type="dxa"/>
            <w:tcBorders>
              <w:top w:val="nil"/>
              <w:left w:val="nil"/>
              <w:bottom w:val="nil"/>
              <w:right w:val="nil"/>
            </w:tcBorders>
            <w:shd w:val="clear" w:color="000000" w:fill="E6E6E6"/>
            <w:noWrap/>
            <w:vAlign w:val="center"/>
            <w:hideMark/>
          </w:tcPr>
          <w:p w14:paraId="76C170C4"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8,579</w:t>
            </w:r>
          </w:p>
        </w:tc>
        <w:tc>
          <w:tcPr>
            <w:tcW w:w="1060" w:type="dxa"/>
            <w:tcBorders>
              <w:top w:val="nil"/>
              <w:left w:val="nil"/>
              <w:bottom w:val="nil"/>
              <w:right w:val="nil"/>
            </w:tcBorders>
            <w:shd w:val="clear" w:color="auto" w:fill="auto"/>
            <w:noWrap/>
            <w:vAlign w:val="center"/>
            <w:hideMark/>
          </w:tcPr>
          <w:p w14:paraId="76C170C5"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6,142</w:t>
            </w:r>
          </w:p>
        </w:tc>
        <w:tc>
          <w:tcPr>
            <w:tcW w:w="1060" w:type="dxa"/>
            <w:tcBorders>
              <w:top w:val="nil"/>
              <w:left w:val="nil"/>
              <w:bottom w:val="nil"/>
              <w:right w:val="nil"/>
            </w:tcBorders>
            <w:shd w:val="clear" w:color="auto" w:fill="auto"/>
            <w:noWrap/>
            <w:vAlign w:val="center"/>
            <w:hideMark/>
          </w:tcPr>
          <w:p w14:paraId="76C170C6"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5,215</w:t>
            </w:r>
          </w:p>
        </w:tc>
        <w:tc>
          <w:tcPr>
            <w:tcW w:w="1060" w:type="dxa"/>
            <w:tcBorders>
              <w:top w:val="nil"/>
              <w:left w:val="nil"/>
              <w:bottom w:val="nil"/>
              <w:right w:val="nil"/>
            </w:tcBorders>
            <w:shd w:val="clear" w:color="auto" w:fill="auto"/>
            <w:noWrap/>
            <w:vAlign w:val="center"/>
            <w:hideMark/>
          </w:tcPr>
          <w:p w14:paraId="76C170C7"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2,298</w:t>
            </w:r>
          </w:p>
        </w:tc>
      </w:tr>
      <w:tr w:rsidR="00BA4391" w:rsidRPr="00BA4391" w14:paraId="76C170CF"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0C9" w14:textId="77777777" w:rsidR="00BA4391" w:rsidRPr="00BA4391" w:rsidRDefault="00BA4391" w:rsidP="00BA4391">
            <w:pPr>
              <w:spacing w:after="0" w:line="240" w:lineRule="auto"/>
              <w:ind w:firstLineChars="100" w:firstLine="160"/>
              <w:jc w:val="left"/>
              <w:rPr>
                <w:rFonts w:ascii="Arial" w:hAnsi="Arial" w:cs="Arial"/>
                <w:color w:val="000000"/>
                <w:sz w:val="16"/>
                <w:szCs w:val="16"/>
              </w:rPr>
            </w:pPr>
            <w:r w:rsidRPr="00BA4391">
              <w:rPr>
                <w:rFonts w:ascii="Arial" w:hAnsi="Arial" w:cs="Arial"/>
                <w:color w:val="000000"/>
                <w:sz w:val="16"/>
                <w:szCs w:val="16"/>
              </w:rPr>
              <w:t>Intangibles</w:t>
            </w:r>
          </w:p>
        </w:tc>
        <w:tc>
          <w:tcPr>
            <w:tcW w:w="1060" w:type="dxa"/>
            <w:tcBorders>
              <w:top w:val="nil"/>
              <w:left w:val="nil"/>
              <w:bottom w:val="nil"/>
              <w:right w:val="nil"/>
            </w:tcBorders>
            <w:shd w:val="clear" w:color="auto" w:fill="auto"/>
            <w:noWrap/>
            <w:vAlign w:val="center"/>
            <w:hideMark/>
          </w:tcPr>
          <w:p w14:paraId="76C170CA"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8,580</w:t>
            </w:r>
          </w:p>
        </w:tc>
        <w:tc>
          <w:tcPr>
            <w:tcW w:w="1060" w:type="dxa"/>
            <w:tcBorders>
              <w:top w:val="nil"/>
              <w:left w:val="nil"/>
              <w:bottom w:val="nil"/>
              <w:right w:val="nil"/>
            </w:tcBorders>
            <w:shd w:val="clear" w:color="000000" w:fill="E6E6E6"/>
            <w:noWrap/>
            <w:vAlign w:val="center"/>
            <w:hideMark/>
          </w:tcPr>
          <w:p w14:paraId="76C170CB"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12,354</w:t>
            </w:r>
          </w:p>
        </w:tc>
        <w:tc>
          <w:tcPr>
            <w:tcW w:w="1060" w:type="dxa"/>
            <w:tcBorders>
              <w:top w:val="nil"/>
              <w:left w:val="nil"/>
              <w:bottom w:val="nil"/>
              <w:right w:val="nil"/>
            </w:tcBorders>
            <w:shd w:val="clear" w:color="auto" w:fill="auto"/>
            <w:noWrap/>
            <w:vAlign w:val="center"/>
            <w:hideMark/>
          </w:tcPr>
          <w:p w14:paraId="76C170CC"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15,798</w:t>
            </w:r>
          </w:p>
        </w:tc>
        <w:tc>
          <w:tcPr>
            <w:tcW w:w="1060" w:type="dxa"/>
            <w:tcBorders>
              <w:top w:val="nil"/>
              <w:left w:val="nil"/>
              <w:bottom w:val="nil"/>
              <w:right w:val="nil"/>
            </w:tcBorders>
            <w:shd w:val="clear" w:color="auto" w:fill="auto"/>
            <w:noWrap/>
            <w:vAlign w:val="center"/>
            <w:hideMark/>
          </w:tcPr>
          <w:p w14:paraId="76C170CD"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18,282</w:t>
            </w:r>
          </w:p>
        </w:tc>
        <w:tc>
          <w:tcPr>
            <w:tcW w:w="1060" w:type="dxa"/>
            <w:tcBorders>
              <w:top w:val="nil"/>
              <w:left w:val="nil"/>
              <w:bottom w:val="nil"/>
              <w:right w:val="nil"/>
            </w:tcBorders>
            <w:shd w:val="clear" w:color="auto" w:fill="auto"/>
            <w:noWrap/>
            <w:vAlign w:val="center"/>
            <w:hideMark/>
          </w:tcPr>
          <w:p w14:paraId="76C170CE"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19,906</w:t>
            </w:r>
          </w:p>
        </w:tc>
      </w:tr>
      <w:tr w:rsidR="00BA4391" w:rsidRPr="00BA4391" w14:paraId="76C170D6"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0D0" w14:textId="77777777" w:rsidR="00BA4391" w:rsidRPr="00BA4391" w:rsidRDefault="00BA4391" w:rsidP="00BA4391">
            <w:pPr>
              <w:spacing w:after="0" w:line="240" w:lineRule="auto"/>
              <w:ind w:firstLineChars="100" w:firstLine="160"/>
              <w:jc w:val="left"/>
              <w:rPr>
                <w:rFonts w:ascii="Arial" w:hAnsi="Arial" w:cs="Arial"/>
                <w:color w:val="000000"/>
                <w:sz w:val="16"/>
                <w:szCs w:val="16"/>
              </w:rPr>
            </w:pPr>
            <w:r w:rsidRPr="00BA4391">
              <w:rPr>
                <w:rFonts w:ascii="Arial" w:hAnsi="Arial" w:cs="Arial"/>
                <w:color w:val="000000"/>
                <w:sz w:val="16"/>
                <w:szCs w:val="16"/>
              </w:rPr>
              <w:t>Other non-financial assets</w:t>
            </w:r>
          </w:p>
        </w:tc>
        <w:tc>
          <w:tcPr>
            <w:tcW w:w="1060" w:type="dxa"/>
            <w:tcBorders>
              <w:top w:val="nil"/>
              <w:left w:val="nil"/>
              <w:bottom w:val="nil"/>
              <w:right w:val="nil"/>
            </w:tcBorders>
            <w:shd w:val="clear" w:color="auto" w:fill="auto"/>
            <w:noWrap/>
            <w:vAlign w:val="center"/>
            <w:hideMark/>
          </w:tcPr>
          <w:p w14:paraId="76C170D1"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1,463</w:t>
            </w:r>
          </w:p>
        </w:tc>
        <w:tc>
          <w:tcPr>
            <w:tcW w:w="1060" w:type="dxa"/>
            <w:tcBorders>
              <w:top w:val="nil"/>
              <w:left w:val="nil"/>
              <w:bottom w:val="nil"/>
              <w:right w:val="nil"/>
            </w:tcBorders>
            <w:shd w:val="clear" w:color="000000" w:fill="E6E6E6"/>
            <w:noWrap/>
            <w:vAlign w:val="center"/>
            <w:hideMark/>
          </w:tcPr>
          <w:p w14:paraId="76C170D2"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1,463</w:t>
            </w:r>
          </w:p>
        </w:tc>
        <w:tc>
          <w:tcPr>
            <w:tcW w:w="1060" w:type="dxa"/>
            <w:tcBorders>
              <w:top w:val="nil"/>
              <w:left w:val="nil"/>
              <w:bottom w:val="nil"/>
              <w:right w:val="nil"/>
            </w:tcBorders>
            <w:shd w:val="clear" w:color="auto" w:fill="auto"/>
            <w:noWrap/>
            <w:vAlign w:val="center"/>
            <w:hideMark/>
          </w:tcPr>
          <w:p w14:paraId="76C170D3"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1,463</w:t>
            </w:r>
          </w:p>
        </w:tc>
        <w:tc>
          <w:tcPr>
            <w:tcW w:w="1060" w:type="dxa"/>
            <w:tcBorders>
              <w:top w:val="nil"/>
              <w:left w:val="nil"/>
              <w:bottom w:val="nil"/>
              <w:right w:val="nil"/>
            </w:tcBorders>
            <w:shd w:val="clear" w:color="auto" w:fill="auto"/>
            <w:noWrap/>
            <w:vAlign w:val="center"/>
            <w:hideMark/>
          </w:tcPr>
          <w:p w14:paraId="76C170D4"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1,463</w:t>
            </w:r>
          </w:p>
        </w:tc>
        <w:tc>
          <w:tcPr>
            <w:tcW w:w="1060" w:type="dxa"/>
            <w:tcBorders>
              <w:top w:val="nil"/>
              <w:left w:val="nil"/>
              <w:bottom w:val="nil"/>
              <w:right w:val="nil"/>
            </w:tcBorders>
            <w:shd w:val="clear" w:color="auto" w:fill="auto"/>
            <w:noWrap/>
            <w:vAlign w:val="center"/>
            <w:hideMark/>
          </w:tcPr>
          <w:p w14:paraId="76C170D5"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1,463</w:t>
            </w:r>
          </w:p>
        </w:tc>
      </w:tr>
      <w:tr w:rsidR="00BA4391" w:rsidRPr="00BA4391" w14:paraId="76C170DD"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0D7" w14:textId="77777777" w:rsidR="00BA4391" w:rsidRPr="00BA4391" w:rsidRDefault="00BA4391" w:rsidP="00BA4391">
            <w:pPr>
              <w:spacing w:after="0" w:line="240" w:lineRule="auto"/>
              <w:jc w:val="left"/>
              <w:rPr>
                <w:rFonts w:ascii="Arial" w:hAnsi="Arial" w:cs="Arial"/>
                <w:b/>
                <w:bCs/>
                <w:i/>
                <w:iCs/>
                <w:color w:val="000000"/>
                <w:sz w:val="16"/>
                <w:szCs w:val="16"/>
              </w:rPr>
            </w:pPr>
            <w:r w:rsidRPr="00BA4391">
              <w:rPr>
                <w:rFonts w:ascii="Arial" w:hAnsi="Arial" w:cs="Arial"/>
                <w:b/>
                <w:bCs/>
                <w:i/>
                <w:iCs/>
                <w:color w:val="000000"/>
                <w:sz w:val="16"/>
                <w:szCs w:val="16"/>
              </w:rPr>
              <w:t>Total non-financial assets</w:t>
            </w:r>
          </w:p>
        </w:tc>
        <w:tc>
          <w:tcPr>
            <w:tcW w:w="1060" w:type="dxa"/>
            <w:tcBorders>
              <w:top w:val="single" w:sz="4" w:space="0" w:color="auto"/>
              <w:left w:val="nil"/>
              <w:bottom w:val="single" w:sz="4" w:space="0" w:color="auto"/>
              <w:right w:val="nil"/>
            </w:tcBorders>
            <w:shd w:val="clear" w:color="auto" w:fill="auto"/>
            <w:noWrap/>
            <w:vAlign w:val="center"/>
            <w:hideMark/>
          </w:tcPr>
          <w:p w14:paraId="76C170D8" w14:textId="2E97A5D3" w:rsidR="00BA4391" w:rsidRPr="00BA4391" w:rsidRDefault="00BA4391" w:rsidP="00D14D9E">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21,139 </w:t>
            </w:r>
          </w:p>
        </w:tc>
        <w:tc>
          <w:tcPr>
            <w:tcW w:w="1060" w:type="dxa"/>
            <w:tcBorders>
              <w:top w:val="single" w:sz="4" w:space="0" w:color="auto"/>
              <w:left w:val="nil"/>
              <w:bottom w:val="single" w:sz="4" w:space="0" w:color="auto"/>
              <w:right w:val="nil"/>
            </w:tcBorders>
            <w:shd w:val="clear" w:color="000000" w:fill="E6E6E6"/>
            <w:noWrap/>
            <w:vAlign w:val="center"/>
            <w:hideMark/>
          </w:tcPr>
          <w:p w14:paraId="76C170D9" w14:textId="0CD9D858" w:rsidR="00BA4391" w:rsidRPr="00BA4391" w:rsidRDefault="00BA4391" w:rsidP="00D14D9E">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22,396 </w:t>
            </w:r>
          </w:p>
        </w:tc>
        <w:tc>
          <w:tcPr>
            <w:tcW w:w="1060" w:type="dxa"/>
            <w:tcBorders>
              <w:top w:val="single" w:sz="4" w:space="0" w:color="auto"/>
              <w:left w:val="nil"/>
              <w:bottom w:val="single" w:sz="4" w:space="0" w:color="auto"/>
              <w:right w:val="nil"/>
            </w:tcBorders>
            <w:shd w:val="clear" w:color="auto" w:fill="auto"/>
            <w:noWrap/>
            <w:vAlign w:val="center"/>
            <w:hideMark/>
          </w:tcPr>
          <w:p w14:paraId="76C170DA" w14:textId="7B6DB596" w:rsidR="00BA4391" w:rsidRPr="00BA4391" w:rsidRDefault="00BA4391" w:rsidP="00D14D9E">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23,403 </w:t>
            </w:r>
          </w:p>
        </w:tc>
        <w:tc>
          <w:tcPr>
            <w:tcW w:w="1060" w:type="dxa"/>
            <w:tcBorders>
              <w:top w:val="single" w:sz="4" w:space="0" w:color="auto"/>
              <w:left w:val="nil"/>
              <w:bottom w:val="single" w:sz="4" w:space="0" w:color="auto"/>
              <w:right w:val="nil"/>
            </w:tcBorders>
            <w:shd w:val="clear" w:color="auto" w:fill="auto"/>
            <w:noWrap/>
            <w:vAlign w:val="center"/>
            <w:hideMark/>
          </w:tcPr>
          <w:p w14:paraId="76C170DB" w14:textId="2884C1F7" w:rsidR="00BA4391" w:rsidRPr="00BA4391" w:rsidRDefault="00BA4391" w:rsidP="00D14D9E">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24,960 </w:t>
            </w:r>
          </w:p>
        </w:tc>
        <w:tc>
          <w:tcPr>
            <w:tcW w:w="1060" w:type="dxa"/>
            <w:tcBorders>
              <w:top w:val="single" w:sz="4" w:space="0" w:color="auto"/>
              <w:left w:val="nil"/>
              <w:bottom w:val="single" w:sz="4" w:space="0" w:color="auto"/>
              <w:right w:val="nil"/>
            </w:tcBorders>
            <w:shd w:val="clear" w:color="auto" w:fill="auto"/>
            <w:noWrap/>
            <w:vAlign w:val="center"/>
            <w:hideMark/>
          </w:tcPr>
          <w:p w14:paraId="76C170DC" w14:textId="1EDD055C" w:rsidR="00BA4391" w:rsidRPr="00BA4391" w:rsidRDefault="00BA4391" w:rsidP="00D14D9E">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23,667 </w:t>
            </w:r>
          </w:p>
        </w:tc>
      </w:tr>
      <w:tr w:rsidR="00BA4391" w:rsidRPr="00BA4391" w14:paraId="76C170E4" w14:textId="77777777" w:rsidTr="00BA4391">
        <w:tblPrEx>
          <w:tblCellMar>
            <w:left w:w="108" w:type="dxa"/>
            <w:right w:w="108" w:type="dxa"/>
          </w:tblCellMar>
        </w:tblPrEx>
        <w:trPr>
          <w:trHeight w:val="210"/>
        </w:trPr>
        <w:tc>
          <w:tcPr>
            <w:tcW w:w="3100" w:type="dxa"/>
            <w:tcBorders>
              <w:top w:val="nil"/>
              <w:left w:val="nil"/>
              <w:bottom w:val="nil"/>
              <w:right w:val="nil"/>
            </w:tcBorders>
            <w:shd w:val="clear" w:color="auto" w:fill="auto"/>
            <w:noWrap/>
            <w:vAlign w:val="center"/>
            <w:hideMark/>
          </w:tcPr>
          <w:p w14:paraId="76C170DE" w14:textId="77777777" w:rsidR="00BA4391" w:rsidRPr="00BA4391" w:rsidRDefault="00BA4391" w:rsidP="00BA4391">
            <w:pPr>
              <w:spacing w:after="0" w:line="240" w:lineRule="auto"/>
              <w:jc w:val="left"/>
              <w:rPr>
                <w:rFonts w:ascii="Arial" w:hAnsi="Arial" w:cs="Arial"/>
                <w:b/>
                <w:bCs/>
                <w:color w:val="000000"/>
                <w:sz w:val="16"/>
                <w:szCs w:val="16"/>
              </w:rPr>
            </w:pPr>
            <w:r w:rsidRPr="00BA4391">
              <w:rPr>
                <w:rFonts w:ascii="Arial" w:hAnsi="Arial" w:cs="Arial"/>
                <w:b/>
                <w:bCs/>
                <w:color w:val="000000"/>
                <w:sz w:val="16"/>
                <w:szCs w:val="16"/>
              </w:rPr>
              <w:t>Total assets</w:t>
            </w:r>
          </w:p>
        </w:tc>
        <w:tc>
          <w:tcPr>
            <w:tcW w:w="1060" w:type="dxa"/>
            <w:tcBorders>
              <w:top w:val="nil"/>
              <w:left w:val="nil"/>
              <w:bottom w:val="single" w:sz="4" w:space="0" w:color="auto"/>
              <w:right w:val="nil"/>
            </w:tcBorders>
            <w:shd w:val="clear" w:color="auto" w:fill="auto"/>
            <w:noWrap/>
            <w:vAlign w:val="center"/>
            <w:hideMark/>
          </w:tcPr>
          <w:p w14:paraId="76C170DF" w14:textId="4B5AEFFB" w:rsidR="00BA4391" w:rsidRPr="00BA4391" w:rsidRDefault="00BA4391" w:rsidP="00D14D9E">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  3,208,120 </w:t>
            </w:r>
          </w:p>
        </w:tc>
        <w:tc>
          <w:tcPr>
            <w:tcW w:w="1060" w:type="dxa"/>
            <w:tcBorders>
              <w:top w:val="nil"/>
              <w:left w:val="nil"/>
              <w:bottom w:val="single" w:sz="4" w:space="0" w:color="auto"/>
              <w:right w:val="nil"/>
            </w:tcBorders>
            <w:shd w:val="clear" w:color="000000" w:fill="E6E6E6"/>
            <w:noWrap/>
            <w:vAlign w:val="center"/>
            <w:hideMark/>
          </w:tcPr>
          <w:p w14:paraId="76C170E0" w14:textId="4405F3DF" w:rsidR="00BA4391" w:rsidRPr="00BA4391" w:rsidRDefault="00BA4391" w:rsidP="00D14D9E">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  3,149,961 </w:t>
            </w:r>
          </w:p>
        </w:tc>
        <w:tc>
          <w:tcPr>
            <w:tcW w:w="1060" w:type="dxa"/>
            <w:tcBorders>
              <w:top w:val="nil"/>
              <w:left w:val="nil"/>
              <w:bottom w:val="single" w:sz="4" w:space="0" w:color="auto"/>
              <w:right w:val="nil"/>
            </w:tcBorders>
            <w:shd w:val="clear" w:color="auto" w:fill="auto"/>
            <w:noWrap/>
            <w:vAlign w:val="center"/>
            <w:hideMark/>
          </w:tcPr>
          <w:p w14:paraId="76C170E1" w14:textId="144CD164" w:rsidR="00BA4391" w:rsidRPr="00BA4391" w:rsidRDefault="00BA4391" w:rsidP="00D14D9E">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  3,097,035 </w:t>
            </w:r>
          </w:p>
        </w:tc>
        <w:tc>
          <w:tcPr>
            <w:tcW w:w="1060" w:type="dxa"/>
            <w:tcBorders>
              <w:top w:val="nil"/>
              <w:left w:val="nil"/>
              <w:bottom w:val="single" w:sz="4" w:space="0" w:color="auto"/>
              <w:right w:val="nil"/>
            </w:tcBorders>
            <w:shd w:val="clear" w:color="auto" w:fill="auto"/>
            <w:noWrap/>
            <w:vAlign w:val="center"/>
            <w:hideMark/>
          </w:tcPr>
          <w:p w14:paraId="76C170E2" w14:textId="78660C71" w:rsidR="00BA4391" w:rsidRPr="00BA4391" w:rsidRDefault="00BA4391" w:rsidP="00D14D9E">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  3,054,519 </w:t>
            </w:r>
          </w:p>
        </w:tc>
        <w:tc>
          <w:tcPr>
            <w:tcW w:w="1060" w:type="dxa"/>
            <w:tcBorders>
              <w:top w:val="nil"/>
              <w:left w:val="nil"/>
              <w:bottom w:val="single" w:sz="4" w:space="0" w:color="auto"/>
              <w:right w:val="nil"/>
            </w:tcBorders>
            <w:shd w:val="clear" w:color="auto" w:fill="auto"/>
            <w:noWrap/>
            <w:vAlign w:val="center"/>
            <w:hideMark/>
          </w:tcPr>
          <w:p w14:paraId="76C170E3" w14:textId="611A5521" w:rsidR="00BA4391" w:rsidRPr="00BA4391" w:rsidRDefault="00BA4391" w:rsidP="00D14D9E">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  3,020,785 </w:t>
            </w:r>
          </w:p>
        </w:tc>
      </w:tr>
      <w:tr w:rsidR="00BA4391" w:rsidRPr="00BA4391" w14:paraId="76C170EB" w14:textId="77777777" w:rsidTr="00BA4391">
        <w:tblPrEx>
          <w:tblCellMar>
            <w:left w:w="108" w:type="dxa"/>
            <w:right w:w="108" w:type="dxa"/>
          </w:tblCellMar>
        </w:tblPrEx>
        <w:trPr>
          <w:trHeight w:val="210"/>
        </w:trPr>
        <w:tc>
          <w:tcPr>
            <w:tcW w:w="3100" w:type="dxa"/>
            <w:tcBorders>
              <w:top w:val="nil"/>
              <w:left w:val="nil"/>
              <w:bottom w:val="nil"/>
              <w:right w:val="nil"/>
            </w:tcBorders>
            <w:shd w:val="clear" w:color="auto" w:fill="auto"/>
            <w:noWrap/>
            <w:vAlign w:val="center"/>
            <w:hideMark/>
          </w:tcPr>
          <w:p w14:paraId="76C170E5" w14:textId="77777777" w:rsidR="00BA4391" w:rsidRPr="00BA4391" w:rsidRDefault="00BA4391" w:rsidP="00BA4391">
            <w:pPr>
              <w:spacing w:after="0" w:line="240" w:lineRule="auto"/>
              <w:jc w:val="left"/>
              <w:rPr>
                <w:rFonts w:ascii="Arial" w:hAnsi="Arial" w:cs="Arial"/>
                <w:b/>
                <w:bCs/>
                <w:color w:val="000000"/>
                <w:sz w:val="16"/>
                <w:szCs w:val="16"/>
              </w:rPr>
            </w:pPr>
            <w:r w:rsidRPr="00BA4391">
              <w:rPr>
                <w:rFonts w:ascii="Arial" w:hAnsi="Arial" w:cs="Arial"/>
                <w:b/>
                <w:bCs/>
                <w:color w:val="000000"/>
                <w:sz w:val="16"/>
                <w:szCs w:val="16"/>
              </w:rPr>
              <w:t>LIABILITIES</w:t>
            </w:r>
          </w:p>
        </w:tc>
        <w:tc>
          <w:tcPr>
            <w:tcW w:w="1060" w:type="dxa"/>
            <w:tcBorders>
              <w:top w:val="nil"/>
              <w:left w:val="nil"/>
              <w:bottom w:val="nil"/>
              <w:right w:val="nil"/>
            </w:tcBorders>
            <w:shd w:val="clear" w:color="auto" w:fill="auto"/>
            <w:noWrap/>
            <w:vAlign w:val="center"/>
            <w:hideMark/>
          </w:tcPr>
          <w:p w14:paraId="76C170E6" w14:textId="77777777" w:rsidR="00BA4391" w:rsidRPr="00BA4391" w:rsidRDefault="00BA4391" w:rsidP="00BA4391">
            <w:pPr>
              <w:spacing w:after="0" w:line="240" w:lineRule="auto"/>
              <w:jc w:val="left"/>
              <w:rPr>
                <w:rFonts w:ascii="Arial" w:hAnsi="Arial" w:cs="Arial"/>
                <w:b/>
                <w:bCs/>
                <w:color w:val="000000"/>
                <w:sz w:val="16"/>
                <w:szCs w:val="16"/>
              </w:rPr>
            </w:pPr>
          </w:p>
        </w:tc>
        <w:tc>
          <w:tcPr>
            <w:tcW w:w="1060" w:type="dxa"/>
            <w:tcBorders>
              <w:top w:val="nil"/>
              <w:left w:val="nil"/>
              <w:bottom w:val="nil"/>
              <w:right w:val="nil"/>
            </w:tcBorders>
            <w:shd w:val="clear" w:color="000000" w:fill="E6E6E6"/>
            <w:noWrap/>
            <w:vAlign w:val="center"/>
            <w:hideMark/>
          </w:tcPr>
          <w:p w14:paraId="76C170E7"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w:t>
            </w:r>
          </w:p>
        </w:tc>
        <w:tc>
          <w:tcPr>
            <w:tcW w:w="1060" w:type="dxa"/>
            <w:tcBorders>
              <w:top w:val="nil"/>
              <w:left w:val="nil"/>
              <w:bottom w:val="nil"/>
              <w:right w:val="nil"/>
            </w:tcBorders>
            <w:shd w:val="clear" w:color="auto" w:fill="auto"/>
            <w:noWrap/>
            <w:vAlign w:val="center"/>
            <w:hideMark/>
          </w:tcPr>
          <w:p w14:paraId="76C170E8" w14:textId="77777777" w:rsidR="00BA4391" w:rsidRPr="00BA4391" w:rsidRDefault="00BA4391" w:rsidP="00BA4391">
            <w:pPr>
              <w:spacing w:after="0" w:line="240" w:lineRule="auto"/>
              <w:jc w:val="righ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14:paraId="76C170E9" w14:textId="77777777" w:rsidR="00BA4391" w:rsidRPr="00BA4391" w:rsidRDefault="00BA4391" w:rsidP="00BA4391">
            <w:pPr>
              <w:spacing w:after="0" w:line="240" w:lineRule="auto"/>
              <w:jc w:val="right"/>
              <w:rPr>
                <w:rFonts w:ascii="Times New Roman" w:hAnsi="Times New Roman"/>
              </w:rPr>
            </w:pPr>
          </w:p>
        </w:tc>
        <w:tc>
          <w:tcPr>
            <w:tcW w:w="1060" w:type="dxa"/>
            <w:tcBorders>
              <w:top w:val="nil"/>
              <w:left w:val="nil"/>
              <w:bottom w:val="nil"/>
              <w:right w:val="nil"/>
            </w:tcBorders>
            <w:shd w:val="clear" w:color="auto" w:fill="auto"/>
            <w:noWrap/>
            <w:vAlign w:val="center"/>
            <w:hideMark/>
          </w:tcPr>
          <w:p w14:paraId="76C170EA" w14:textId="77777777" w:rsidR="00BA4391" w:rsidRPr="00BA4391" w:rsidRDefault="00BA4391" w:rsidP="00BA4391">
            <w:pPr>
              <w:spacing w:after="0" w:line="240" w:lineRule="auto"/>
              <w:jc w:val="right"/>
              <w:rPr>
                <w:rFonts w:ascii="Times New Roman" w:hAnsi="Times New Roman"/>
              </w:rPr>
            </w:pPr>
          </w:p>
        </w:tc>
      </w:tr>
      <w:tr w:rsidR="00BA4391" w:rsidRPr="00BA4391" w14:paraId="76C170F2" w14:textId="77777777" w:rsidTr="00BA4391">
        <w:tblPrEx>
          <w:tblCellMar>
            <w:left w:w="108" w:type="dxa"/>
            <w:right w:w="108" w:type="dxa"/>
          </w:tblCellMar>
        </w:tblPrEx>
        <w:trPr>
          <w:trHeight w:val="210"/>
        </w:trPr>
        <w:tc>
          <w:tcPr>
            <w:tcW w:w="3100" w:type="dxa"/>
            <w:tcBorders>
              <w:top w:val="nil"/>
              <w:left w:val="nil"/>
              <w:bottom w:val="nil"/>
              <w:right w:val="nil"/>
            </w:tcBorders>
            <w:shd w:val="clear" w:color="auto" w:fill="auto"/>
            <w:noWrap/>
            <w:vAlign w:val="center"/>
            <w:hideMark/>
          </w:tcPr>
          <w:p w14:paraId="76C170EC" w14:textId="77777777" w:rsidR="00BA4391" w:rsidRPr="00BA4391" w:rsidRDefault="00BA4391" w:rsidP="00BA4391">
            <w:pPr>
              <w:spacing w:after="0" w:line="240" w:lineRule="auto"/>
              <w:jc w:val="left"/>
              <w:rPr>
                <w:rFonts w:ascii="Arial" w:hAnsi="Arial" w:cs="Arial"/>
                <w:b/>
                <w:bCs/>
                <w:color w:val="000000"/>
                <w:sz w:val="16"/>
                <w:szCs w:val="16"/>
              </w:rPr>
            </w:pPr>
            <w:r w:rsidRPr="00BA4391">
              <w:rPr>
                <w:rFonts w:ascii="Arial" w:hAnsi="Arial" w:cs="Arial"/>
                <w:b/>
                <w:bCs/>
                <w:color w:val="000000"/>
                <w:sz w:val="16"/>
                <w:szCs w:val="16"/>
              </w:rPr>
              <w:t>Payables</w:t>
            </w:r>
          </w:p>
        </w:tc>
        <w:tc>
          <w:tcPr>
            <w:tcW w:w="1060" w:type="dxa"/>
            <w:tcBorders>
              <w:top w:val="nil"/>
              <w:left w:val="nil"/>
              <w:bottom w:val="nil"/>
              <w:right w:val="nil"/>
            </w:tcBorders>
            <w:shd w:val="clear" w:color="auto" w:fill="auto"/>
            <w:noWrap/>
            <w:vAlign w:val="center"/>
            <w:hideMark/>
          </w:tcPr>
          <w:p w14:paraId="76C170ED" w14:textId="77777777" w:rsidR="00BA4391" w:rsidRPr="00BA4391" w:rsidRDefault="00BA4391" w:rsidP="00BA4391">
            <w:pPr>
              <w:spacing w:after="0" w:line="240" w:lineRule="auto"/>
              <w:jc w:val="left"/>
              <w:rPr>
                <w:rFonts w:ascii="Arial" w:hAnsi="Arial" w:cs="Arial"/>
                <w:b/>
                <w:bCs/>
                <w:color w:val="000000"/>
                <w:sz w:val="16"/>
                <w:szCs w:val="16"/>
              </w:rPr>
            </w:pPr>
          </w:p>
        </w:tc>
        <w:tc>
          <w:tcPr>
            <w:tcW w:w="1060" w:type="dxa"/>
            <w:tcBorders>
              <w:top w:val="nil"/>
              <w:left w:val="nil"/>
              <w:bottom w:val="nil"/>
              <w:right w:val="nil"/>
            </w:tcBorders>
            <w:shd w:val="clear" w:color="000000" w:fill="E6E6E6"/>
            <w:noWrap/>
            <w:vAlign w:val="center"/>
            <w:hideMark/>
          </w:tcPr>
          <w:p w14:paraId="76C170EE"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w:t>
            </w:r>
          </w:p>
        </w:tc>
        <w:tc>
          <w:tcPr>
            <w:tcW w:w="1060" w:type="dxa"/>
            <w:tcBorders>
              <w:top w:val="nil"/>
              <w:left w:val="nil"/>
              <w:bottom w:val="nil"/>
              <w:right w:val="nil"/>
            </w:tcBorders>
            <w:shd w:val="clear" w:color="auto" w:fill="auto"/>
            <w:noWrap/>
            <w:vAlign w:val="center"/>
            <w:hideMark/>
          </w:tcPr>
          <w:p w14:paraId="76C170EF" w14:textId="77777777" w:rsidR="00BA4391" w:rsidRPr="00BA4391" w:rsidRDefault="00BA4391" w:rsidP="00BA4391">
            <w:pPr>
              <w:spacing w:after="0" w:line="240" w:lineRule="auto"/>
              <w:jc w:val="righ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14:paraId="76C170F0" w14:textId="77777777" w:rsidR="00BA4391" w:rsidRPr="00BA4391" w:rsidRDefault="00BA4391" w:rsidP="00BA4391">
            <w:pPr>
              <w:spacing w:after="0" w:line="240" w:lineRule="auto"/>
              <w:jc w:val="right"/>
              <w:rPr>
                <w:rFonts w:ascii="Times New Roman" w:hAnsi="Times New Roman"/>
              </w:rPr>
            </w:pPr>
          </w:p>
        </w:tc>
        <w:tc>
          <w:tcPr>
            <w:tcW w:w="1060" w:type="dxa"/>
            <w:tcBorders>
              <w:top w:val="nil"/>
              <w:left w:val="nil"/>
              <w:bottom w:val="nil"/>
              <w:right w:val="nil"/>
            </w:tcBorders>
            <w:shd w:val="clear" w:color="auto" w:fill="auto"/>
            <w:noWrap/>
            <w:vAlign w:val="center"/>
            <w:hideMark/>
          </w:tcPr>
          <w:p w14:paraId="76C170F1" w14:textId="77777777" w:rsidR="00BA4391" w:rsidRPr="00BA4391" w:rsidRDefault="00BA4391" w:rsidP="00BA4391">
            <w:pPr>
              <w:spacing w:after="0" w:line="240" w:lineRule="auto"/>
              <w:jc w:val="right"/>
              <w:rPr>
                <w:rFonts w:ascii="Times New Roman" w:hAnsi="Times New Roman"/>
              </w:rPr>
            </w:pPr>
          </w:p>
        </w:tc>
      </w:tr>
      <w:tr w:rsidR="00BA4391" w:rsidRPr="00BA4391" w14:paraId="76C170F9"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0F3" w14:textId="77777777" w:rsidR="00BA4391" w:rsidRPr="00BA4391" w:rsidRDefault="00BA4391" w:rsidP="00BA4391">
            <w:pPr>
              <w:spacing w:after="0" w:line="240" w:lineRule="auto"/>
              <w:ind w:firstLineChars="100" w:firstLine="160"/>
              <w:jc w:val="left"/>
              <w:rPr>
                <w:rFonts w:ascii="Arial" w:hAnsi="Arial" w:cs="Arial"/>
                <w:color w:val="000000"/>
                <w:sz w:val="16"/>
                <w:szCs w:val="16"/>
              </w:rPr>
            </w:pPr>
            <w:r w:rsidRPr="00BA4391">
              <w:rPr>
                <w:rFonts w:ascii="Arial" w:hAnsi="Arial" w:cs="Arial"/>
                <w:color w:val="000000"/>
                <w:sz w:val="16"/>
                <w:szCs w:val="16"/>
              </w:rPr>
              <w:t>Suppliers</w:t>
            </w:r>
          </w:p>
        </w:tc>
        <w:tc>
          <w:tcPr>
            <w:tcW w:w="1060" w:type="dxa"/>
            <w:tcBorders>
              <w:top w:val="nil"/>
              <w:left w:val="nil"/>
              <w:bottom w:val="nil"/>
              <w:right w:val="nil"/>
            </w:tcBorders>
            <w:shd w:val="clear" w:color="auto" w:fill="auto"/>
            <w:noWrap/>
            <w:vAlign w:val="center"/>
            <w:hideMark/>
          </w:tcPr>
          <w:p w14:paraId="76C170F4"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5,535</w:t>
            </w:r>
          </w:p>
        </w:tc>
        <w:tc>
          <w:tcPr>
            <w:tcW w:w="1060" w:type="dxa"/>
            <w:tcBorders>
              <w:top w:val="nil"/>
              <w:left w:val="nil"/>
              <w:bottom w:val="nil"/>
              <w:right w:val="nil"/>
            </w:tcBorders>
            <w:shd w:val="clear" w:color="000000" w:fill="E6E6E6"/>
            <w:noWrap/>
            <w:vAlign w:val="center"/>
            <w:hideMark/>
          </w:tcPr>
          <w:p w14:paraId="76C170F5"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5,535</w:t>
            </w:r>
          </w:p>
        </w:tc>
        <w:tc>
          <w:tcPr>
            <w:tcW w:w="1060" w:type="dxa"/>
            <w:tcBorders>
              <w:top w:val="nil"/>
              <w:left w:val="nil"/>
              <w:bottom w:val="nil"/>
              <w:right w:val="nil"/>
            </w:tcBorders>
            <w:shd w:val="clear" w:color="auto" w:fill="auto"/>
            <w:noWrap/>
            <w:vAlign w:val="center"/>
            <w:hideMark/>
          </w:tcPr>
          <w:p w14:paraId="76C170F6"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5,535</w:t>
            </w:r>
          </w:p>
        </w:tc>
        <w:tc>
          <w:tcPr>
            <w:tcW w:w="1060" w:type="dxa"/>
            <w:tcBorders>
              <w:top w:val="nil"/>
              <w:left w:val="nil"/>
              <w:bottom w:val="nil"/>
              <w:right w:val="nil"/>
            </w:tcBorders>
            <w:shd w:val="clear" w:color="auto" w:fill="auto"/>
            <w:noWrap/>
            <w:vAlign w:val="center"/>
            <w:hideMark/>
          </w:tcPr>
          <w:p w14:paraId="76C170F7"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5,535</w:t>
            </w:r>
          </w:p>
        </w:tc>
        <w:tc>
          <w:tcPr>
            <w:tcW w:w="1060" w:type="dxa"/>
            <w:tcBorders>
              <w:top w:val="nil"/>
              <w:left w:val="nil"/>
              <w:bottom w:val="nil"/>
              <w:right w:val="nil"/>
            </w:tcBorders>
            <w:shd w:val="clear" w:color="auto" w:fill="auto"/>
            <w:noWrap/>
            <w:vAlign w:val="center"/>
            <w:hideMark/>
          </w:tcPr>
          <w:p w14:paraId="76C170F8"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5,535</w:t>
            </w:r>
          </w:p>
        </w:tc>
      </w:tr>
      <w:tr w:rsidR="00BA4391" w:rsidRPr="00BA4391" w14:paraId="76C17100"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0FA" w14:textId="77777777" w:rsidR="00BA4391" w:rsidRPr="00BA4391" w:rsidRDefault="00BA4391" w:rsidP="00BA4391">
            <w:pPr>
              <w:spacing w:after="0" w:line="240" w:lineRule="auto"/>
              <w:ind w:firstLineChars="100" w:firstLine="160"/>
              <w:jc w:val="left"/>
              <w:rPr>
                <w:rFonts w:ascii="Arial" w:hAnsi="Arial" w:cs="Arial"/>
                <w:color w:val="000000"/>
                <w:sz w:val="16"/>
                <w:szCs w:val="16"/>
              </w:rPr>
            </w:pPr>
            <w:r w:rsidRPr="00BA4391">
              <w:rPr>
                <w:rFonts w:ascii="Arial" w:hAnsi="Arial" w:cs="Arial"/>
                <w:color w:val="000000"/>
                <w:sz w:val="16"/>
                <w:szCs w:val="16"/>
              </w:rPr>
              <w:t>Other payables</w:t>
            </w:r>
          </w:p>
        </w:tc>
        <w:tc>
          <w:tcPr>
            <w:tcW w:w="1060" w:type="dxa"/>
            <w:tcBorders>
              <w:top w:val="nil"/>
              <w:left w:val="nil"/>
              <w:bottom w:val="nil"/>
              <w:right w:val="nil"/>
            </w:tcBorders>
            <w:shd w:val="clear" w:color="auto" w:fill="auto"/>
            <w:noWrap/>
            <w:vAlign w:val="center"/>
            <w:hideMark/>
          </w:tcPr>
          <w:p w14:paraId="76C170FB"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5,772</w:t>
            </w:r>
          </w:p>
        </w:tc>
        <w:tc>
          <w:tcPr>
            <w:tcW w:w="1060" w:type="dxa"/>
            <w:tcBorders>
              <w:top w:val="nil"/>
              <w:left w:val="nil"/>
              <w:bottom w:val="nil"/>
              <w:right w:val="nil"/>
            </w:tcBorders>
            <w:shd w:val="clear" w:color="000000" w:fill="E6E6E6"/>
            <w:noWrap/>
            <w:vAlign w:val="center"/>
            <w:hideMark/>
          </w:tcPr>
          <w:p w14:paraId="76C170FC"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5,773</w:t>
            </w:r>
          </w:p>
        </w:tc>
        <w:tc>
          <w:tcPr>
            <w:tcW w:w="1060" w:type="dxa"/>
            <w:tcBorders>
              <w:top w:val="nil"/>
              <w:left w:val="nil"/>
              <w:bottom w:val="nil"/>
              <w:right w:val="nil"/>
            </w:tcBorders>
            <w:shd w:val="clear" w:color="auto" w:fill="auto"/>
            <w:noWrap/>
            <w:vAlign w:val="center"/>
            <w:hideMark/>
          </w:tcPr>
          <w:p w14:paraId="76C170FD"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5,773</w:t>
            </w:r>
          </w:p>
        </w:tc>
        <w:tc>
          <w:tcPr>
            <w:tcW w:w="1060" w:type="dxa"/>
            <w:tcBorders>
              <w:top w:val="nil"/>
              <w:left w:val="nil"/>
              <w:bottom w:val="nil"/>
              <w:right w:val="nil"/>
            </w:tcBorders>
            <w:shd w:val="clear" w:color="auto" w:fill="auto"/>
            <w:noWrap/>
            <w:vAlign w:val="center"/>
            <w:hideMark/>
          </w:tcPr>
          <w:p w14:paraId="76C170FE"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5,773</w:t>
            </w:r>
          </w:p>
        </w:tc>
        <w:tc>
          <w:tcPr>
            <w:tcW w:w="1060" w:type="dxa"/>
            <w:tcBorders>
              <w:top w:val="nil"/>
              <w:left w:val="nil"/>
              <w:bottom w:val="nil"/>
              <w:right w:val="nil"/>
            </w:tcBorders>
            <w:shd w:val="clear" w:color="auto" w:fill="auto"/>
            <w:noWrap/>
            <w:vAlign w:val="center"/>
            <w:hideMark/>
          </w:tcPr>
          <w:p w14:paraId="76C170FF"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5,773</w:t>
            </w:r>
          </w:p>
        </w:tc>
      </w:tr>
      <w:tr w:rsidR="00BA4391" w:rsidRPr="00BA4391" w14:paraId="76C17107"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101" w14:textId="77777777" w:rsidR="00BA4391" w:rsidRPr="00BA4391" w:rsidRDefault="00BA4391" w:rsidP="00BA4391">
            <w:pPr>
              <w:spacing w:after="0" w:line="240" w:lineRule="auto"/>
              <w:jc w:val="left"/>
              <w:rPr>
                <w:rFonts w:ascii="Arial" w:hAnsi="Arial" w:cs="Arial"/>
                <w:b/>
                <w:bCs/>
                <w:i/>
                <w:iCs/>
                <w:color w:val="000000"/>
                <w:sz w:val="16"/>
                <w:szCs w:val="16"/>
              </w:rPr>
            </w:pPr>
            <w:r w:rsidRPr="00BA4391">
              <w:rPr>
                <w:rFonts w:ascii="Arial" w:hAnsi="Arial" w:cs="Arial"/>
                <w:b/>
                <w:bCs/>
                <w:i/>
                <w:iCs/>
                <w:color w:val="000000"/>
                <w:sz w:val="16"/>
                <w:szCs w:val="16"/>
              </w:rPr>
              <w:t>Total payables</w:t>
            </w:r>
          </w:p>
        </w:tc>
        <w:tc>
          <w:tcPr>
            <w:tcW w:w="1060" w:type="dxa"/>
            <w:tcBorders>
              <w:top w:val="single" w:sz="4" w:space="0" w:color="auto"/>
              <w:left w:val="nil"/>
              <w:bottom w:val="single" w:sz="4" w:space="0" w:color="auto"/>
              <w:right w:val="nil"/>
            </w:tcBorders>
            <w:shd w:val="clear" w:color="auto" w:fill="auto"/>
            <w:noWrap/>
            <w:vAlign w:val="center"/>
            <w:hideMark/>
          </w:tcPr>
          <w:p w14:paraId="76C17102" w14:textId="75CC68E8" w:rsidR="00BA4391" w:rsidRPr="00BA4391" w:rsidRDefault="00BA4391" w:rsidP="000F02C2">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11,307 </w:t>
            </w:r>
          </w:p>
        </w:tc>
        <w:tc>
          <w:tcPr>
            <w:tcW w:w="1060" w:type="dxa"/>
            <w:tcBorders>
              <w:top w:val="single" w:sz="4" w:space="0" w:color="auto"/>
              <w:left w:val="nil"/>
              <w:bottom w:val="single" w:sz="4" w:space="0" w:color="auto"/>
              <w:right w:val="nil"/>
            </w:tcBorders>
            <w:shd w:val="clear" w:color="000000" w:fill="E6E6E6"/>
            <w:noWrap/>
            <w:vAlign w:val="center"/>
            <w:hideMark/>
          </w:tcPr>
          <w:p w14:paraId="76C17103" w14:textId="55A826CD" w:rsidR="00BA4391" w:rsidRPr="00BA4391" w:rsidRDefault="00BA4391" w:rsidP="00D14D9E">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11,308 </w:t>
            </w:r>
          </w:p>
        </w:tc>
        <w:tc>
          <w:tcPr>
            <w:tcW w:w="1060" w:type="dxa"/>
            <w:tcBorders>
              <w:top w:val="single" w:sz="4" w:space="0" w:color="auto"/>
              <w:left w:val="nil"/>
              <w:bottom w:val="single" w:sz="4" w:space="0" w:color="auto"/>
              <w:right w:val="nil"/>
            </w:tcBorders>
            <w:shd w:val="clear" w:color="auto" w:fill="auto"/>
            <w:noWrap/>
            <w:vAlign w:val="center"/>
            <w:hideMark/>
          </w:tcPr>
          <w:p w14:paraId="76C17104" w14:textId="0DC30934" w:rsidR="00BA4391" w:rsidRPr="00BA4391" w:rsidRDefault="00BA4391" w:rsidP="00D14D9E">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11,308 </w:t>
            </w:r>
          </w:p>
        </w:tc>
        <w:tc>
          <w:tcPr>
            <w:tcW w:w="1060" w:type="dxa"/>
            <w:tcBorders>
              <w:top w:val="single" w:sz="4" w:space="0" w:color="auto"/>
              <w:left w:val="nil"/>
              <w:bottom w:val="single" w:sz="4" w:space="0" w:color="auto"/>
              <w:right w:val="nil"/>
            </w:tcBorders>
            <w:shd w:val="clear" w:color="auto" w:fill="auto"/>
            <w:noWrap/>
            <w:vAlign w:val="center"/>
            <w:hideMark/>
          </w:tcPr>
          <w:p w14:paraId="76C17105" w14:textId="30A474A3" w:rsidR="00BA4391" w:rsidRPr="00BA4391" w:rsidRDefault="00BA4391" w:rsidP="00D14D9E">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11,308 </w:t>
            </w:r>
          </w:p>
        </w:tc>
        <w:tc>
          <w:tcPr>
            <w:tcW w:w="1060" w:type="dxa"/>
            <w:tcBorders>
              <w:top w:val="single" w:sz="4" w:space="0" w:color="auto"/>
              <w:left w:val="nil"/>
              <w:bottom w:val="single" w:sz="4" w:space="0" w:color="auto"/>
              <w:right w:val="nil"/>
            </w:tcBorders>
            <w:shd w:val="clear" w:color="auto" w:fill="auto"/>
            <w:noWrap/>
            <w:vAlign w:val="center"/>
            <w:hideMark/>
          </w:tcPr>
          <w:p w14:paraId="76C17106" w14:textId="05B9FDA2" w:rsidR="00BA4391" w:rsidRPr="00BA4391" w:rsidRDefault="00BA4391" w:rsidP="00D14D9E">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11,308 </w:t>
            </w:r>
          </w:p>
        </w:tc>
      </w:tr>
      <w:tr w:rsidR="00BA4391" w:rsidRPr="00BA4391" w14:paraId="76C1710E" w14:textId="77777777" w:rsidTr="00BA4391">
        <w:tblPrEx>
          <w:tblCellMar>
            <w:left w:w="108" w:type="dxa"/>
            <w:right w:w="108" w:type="dxa"/>
          </w:tblCellMar>
        </w:tblPrEx>
        <w:trPr>
          <w:trHeight w:val="210"/>
        </w:trPr>
        <w:tc>
          <w:tcPr>
            <w:tcW w:w="3100" w:type="dxa"/>
            <w:tcBorders>
              <w:top w:val="nil"/>
              <w:left w:val="nil"/>
              <w:bottom w:val="nil"/>
              <w:right w:val="nil"/>
            </w:tcBorders>
            <w:shd w:val="clear" w:color="auto" w:fill="auto"/>
            <w:noWrap/>
            <w:vAlign w:val="center"/>
            <w:hideMark/>
          </w:tcPr>
          <w:p w14:paraId="76C17108" w14:textId="77777777" w:rsidR="00BA4391" w:rsidRPr="00BA4391" w:rsidRDefault="00BA4391" w:rsidP="00BA4391">
            <w:pPr>
              <w:spacing w:after="0" w:line="240" w:lineRule="auto"/>
              <w:jc w:val="left"/>
              <w:rPr>
                <w:rFonts w:ascii="Arial" w:hAnsi="Arial" w:cs="Arial"/>
                <w:b/>
                <w:bCs/>
                <w:color w:val="000000"/>
                <w:sz w:val="16"/>
                <w:szCs w:val="16"/>
              </w:rPr>
            </w:pPr>
            <w:r w:rsidRPr="00BA4391">
              <w:rPr>
                <w:rFonts w:ascii="Arial" w:hAnsi="Arial" w:cs="Arial"/>
                <w:b/>
                <w:bCs/>
                <w:color w:val="000000"/>
                <w:sz w:val="16"/>
                <w:szCs w:val="16"/>
              </w:rPr>
              <w:t>Provisions</w:t>
            </w:r>
          </w:p>
        </w:tc>
        <w:tc>
          <w:tcPr>
            <w:tcW w:w="1060" w:type="dxa"/>
            <w:tcBorders>
              <w:top w:val="nil"/>
              <w:left w:val="nil"/>
              <w:bottom w:val="nil"/>
              <w:right w:val="nil"/>
            </w:tcBorders>
            <w:shd w:val="clear" w:color="auto" w:fill="auto"/>
            <w:noWrap/>
            <w:vAlign w:val="center"/>
            <w:hideMark/>
          </w:tcPr>
          <w:p w14:paraId="76C17109" w14:textId="77777777" w:rsidR="00BA4391" w:rsidRPr="00BA4391" w:rsidRDefault="00BA4391" w:rsidP="00BA4391">
            <w:pPr>
              <w:spacing w:after="0" w:line="240" w:lineRule="auto"/>
              <w:jc w:val="left"/>
              <w:rPr>
                <w:rFonts w:ascii="Arial" w:hAnsi="Arial" w:cs="Arial"/>
                <w:b/>
                <w:bCs/>
                <w:color w:val="000000"/>
                <w:sz w:val="16"/>
                <w:szCs w:val="16"/>
              </w:rPr>
            </w:pPr>
          </w:p>
        </w:tc>
        <w:tc>
          <w:tcPr>
            <w:tcW w:w="1060" w:type="dxa"/>
            <w:tcBorders>
              <w:top w:val="nil"/>
              <w:left w:val="nil"/>
              <w:bottom w:val="nil"/>
              <w:right w:val="nil"/>
            </w:tcBorders>
            <w:shd w:val="clear" w:color="000000" w:fill="E6E6E6"/>
            <w:noWrap/>
            <w:vAlign w:val="center"/>
            <w:hideMark/>
          </w:tcPr>
          <w:p w14:paraId="76C1710A"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w:t>
            </w:r>
          </w:p>
        </w:tc>
        <w:tc>
          <w:tcPr>
            <w:tcW w:w="1060" w:type="dxa"/>
            <w:tcBorders>
              <w:top w:val="nil"/>
              <w:left w:val="nil"/>
              <w:bottom w:val="nil"/>
              <w:right w:val="nil"/>
            </w:tcBorders>
            <w:shd w:val="clear" w:color="auto" w:fill="auto"/>
            <w:noWrap/>
            <w:vAlign w:val="center"/>
            <w:hideMark/>
          </w:tcPr>
          <w:p w14:paraId="76C1710B" w14:textId="77777777" w:rsidR="00BA4391" w:rsidRPr="00BA4391" w:rsidRDefault="00BA4391" w:rsidP="00BA4391">
            <w:pPr>
              <w:spacing w:after="0" w:line="240" w:lineRule="auto"/>
              <w:jc w:val="righ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14:paraId="76C1710C" w14:textId="77777777" w:rsidR="00BA4391" w:rsidRPr="00BA4391" w:rsidRDefault="00BA4391" w:rsidP="00BA4391">
            <w:pPr>
              <w:spacing w:after="0" w:line="240" w:lineRule="auto"/>
              <w:jc w:val="right"/>
              <w:rPr>
                <w:rFonts w:ascii="Times New Roman" w:hAnsi="Times New Roman"/>
              </w:rPr>
            </w:pPr>
          </w:p>
        </w:tc>
        <w:tc>
          <w:tcPr>
            <w:tcW w:w="1060" w:type="dxa"/>
            <w:tcBorders>
              <w:top w:val="nil"/>
              <w:left w:val="nil"/>
              <w:bottom w:val="nil"/>
              <w:right w:val="nil"/>
            </w:tcBorders>
            <w:shd w:val="clear" w:color="auto" w:fill="auto"/>
            <w:noWrap/>
            <w:vAlign w:val="center"/>
            <w:hideMark/>
          </w:tcPr>
          <w:p w14:paraId="76C1710D" w14:textId="77777777" w:rsidR="00BA4391" w:rsidRPr="00BA4391" w:rsidRDefault="00BA4391" w:rsidP="00BA4391">
            <w:pPr>
              <w:spacing w:after="0" w:line="240" w:lineRule="auto"/>
              <w:jc w:val="right"/>
              <w:rPr>
                <w:rFonts w:ascii="Times New Roman" w:hAnsi="Times New Roman"/>
              </w:rPr>
            </w:pPr>
          </w:p>
        </w:tc>
      </w:tr>
      <w:tr w:rsidR="00BA4391" w:rsidRPr="00BA4391" w14:paraId="76C17115"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10F" w14:textId="77777777" w:rsidR="00BA4391" w:rsidRPr="00BA4391" w:rsidRDefault="00BA4391" w:rsidP="00BA4391">
            <w:pPr>
              <w:spacing w:after="0" w:line="240" w:lineRule="auto"/>
              <w:ind w:firstLineChars="100" w:firstLine="160"/>
              <w:jc w:val="left"/>
              <w:rPr>
                <w:rFonts w:ascii="Arial" w:hAnsi="Arial" w:cs="Arial"/>
                <w:color w:val="000000"/>
                <w:sz w:val="16"/>
                <w:szCs w:val="16"/>
              </w:rPr>
            </w:pPr>
            <w:r w:rsidRPr="00BA4391">
              <w:rPr>
                <w:rFonts w:ascii="Arial" w:hAnsi="Arial" w:cs="Arial"/>
                <w:color w:val="000000"/>
                <w:sz w:val="16"/>
                <w:szCs w:val="16"/>
              </w:rPr>
              <w:t>Employee provisions</w:t>
            </w:r>
          </w:p>
        </w:tc>
        <w:tc>
          <w:tcPr>
            <w:tcW w:w="1060" w:type="dxa"/>
            <w:tcBorders>
              <w:top w:val="nil"/>
              <w:left w:val="nil"/>
              <w:bottom w:val="nil"/>
              <w:right w:val="nil"/>
            </w:tcBorders>
            <w:shd w:val="clear" w:color="auto" w:fill="auto"/>
            <w:noWrap/>
            <w:vAlign w:val="center"/>
            <w:hideMark/>
          </w:tcPr>
          <w:p w14:paraId="76C17110"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18,597</w:t>
            </w:r>
          </w:p>
        </w:tc>
        <w:tc>
          <w:tcPr>
            <w:tcW w:w="1060" w:type="dxa"/>
            <w:tcBorders>
              <w:top w:val="nil"/>
              <w:left w:val="nil"/>
              <w:bottom w:val="nil"/>
              <w:right w:val="nil"/>
            </w:tcBorders>
            <w:shd w:val="clear" w:color="000000" w:fill="E6E6E6"/>
            <w:noWrap/>
            <w:vAlign w:val="center"/>
            <w:hideMark/>
          </w:tcPr>
          <w:p w14:paraId="76C17111"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19,964</w:t>
            </w:r>
          </w:p>
        </w:tc>
        <w:tc>
          <w:tcPr>
            <w:tcW w:w="1060" w:type="dxa"/>
            <w:tcBorders>
              <w:top w:val="nil"/>
              <w:left w:val="nil"/>
              <w:bottom w:val="nil"/>
              <w:right w:val="nil"/>
            </w:tcBorders>
            <w:shd w:val="clear" w:color="auto" w:fill="auto"/>
            <w:noWrap/>
            <w:vAlign w:val="center"/>
            <w:hideMark/>
          </w:tcPr>
          <w:p w14:paraId="76C17112"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19,964</w:t>
            </w:r>
          </w:p>
        </w:tc>
        <w:tc>
          <w:tcPr>
            <w:tcW w:w="1060" w:type="dxa"/>
            <w:tcBorders>
              <w:top w:val="nil"/>
              <w:left w:val="nil"/>
              <w:bottom w:val="nil"/>
              <w:right w:val="nil"/>
            </w:tcBorders>
            <w:shd w:val="clear" w:color="auto" w:fill="auto"/>
            <w:noWrap/>
            <w:vAlign w:val="center"/>
            <w:hideMark/>
          </w:tcPr>
          <w:p w14:paraId="76C17113"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19,964</w:t>
            </w:r>
          </w:p>
        </w:tc>
        <w:tc>
          <w:tcPr>
            <w:tcW w:w="1060" w:type="dxa"/>
            <w:tcBorders>
              <w:top w:val="nil"/>
              <w:left w:val="nil"/>
              <w:bottom w:val="nil"/>
              <w:right w:val="nil"/>
            </w:tcBorders>
            <w:shd w:val="clear" w:color="auto" w:fill="auto"/>
            <w:noWrap/>
            <w:vAlign w:val="center"/>
            <w:hideMark/>
          </w:tcPr>
          <w:p w14:paraId="76C17114"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19,964</w:t>
            </w:r>
          </w:p>
        </w:tc>
      </w:tr>
      <w:tr w:rsidR="00BA4391" w:rsidRPr="00BA4391" w14:paraId="76C1711C"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116" w14:textId="77777777" w:rsidR="00BA4391" w:rsidRPr="00BA4391" w:rsidRDefault="00BA4391" w:rsidP="00BA4391">
            <w:pPr>
              <w:spacing w:after="0" w:line="240" w:lineRule="auto"/>
              <w:ind w:firstLineChars="100" w:firstLine="160"/>
              <w:jc w:val="left"/>
              <w:rPr>
                <w:rFonts w:ascii="Arial" w:hAnsi="Arial" w:cs="Arial"/>
                <w:color w:val="000000"/>
                <w:sz w:val="16"/>
                <w:szCs w:val="16"/>
              </w:rPr>
            </w:pPr>
            <w:r w:rsidRPr="00BA4391">
              <w:rPr>
                <w:rFonts w:ascii="Arial" w:hAnsi="Arial" w:cs="Arial"/>
                <w:color w:val="000000"/>
                <w:sz w:val="16"/>
                <w:szCs w:val="16"/>
              </w:rPr>
              <w:t>Other provisions</w:t>
            </w:r>
          </w:p>
        </w:tc>
        <w:tc>
          <w:tcPr>
            <w:tcW w:w="1060" w:type="dxa"/>
            <w:tcBorders>
              <w:top w:val="nil"/>
              <w:left w:val="nil"/>
              <w:bottom w:val="nil"/>
              <w:right w:val="nil"/>
            </w:tcBorders>
            <w:shd w:val="clear" w:color="auto" w:fill="auto"/>
            <w:noWrap/>
            <w:vAlign w:val="center"/>
            <w:hideMark/>
          </w:tcPr>
          <w:p w14:paraId="76C17117"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3,155,274</w:t>
            </w:r>
          </w:p>
        </w:tc>
        <w:tc>
          <w:tcPr>
            <w:tcW w:w="1060" w:type="dxa"/>
            <w:tcBorders>
              <w:top w:val="nil"/>
              <w:left w:val="nil"/>
              <w:bottom w:val="nil"/>
              <w:right w:val="nil"/>
            </w:tcBorders>
            <w:shd w:val="clear" w:color="000000" w:fill="E6E6E6"/>
            <w:noWrap/>
            <w:vAlign w:val="center"/>
            <w:hideMark/>
          </w:tcPr>
          <w:p w14:paraId="76C17118"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3,095,747</w:t>
            </w:r>
          </w:p>
        </w:tc>
        <w:tc>
          <w:tcPr>
            <w:tcW w:w="1060" w:type="dxa"/>
            <w:tcBorders>
              <w:top w:val="nil"/>
              <w:left w:val="nil"/>
              <w:bottom w:val="nil"/>
              <w:right w:val="nil"/>
            </w:tcBorders>
            <w:shd w:val="clear" w:color="auto" w:fill="auto"/>
            <w:noWrap/>
            <w:vAlign w:val="center"/>
            <w:hideMark/>
          </w:tcPr>
          <w:p w14:paraId="76C17119"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3,042,821</w:t>
            </w:r>
          </w:p>
        </w:tc>
        <w:tc>
          <w:tcPr>
            <w:tcW w:w="1060" w:type="dxa"/>
            <w:tcBorders>
              <w:top w:val="nil"/>
              <w:left w:val="nil"/>
              <w:bottom w:val="nil"/>
              <w:right w:val="nil"/>
            </w:tcBorders>
            <w:shd w:val="clear" w:color="auto" w:fill="auto"/>
            <w:noWrap/>
            <w:vAlign w:val="center"/>
            <w:hideMark/>
          </w:tcPr>
          <w:p w14:paraId="76C1711A"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3,000,305</w:t>
            </w:r>
          </w:p>
        </w:tc>
        <w:tc>
          <w:tcPr>
            <w:tcW w:w="1060" w:type="dxa"/>
            <w:tcBorders>
              <w:top w:val="nil"/>
              <w:left w:val="nil"/>
              <w:bottom w:val="nil"/>
              <w:right w:val="nil"/>
            </w:tcBorders>
            <w:shd w:val="clear" w:color="auto" w:fill="auto"/>
            <w:noWrap/>
            <w:vAlign w:val="center"/>
            <w:hideMark/>
          </w:tcPr>
          <w:p w14:paraId="76C1711B"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2,966,571</w:t>
            </w:r>
          </w:p>
        </w:tc>
      </w:tr>
      <w:tr w:rsidR="00BA4391" w:rsidRPr="00BA4391" w14:paraId="76C17123"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11D" w14:textId="77777777" w:rsidR="00BA4391" w:rsidRPr="00BA4391" w:rsidRDefault="00BA4391" w:rsidP="00BA4391">
            <w:pPr>
              <w:spacing w:after="0" w:line="240" w:lineRule="auto"/>
              <w:jc w:val="left"/>
              <w:rPr>
                <w:rFonts w:ascii="Arial" w:hAnsi="Arial" w:cs="Arial"/>
                <w:b/>
                <w:bCs/>
                <w:i/>
                <w:iCs/>
                <w:color w:val="000000"/>
                <w:sz w:val="16"/>
                <w:szCs w:val="16"/>
              </w:rPr>
            </w:pPr>
            <w:r w:rsidRPr="00BA4391">
              <w:rPr>
                <w:rFonts w:ascii="Arial" w:hAnsi="Arial" w:cs="Arial"/>
                <w:b/>
                <w:bCs/>
                <w:i/>
                <w:iCs/>
                <w:color w:val="000000"/>
                <w:sz w:val="16"/>
                <w:szCs w:val="16"/>
              </w:rPr>
              <w:t>Total provisions</w:t>
            </w:r>
          </w:p>
        </w:tc>
        <w:tc>
          <w:tcPr>
            <w:tcW w:w="1060" w:type="dxa"/>
            <w:tcBorders>
              <w:top w:val="single" w:sz="4" w:space="0" w:color="auto"/>
              <w:left w:val="nil"/>
              <w:bottom w:val="single" w:sz="4" w:space="0" w:color="auto"/>
              <w:right w:val="nil"/>
            </w:tcBorders>
            <w:shd w:val="clear" w:color="auto" w:fill="auto"/>
            <w:noWrap/>
            <w:vAlign w:val="center"/>
            <w:hideMark/>
          </w:tcPr>
          <w:p w14:paraId="76C1711E" w14:textId="6D8D728B" w:rsidR="00BA4391" w:rsidRPr="00BA4391" w:rsidRDefault="00BA4391" w:rsidP="000F02C2">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3,173,871 </w:t>
            </w:r>
          </w:p>
        </w:tc>
        <w:tc>
          <w:tcPr>
            <w:tcW w:w="1060" w:type="dxa"/>
            <w:tcBorders>
              <w:top w:val="single" w:sz="4" w:space="0" w:color="auto"/>
              <w:left w:val="nil"/>
              <w:bottom w:val="single" w:sz="4" w:space="0" w:color="auto"/>
              <w:right w:val="nil"/>
            </w:tcBorders>
            <w:shd w:val="clear" w:color="000000" w:fill="E6E6E6"/>
            <w:noWrap/>
            <w:vAlign w:val="center"/>
            <w:hideMark/>
          </w:tcPr>
          <w:p w14:paraId="76C1711F" w14:textId="7DE27652" w:rsidR="00BA4391" w:rsidRPr="00BA4391" w:rsidRDefault="00BA4391" w:rsidP="000F02C2">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3,115,711 </w:t>
            </w:r>
          </w:p>
        </w:tc>
        <w:tc>
          <w:tcPr>
            <w:tcW w:w="1060" w:type="dxa"/>
            <w:tcBorders>
              <w:top w:val="single" w:sz="4" w:space="0" w:color="auto"/>
              <w:left w:val="nil"/>
              <w:bottom w:val="single" w:sz="4" w:space="0" w:color="auto"/>
              <w:right w:val="nil"/>
            </w:tcBorders>
            <w:shd w:val="clear" w:color="auto" w:fill="auto"/>
            <w:noWrap/>
            <w:vAlign w:val="center"/>
            <w:hideMark/>
          </w:tcPr>
          <w:p w14:paraId="76C17120" w14:textId="2547ECCE" w:rsidR="00BA4391" w:rsidRPr="00BA4391" w:rsidRDefault="00BA4391" w:rsidP="000F02C2">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3,062,785 </w:t>
            </w:r>
          </w:p>
        </w:tc>
        <w:tc>
          <w:tcPr>
            <w:tcW w:w="1060" w:type="dxa"/>
            <w:tcBorders>
              <w:top w:val="single" w:sz="4" w:space="0" w:color="auto"/>
              <w:left w:val="nil"/>
              <w:bottom w:val="single" w:sz="4" w:space="0" w:color="auto"/>
              <w:right w:val="nil"/>
            </w:tcBorders>
            <w:shd w:val="clear" w:color="auto" w:fill="auto"/>
            <w:noWrap/>
            <w:vAlign w:val="center"/>
            <w:hideMark/>
          </w:tcPr>
          <w:p w14:paraId="76C17121" w14:textId="4E6C6654" w:rsidR="00BA4391" w:rsidRPr="00BA4391" w:rsidRDefault="00BA4391" w:rsidP="000F02C2">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3,020,269 </w:t>
            </w:r>
          </w:p>
        </w:tc>
        <w:tc>
          <w:tcPr>
            <w:tcW w:w="1060" w:type="dxa"/>
            <w:tcBorders>
              <w:top w:val="single" w:sz="4" w:space="0" w:color="auto"/>
              <w:left w:val="nil"/>
              <w:bottom w:val="single" w:sz="4" w:space="0" w:color="auto"/>
              <w:right w:val="nil"/>
            </w:tcBorders>
            <w:shd w:val="clear" w:color="auto" w:fill="auto"/>
            <w:noWrap/>
            <w:vAlign w:val="center"/>
            <w:hideMark/>
          </w:tcPr>
          <w:p w14:paraId="76C17122" w14:textId="59FCB668" w:rsidR="00BA4391" w:rsidRPr="00BA4391" w:rsidRDefault="00BA4391" w:rsidP="000F02C2">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2,986,535 </w:t>
            </w:r>
          </w:p>
        </w:tc>
      </w:tr>
      <w:tr w:rsidR="00BA4391" w:rsidRPr="00BA4391" w14:paraId="76C1712A" w14:textId="77777777" w:rsidTr="00BA4391">
        <w:tblPrEx>
          <w:tblCellMar>
            <w:left w:w="108" w:type="dxa"/>
            <w:right w:w="108" w:type="dxa"/>
          </w:tblCellMar>
        </w:tblPrEx>
        <w:trPr>
          <w:trHeight w:val="210"/>
        </w:trPr>
        <w:tc>
          <w:tcPr>
            <w:tcW w:w="3100" w:type="dxa"/>
            <w:tcBorders>
              <w:top w:val="nil"/>
              <w:left w:val="nil"/>
              <w:bottom w:val="nil"/>
              <w:right w:val="nil"/>
            </w:tcBorders>
            <w:shd w:val="clear" w:color="auto" w:fill="auto"/>
            <w:noWrap/>
            <w:vAlign w:val="center"/>
            <w:hideMark/>
          </w:tcPr>
          <w:p w14:paraId="76C17124" w14:textId="77777777" w:rsidR="00BA4391" w:rsidRPr="00BA4391" w:rsidRDefault="00BA4391" w:rsidP="00BA4391">
            <w:pPr>
              <w:spacing w:after="0" w:line="240" w:lineRule="auto"/>
              <w:jc w:val="left"/>
              <w:rPr>
                <w:rFonts w:ascii="Arial" w:hAnsi="Arial" w:cs="Arial"/>
                <w:b/>
                <w:bCs/>
                <w:color w:val="000000"/>
                <w:sz w:val="16"/>
                <w:szCs w:val="16"/>
              </w:rPr>
            </w:pPr>
            <w:r w:rsidRPr="00BA4391">
              <w:rPr>
                <w:rFonts w:ascii="Arial" w:hAnsi="Arial" w:cs="Arial"/>
                <w:b/>
                <w:bCs/>
                <w:color w:val="000000"/>
                <w:sz w:val="16"/>
                <w:szCs w:val="16"/>
              </w:rPr>
              <w:t>Total liabilities</w:t>
            </w:r>
          </w:p>
        </w:tc>
        <w:tc>
          <w:tcPr>
            <w:tcW w:w="1060" w:type="dxa"/>
            <w:tcBorders>
              <w:top w:val="nil"/>
              <w:left w:val="nil"/>
              <w:bottom w:val="nil"/>
              <w:right w:val="nil"/>
            </w:tcBorders>
            <w:shd w:val="clear" w:color="auto" w:fill="auto"/>
            <w:noWrap/>
            <w:vAlign w:val="center"/>
            <w:hideMark/>
          </w:tcPr>
          <w:p w14:paraId="76C17125" w14:textId="7346EA1D" w:rsidR="00BA4391" w:rsidRPr="00BA4391" w:rsidRDefault="00BA4391" w:rsidP="000F02C2">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  3,185,178 </w:t>
            </w:r>
          </w:p>
        </w:tc>
        <w:tc>
          <w:tcPr>
            <w:tcW w:w="1060" w:type="dxa"/>
            <w:tcBorders>
              <w:top w:val="nil"/>
              <w:left w:val="nil"/>
              <w:bottom w:val="nil"/>
              <w:right w:val="nil"/>
            </w:tcBorders>
            <w:shd w:val="clear" w:color="000000" w:fill="E6E6E6"/>
            <w:noWrap/>
            <w:vAlign w:val="center"/>
            <w:hideMark/>
          </w:tcPr>
          <w:p w14:paraId="76C17126" w14:textId="4D2C9097" w:rsidR="00BA4391" w:rsidRPr="00BA4391" w:rsidRDefault="00BA4391" w:rsidP="000F02C2">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  3,127,019 </w:t>
            </w:r>
          </w:p>
        </w:tc>
        <w:tc>
          <w:tcPr>
            <w:tcW w:w="1060" w:type="dxa"/>
            <w:tcBorders>
              <w:top w:val="nil"/>
              <w:left w:val="nil"/>
              <w:bottom w:val="nil"/>
              <w:right w:val="nil"/>
            </w:tcBorders>
            <w:shd w:val="clear" w:color="auto" w:fill="auto"/>
            <w:noWrap/>
            <w:vAlign w:val="center"/>
            <w:hideMark/>
          </w:tcPr>
          <w:p w14:paraId="76C17127" w14:textId="4154CAFF" w:rsidR="00BA4391" w:rsidRPr="00BA4391" w:rsidRDefault="00BA4391" w:rsidP="000F02C2">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  3,074,093 </w:t>
            </w:r>
          </w:p>
        </w:tc>
        <w:tc>
          <w:tcPr>
            <w:tcW w:w="1060" w:type="dxa"/>
            <w:tcBorders>
              <w:top w:val="nil"/>
              <w:left w:val="nil"/>
              <w:bottom w:val="nil"/>
              <w:right w:val="nil"/>
            </w:tcBorders>
            <w:shd w:val="clear" w:color="auto" w:fill="auto"/>
            <w:noWrap/>
            <w:vAlign w:val="center"/>
            <w:hideMark/>
          </w:tcPr>
          <w:p w14:paraId="76C17128" w14:textId="4A8E907E" w:rsidR="00BA4391" w:rsidRPr="00BA4391" w:rsidRDefault="00BA4391" w:rsidP="000F02C2">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  3,031,577 </w:t>
            </w:r>
          </w:p>
        </w:tc>
        <w:tc>
          <w:tcPr>
            <w:tcW w:w="1060" w:type="dxa"/>
            <w:tcBorders>
              <w:top w:val="nil"/>
              <w:left w:val="nil"/>
              <w:bottom w:val="nil"/>
              <w:right w:val="nil"/>
            </w:tcBorders>
            <w:shd w:val="clear" w:color="auto" w:fill="auto"/>
            <w:noWrap/>
            <w:vAlign w:val="center"/>
            <w:hideMark/>
          </w:tcPr>
          <w:p w14:paraId="76C17129" w14:textId="6FAD5C39" w:rsidR="00BA4391" w:rsidRPr="00BA4391" w:rsidRDefault="00BA4391" w:rsidP="000F02C2">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  2,997,843 </w:t>
            </w:r>
          </w:p>
        </w:tc>
      </w:tr>
      <w:tr w:rsidR="00BA4391" w:rsidRPr="00BA4391" w14:paraId="76C17131" w14:textId="77777777" w:rsidTr="00BA4391">
        <w:tblPrEx>
          <w:tblCellMar>
            <w:left w:w="108" w:type="dxa"/>
            <w:right w:w="108" w:type="dxa"/>
          </w:tblCellMar>
        </w:tblPrEx>
        <w:trPr>
          <w:trHeight w:val="210"/>
        </w:trPr>
        <w:tc>
          <w:tcPr>
            <w:tcW w:w="3100" w:type="dxa"/>
            <w:tcBorders>
              <w:top w:val="nil"/>
              <w:left w:val="nil"/>
              <w:bottom w:val="nil"/>
              <w:right w:val="nil"/>
            </w:tcBorders>
            <w:shd w:val="clear" w:color="auto" w:fill="auto"/>
            <w:noWrap/>
            <w:vAlign w:val="center"/>
            <w:hideMark/>
          </w:tcPr>
          <w:p w14:paraId="76C1712B" w14:textId="77777777" w:rsidR="00BA4391" w:rsidRPr="00BA4391" w:rsidRDefault="00BA4391" w:rsidP="00BA4391">
            <w:pPr>
              <w:spacing w:after="0" w:line="240" w:lineRule="auto"/>
              <w:jc w:val="left"/>
              <w:rPr>
                <w:rFonts w:ascii="Arial" w:hAnsi="Arial" w:cs="Arial"/>
                <w:b/>
                <w:bCs/>
                <w:sz w:val="16"/>
                <w:szCs w:val="16"/>
              </w:rPr>
            </w:pPr>
            <w:r w:rsidRPr="00BA4391">
              <w:rPr>
                <w:rFonts w:ascii="Arial" w:hAnsi="Arial" w:cs="Arial"/>
                <w:b/>
                <w:bCs/>
                <w:sz w:val="16"/>
                <w:szCs w:val="16"/>
              </w:rPr>
              <w:t>Net assets</w:t>
            </w:r>
          </w:p>
        </w:tc>
        <w:tc>
          <w:tcPr>
            <w:tcW w:w="1060" w:type="dxa"/>
            <w:tcBorders>
              <w:top w:val="single" w:sz="4" w:space="0" w:color="auto"/>
              <w:left w:val="nil"/>
              <w:bottom w:val="single" w:sz="4" w:space="0" w:color="auto"/>
              <w:right w:val="nil"/>
            </w:tcBorders>
            <w:shd w:val="clear" w:color="auto" w:fill="auto"/>
            <w:noWrap/>
            <w:vAlign w:val="center"/>
            <w:hideMark/>
          </w:tcPr>
          <w:p w14:paraId="76C1712C" w14:textId="1CD7E70A" w:rsidR="00BA4391" w:rsidRPr="00BA4391" w:rsidRDefault="00BA4391" w:rsidP="000F02C2">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       22,942 </w:t>
            </w:r>
          </w:p>
        </w:tc>
        <w:tc>
          <w:tcPr>
            <w:tcW w:w="1060" w:type="dxa"/>
            <w:tcBorders>
              <w:top w:val="single" w:sz="4" w:space="0" w:color="auto"/>
              <w:left w:val="nil"/>
              <w:bottom w:val="single" w:sz="4" w:space="0" w:color="auto"/>
              <w:right w:val="nil"/>
            </w:tcBorders>
            <w:shd w:val="clear" w:color="000000" w:fill="E6E6E6"/>
            <w:noWrap/>
            <w:vAlign w:val="center"/>
            <w:hideMark/>
          </w:tcPr>
          <w:p w14:paraId="76C1712D" w14:textId="2E76EC70" w:rsidR="00BA4391" w:rsidRPr="00BA4391" w:rsidRDefault="00BA4391" w:rsidP="000F02C2">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       22,942 </w:t>
            </w:r>
          </w:p>
        </w:tc>
        <w:tc>
          <w:tcPr>
            <w:tcW w:w="1060" w:type="dxa"/>
            <w:tcBorders>
              <w:top w:val="single" w:sz="4" w:space="0" w:color="auto"/>
              <w:left w:val="nil"/>
              <w:bottom w:val="single" w:sz="4" w:space="0" w:color="auto"/>
              <w:right w:val="nil"/>
            </w:tcBorders>
            <w:shd w:val="clear" w:color="auto" w:fill="auto"/>
            <w:noWrap/>
            <w:vAlign w:val="center"/>
            <w:hideMark/>
          </w:tcPr>
          <w:p w14:paraId="76C1712E" w14:textId="1C13E019" w:rsidR="00BA4391" w:rsidRPr="00BA4391" w:rsidRDefault="00BA4391" w:rsidP="000F02C2">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       22,942 </w:t>
            </w:r>
          </w:p>
        </w:tc>
        <w:tc>
          <w:tcPr>
            <w:tcW w:w="1060" w:type="dxa"/>
            <w:tcBorders>
              <w:top w:val="single" w:sz="4" w:space="0" w:color="auto"/>
              <w:left w:val="nil"/>
              <w:bottom w:val="single" w:sz="4" w:space="0" w:color="auto"/>
              <w:right w:val="nil"/>
            </w:tcBorders>
            <w:shd w:val="clear" w:color="auto" w:fill="auto"/>
            <w:noWrap/>
            <w:vAlign w:val="center"/>
            <w:hideMark/>
          </w:tcPr>
          <w:p w14:paraId="76C1712F" w14:textId="31E578DC" w:rsidR="00BA4391" w:rsidRPr="00BA4391" w:rsidRDefault="00BA4391" w:rsidP="000F02C2">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       22,942 </w:t>
            </w:r>
          </w:p>
        </w:tc>
        <w:tc>
          <w:tcPr>
            <w:tcW w:w="1060" w:type="dxa"/>
            <w:tcBorders>
              <w:top w:val="single" w:sz="4" w:space="0" w:color="auto"/>
              <w:left w:val="nil"/>
              <w:bottom w:val="single" w:sz="4" w:space="0" w:color="auto"/>
              <w:right w:val="nil"/>
            </w:tcBorders>
            <w:shd w:val="clear" w:color="auto" w:fill="auto"/>
            <w:noWrap/>
            <w:vAlign w:val="center"/>
            <w:hideMark/>
          </w:tcPr>
          <w:p w14:paraId="76C17130" w14:textId="39A810E2" w:rsidR="00BA4391" w:rsidRPr="00BA4391" w:rsidRDefault="00BA4391" w:rsidP="000F02C2">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       22,942 </w:t>
            </w:r>
          </w:p>
        </w:tc>
      </w:tr>
      <w:tr w:rsidR="00BA4391" w:rsidRPr="00BA4391" w14:paraId="76C17138" w14:textId="77777777" w:rsidTr="00BA4391">
        <w:tblPrEx>
          <w:tblCellMar>
            <w:left w:w="108" w:type="dxa"/>
            <w:right w:w="108" w:type="dxa"/>
          </w:tblCellMar>
        </w:tblPrEx>
        <w:trPr>
          <w:trHeight w:val="210"/>
        </w:trPr>
        <w:tc>
          <w:tcPr>
            <w:tcW w:w="3100" w:type="dxa"/>
            <w:tcBorders>
              <w:top w:val="nil"/>
              <w:left w:val="nil"/>
              <w:bottom w:val="nil"/>
              <w:right w:val="nil"/>
            </w:tcBorders>
            <w:shd w:val="clear" w:color="auto" w:fill="auto"/>
            <w:noWrap/>
            <w:vAlign w:val="center"/>
            <w:hideMark/>
          </w:tcPr>
          <w:p w14:paraId="76C17132" w14:textId="77777777" w:rsidR="00BA4391" w:rsidRPr="00BA4391" w:rsidRDefault="00BA4391" w:rsidP="00BA4391">
            <w:pPr>
              <w:spacing w:after="0" w:line="240" w:lineRule="auto"/>
              <w:jc w:val="left"/>
              <w:rPr>
                <w:rFonts w:ascii="Arial" w:hAnsi="Arial" w:cs="Arial"/>
                <w:b/>
                <w:bCs/>
                <w:color w:val="000000"/>
                <w:sz w:val="16"/>
                <w:szCs w:val="16"/>
              </w:rPr>
            </w:pPr>
            <w:r w:rsidRPr="00BA4391">
              <w:rPr>
                <w:rFonts w:ascii="Arial" w:hAnsi="Arial" w:cs="Arial"/>
                <w:b/>
                <w:bCs/>
                <w:color w:val="000000"/>
                <w:sz w:val="16"/>
                <w:szCs w:val="16"/>
              </w:rPr>
              <w:t>EQUITY*</w:t>
            </w:r>
          </w:p>
        </w:tc>
        <w:tc>
          <w:tcPr>
            <w:tcW w:w="1060" w:type="dxa"/>
            <w:tcBorders>
              <w:top w:val="nil"/>
              <w:left w:val="nil"/>
              <w:bottom w:val="nil"/>
              <w:right w:val="nil"/>
            </w:tcBorders>
            <w:shd w:val="clear" w:color="auto" w:fill="auto"/>
            <w:noWrap/>
            <w:vAlign w:val="center"/>
            <w:hideMark/>
          </w:tcPr>
          <w:p w14:paraId="76C17133" w14:textId="77777777" w:rsidR="00BA4391" w:rsidRPr="00BA4391" w:rsidRDefault="00BA4391" w:rsidP="00BA4391">
            <w:pPr>
              <w:spacing w:after="0" w:line="240" w:lineRule="auto"/>
              <w:jc w:val="left"/>
              <w:rPr>
                <w:rFonts w:ascii="Arial" w:hAnsi="Arial" w:cs="Arial"/>
                <w:b/>
                <w:bCs/>
                <w:color w:val="000000"/>
                <w:sz w:val="16"/>
                <w:szCs w:val="16"/>
              </w:rPr>
            </w:pPr>
          </w:p>
        </w:tc>
        <w:tc>
          <w:tcPr>
            <w:tcW w:w="1060" w:type="dxa"/>
            <w:tcBorders>
              <w:top w:val="nil"/>
              <w:left w:val="nil"/>
              <w:bottom w:val="nil"/>
              <w:right w:val="nil"/>
            </w:tcBorders>
            <w:shd w:val="clear" w:color="000000" w:fill="E6E6E6"/>
            <w:noWrap/>
            <w:vAlign w:val="center"/>
            <w:hideMark/>
          </w:tcPr>
          <w:p w14:paraId="76C17134"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w:t>
            </w:r>
          </w:p>
        </w:tc>
        <w:tc>
          <w:tcPr>
            <w:tcW w:w="1060" w:type="dxa"/>
            <w:tcBorders>
              <w:top w:val="nil"/>
              <w:left w:val="nil"/>
              <w:bottom w:val="nil"/>
              <w:right w:val="nil"/>
            </w:tcBorders>
            <w:shd w:val="clear" w:color="auto" w:fill="auto"/>
            <w:noWrap/>
            <w:vAlign w:val="center"/>
            <w:hideMark/>
          </w:tcPr>
          <w:p w14:paraId="76C17135" w14:textId="77777777" w:rsidR="00BA4391" w:rsidRPr="00BA4391" w:rsidRDefault="00BA4391" w:rsidP="00BA4391">
            <w:pPr>
              <w:spacing w:after="0" w:line="240" w:lineRule="auto"/>
              <w:jc w:val="righ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14:paraId="76C17136" w14:textId="77777777" w:rsidR="00BA4391" w:rsidRPr="00BA4391" w:rsidRDefault="00BA4391" w:rsidP="00BA4391">
            <w:pPr>
              <w:spacing w:after="0" w:line="240" w:lineRule="auto"/>
              <w:jc w:val="right"/>
              <w:rPr>
                <w:rFonts w:ascii="Times New Roman" w:hAnsi="Times New Roman"/>
              </w:rPr>
            </w:pPr>
          </w:p>
        </w:tc>
        <w:tc>
          <w:tcPr>
            <w:tcW w:w="1060" w:type="dxa"/>
            <w:tcBorders>
              <w:top w:val="nil"/>
              <w:left w:val="nil"/>
              <w:bottom w:val="nil"/>
              <w:right w:val="nil"/>
            </w:tcBorders>
            <w:shd w:val="clear" w:color="auto" w:fill="auto"/>
            <w:noWrap/>
            <w:vAlign w:val="center"/>
            <w:hideMark/>
          </w:tcPr>
          <w:p w14:paraId="76C17137" w14:textId="77777777" w:rsidR="00BA4391" w:rsidRPr="00BA4391" w:rsidRDefault="00BA4391" w:rsidP="00BA4391">
            <w:pPr>
              <w:spacing w:after="0" w:line="240" w:lineRule="auto"/>
              <w:jc w:val="right"/>
              <w:rPr>
                <w:rFonts w:ascii="Times New Roman" w:hAnsi="Times New Roman"/>
              </w:rPr>
            </w:pPr>
          </w:p>
        </w:tc>
      </w:tr>
      <w:tr w:rsidR="00BA4391" w:rsidRPr="00BA4391" w14:paraId="76C1713F" w14:textId="77777777" w:rsidTr="00BA4391">
        <w:tblPrEx>
          <w:tblCellMar>
            <w:left w:w="108" w:type="dxa"/>
            <w:right w:w="108" w:type="dxa"/>
          </w:tblCellMar>
        </w:tblPrEx>
        <w:trPr>
          <w:trHeight w:val="210"/>
        </w:trPr>
        <w:tc>
          <w:tcPr>
            <w:tcW w:w="3100" w:type="dxa"/>
            <w:tcBorders>
              <w:top w:val="nil"/>
              <w:left w:val="nil"/>
              <w:bottom w:val="nil"/>
              <w:right w:val="nil"/>
            </w:tcBorders>
            <w:shd w:val="clear" w:color="auto" w:fill="auto"/>
            <w:noWrap/>
            <w:vAlign w:val="center"/>
            <w:hideMark/>
          </w:tcPr>
          <w:p w14:paraId="76C17139" w14:textId="77777777" w:rsidR="00BA4391" w:rsidRPr="00BA4391" w:rsidRDefault="00BA4391" w:rsidP="00BA4391">
            <w:pPr>
              <w:spacing w:after="0" w:line="240" w:lineRule="auto"/>
              <w:jc w:val="left"/>
              <w:rPr>
                <w:rFonts w:ascii="Arial" w:hAnsi="Arial" w:cs="Arial"/>
                <w:b/>
                <w:bCs/>
                <w:color w:val="000000"/>
                <w:sz w:val="16"/>
                <w:szCs w:val="16"/>
              </w:rPr>
            </w:pPr>
            <w:r w:rsidRPr="00BA4391">
              <w:rPr>
                <w:rFonts w:ascii="Arial" w:hAnsi="Arial" w:cs="Arial"/>
                <w:b/>
                <w:bCs/>
                <w:color w:val="000000"/>
                <w:sz w:val="16"/>
                <w:szCs w:val="16"/>
              </w:rPr>
              <w:t>Parent entity interest</w:t>
            </w:r>
          </w:p>
        </w:tc>
        <w:tc>
          <w:tcPr>
            <w:tcW w:w="1060" w:type="dxa"/>
            <w:tcBorders>
              <w:top w:val="nil"/>
              <w:left w:val="nil"/>
              <w:bottom w:val="nil"/>
              <w:right w:val="nil"/>
            </w:tcBorders>
            <w:shd w:val="clear" w:color="auto" w:fill="auto"/>
            <w:noWrap/>
            <w:vAlign w:val="center"/>
            <w:hideMark/>
          </w:tcPr>
          <w:p w14:paraId="76C1713A" w14:textId="77777777" w:rsidR="00BA4391" w:rsidRPr="00BA4391" w:rsidRDefault="00BA4391" w:rsidP="00BA4391">
            <w:pPr>
              <w:spacing w:after="0" w:line="240" w:lineRule="auto"/>
              <w:jc w:val="left"/>
              <w:rPr>
                <w:rFonts w:ascii="Arial" w:hAnsi="Arial" w:cs="Arial"/>
                <w:b/>
                <w:bCs/>
                <w:color w:val="000000"/>
                <w:sz w:val="16"/>
                <w:szCs w:val="16"/>
              </w:rPr>
            </w:pPr>
          </w:p>
        </w:tc>
        <w:tc>
          <w:tcPr>
            <w:tcW w:w="1060" w:type="dxa"/>
            <w:tcBorders>
              <w:top w:val="nil"/>
              <w:left w:val="nil"/>
              <w:bottom w:val="nil"/>
              <w:right w:val="nil"/>
            </w:tcBorders>
            <w:shd w:val="clear" w:color="000000" w:fill="E6E6E6"/>
            <w:noWrap/>
            <w:vAlign w:val="center"/>
            <w:hideMark/>
          </w:tcPr>
          <w:p w14:paraId="76C1713B"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w:t>
            </w:r>
          </w:p>
        </w:tc>
        <w:tc>
          <w:tcPr>
            <w:tcW w:w="1060" w:type="dxa"/>
            <w:tcBorders>
              <w:top w:val="nil"/>
              <w:left w:val="nil"/>
              <w:bottom w:val="nil"/>
              <w:right w:val="nil"/>
            </w:tcBorders>
            <w:shd w:val="clear" w:color="auto" w:fill="auto"/>
            <w:noWrap/>
            <w:vAlign w:val="center"/>
            <w:hideMark/>
          </w:tcPr>
          <w:p w14:paraId="76C1713C" w14:textId="77777777" w:rsidR="00BA4391" w:rsidRPr="00BA4391" w:rsidRDefault="00BA4391" w:rsidP="00BA4391">
            <w:pPr>
              <w:spacing w:after="0" w:line="240" w:lineRule="auto"/>
              <w:jc w:val="righ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14:paraId="76C1713D" w14:textId="77777777" w:rsidR="00BA4391" w:rsidRPr="00BA4391" w:rsidRDefault="00BA4391" w:rsidP="00BA4391">
            <w:pPr>
              <w:spacing w:after="0" w:line="240" w:lineRule="auto"/>
              <w:jc w:val="right"/>
              <w:rPr>
                <w:rFonts w:ascii="Times New Roman" w:hAnsi="Times New Roman"/>
              </w:rPr>
            </w:pPr>
          </w:p>
        </w:tc>
        <w:tc>
          <w:tcPr>
            <w:tcW w:w="1060" w:type="dxa"/>
            <w:tcBorders>
              <w:top w:val="nil"/>
              <w:left w:val="nil"/>
              <w:bottom w:val="nil"/>
              <w:right w:val="nil"/>
            </w:tcBorders>
            <w:shd w:val="clear" w:color="auto" w:fill="auto"/>
            <w:noWrap/>
            <w:vAlign w:val="center"/>
            <w:hideMark/>
          </w:tcPr>
          <w:p w14:paraId="76C1713E" w14:textId="77777777" w:rsidR="00BA4391" w:rsidRPr="00BA4391" w:rsidRDefault="00BA4391" w:rsidP="00BA4391">
            <w:pPr>
              <w:spacing w:after="0" w:line="240" w:lineRule="auto"/>
              <w:jc w:val="right"/>
              <w:rPr>
                <w:rFonts w:ascii="Times New Roman" w:hAnsi="Times New Roman"/>
              </w:rPr>
            </w:pPr>
          </w:p>
        </w:tc>
      </w:tr>
      <w:tr w:rsidR="00BA4391" w:rsidRPr="00BA4391" w14:paraId="76C17146" w14:textId="77777777" w:rsidTr="00BA4391">
        <w:tblPrEx>
          <w:tblCellMar>
            <w:left w:w="108" w:type="dxa"/>
            <w:right w:w="108" w:type="dxa"/>
          </w:tblCellMar>
        </w:tblPrEx>
        <w:trPr>
          <w:trHeight w:val="210"/>
        </w:trPr>
        <w:tc>
          <w:tcPr>
            <w:tcW w:w="3100" w:type="dxa"/>
            <w:tcBorders>
              <w:top w:val="nil"/>
              <w:left w:val="nil"/>
              <w:bottom w:val="nil"/>
              <w:right w:val="nil"/>
            </w:tcBorders>
            <w:shd w:val="clear" w:color="auto" w:fill="auto"/>
            <w:noWrap/>
            <w:vAlign w:val="center"/>
            <w:hideMark/>
          </w:tcPr>
          <w:p w14:paraId="76C17140" w14:textId="77777777" w:rsidR="00BA4391" w:rsidRPr="00BA4391" w:rsidRDefault="00BA4391" w:rsidP="00BA4391">
            <w:pPr>
              <w:spacing w:after="0" w:line="240" w:lineRule="auto"/>
              <w:ind w:firstLineChars="100" w:firstLine="160"/>
              <w:jc w:val="left"/>
              <w:rPr>
                <w:rFonts w:ascii="Arial" w:hAnsi="Arial" w:cs="Arial"/>
                <w:color w:val="000000"/>
                <w:sz w:val="16"/>
                <w:szCs w:val="16"/>
              </w:rPr>
            </w:pPr>
            <w:r w:rsidRPr="00BA4391">
              <w:rPr>
                <w:rFonts w:ascii="Arial" w:hAnsi="Arial" w:cs="Arial"/>
                <w:color w:val="000000"/>
                <w:sz w:val="16"/>
                <w:szCs w:val="16"/>
              </w:rPr>
              <w:t>Contributed equity</w:t>
            </w:r>
          </w:p>
        </w:tc>
        <w:tc>
          <w:tcPr>
            <w:tcW w:w="1060" w:type="dxa"/>
            <w:tcBorders>
              <w:top w:val="nil"/>
              <w:left w:val="nil"/>
              <w:bottom w:val="nil"/>
              <w:right w:val="nil"/>
            </w:tcBorders>
            <w:shd w:val="clear" w:color="auto" w:fill="auto"/>
            <w:noWrap/>
            <w:vAlign w:val="center"/>
            <w:hideMark/>
          </w:tcPr>
          <w:p w14:paraId="76C17141"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7,717 </w:t>
            </w:r>
          </w:p>
        </w:tc>
        <w:tc>
          <w:tcPr>
            <w:tcW w:w="1060" w:type="dxa"/>
            <w:tcBorders>
              <w:top w:val="nil"/>
              <w:left w:val="nil"/>
              <w:bottom w:val="nil"/>
              <w:right w:val="nil"/>
            </w:tcBorders>
            <w:shd w:val="clear" w:color="000000" w:fill="E6E6E6"/>
            <w:noWrap/>
            <w:vAlign w:val="center"/>
            <w:hideMark/>
          </w:tcPr>
          <w:p w14:paraId="76C17142"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7,717 </w:t>
            </w:r>
          </w:p>
        </w:tc>
        <w:tc>
          <w:tcPr>
            <w:tcW w:w="1060" w:type="dxa"/>
            <w:tcBorders>
              <w:top w:val="nil"/>
              <w:left w:val="nil"/>
              <w:bottom w:val="nil"/>
              <w:right w:val="nil"/>
            </w:tcBorders>
            <w:shd w:val="clear" w:color="auto" w:fill="auto"/>
            <w:noWrap/>
            <w:vAlign w:val="center"/>
            <w:hideMark/>
          </w:tcPr>
          <w:p w14:paraId="76C17143"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7,717 </w:t>
            </w:r>
          </w:p>
        </w:tc>
        <w:tc>
          <w:tcPr>
            <w:tcW w:w="1060" w:type="dxa"/>
            <w:tcBorders>
              <w:top w:val="nil"/>
              <w:left w:val="nil"/>
              <w:bottom w:val="nil"/>
              <w:right w:val="nil"/>
            </w:tcBorders>
            <w:shd w:val="clear" w:color="auto" w:fill="auto"/>
            <w:noWrap/>
            <w:vAlign w:val="center"/>
            <w:hideMark/>
          </w:tcPr>
          <w:p w14:paraId="76C17144"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7,717 </w:t>
            </w:r>
          </w:p>
        </w:tc>
        <w:tc>
          <w:tcPr>
            <w:tcW w:w="1060" w:type="dxa"/>
            <w:tcBorders>
              <w:top w:val="nil"/>
              <w:left w:val="nil"/>
              <w:bottom w:val="nil"/>
              <w:right w:val="nil"/>
            </w:tcBorders>
            <w:shd w:val="clear" w:color="auto" w:fill="auto"/>
            <w:noWrap/>
            <w:vAlign w:val="center"/>
            <w:hideMark/>
          </w:tcPr>
          <w:p w14:paraId="76C17145"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7,717 </w:t>
            </w:r>
          </w:p>
        </w:tc>
      </w:tr>
      <w:tr w:rsidR="00BA4391" w:rsidRPr="00BA4391" w14:paraId="76C1714D"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147" w14:textId="77777777" w:rsidR="00BA4391" w:rsidRPr="00BA4391" w:rsidRDefault="00BA4391" w:rsidP="00BA4391">
            <w:pPr>
              <w:spacing w:after="0" w:line="240" w:lineRule="auto"/>
              <w:ind w:firstLineChars="100" w:firstLine="160"/>
              <w:jc w:val="left"/>
              <w:rPr>
                <w:rFonts w:ascii="Arial" w:hAnsi="Arial" w:cs="Arial"/>
                <w:color w:val="000000"/>
                <w:sz w:val="16"/>
                <w:szCs w:val="16"/>
              </w:rPr>
            </w:pPr>
            <w:r w:rsidRPr="00BA4391">
              <w:rPr>
                <w:rFonts w:ascii="Arial" w:hAnsi="Arial" w:cs="Arial"/>
                <w:color w:val="000000"/>
                <w:sz w:val="16"/>
                <w:szCs w:val="16"/>
              </w:rPr>
              <w:t>Reserves</w:t>
            </w:r>
          </w:p>
        </w:tc>
        <w:tc>
          <w:tcPr>
            <w:tcW w:w="1060" w:type="dxa"/>
            <w:tcBorders>
              <w:top w:val="nil"/>
              <w:left w:val="nil"/>
              <w:bottom w:val="nil"/>
              <w:right w:val="nil"/>
            </w:tcBorders>
            <w:shd w:val="clear" w:color="auto" w:fill="auto"/>
            <w:noWrap/>
            <w:vAlign w:val="center"/>
            <w:hideMark/>
          </w:tcPr>
          <w:p w14:paraId="76C17148"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3,961 </w:t>
            </w:r>
          </w:p>
        </w:tc>
        <w:tc>
          <w:tcPr>
            <w:tcW w:w="1060" w:type="dxa"/>
            <w:tcBorders>
              <w:top w:val="nil"/>
              <w:left w:val="nil"/>
              <w:bottom w:val="nil"/>
              <w:right w:val="nil"/>
            </w:tcBorders>
            <w:shd w:val="clear" w:color="000000" w:fill="E6E6E6"/>
            <w:noWrap/>
            <w:vAlign w:val="center"/>
            <w:hideMark/>
          </w:tcPr>
          <w:p w14:paraId="76C17149"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3,961 </w:t>
            </w:r>
          </w:p>
        </w:tc>
        <w:tc>
          <w:tcPr>
            <w:tcW w:w="1060" w:type="dxa"/>
            <w:tcBorders>
              <w:top w:val="nil"/>
              <w:left w:val="nil"/>
              <w:bottom w:val="nil"/>
              <w:right w:val="nil"/>
            </w:tcBorders>
            <w:shd w:val="clear" w:color="auto" w:fill="auto"/>
            <w:noWrap/>
            <w:vAlign w:val="center"/>
            <w:hideMark/>
          </w:tcPr>
          <w:p w14:paraId="76C1714A"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3,961 </w:t>
            </w:r>
          </w:p>
        </w:tc>
        <w:tc>
          <w:tcPr>
            <w:tcW w:w="1060" w:type="dxa"/>
            <w:tcBorders>
              <w:top w:val="nil"/>
              <w:left w:val="nil"/>
              <w:bottom w:val="nil"/>
              <w:right w:val="nil"/>
            </w:tcBorders>
            <w:shd w:val="clear" w:color="auto" w:fill="auto"/>
            <w:noWrap/>
            <w:vAlign w:val="center"/>
            <w:hideMark/>
          </w:tcPr>
          <w:p w14:paraId="76C1714B"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3,961 </w:t>
            </w:r>
          </w:p>
        </w:tc>
        <w:tc>
          <w:tcPr>
            <w:tcW w:w="1060" w:type="dxa"/>
            <w:tcBorders>
              <w:top w:val="nil"/>
              <w:left w:val="nil"/>
              <w:bottom w:val="nil"/>
              <w:right w:val="nil"/>
            </w:tcBorders>
            <w:shd w:val="clear" w:color="auto" w:fill="auto"/>
            <w:noWrap/>
            <w:vAlign w:val="center"/>
            <w:hideMark/>
          </w:tcPr>
          <w:p w14:paraId="76C1714C"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3,961 </w:t>
            </w:r>
          </w:p>
        </w:tc>
      </w:tr>
      <w:tr w:rsidR="00BA4391" w:rsidRPr="00BA4391" w14:paraId="76C17154" w14:textId="77777777" w:rsidTr="000F02C2">
        <w:tblPrEx>
          <w:tblCellMar>
            <w:left w:w="108" w:type="dxa"/>
            <w:right w:w="108" w:type="dxa"/>
          </w:tblCellMar>
        </w:tblPrEx>
        <w:trPr>
          <w:trHeight w:val="193"/>
        </w:trPr>
        <w:tc>
          <w:tcPr>
            <w:tcW w:w="3100" w:type="dxa"/>
            <w:tcBorders>
              <w:top w:val="nil"/>
              <w:left w:val="nil"/>
              <w:bottom w:val="nil"/>
              <w:right w:val="nil"/>
            </w:tcBorders>
            <w:shd w:val="clear" w:color="auto" w:fill="auto"/>
            <w:vAlign w:val="center"/>
            <w:hideMark/>
          </w:tcPr>
          <w:p w14:paraId="76C1714E" w14:textId="5770ADB0" w:rsidR="00BA4391" w:rsidRPr="00BA4391" w:rsidRDefault="00BA4391" w:rsidP="000F02C2">
            <w:pPr>
              <w:spacing w:after="0" w:line="240" w:lineRule="auto"/>
              <w:ind w:firstLineChars="100" w:firstLine="160"/>
              <w:jc w:val="left"/>
              <w:rPr>
                <w:rFonts w:ascii="Arial" w:hAnsi="Arial" w:cs="Arial"/>
                <w:color w:val="000000"/>
                <w:sz w:val="16"/>
                <w:szCs w:val="16"/>
              </w:rPr>
            </w:pPr>
            <w:r w:rsidRPr="00BA4391">
              <w:rPr>
                <w:rFonts w:ascii="Arial" w:hAnsi="Arial" w:cs="Arial"/>
                <w:color w:val="000000"/>
                <w:sz w:val="16"/>
                <w:szCs w:val="16"/>
              </w:rPr>
              <w:t>Retained surplus (accumulated deficit)</w:t>
            </w:r>
          </w:p>
        </w:tc>
        <w:tc>
          <w:tcPr>
            <w:tcW w:w="1060" w:type="dxa"/>
            <w:tcBorders>
              <w:top w:val="nil"/>
              <w:left w:val="nil"/>
              <w:bottom w:val="nil"/>
              <w:right w:val="nil"/>
            </w:tcBorders>
            <w:shd w:val="clear" w:color="auto" w:fill="auto"/>
            <w:noWrap/>
            <w:vAlign w:val="center"/>
            <w:hideMark/>
          </w:tcPr>
          <w:p w14:paraId="76C1714F"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11,264 </w:t>
            </w:r>
          </w:p>
        </w:tc>
        <w:tc>
          <w:tcPr>
            <w:tcW w:w="1060" w:type="dxa"/>
            <w:tcBorders>
              <w:top w:val="nil"/>
              <w:left w:val="nil"/>
              <w:bottom w:val="nil"/>
              <w:right w:val="nil"/>
            </w:tcBorders>
            <w:shd w:val="clear" w:color="000000" w:fill="E6E6E6"/>
            <w:noWrap/>
            <w:vAlign w:val="center"/>
            <w:hideMark/>
          </w:tcPr>
          <w:p w14:paraId="76C17150"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11,264 </w:t>
            </w:r>
          </w:p>
        </w:tc>
        <w:tc>
          <w:tcPr>
            <w:tcW w:w="1060" w:type="dxa"/>
            <w:tcBorders>
              <w:top w:val="nil"/>
              <w:left w:val="nil"/>
              <w:bottom w:val="nil"/>
              <w:right w:val="nil"/>
            </w:tcBorders>
            <w:shd w:val="clear" w:color="auto" w:fill="auto"/>
            <w:noWrap/>
            <w:vAlign w:val="center"/>
            <w:hideMark/>
          </w:tcPr>
          <w:p w14:paraId="76C17151"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11,264 </w:t>
            </w:r>
          </w:p>
        </w:tc>
        <w:tc>
          <w:tcPr>
            <w:tcW w:w="1060" w:type="dxa"/>
            <w:tcBorders>
              <w:top w:val="nil"/>
              <w:left w:val="nil"/>
              <w:bottom w:val="nil"/>
              <w:right w:val="nil"/>
            </w:tcBorders>
            <w:shd w:val="clear" w:color="auto" w:fill="auto"/>
            <w:noWrap/>
            <w:vAlign w:val="center"/>
            <w:hideMark/>
          </w:tcPr>
          <w:p w14:paraId="76C17152"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11,264 </w:t>
            </w:r>
          </w:p>
        </w:tc>
        <w:tc>
          <w:tcPr>
            <w:tcW w:w="1060" w:type="dxa"/>
            <w:tcBorders>
              <w:top w:val="nil"/>
              <w:left w:val="nil"/>
              <w:bottom w:val="nil"/>
              <w:right w:val="nil"/>
            </w:tcBorders>
            <w:shd w:val="clear" w:color="auto" w:fill="auto"/>
            <w:noWrap/>
            <w:vAlign w:val="center"/>
            <w:hideMark/>
          </w:tcPr>
          <w:p w14:paraId="76C17153"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11,264 </w:t>
            </w:r>
          </w:p>
        </w:tc>
      </w:tr>
      <w:tr w:rsidR="00BA4391" w:rsidRPr="00BA4391" w14:paraId="76C1715B" w14:textId="77777777" w:rsidTr="00BA4391">
        <w:tblPrEx>
          <w:tblCellMar>
            <w:left w:w="108" w:type="dxa"/>
            <w:right w:w="108" w:type="dxa"/>
          </w:tblCellMar>
        </w:tblPrEx>
        <w:trPr>
          <w:trHeight w:val="200"/>
        </w:trPr>
        <w:tc>
          <w:tcPr>
            <w:tcW w:w="3100" w:type="dxa"/>
            <w:tcBorders>
              <w:top w:val="nil"/>
              <w:left w:val="nil"/>
              <w:bottom w:val="nil"/>
              <w:right w:val="nil"/>
            </w:tcBorders>
            <w:shd w:val="clear" w:color="auto" w:fill="auto"/>
            <w:noWrap/>
            <w:vAlign w:val="center"/>
            <w:hideMark/>
          </w:tcPr>
          <w:p w14:paraId="76C17155" w14:textId="77777777" w:rsidR="00BA4391" w:rsidRPr="00BA4391" w:rsidRDefault="00BA4391" w:rsidP="00BA4391">
            <w:pPr>
              <w:spacing w:after="0" w:line="240" w:lineRule="auto"/>
              <w:jc w:val="left"/>
              <w:rPr>
                <w:rFonts w:ascii="Arial" w:hAnsi="Arial" w:cs="Arial"/>
                <w:b/>
                <w:bCs/>
                <w:i/>
                <w:iCs/>
                <w:color w:val="000000"/>
                <w:sz w:val="16"/>
                <w:szCs w:val="16"/>
              </w:rPr>
            </w:pPr>
            <w:r w:rsidRPr="00BA4391">
              <w:rPr>
                <w:rFonts w:ascii="Arial" w:hAnsi="Arial" w:cs="Arial"/>
                <w:b/>
                <w:bCs/>
                <w:i/>
                <w:iCs/>
                <w:color w:val="000000"/>
                <w:sz w:val="16"/>
                <w:szCs w:val="16"/>
              </w:rPr>
              <w:t>Total parent entity interest</w:t>
            </w:r>
          </w:p>
        </w:tc>
        <w:tc>
          <w:tcPr>
            <w:tcW w:w="1060" w:type="dxa"/>
            <w:tcBorders>
              <w:top w:val="single" w:sz="4" w:space="0" w:color="auto"/>
              <w:left w:val="nil"/>
              <w:bottom w:val="single" w:sz="4" w:space="0" w:color="auto"/>
              <w:right w:val="nil"/>
            </w:tcBorders>
            <w:shd w:val="clear" w:color="auto" w:fill="auto"/>
            <w:noWrap/>
            <w:vAlign w:val="center"/>
            <w:hideMark/>
          </w:tcPr>
          <w:p w14:paraId="76C17156" w14:textId="77777777" w:rsidR="00BA4391" w:rsidRPr="00BA4391" w:rsidRDefault="00BA4391" w:rsidP="00BA4391">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22,942 </w:t>
            </w:r>
          </w:p>
        </w:tc>
        <w:tc>
          <w:tcPr>
            <w:tcW w:w="1060" w:type="dxa"/>
            <w:tcBorders>
              <w:top w:val="single" w:sz="4" w:space="0" w:color="auto"/>
              <w:left w:val="nil"/>
              <w:bottom w:val="single" w:sz="4" w:space="0" w:color="auto"/>
              <w:right w:val="nil"/>
            </w:tcBorders>
            <w:shd w:val="clear" w:color="000000" w:fill="E6E6E6"/>
            <w:noWrap/>
            <w:vAlign w:val="center"/>
            <w:hideMark/>
          </w:tcPr>
          <w:p w14:paraId="76C17157" w14:textId="77777777" w:rsidR="00BA4391" w:rsidRPr="00BA4391" w:rsidRDefault="00BA4391" w:rsidP="00BA4391">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22,942 </w:t>
            </w:r>
          </w:p>
        </w:tc>
        <w:tc>
          <w:tcPr>
            <w:tcW w:w="1060" w:type="dxa"/>
            <w:tcBorders>
              <w:top w:val="single" w:sz="4" w:space="0" w:color="auto"/>
              <w:left w:val="nil"/>
              <w:bottom w:val="single" w:sz="4" w:space="0" w:color="auto"/>
              <w:right w:val="nil"/>
            </w:tcBorders>
            <w:shd w:val="clear" w:color="auto" w:fill="auto"/>
            <w:noWrap/>
            <w:vAlign w:val="center"/>
            <w:hideMark/>
          </w:tcPr>
          <w:p w14:paraId="76C17158" w14:textId="77777777" w:rsidR="00BA4391" w:rsidRPr="00BA4391" w:rsidRDefault="00BA4391" w:rsidP="00BA4391">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22,942 </w:t>
            </w:r>
          </w:p>
        </w:tc>
        <w:tc>
          <w:tcPr>
            <w:tcW w:w="1060" w:type="dxa"/>
            <w:tcBorders>
              <w:top w:val="single" w:sz="4" w:space="0" w:color="auto"/>
              <w:left w:val="nil"/>
              <w:bottom w:val="single" w:sz="4" w:space="0" w:color="auto"/>
              <w:right w:val="nil"/>
            </w:tcBorders>
            <w:shd w:val="clear" w:color="auto" w:fill="auto"/>
            <w:noWrap/>
            <w:vAlign w:val="center"/>
            <w:hideMark/>
          </w:tcPr>
          <w:p w14:paraId="76C17159" w14:textId="77777777" w:rsidR="00BA4391" w:rsidRPr="00BA4391" w:rsidRDefault="00BA4391" w:rsidP="00BA4391">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22,942 </w:t>
            </w:r>
          </w:p>
        </w:tc>
        <w:tc>
          <w:tcPr>
            <w:tcW w:w="1060" w:type="dxa"/>
            <w:tcBorders>
              <w:top w:val="single" w:sz="4" w:space="0" w:color="auto"/>
              <w:left w:val="nil"/>
              <w:bottom w:val="single" w:sz="4" w:space="0" w:color="auto"/>
              <w:right w:val="nil"/>
            </w:tcBorders>
            <w:shd w:val="clear" w:color="auto" w:fill="auto"/>
            <w:noWrap/>
            <w:vAlign w:val="center"/>
            <w:hideMark/>
          </w:tcPr>
          <w:p w14:paraId="76C1715A" w14:textId="77777777" w:rsidR="00BA4391" w:rsidRPr="00BA4391" w:rsidRDefault="00BA4391" w:rsidP="00BA4391">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22,942 </w:t>
            </w:r>
          </w:p>
        </w:tc>
      </w:tr>
      <w:tr w:rsidR="00BA4391" w:rsidRPr="00BA4391" w14:paraId="76C17162" w14:textId="77777777" w:rsidTr="00BA4391">
        <w:tblPrEx>
          <w:tblCellMar>
            <w:left w:w="108" w:type="dxa"/>
            <w:right w:w="108" w:type="dxa"/>
          </w:tblCellMar>
        </w:tblPrEx>
        <w:trPr>
          <w:trHeight w:val="210"/>
        </w:trPr>
        <w:tc>
          <w:tcPr>
            <w:tcW w:w="3100" w:type="dxa"/>
            <w:tcBorders>
              <w:top w:val="nil"/>
              <w:left w:val="nil"/>
              <w:bottom w:val="single" w:sz="4" w:space="0" w:color="auto"/>
              <w:right w:val="nil"/>
            </w:tcBorders>
            <w:shd w:val="clear" w:color="auto" w:fill="auto"/>
            <w:noWrap/>
            <w:vAlign w:val="center"/>
            <w:hideMark/>
          </w:tcPr>
          <w:p w14:paraId="76C1715C" w14:textId="77777777" w:rsidR="00BA4391" w:rsidRPr="00BA4391" w:rsidRDefault="00BA4391" w:rsidP="00BA4391">
            <w:pPr>
              <w:spacing w:after="0" w:line="240" w:lineRule="auto"/>
              <w:jc w:val="left"/>
              <w:rPr>
                <w:rFonts w:ascii="Arial" w:hAnsi="Arial" w:cs="Arial"/>
                <w:b/>
                <w:bCs/>
                <w:color w:val="000000"/>
                <w:sz w:val="16"/>
                <w:szCs w:val="16"/>
              </w:rPr>
            </w:pPr>
            <w:r w:rsidRPr="00BA4391">
              <w:rPr>
                <w:rFonts w:ascii="Arial" w:hAnsi="Arial" w:cs="Arial"/>
                <w:b/>
                <w:bCs/>
                <w:color w:val="000000"/>
                <w:sz w:val="16"/>
                <w:szCs w:val="16"/>
              </w:rPr>
              <w:t>Total equity</w:t>
            </w:r>
          </w:p>
        </w:tc>
        <w:tc>
          <w:tcPr>
            <w:tcW w:w="1060" w:type="dxa"/>
            <w:tcBorders>
              <w:top w:val="nil"/>
              <w:left w:val="nil"/>
              <w:bottom w:val="single" w:sz="4" w:space="0" w:color="auto"/>
              <w:right w:val="nil"/>
            </w:tcBorders>
            <w:shd w:val="clear" w:color="auto" w:fill="auto"/>
            <w:noWrap/>
            <w:vAlign w:val="center"/>
            <w:hideMark/>
          </w:tcPr>
          <w:p w14:paraId="76C1715D" w14:textId="77777777" w:rsidR="00BA4391" w:rsidRPr="00BA4391" w:rsidRDefault="00BA4391" w:rsidP="00BA4391">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22,942 </w:t>
            </w:r>
          </w:p>
        </w:tc>
        <w:tc>
          <w:tcPr>
            <w:tcW w:w="1060" w:type="dxa"/>
            <w:tcBorders>
              <w:top w:val="nil"/>
              <w:left w:val="nil"/>
              <w:bottom w:val="single" w:sz="4" w:space="0" w:color="auto"/>
              <w:right w:val="nil"/>
            </w:tcBorders>
            <w:shd w:val="clear" w:color="000000" w:fill="E6E6E6"/>
            <w:noWrap/>
            <w:vAlign w:val="center"/>
            <w:hideMark/>
          </w:tcPr>
          <w:p w14:paraId="76C1715E" w14:textId="77777777" w:rsidR="00BA4391" w:rsidRPr="00BA4391" w:rsidRDefault="00BA4391" w:rsidP="00BA4391">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22,942 </w:t>
            </w:r>
          </w:p>
        </w:tc>
        <w:tc>
          <w:tcPr>
            <w:tcW w:w="1060" w:type="dxa"/>
            <w:tcBorders>
              <w:top w:val="nil"/>
              <w:left w:val="nil"/>
              <w:bottom w:val="single" w:sz="4" w:space="0" w:color="auto"/>
              <w:right w:val="nil"/>
            </w:tcBorders>
            <w:shd w:val="clear" w:color="auto" w:fill="auto"/>
            <w:noWrap/>
            <w:vAlign w:val="center"/>
            <w:hideMark/>
          </w:tcPr>
          <w:p w14:paraId="76C1715F" w14:textId="77777777" w:rsidR="00BA4391" w:rsidRPr="00BA4391" w:rsidRDefault="00BA4391" w:rsidP="00BA4391">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22,942 </w:t>
            </w:r>
          </w:p>
        </w:tc>
        <w:tc>
          <w:tcPr>
            <w:tcW w:w="1060" w:type="dxa"/>
            <w:tcBorders>
              <w:top w:val="nil"/>
              <w:left w:val="nil"/>
              <w:bottom w:val="single" w:sz="4" w:space="0" w:color="auto"/>
              <w:right w:val="nil"/>
            </w:tcBorders>
            <w:shd w:val="clear" w:color="auto" w:fill="auto"/>
            <w:noWrap/>
            <w:vAlign w:val="center"/>
            <w:hideMark/>
          </w:tcPr>
          <w:p w14:paraId="76C17160" w14:textId="77777777" w:rsidR="00BA4391" w:rsidRPr="00BA4391" w:rsidRDefault="00BA4391" w:rsidP="00BA4391">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22,942 </w:t>
            </w:r>
          </w:p>
        </w:tc>
        <w:tc>
          <w:tcPr>
            <w:tcW w:w="1060" w:type="dxa"/>
            <w:tcBorders>
              <w:top w:val="nil"/>
              <w:left w:val="nil"/>
              <w:bottom w:val="single" w:sz="4" w:space="0" w:color="auto"/>
              <w:right w:val="nil"/>
            </w:tcBorders>
            <w:shd w:val="clear" w:color="auto" w:fill="auto"/>
            <w:noWrap/>
            <w:vAlign w:val="center"/>
            <w:hideMark/>
          </w:tcPr>
          <w:p w14:paraId="76C17161" w14:textId="77777777" w:rsidR="00BA4391" w:rsidRPr="00BA4391" w:rsidRDefault="00BA4391" w:rsidP="00BA4391">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22,942 </w:t>
            </w:r>
          </w:p>
        </w:tc>
      </w:tr>
    </w:tbl>
    <w:p w14:paraId="76C17163" w14:textId="77777777" w:rsidR="00DF0134" w:rsidRDefault="00DF0134" w:rsidP="003732E1">
      <w:pPr>
        <w:pStyle w:val="ChartandTableFootnote"/>
        <w:spacing w:before="120"/>
        <w:jc w:val="left"/>
        <w:rPr>
          <w:rFonts w:cs="Arial"/>
        </w:rPr>
      </w:pPr>
      <w:r w:rsidRPr="00132F9E">
        <w:rPr>
          <w:rFonts w:cs="Arial"/>
        </w:rPr>
        <w:t>*</w:t>
      </w:r>
      <w:r w:rsidR="002C614F">
        <w:rPr>
          <w:rFonts w:cs="Arial"/>
        </w:rPr>
        <w:t>Equity</w:t>
      </w:r>
      <w:r w:rsidRPr="00132F9E">
        <w:rPr>
          <w:rFonts w:cs="Arial"/>
        </w:rPr>
        <w:t xml:space="preserve"> is the residual interest in assets after deduction of liabilities.</w:t>
      </w:r>
    </w:p>
    <w:p w14:paraId="76C17164" w14:textId="77777777" w:rsidR="002C614F" w:rsidRPr="002C614F" w:rsidRDefault="002C614F" w:rsidP="003732E1">
      <w:pPr>
        <w:pStyle w:val="Source"/>
        <w:spacing w:before="120"/>
        <w:jc w:val="left"/>
        <w:rPr>
          <w:rFonts w:cs="Arial"/>
        </w:rPr>
      </w:pPr>
      <w:r w:rsidRPr="00132F9E">
        <w:rPr>
          <w:rFonts w:cs="Arial"/>
        </w:rPr>
        <w:t>Prepared on Australian Accounting Standards basis.</w:t>
      </w:r>
    </w:p>
    <w:p w14:paraId="76C17165" w14:textId="77777777" w:rsidR="00DF0134" w:rsidRDefault="00DF0134" w:rsidP="003732E1">
      <w:pPr>
        <w:pStyle w:val="TableHeading"/>
      </w:pPr>
      <w:r>
        <w:br w:type="page"/>
      </w:r>
      <w:r w:rsidRPr="00AD42E2">
        <w:lastRenderedPageBreak/>
        <w:t>Table 3.3: Departmental statement of changes in equity — summary of</w:t>
      </w:r>
      <w:r>
        <w:t xml:space="preserve"> movement (Budget year </w:t>
      </w:r>
      <w:r w:rsidR="009A4174">
        <w:t>2019–20</w:t>
      </w:r>
      <w:r w:rsidRPr="00D30CBA">
        <w:t>)</w:t>
      </w:r>
    </w:p>
    <w:tbl>
      <w:tblPr>
        <w:tblW w:w="6800" w:type="dxa"/>
        <w:tblLook w:val="04A0" w:firstRow="1" w:lastRow="0" w:firstColumn="1" w:lastColumn="0" w:noHBand="0" w:noVBand="1"/>
      </w:tblPr>
      <w:tblGrid>
        <w:gridCol w:w="3100"/>
        <w:gridCol w:w="860"/>
        <w:gridCol w:w="999"/>
        <w:gridCol w:w="1044"/>
        <w:gridCol w:w="860"/>
      </w:tblGrid>
      <w:tr w:rsidR="00BA4391" w:rsidRPr="00BA4391" w14:paraId="76C1716B" w14:textId="77777777" w:rsidTr="00BA4391">
        <w:trPr>
          <w:trHeight w:val="800"/>
        </w:trPr>
        <w:tc>
          <w:tcPr>
            <w:tcW w:w="3100" w:type="dxa"/>
            <w:tcBorders>
              <w:top w:val="single" w:sz="4" w:space="0" w:color="auto"/>
              <w:left w:val="nil"/>
              <w:bottom w:val="nil"/>
              <w:right w:val="nil"/>
            </w:tcBorders>
            <w:shd w:val="clear" w:color="auto" w:fill="auto"/>
            <w:noWrap/>
            <w:vAlign w:val="center"/>
            <w:hideMark/>
          </w:tcPr>
          <w:p w14:paraId="76C17166"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w:t>
            </w:r>
          </w:p>
        </w:tc>
        <w:tc>
          <w:tcPr>
            <w:tcW w:w="860" w:type="dxa"/>
            <w:tcBorders>
              <w:top w:val="single" w:sz="4" w:space="0" w:color="auto"/>
              <w:left w:val="nil"/>
              <w:bottom w:val="single" w:sz="4" w:space="0" w:color="auto"/>
              <w:right w:val="nil"/>
            </w:tcBorders>
            <w:shd w:val="clear" w:color="auto" w:fill="auto"/>
            <w:hideMark/>
          </w:tcPr>
          <w:p w14:paraId="76C17167"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Retained</w:t>
            </w:r>
            <w:r w:rsidRPr="00BA4391">
              <w:rPr>
                <w:rFonts w:ascii="Arial" w:hAnsi="Arial" w:cs="Arial"/>
                <w:color w:val="000000"/>
                <w:sz w:val="16"/>
                <w:szCs w:val="16"/>
              </w:rPr>
              <w:br/>
              <w:t>earnings</w:t>
            </w:r>
            <w:r w:rsidRPr="00BA4391">
              <w:rPr>
                <w:rFonts w:ascii="Arial" w:hAnsi="Arial" w:cs="Arial"/>
                <w:color w:val="000000"/>
                <w:sz w:val="16"/>
                <w:szCs w:val="16"/>
              </w:rPr>
              <w:br/>
            </w:r>
            <w:r w:rsidRPr="00BA4391">
              <w:rPr>
                <w:rFonts w:ascii="Arial" w:hAnsi="Arial" w:cs="Arial"/>
                <w:color w:val="000000"/>
                <w:sz w:val="16"/>
                <w:szCs w:val="16"/>
              </w:rPr>
              <w:br/>
              <w:t>$'000</w:t>
            </w:r>
          </w:p>
        </w:tc>
        <w:tc>
          <w:tcPr>
            <w:tcW w:w="960" w:type="dxa"/>
            <w:tcBorders>
              <w:top w:val="single" w:sz="4" w:space="0" w:color="auto"/>
              <w:left w:val="nil"/>
              <w:bottom w:val="single" w:sz="4" w:space="0" w:color="auto"/>
              <w:right w:val="nil"/>
            </w:tcBorders>
            <w:shd w:val="clear" w:color="auto" w:fill="auto"/>
            <w:hideMark/>
          </w:tcPr>
          <w:p w14:paraId="76C17168"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Asset</w:t>
            </w:r>
            <w:r w:rsidRPr="00BA4391">
              <w:rPr>
                <w:rFonts w:ascii="Arial" w:hAnsi="Arial" w:cs="Arial"/>
                <w:color w:val="000000"/>
                <w:sz w:val="16"/>
                <w:szCs w:val="16"/>
              </w:rPr>
              <w:br/>
              <w:t>revaluation</w:t>
            </w:r>
            <w:r w:rsidRPr="00BA4391">
              <w:rPr>
                <w:rFonts w:ascii="Arial" w:hAnsi="Arial" w:cs="Arial"/>
                <w:color w:val="000000"/>
                <w:sz w:val="16"/>
                <w:szCs w:val="16"/>
              </w:rPr>
              <w:br/>
              <w:t>reserve</w:t>
            </w:r>
            <w:r w:rsidRPr="00BA4391">
              <w:rPr>
                <w:rFonts w:ascii="Arial" w:hAnsi="Arial" w:cs="Arial"/>
                <w:color w:val="000000"/>
                <w:sz w:val="16"/>
                <w:szCs w:val="16"/>
              </w:rPr>
              <w:br/>
              <w:t>$'000</w:t>
            </w:r>
          </w:p>
        </w:tc>
        <w:tc>
          <w:tcPr>
            <w:tcW w:w="1020" w:type="dxa"/>
            <w:tcBorders>
              <w:top w:val="single" w:sz="4" w:space="0" w:color="auto"/>
              <w:left w:val="nil"/>
              <w:bottom w:val="single" w:sz="4" w:space="0" w:color="auto"/>
              <w:right w:val="nil"/>
            </w:tcBorders>
            <w:shd w:val="clear" w:color="auto" w:fill="auto"/>
            <w:hideMark/>
          </w:tcPr>
          <w:p w14:paraId="76C17169"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Contributed</w:t>
            </w:r>
            <w:r w:rsidRPr="00BA4391">
              <w:rPr>
                <w:rFonts w:ascii="Arial" w:hAnsi="Arial" w:cs="Arial"/>
                <w:color w:val="000000"/>
                <w:sz w:val="16"/>
                <w:szCs w:val="16"/>
              </w:rPr>
              <w:br/>
              <w:t>equity/</w:t>
            </w:r>
            <w:r w:rsidRPr="00BA4391">
              <w:rPr>
                <w:rFonts w:ascii="Arial" w:hAnsi="Arial" w:cs="Arial"/>
                <w:color w:val="000000"/>
                <w:sz w:val="16"/>
                <w:szCs w:val="16"/>
              </w:rPr>
              <w:br/>
              <w:t>capital</w:t>
            </w:r>
            <w:r w:rsidRPr="00BA4391">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716A"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Total</w:t>
            </w:r>
            <w:r w:rsidRPr="00BA4391">
              <w:rPr>
                <w:rFonts w:ascii="Arial" w:hAnsi="Arial" w:cs="Arial"/>
                <w:color w:val="000000"/>
                <w:sz w:val="16"/>
                <w:szCs w:val="16"/>
              </w:rPr>
              <w:br/>
              <w:t xml:space="preserve">equity </w:t>
            </w:r>
            <w:r w:rsidRPr="00BA4391">
              <w:rPr>
                <w:rFonts w:ascii="Arial" w:hAnsi="Arial" w:cs="Arial"/>
                <w:color w:val="000000"/>
                <w:sz w:val="16"/>
                <w:szCs w:val="16"/>
              </w:rPr>
              <w:br/>
            </w:r>
            <w:r w:rsidRPr="00BA4391">
              <w:rPr>
                <w:rFonts w:ascii="Arial" w:hAnsi="Arial" w:cs="Arial"/>
                <w:color w:val="000000"/>
                <w:sz w:val="16"/>
                <w:szCs w:val="16"/>
              </w:rPr>
              <w:br/>
              <w:t>$'000</w:t>
            </w:r>
          </w:p>
        </w:tc>
      </w:tr>
      <w:tr w:rsidR="00BA4391" w:rsidRPr="00BA4391" w14:paraId="76C17171" w14:textId="77777777" w:rsidTr="00BA4391">
        <w:trPr>
          <w:trHeight w:val="210"/>
        </w:trPr>
        <w:tc>
          <w:tcPr>
            <w:tcW w:w="3100" w:type="dxa"/>
            <w:tcBorders>
              <w:top w:val="nil"/>
              <w:left w:val="nil"/>
              <w:bottom w:val="nil"/>
              <w:right w:val="nil"/>
            </w:tcBorders>
            <w:shd w:val="clear" w:color="auto" w:fill="auto"/>
            <w:vAlign w:val="center"/>
            <w:hideMark/>
          </w:tcPr>
          <w:p w14:paraId="76C1716C" w14:textId="77777777" w:rsidR="00BA4391" w:rsidRPr="00BA4391" w:rsidRDefault="00BA4391" w:rsidP="00BA4391">
            <w:pPr>
              <w:spacing w:after="0" w:line="240" w:lineRule="auto"/>
              <w:jc w:val="left"/>
              <w:rPr>
                <w:rFonts w:ascii="Arial" w:hAnsi="Arial" w:cs="Arial"/>
                <w:b/>
                <w:bCs/>
                <w:color w:val="000000"/>
                <w:sz w:val="16"/>
                <w:szCs w:val="16"/>
              </w:rPr>
            </w:pPr>
            <w:r w:rsidRPr="00BA4391">
              <w:rPr>
                <w:rFonts w:ascii="Arial" w:hAnsi="Arial" w:cs="Arial"/>
                <w:b/>
                <w:bCs/>
                <w:color w:val="000000"/>
                <w:sz w:val="16"/>
                <w:szCs w:val="16"/>
              </w:rPr>
              <w:t>Opening balance as at 1 July 2019</w:t>
            </w:r>
          </w:p>
        </w:tc>
        <w:tc>
          <w:tcPr>
            <w:tcW w:w="860" w:type="dxa"/>
            <w:tcBorders>
              <w:top w:val="nil"/>
              <w:left w:val="nil"/>
              <w:bottom w:val="nil"/>
              <w:right w:val="nil"/>
            </w:tcBorders>
            <w:shd w:val="clear" w:color="auto" w:fill="auto"/>
            <w:noWrap/>
            <w:vAlign w:val="center"/>
            <w:hideMark/>
          </w:tcPr>
          <w:p w14:paraId="76C1716D" w14:textId="77777777" w:rsidR="00BA4391" w:rsidRPr="00BA4391" w:rsidRDefault="00BA4391" w:rsidP="00BA4391">
            <w:pPr>
              <w:spacing w:after="0" w:line="240" w:lineRule="auto"/>
              <w:jc w:val="lef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center"/>
            <w:hideMark/>
          </w:tcPr>
          <w:p w14:paraId="76C1716E" w14:textId="77777777" w:rsidR="00BA4391" w:rsidRPr="00BA4391" w:rsidRDefault="00BA4391" w:rsidP="00BA4391">
            <w:pPr>
              <w:spacing w:after="0" w:line="240" w:lineRule="auto"/>
              <w:jc w:val="left"/>
              <w:rPr>
                <w:rFonts w:ascii="Times New Roman" w:hAnsi="Times New Roman"/>
              </w:rPr>
            </w:pPr>
          </w:p>
        </w:tc>
        <w:tc>
          <w:tcPr>
            <w:tcW w:w="1020" w:type="dxa"/>
            <w:tcBorders>
              <w:top w:val="nil"/>
              <w:left w:val="nil"/>
              <w:bottom w:val="nil"/>
              <w:right w:val="nil"/>
            </w:tcBorders>
            <w:shd w:val="clear" w:color="auto" w:fill="auto"/>
            <w:noWrap/>
            <w:vAlign w:val="center"/>
            <w:hideMark/>
          </w:tcPr>
          <w:p w14:paraId="76C1716F" w14:textId="77777777" w:rsidR="00BA4391" w:rsidRPr="00BA4391" w:rsidRDefault="00BA4391" w:rsidP="00BA4391">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7170" w14:textId="77777777" w:rsidR="00BA4391" w:rsidRPr="00BA4391" w:rsidRDefault="00BA4391" w:rsidP="00BA4391">
            <w:pPr>
              <w:spacing w:after="0" w:line="240" w:lineRule="auto"/>
              <w:jc w:val="left"/>
              <w:rPr>
                <w:rFonts w:ascii="Times New Roman" w:hAnsi="Times New Roman"/>
              </w:rPr>
            </w:pPr>
          </w:p>
        </w:tc>
      </w:tr>
      <w:tr w:rsidR="00BA4391" w:rsidRPr="00BA4391" w14:paraId="76C17177" w14:textId="77777777" w:rsidTr="00BA4391">
        <w:trPr>
          <w:trHeight w:val="400"/>
        </w:trPr>
        <w:tc>
          <w:tcPr>
            <w:tcW w:w="3100" w:type="dxa"/>
            <w:tcBorders>
              <w:top w:val="nil"/>
              <w:left w:val="nil"/>
              <w:bottom w:val="nil"/>
              <w:right w:val="nil"/>
            </w:tcBorders>
            <w:shd w:val="clear" w:color="auto" w:fill="auto"/>
            <w:vAlign w:val="center"/>
            <w:hideMark/>
          </w:tcPr>
          <w:p w14:paraId="76C17172" w14:textId="717AC466" w:rsidR="00BA4391" w:rsidRPr="00BA4391" w:rsidRDefault="00BA4391" w:rsidP="00D14D9E">
            <w:pPr>
              <w:spacing w:after="0" w:line="240" w:lineRule="auto"/>
              <w:ind w:leftChars="80" w:left="317" w:hangingChars="98" w:hanging="157"/>
              <w:jc w:val="left"/>
              <w:rPr>
                <w:rFonts w:ascii="Arial" w:hAnsi="Arial" w:cs="Arial"/>
                <w:color w:val="000000"/>
                <w:sz w:val="16"/>
                <w:szCs w:val="16"/>
              </w:rPr>
            </w:pPr>
            <w:r w:rsidRPr="00BA4391">
              <w:rPr>
                <w:rFonts w:ascii="Arial" w:hAnsi="Arial" w:cs="Arial"/>
                <w:color w:val="000000"/>
                <w:sz w:val="16"/>
                <w:szCs w:val="16"/>
              </w:rPr>
              <w:t>Balance carried forward from</w:t>
            </w:r>
            <w:r w:rsidR="00D14D9E">
              <w:rPr>
                <w:rFonts w:ascii="Arial" w:hAnsi="Arial" w:cs="Arial"/>
                <w:color w:val="000000"/>
                <w:sz w:val="16"/>
                <w:szCs w:val="16"/>
              </w:rPr>
              <w:t xml:space="preserve"> p</w:t>
            </w:r>
            <w:r w:rsidRPr="00BA4391">
              <w:rPr>
                <w:rFonts w:ascii="Arial" w:hAnsi="Arial" w:cs="Arial"/>
                <w:color w:val="000000"/>
                <w:sz w:val="16"/>
                <w:szCs w:val="16"/>
              </w:rPr>
              <w:t>revious period</w:t>
            </w:r>
          </w:p>
        </w:tc>
        <w:tc>
          <w:tcPr>
            <w:tcW w:w="860" w:type="dxa"/>
            <w:tcBorders>
              <w:top w:val="nil"/>
              <w:left w:val="nil"/>
              <w:bottom w:val="nil"/>
              <w:right w:val="nil"/>
            </w:tcBorders>
            <w:shd w:val="clear" w:color="auto" w:fill="auto"/>
            <w:noWrap/>
            <w:vAlign w:val="center"/>
            <w:hideMark/>
          </w:tcPr>
          <w:p w14:paraId="76C17173"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11,264 </w:t>
            </w:r>
          </w:p>
        </w:tc>
        <w:tc>
          <w:tcPr>
            <w:tcW w:w="960" w:type="dxa"/>
            <w:tcBorders>
              <w:top w:val="nil"/>
              <w:left w:val="nil"/>
              <w:bottom w:val="nil"/>
              <w:right w:val="nil"/>
            </w:tcBorders>
            <w:shd w:val="clear" w:color="auto" w:fill="auto"/>
            <w:noWrap/>
            <w:vAlign w:val="center"/>
            <w:hideMark/>
          </w:tcPr>
          <w:p w14:paraId="76C17174"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3,961 </w:t>
            </w:r>
          </w:p>
        </w:tc>
        <w:tc>
          <w:tcPr>
            <w:tcW w:w="1020" w:type="dxa"/>
            <w:tcBorders>
              <w:top w:val="nil"/>
              <w:left w:val="nil"/>
              <w:bottom w:val="nil"/>
              <w:right w:val="nil"/>
            </w:tcBorders>
            <w:shd w:val="clear" w:color="auto" w:fill="auto"/>
            <w:noWrap/>
            <w:vAlign w:val="center"/>
            <w:hideMark/>
          </w:tcPr>
          <w:p w14:paraId="76C17175"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7,717 </w:t>
            </w:r>
          </w:p>
        </w:tc>
        <w:tc>
          <w:tcPr>
            <w:tcW w:w="860" w:type="dxa"/>
            <w:tcBorders>
              <w:top w:val="nil"/>
              <w:left w:val="nil"/>
              <w:bottom w:val="nil"/>
              <w:right w:val="nil"/>
            </w:tcBorders>
            <w:shd w:val="clear" w:color="auto" w:fill="auto"/>
            <w:noWrap/>
            <w:vAlign w:val="center"/>
            <w:hideMark/>
          </w:tcPr>
          <w:p w14:paraId="76C17176"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22,942 </w:t>
            </w:r>
          </w:p>
        </w:tc>
      </w:tr>
      <w:tr w:rsidR="00BA4391" w:rsidRPr="00BA4391" w14:paraId="76C1717D" w14:textId="77777777" w:rsidTr="00BA4391">
        <w:trPr>
          <w:trHeight w:val="400"/>
        </w:trPr>
        <w:tc>
          <w:tcPr>
            <w:tcW w:w="3100" w:type="dxa"/>
            <w:tcBorders>
              <w:top w:val="nil"/>
              <w:left w:val="nil"/>
              <w:bottom w:val="nil"/>
              <w:right w:val="nil"/>
            </w:tcBorders>
            <w:shd w:val="clear" w:color="auto" w:fill="auto"/>
            <w:vAlign w:val="center"/>
            <w:hideMark/>
          </w:tcPr>
          <w:p w14:paraId="76C17178" w14:textId="4C8DD236" w:rsidR="00BA4391" w:rsidRPr="00BA4391" w:rsidRDefault="00BA4391" w:rsidP="00D14D9E">
            <w:pPr>
              <w:spacing w:after="0" w:line="240" w:lineRule="auto"/>
              <w:ind w:leftChars="80" w:left="317" w:hangingChars="98" w:hanging="157"/>
              <w:jc w:val="left"/>
              <w:rPr>
                <w:rFonts w:ascii="Arial" w:hAnsi="Arial" w:cs="Arial"/>
                <w:color w:val="000000"/>
                <w:sz w:val="16"/>
                <w:szCs w:val="16"/>
              </w:rPr>
            </w:pPr>
            <w:r w:rsidRPr="00BA4391">
              <w:rPr>
                <w:rFonts w:ascii="Arial" w:hAnsi="Arial" w:cs="Arial"/>
                <w:color w:val="000000"/>
                <w:sz w:val="16"/>
                <w:szCs w:val="16"/>
              </w:rPr>
              <w:t>Adjustment for changes in accounting policies</w:t>
            </w:r>
          </w:p>
        </w:tc>
        <w:tc>
          <w:tcPr>
            <w:tcW w:w="860" w:type="dxa"/>
            <w:tcBorders>
              <w:top w:val="nil"/>
              <w:left w:val="nil"/>
              <w:bottom w:val="nil"/>
              <w:right w:val="nil"/>
            </w:tcBorders>
            <w:shd w:val="clear" w:color="auto" w:fill="auto"/>
            <w:noWrap/>
            <w:vAlign w:val="center"/>
            <w:hideMark/>
          </w:tcPr>
          <w:p w14:paraId="76C17179" w14:textId="77777777" w:rsidR="00BA4391" w:rsidRPr="00BA4391" w:rsidRDefault="00991C53" w:rsidP="00991C53">
            <w:pPr>
              <w:spacing w:after="0" w:line="240" w:lineRule="auto"/>
              <w:ind w:firstLineChars="100" w:firstLine="160"/>
              <w:jc w:val="right"/>
              <w:rPr>
                <w:rFonts w:ascii="Arial" w:hAnsi="Arial" w:cs="Arial"/>
                <w:color w:val="000000"/>
                <w:sz w:val="16"/>
                <w:szCs w:val="16"/>
              </w:rPr>
            </w:pPr>
            <w:r w:rsidRPr="00BA4391">
              <w:rPr>
                <w:rFonts w:ascii="Arial" w:hAnsi="Arial" w:cs="Arial"/>
                <w:color w:val="000000"/>
                <w:sz w:val="16"/>
                <w:szCs w:val="16"/>
              </w:rPr>
              <w:t>-</w:t>
            </w:r>
          </w:p>
        </w:tc>
        <w:tc>
          <w:tcPr>
            <w:tcW w:w="960" w:type="dxa"/>
            <w:tcBorders>
              <w:top w:val="nil"/>
              <w:left w:val="nil"/>
              <w:bottom w:val="nil"/>
              <w:right w:val="nil"/>
            </w:tcBorders>
            <w:shd w:val="clear" w:color="auto" w:fill="auto"/>
            <w:noWrap/>
            <w:vAlign w:val="center"/>
            <w:hideMark/>
          </w:tcPr>
          <w:p w14:paraId="76C1717A" w14:textId="77777777" w:rsidR="00BA4391" w:rsidRPr="00BA4391" w:rsidRDefault="00991C53" w:rsidP="00991C53">
            <w:pPr>
              <w:spacing w:after="0" w:line="240" w:lineRule="auto"/>
              <w:jc w:val="right"/>
              <w:rPr>
                <w:rFonts w:ascii="Times New Roman" w:hAnsi="Times New Roman"/>
              </w:rPr>
            </w:pPr>
            <w:r w:rsidRPr="00BA4391">
              <w:rPr>
                <w:rFonts w:ascii="Arial" w:hAnsi="Arial" w:cs="Arial"/>
                <w:color w:val="000000"/>
                <w:sz w:val="16"/>
                <w:szCs w:val="16"/>
              </w:rPr>
              <w:t>-</w:t>
            </w:r>
          </w:p>
        </w:tc>
        <w:tc>
          <w:tcPr>
            <w:tcW w:w="1020" w:type="dxa"/>
            <w:tcBorders>
              <w:top w:val="nil"/>
              <w:left w:val="nil"/>
              <w:bottom w:val="nil"/>
              <w:right w:val="nil"/>
            </w:tcBorders>
            <w:shd w:val="clear" w:color="auto" w:fill="auto"/>
            <w:noWrap/>
            <w:vAlign w:val="center"/>
            <w:hideMark/>
          </w:tcPr>
          <w:p w14:paraId="76C1717B" w14:textId="77777777" w:rsidR="00BA4391" w:rsidRPr="00BA4391" w:rsidRDefault="00991C53" w:rsidP="00991C53">
            <w:pPr>
              <w:spacing w:after="0" w:line="240" w:lineRule="auto"/>
              <w:jc w:val="right"/>
              <w:rPr>
                <w:rFonts w:ascii="Times New Roman" w:hAnsi="Times New Roman"/>
              </w:rPr>
            </w:pPr>
            <w:r w:rsidRPr="00BA4391">
              <w:rPr>
                <w:rFonts w:ascii="Arial" w:hAnsi="Arial" w:cs="Arial"/>
                <w:color w:val="000000"/>
                <w:sz w:val="16"/>
                <w:szCs w:val="16"/>
              </w:rPr>
              <w:t>-</w:t>
            </w:r>
          </w:p>
        </w:tc>
        <w:tc>
          <w:tcPr>
            <w:tcW w:w="860" w:type="dxa"/>
            <w:tcBorders>
              <w:top w:val="nil"/>
              <w:left w:val="nil"/>
              <w:bottom w:val="nil"/>
              <w:right w:val="nil"/>
            </w:tcBorders>
            <w:shd w:val="clear" w:color="auto" w:fill="auto"/>
            <w:noWrap/>
            <w:vAlign w:val="center"/>
            <w:hideMark/>
          </w:tcPr>
          <w:p w14:paraId="76C1717C"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 </w:t>
            </w:r>
          </w:p>
        </w:tc>
      </w:tr>
      <w:tr w:rsidR="00BA4391" w:rsidRPr="00BA4391" w14:paraId="76C17183" w14:textId="77777777" w:rsidTr="00BA4391">
        <w:trPr>
          <w:trHeight w:val="200"/>
        </w:trPr>
        <w:tc>
          <w:tcPr>
            <w:tcW w:w="3100" w:type="dxa"/>
            <w:tcBorders>
              <w:top w:val="nil"/>
              <w:left w:val="nil"/>
              <w:bottom w:val="nil"/>
              <w:right w:val="nil"/>
            </w:tcBorders>
            <w:shd w:val="clear" w:color="auto" w:fill="auto"/>
            <w:vAlign w:val="center"/>
            <w:hideMark/>
          </w:tcPr>
          <w:p w14:paraId="76C1717E" w14:textId="77777777" w:rsidR="00BA4391" w:rsidRPr="00BA4391" w:rsidRDefault="00BA4391" w:rsidP="00BA4391">
            <w:pPr>
              <w:spacing w:after="0" w:line="240" w:lineRule="auto"/>
              <w:jc w:val="left"/>
              <w:rPr>
                <w:rFonts w:ascii="Arial" w:hAnsi="Arial" w:cs="Arial"/>
                <w:b/>
                <w:bCs/>
                <w:i/>
                <w:iCs/>
                <w:color w:val="000000"/>
                <w:sz w:val="16"/>
                <w:szCs w:val="16"/>
              </w:rPr>
            </w:pPr>
            <w:r w:rsidRPr="00BA4391">
              <w:rPr>
                <w:rFonts w:ascii="Arial" w:hAnsi="Arial" w:cs="Arial"/>
                <w:b/>
                <w:bCs/>
                <w:i/>
                <w:iCs/>
                <w:color w:val="000000"/>
                <w:sz w:val="16"/>
                <w:szCs w:val="16"/>
              </w:rPr>
              <w:t>Adjusted opening balance</w:t>
            </w:r>
          </w:p>
        </w:tc>
        <w:tc>
          <w:tcPr>
            <w:tcW w:w="860" w:type="dxa"/>
            <w:tcBorders>
              <w:top w:val="single" w:sz="4" w:space="0" w:color="auto"/>
              <w:left w:val="nil"/>
              <w:bottom w:val="single" w:sz="4" w:space="0" w:color="auto"/>
              <w:right w:val="nil"/>
            </w:tcBorders>
            <w:shd w:val="clear" w:color="auto" w:fill="auto"/>
            <w:noWrap/>
            <w:vAlign w:val="center"/>
            <w:hideMark/>
          </w:tcPr>
          <w:p w14:paraId="76C1717F" w14:textId="77777777" w:rsidR="00BA4391" w:rsidRPr="00BA4391" w:rsidRDefault="00BA4391" w:rsidP="00BA4391">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11,264 </w:t>
            </w:r>
          </w:p>
        </w:tc>
        <w:tc>
          <w:tcPr>
            <w:tcW w:w="960" w:type="dxa"/>
            <w:tcBorders>
              <w:top w:val="single" w:sz="4" w:space="0" w:color="auto"/>
              <w:left w:val="nil"/>
              <w:bottom w:val="single" w:sz="4" w:space="0" w:color="auto"/>
              <w:right w:val="nil"/>
            </w:tcBorders>
            <w:shd w:val="clear" w:color="auto" w:fill="auto"/>
            <w:noWrap/>
            <w:vAlign w:val="center"/>
            <w:hideMark/>
          </w:tcPr>
          <w:p w14:paraId="76C17180" w14:textId="77777777" w:rsidR="00BA4391" w:rsidRPr="00BA4391" w:rsidRDefault="00BA4391" w:rsidP="00BA4391">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3,961 </w:t>
            </w:r>
          </w:p>
        </w:tc>
        <w:tc>
          <w:tcPr>
            <w:tcW w:w="1020" w:type="dxa"/>
            <w:tcBorders>
              <w:top w:val="single" w:sz="4" w:space="0" w:color="auto"/>
              <w:left w:val="nil"/>
              <w:bottom w:val="single" w:sz="4" w:space="0" w:color="auto"/>
              <w:right w:val="nil"/>
            </w:tcBorders>
            <w:shd w:val="clear" w:color="auto" w:fill="auto"/>
            <w:noWrap/>
            <w:vAlign w:val="center"/>
            <w:hideMark/>
          </w:tcPr>
          <w:p w14:paraId="76C17181" w14:textId="77777777" w:rsidR="00BA4391" w:rsidRPr="00BA4391" w:rsidRDefault="00BA4391" w:rsidP="00BA4391">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7,717 </w:t>
            </w:r>
          </w:p>
        </w:tc>
        <w:tc>
          <w:tcPr>
            <w:tcW w:w="860" w:type="dxa"/>
            <w:tcBorders>
              <w:top w:val="single" w:sz="4" w:space="0" w:color="auto"/>
              <w:left w:val="nil"/>
              <w:bottom w:val="single" w:sz="4" w:space="0" w:color="auto"/>
              <w:right w:val="nil"/>
            </w:tcBorders>
            <w:shd w:val="clear" w:color="auto" w:fill="auto"/>
            <w:noWrap/>
            <w:vAlign w:val="center"/>
            <w:hideMark/>
          </w:tcPr>
          <w:p w14:paraId="76C17182" w14:textId="77777777" w:rsidR="00BA4391" w:rsidRPr="00BA4391" w:rsidRDefault="00BA4391" w:rsidP="00BA4391">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22,942 </w:t>
            </w:r>
          </w:p>
        </w:tc>
      </w:tr>
      <w:tr w:rsidR="00BA4391" w:rsidRPr="00BA4391" w14:paraId="76C17189" w14:textId="77777777" w:rsidTr="00BA4391">
        <w:trPr>
          <w:trHeight w:val="210"/>
        </w:trPr>
        <w:tc>
          <w:tcPr>
            <w:tcW w:w="3100" w:type="dxa"/>
            <w:tcBorders>
              <w:top w:val="nil"/>
              <w:left w:val="nil"/>
              <w:bottom w:val="nil"/>
              <w:right w:val="nil"/>
            </w:tcBorders>
            <w:shd w:val="clear" w:color="auto" w:fill="auto"/>
            <w:noWrap/>
            <w:vAlign w:val="center"/>
            <w:hideMark/>
          </w:tcPr>
          <w:p w14:paraId="76C17184" w14:textId="77777777" w:rsidR="00BA4391" w:rsidRPr="00BA4391" w:rsidRDefault="00BA4391" w:rsidP="00BA4391">
            <w:pPr>
              <w:spacing w:after="0" w:line="240" w:lineRule="auto"/>
              <w:jc w:val="left"/>
              <w:rPr>
                <w:rFonts w:ascii="Arial" w:hAnsi="Arial" w:cs="Arial"/>
                <w:b/>
                <w:bCs/>
                <w:color w:val="000000"/>
                <w:sz w:val="16"/>
                <w:szCs w:val="16"/>
              </w:rPr>
            </w:pPr>
            <w:r w:rsidRPr="00BA4391">
              <w:rPr>
                <w:rFonts w:ascii="Arial" w:hAnsi="Arial" w:cs="Arial"/>
                <w:b/>
                <w:bCs/>
                <w:color w:val="000000"/>
                <w:sz w:val="16"/>
                <w:szCs w:val="16"/>
              </w:rPr>
              <w:t>Comprehensive income</w:t>
            </w:r>
          </w:p>
        </w:tc>
        <w:tc>
          <w:tcPr>
            <w:tcW w:w="860" w:type="dxa"/>
            <w:tcBorders>
              <w:top w:val="nil"/>
              <w:left w:val="nil"/>
              <w:bottom w:val="nil"/>
              <w:right w:val="nil"/>
            </w:tcBorders>
            <w:shd w:val="clear" w:color="auto" w:fill="auto"/>
            <w:noWrap/>
            <w:vAlign w:val="center"/>
            <w:hideMark/>
          </w:tcPr>
          <w:p w14:paraId="76C17185" w14:textId="77777777" w:rsidR="00BA4391" w:rsidRPr="00BA4391" w:rsidRDefault="00BA4391" w:rsidP="00BA4391">
            <w:pPr>
              <w:spacing w:after="0" w:line="240" w:lineRule="auto"/>
              <w:jc w:val="lef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center"/>
            <w:hideMark/>
          </w:tcPr>
          <w:p w14:paraId="76C17186" w14:textId="77777777" w:rsidR="00BA4391" w:rsidRPr="00BA4391" w:rsidRDefault="00BA4391" w:rsidP="00BA4391">
            <w:pPr>
              <w:spacing w:after="0" w:line="240" w:lineRule="auto"/>
              <w:jc w:val="left"/>
              <w:rPr>
                <w:rFonts w:ascii="Times New Roman" w:hAnsi="Times New Roman"/>
              </w:rPr>
            </w:pPr>
          </w:p>
        </w:tc>
        <w:tc>
          <w:tcPr>
            <w:tcW w:w="1020" w:type="dxa"/>
            <w:tcBorders>
              <w:top w:val="nil"/>
              <w:left w:val="nil"/>
              <w:bottom w:val="nil"/>
              <w:right w:val="nil"/>
            </w:tcBorders>
            <w:shd w:val="clear" w:color="auto" w:fill="auto"/>
            <w:noWrap/>
            <w:vAlign w:val="center"/>
            <w:hideMark/>
          </w:tcPr>
          <w:p w14:paraId="76C17187" w14:textId="77777777" w:rsidR="00BA4391" w:rsidRPr="00BA4391" w:rsidRDefault="00BA4391" w:rsidP="00BA4391">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7188" w14:textId="77777777" w:rsidR="00BA4391" w:rsidRPr="00BA4391" w:rsidRDefault="00BA4391" w:rsidP="00BA4391">
            <w:pPr>
              <w:spacing w:after="0" w:line="240" w:lineRule="auto"/>
              <w:jc w:val="left"/>
              <w:rPr>
                <w:rFonts w:ascii="Times New Roman" w:hAnsi="Times New Roman"/>
              </w:rPr>
            </w:pPr>
          </w:p>
        </w:tc>
      </w:tr>
      <w:tr w:rsidR="00BA4391" w:rsidRPr="00BA4391" w14:paraId="76C1718F" w14:textId="77777777" w:rsidTr="00BA4391">
        <w:trPr>
          <w:trHeight w:val="210"/>
        </w:trPr>
        <w:tc>
          <w:tcPr>
            <w:tcW w:w="3100" w:type="dxa"/>
            <w:tcBorders>
              <w:top w:val="nil"/>
              <w:left w:val="nil"/>
              <w:bottom w:val="nil"/>
              <w:right w:val="nil"/>
            </w:tcBorders>
            <w:shd w:val="clear" w:color="auto" w:fill="auto"/>
            <w:noWrap/>
            <w:vAlign w:val="center"/>
            <w:hideMark/>
          </w:tcPr>
          <w:p w14:paraId="76C1718A" w14:textId="77777777" w:rsidR="00BA4391" w:rsidRPr="00BA4391" w:rsidRDefault="00BA4391" w:rsidP="00BA4391">
            <w:pPr>
              <w:spacing w:after="0" w:line="240" w:lineRule="auto"/>
              <w:ind w:firstLineChars="100" w:firstLine="160"/>
              <w:jc w:val="left"/>
              <w:rPr>
                <w:rFonts w:ascii="Arial" w:hAnsi="Arial" w:cs="Arial"/>
                <w:color w:val="000000"/>
                <w:sz w:val="16"/>
                <w:szCs w:val="16"/>
              </w:rPr>
            </w:pPr>
            <w:r w:rsidRPr="00BA4391">
              <w:rPr>
                <w:rFonts w:ascii="Arial" w:hAnsi="Arial" w:cs="Arial"/>
                <w:color w:val="000000"/>
                <w:sz w:val="16"/>
                <w:szCs w:val="16"/>
              </w:rPr>
              <w:t>Other comprehensive income</w:t>
            </w:r>
          </w:p>
        </w:tc>
        <w:tc>
          <w:tcPr>
            <w:tcW w:w="860" w:type="dxa"/>
            <w:tcBorders>
              <w:top w:val="nil"/>
              <w:left w:val="nil"/>
              <w:bottom w:val="nil"/>
              <w:right w:val="nil"/>
            </w:tcBorders>
            <w:shd w:val="clear" w:color="auto" w:fill="auto"/>
            <w:noWrap/>
            <w:vAlign w:val="center"/>
            <w:hideMark/>
          </w:tcPr>
          <w:p w14:paraId="76C1718B"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76C1718C"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 </w:t>
            </w:r>
          </w:p>
        </w:tc>
        <w:tc>
          <w:tcPr>
            <w:tcW w:w="1020" w:type="dxa"/>
            <w:tcBorders>
              <w:top w:val="nil"/>
              <w:left w:val="nil"/>
              <w:bottom w:val="nil"/>
              <w:right w:val="nil"/>
            </w:tcBorders>
            <w:shd w:val="clear" w:color="auto" w:fill="auto"/>
            <w:noWrap/>
            <w:vAlign w:val="center"/>
            <w:hideMark/>
          </w:tcPr>
          <w:p w14:paraId="76C1718D"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76C1718E"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 </w:t>
            </w:r>
          </w:p>
        </w:tc>
      </w:tr>
      <w:tr w:rsidR="00BA4391" w:rsidRPr="00BA4391" w14:paraId="76C17195" w14:textId="77777777" w:rsidTr="00BA4391">
        <w:trPr>
          <w:trHeight w:val="210"/>
        </w:trPr>
        <w:tc>
          <w:tcPr>
            <w:tcW w:w="3100" w:type="dxa"/>
            <w:tcBorders>
              <w:top w:val="nil"/>
              <w:left w:val="nil"/>
              <w:bottom w:val="nil"/>
              <w:right w:val="nil"/>
            </w:tcBorders>
            <w:shd w:val="clear" w:color="auto" w:fill="auto"/>
            <w:noWrap/>
            <w:vAlign w:val="center"/>
            <w:hideMark/>
          </w:tcPr>
          <w:p w14:paraId="76C17190" w14:textId="77777777" w:rsidR="00BA4391" w:rsidRPr="00BA4391" w:rsidRDefault="00BA4391" w:rsidP="00BA4391">
            <w:pPr>
              <w:spacing w:after="0" w:line="240" w:lineRule="auto"/>
              <w:ind w:firstLineChars="100" w:firstLine="160"/>
              <w:jc w:val="left"/>
              <w:rPr>
                <w:rFonts w:ascii="Arial" w:hAnsi="Arial" w:cs="Arial"/>
                <w:sz w:val="16"/>
                <w:szCs w:val="16"/>
              </w:rPr>
            </w:pPr>
            <w:r w:rsidRPr="00BA4391">
              <w:rPr>
                <w:rFonts w:ascii="Arial" w:hAnsi="Arial" w:cs="Arial"/>
                <w:sz w:val="16"/>
                <w:szCs w:val="16"/>
              </w:rPr>
              <w:t>Surplus/(deficit) for the period</w:t>
            </w:r>
          </w:p>
        </w:tc>
        <w:tc>
          <w:tcPr>
            <w:tcW w:w="860" w:type="dxa"/>
            <w:tcBorders>
              <w:top w:val="nil"/>
              <w:left w:val="nil"/>
              <w:bottom w:val="nil"/>
              <w:right w:val="nil"/>
            </w:tcBorders>
            <w:shd w:val="clear" w:color="auto" w:fill="auto"/>
            <w:noWrap/>
            <w:vAlign w:val="center"/>
            <w:hideMark/>
          </w:tcPr>
          <w:p w14:paraId="76C17191"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76C17192"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 </w:t>
            </w:r>
          </w:p>
        </w:tc>
        <w:tc>
          <w:tcPr>
            <w:tcW w:w="1020" w:type="dxa"/>
            <w:tcBorders>
              <w:top w:val="nil"/>
              <w:left w:val="nil"/>
              <w:bottom w:val="nil"/>
              <w:right w:val="nil"/>
            </w:tcBorders>
            <w:shd w:val="clear" w:color="auto" w:fill="auto"/>
            <w:noWrap/>
            <w:vAlign w:val="center"/>
            <w:hideMark/>
          </w:tcPr>
          <w:p w14:paraId="76C17193"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76C17194"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 </w:t>
            </w:r>
          </w:p>
        </w:tc>
      </w:tr>
      <w:tr w:rsidR="00BA4391" w:rsidRPr="00BA4391" w14:paraId="76C1719B" w14:textId="77777777" w:rsidTr="00BA4391">
        <w:trPr>
          <w:trHeight w:val="200"/>
        </w:trPr>
        <w:tc>
          <w:tcPr>
            <w:tcW w:w="3100" w:type="dxa"/>
            <w:tcBorders>
              <w:top w:val="nil"/>
              <w:left w:val="nil"/>
              <w:bottom w:val="nil"/>
              <w:right w:val="nil"/>
            </w:tcBorders>
            <w:shd w:val="clear" w:color="auto" w:fill="auto"/>
            <w:vAlign w:val="center"/>
            <w:hideMark/>
          </w:tcPr>
          <w:p w14:paraId="76C17196" w14:textId="77777777" w:rsidR="00BA4391" w:rsidRPr="00BA4391" w:rsidRDefault="00BA4391" w:rsidP="00BA4391">
            <w:pPr>
              <w:spacing w:after="0" w:line="240" w:lineRule="auto"/>
              <w:jc w:val="left"/>
              <w:rPr>
                <w:rFonts w:ascii="Arial" w:hAnsi="Arial" w:cs="Arial"/>
                <w:b/>
                <w:bCs/>
                <w:i/>
                <w:iCs/>
                <w:color w:val="000000"/>
                <w:sz w:val="16"/>
                <w:szCs w:val="16"/>
              </w:rPr>
            </w:pPr>
            <w:r w:rsidRPr="00BA4391">
              <w:rPr>
                <w:rFonts w:ascii="Arial" w:hAnsi="Arial" w:cs="Arial"/>
                <w:b/>
                <w:bCs/>
                <w:i/>
                <w:iCs/>
                <w:color w:val="000000"/>
                <w:sz w:val="16"/>
                <w:szCs w:val="16"/>
              </w:rPr>
              <w:t>Total comprehensive income</w:t>
            </w:r>
          </w:p>
        </w:tc>
        <w:tc>
          <w:tcPr>
            <w:tcW w:w="860" w:type="dxa"/>
            <w:tcBorders>
              <w:top w:val="single" w:sz="4" w:space="0" w:color="auto"/>
              <w:left w:val="nil"/>
              <w:bottom w:val="single" w:sz="4" w:space="0" w:color="auto"/>
              <w:right w:val="nil"/>
            </w:tcBorders>
            <w:shd w:val="clear" w:color="auto" w:fill="auto"/>
            <w:noWrap/>
            <w:vAlign w:val="center"/>
            <w:hideMark/>
          </w:tcPr>
          <w:p w14:paraId="76C17197" w14:textId="77777777" w:rsidR="00BA4391" w:rsidRPr="00BA4391" w:rsidRDefault="00BA4391" w:rsidP="00BA4391">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w:t>
            </w:r>
          </w:p>
        </w:tc>
        <w:tc>
          <w:tcPr>
            <w:tcW w:w="960" w:type="dxa"/>
            <w:tcBorders>
              <w:top w:val="single" w:sz="4" w:space="0" w:color="auto"/>
              <w:left w:val="nil"/>
              <w:bottom w:val="single" w:sz="4" w:space="0" w:color="auto"/>
              <w:right w:val="nil"/>
            </w:tcBorders>
            <w:shd w:val="clear" w:color="auto" w:fill="auto"/>
            <w:noWrap/>
            <w:vAlign w:val="center"/>
            <w:hideMark/>
          </w:tcPr>
          <w:p w14:paraId="76C17198" w14:textId="77777777" w:rsidR="00BA4391" w:rsidRPr="00BA4391" w:rsidRDefault="00BA4391" w:rsidP="00BA4391">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w:t>
            </w:r>
          </w:p>
        </w:tc>
        <w:tc>
          <w:tcPr>
            <w:tcW w:w="1020" w:type="dxa"/>
            <w:tcBorders>
              <w:top w:val="single" w:sz="4" w:space="0" w:color="auto"/>
              <w:left w:val="nil"/>
              <w:bottom w:val="single" w:sz="4" w:space="0" w:color="auto"/>
              <w:right w:val="nil"/>
            </w:tcBorders>
            <w:shd w:val="clear" w:color="auto" w:fill="auto"/>
            <w:noWrap/>
            <w:vAlign w:val="center"/>
            <w:hideMark/>
          </w:tcPr>
          <w:p w14:paraId="76C17199" w14:textId="77777777" w:rsidR="00BA4391" w:rsidRPr="00BA4391" w:rsidRDefault="00BA4391" w:rsidP="00BA4391">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w:t>
            </w:r>
          </w:p>
        </w:tc>
        <w:tc>
          <w:tcPr>
            <w:tcW w:w="860" w:type="dxa"/>
            <w:tcBorders>
              <w:top w:val="single" w:sz="4" w:space="0" w:color="auto"/>
              <w:left w:val="nil"/>
              <w:bottom w:val="single" w:sz="4" w:space="0" w:color="auto"/>
              <w:right w:val="nil"/>
            </w:tcBorders>
            <w:shd w:val="clear" w:color="auto" w:fill="auto"/>
            <w:noWrap/>
            <w:vAlign w:val="center"/>
            <w:hideMark/>
          </w:tcPr>
          <w:p w14:paraId="76C1719A" w14:textId="77777777" w:rsidR="00BA4391" w:rsidRPr="00BA4391" w:rsidRDefault="00BA4391" w:rsidP="00BA4391">
            <w:pPr>
              <w:spacing w:after="0" w:line="240" w:lineRule="auto"/>
              <w:jc w:val="right"/>
              <w:rPr>
                <w:rFonts w:ascii="Arial" w:hAnsi="Arial" w:cs="Arial"/>
                <w:b/>
                <w:bCs/>
                <w:i/>
                <w:iCs/>
                <w:color w:val="000000"/>
                <w:sz w:val="16"/>
                <w:szCs w:val="16"/>
              </w:rPr>
            </w:pPr>
            <w:r w:rsidRPr="00BA4391">
              <w:rPr>
                <w:rFonts w:ascii="Arial" w:hAnsi="Arial" w:cs="Arial"/>
                <w:b/>
                <w:bCs/>
                <w:i/>
                <w:iCs/>
                <w:color w:val="000000"/>
                <w:sz w:val="16"/>
                <w:szCs w:val="16"/>
              </w:rPr>
              <w:t xml:space="preserve">- </w:t>
            </w:r>
          </w:p>
        </w:tc>
      </w:tr>
      <w:tr w:rsidR="00BA4391" w:rsidRPr="00BA4391" w14:paraId="76C171A1" w14:textId="77777777" w:rsidTr="00BA4391">
        <w:trPr>
          <w:trHeight w:val="420"/>
        </w:trPr>
        <w:tc>
          <w:tcPr>
            <w:tcW w:w="3100" w:type="dxa"/>
            <w:tcBorders>
              <w:top w:val="nil"/>
              <w:left w:val="nil"/>
              <w:bottom w:val="nil"/>
              <w:right w:val="nil"/>
            </w:tcBorders>
            <w:shd w:val="clear" w:color="auto" w:fill="auto"/>
            <w:vAlign w:val="center"/>
            <w:hideMark/>
          </w:tcPr>
          <w:p w14:paraId="76C1719C" w14:textId="2FDF7861" w:rsidR="00BA4391" w:rsidRPr="00BA4391" w:rsidRDefault="00BA4391" w:rsidP="00D14D9E">
            <w:pPr>
              <w:spacing w:after="0" w:line="240" w:lineRule="auto"/>
              <w:ind w:left="175" w:hanging="175"/>
              <w:jc w:val="left"/>
              <w:rPr>
                <w:rFonts w:ascii="Arial" w:hAnsi="Arial" w:cs="Arial"/>
                <w:b/>
                <w:bCs/>
                <w:color w:val="000000"/>
                <w:sz w:val="16"/>
                <w:szCs w:val="16"/>
              </w:rPr>
            </w:pPr>
            <w:r w:rsidRPr="00BA4391">
              <w:rPr>
                <w:rFonts w:ascii="Arial" w:hAnsi="Arial" w:cs="Arial"/>
                <w:b/>
                <w:bCs/>
                <w:color w:val="000000"/>
                <w:sz w:val="16"/>
                <w:szCs w:val="16"/>
              </w:rPr>
              <w:t>Estimated closing balance as at</w:t>
            </w:r>
            <w:r w:rsidR="00D14D9E">
              <w:rPr>
                <w:rFonts w:ascii="Arial" w:hAnsi="Arial" w:cs="Arial"/>
                <w:b/>
                <w:bCs/>
                <w:color w:val="000000"/>
                <w:sz w:val="16"/>
                <w:szCs w:val="16"/>
              </w:rPr>
              <w:t xml:space="preserve"> 30 </w:t>
            </w:r>
            <w:r w:rsidRPr="00BA4391">
              <w:rPr>
                <w:rFonts w:ascii="Arial" w:hAnsi="Arial" w:cs="Arial"/>
                <w:b/>
                <w:bCs/>
                <w:color w:val="000000"/>
                <w:sz w:val="16"/>
                <w:szCs w:val="16"/>
              </w:rPr>
              <w:t>June 2020</w:t>
            </w:r>
          </w:p>
        </w:tc>
        <w:tc>
          <w:tcPr>
            <w:tcW w:w="860" w:type="dxa"/>
            <w:tcBorders>
              <w:top w:val="nil"/>
              <w:left w:val="nil"/>
              <w:bottom w:val="single" w:sz="4" w:space="0" w:color="auto"/>
              <w:right w:val="nil"/>
            </w:tcBorders>
            <w:shd w:val="clear" w:color="auto" w:fill="auto"/>
            <w:noWrap/>
            <w:vAlign w:val="bottom"/>
            <w:hideMark/>
          </w:tcPr>
          <w:p w14:paraId="76C1719D" w14:textId="77777777" w:rsidR="00BA4391" w:rsidRPr="00BA4391" w:rsidRDefault="00BA4391" w:rsidP="00BA4391">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11,264 </w:t>
            </w:r>
          </w:p>
        </w:tc>
        <w:tc>
          <w:tcPr>
            <w:tcW w:w="960" w:type="dxa"/>
            <w:tcBorders>
              <w:top w:val="nil"/>
              <w:left w:val="nil"/>
              <w:bottom w:val="single" w:sz="4" w:space="0" w:color="auto"/>
              <w:right w:val="nil"/>
            </w:tcBorders>
            <w:shd w:val="clear" w:color="auto" w:fill="auto"/>
            <w:noWrap/>
            <w:vAlign w:val="bottom"/>
            <w:hideMark/>
          </w:tcPr>
          <w:p w14:paraId="76C1719E" w14:textId="77777777" w:rsidR="00BA4391" w:rsidRPr="00BA4391" w:rsidRDefault="00BA4391" w:rsidP="00BA4391">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3,961 </w:t>
            </w:r>
          </w:p>
        </w:tc>
        <w:tc>
          <w:tcPr>
            <w:tcW w:w="1020" w:type="dxa"/>
            <w:tcBorders>
              <w:top w:val="nil"/>
              <w:left w:val="nil"/>
              <w:bottom w:val="single" w:sz="4" w:space="0" w:color="auto"/>
              <w:right w:val="nil"/>
            </w:tcBorders>
            <w:shd w:val="clear" w:color="auto" w:fill="auto"/>
            <w:noWrap/>
            <w:vAlign w:val="bottom"/>
            <w:hideMark/>
          </w:tcPr>
          <w:p w14:paraId="76C1719F" w14:textId="77777777" w:rsidR="00BA4391" w:rsidRPr="00BA4391" w:rsidRDefault="00BA4391" w:rsidP="00BA4391">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7,717 </w:t>
            </w:r>
          </w:p>
        </w:tc>
        <w:tc>
          <w:tcPr>
            <w:tcW w:w="860" w:type="dxa"/>
            <w:tcBorders>
              <w:top w:val="nil"/>
              <w:left w:val="nil"/>
              <w:bottom w:val="single" w:sz="4" w:space="0" w:color="auto"/>
              <w:right w:val="nil"/>
            </w:tcBorders>
            <w:shd w:val="clear" w:color="auto" w:fill="auto"/>
            <w:noWrap/>
            <w:vAlign w:val="bottom"/>
            <w:hideMark/>
          </w:tcPr>
          <w:p w14:paraId="76C171A0" w14:textId="77777777" w:rsidR="00BA4391" w:rsidRPr="00BA4391" w:rsidRDefault="00BA4391" w:rsidP="00BA4391">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22,942 </w:t>
            </w:r>
          </w:p>
        </w:tc>
      </w:tr>
      <w:tr w:rsidR="00BA4391" w:rsidRPr="00BA4391" w14:paraId="76C171A7" w14:textId="77777777" w:rsidTr="00BA4391">
        <w:trPr>
          <w:trHeight w:val="210"/>
        </w:trPr>
        <w:tc>
          <w:tcPr>
            <w:tcW w:w="3100" w:type="dxa"/>
            <w:tcBorders>
              <w:top w:val="nil"/>
              <w:left w:val="nil"/>
              <w:bottom w:val="nil"/>
              <w:right w:val="nil"/>
            </w:tcBorders>
            <w:shd w:val="clear" w:color="000000" w:fill="FFFFFF"/>
            <w:noWrap/>
            <w:vAlign w:val="center"/>
            <w:hideMark/>
          </w:tcPr>
          <w:p w14:paraId="76C171A2" w14:textId="77777777" w:rsidR="00BA4391" w:rsidRPr="00BA4391" w:rsidRDefault="00BA4391" w:rsidP="00BA4391">
            <w:pPr>
              <w:spacing w:after="0" w:line="240" w:lineRule="auto"/>
              <w:ind w:firstLineChars="100" w:firstLine="160"/>
              <w:jc w:val="left"/>
              <w:rPr>
                <w:rFonts w:ascii="Arial" w:hAnsi="Arial" w:cs="Arial"/>
                <w:color w:val="000000"/>
                <w:sz w:val="16"/>
                <w:szCs w:val="16"/>
              </w:rPr>
            </w:pPr>
            <w:r w:rsidRPr="00BA4391">
              <w:rPr>
                <w:rFonts w:ascii="Arial" w:hAnsi="Arial" w:cs="Arial"/>
                <w:color w:val="000000"/>
                <w:sz w:val="16"/>
                <w:szCs w:val="16"/>
              </w:rPr>
              <w:t>Less: non-controlling interests</w:t>
            </w:r>
          </w:p>
        </w:tc>
        <w:tc>
          <w:tcPr>
            <w:tcW w:w="860" w:type="dxa"/>
            <w:tcBorders>
              <w:top w:val="single" w:sz="4" w:space="0" w:color="auto"/>
              <w:left w:val="nil"/>
              <w:bottom w:val="single" w:sz="4" w:space="0" w:color="auto"/>
              <w:right w:val="nil"/>
            </w:tcBorders>
            <w:shd w:val="clear" w:color="auto" w:fill="auto"/>
            <w:noWrap/>
            <w:vAlign w:val="center"/>
            <w:hideMark/>
          </w:tcPr>
          <w:p w14:paraId="76C171A3"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 </w:t>
            </w:r>
          </w:p>
        </w:tc>
        <w:tc>
          <w:tcPr>
            <w:tcW w:w="960" w:type="dxa"/>
            <w:tcBorders>
              <w:top w:val="single" w:sz="4" w:space="0" w:color="auto"/>
              <w:left w:val="nil"/>
              <w:bottom w:val="single" w:sz="4" w:space="0" w:color="auto"/>
              <w:right w:val="nil"/>
            </w:tcBorders>
            <w:shd w:val="clear" w:color="auto" w:fill="auto"/>
            <w:noWrap/>
            <w:vAlign w:val="center"/>
            <w:hideMark/>
          </w:tcPr>
          <w:p w14:paraId="76C171A4"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 </w:t>
            </w:r>
          </w:p>
        </w:tc>
        <w:tc>
          <w:tcPr>
            <w:tcW w:w="1020" w:type="dxa"/>
            <w:tcBorders>
              <w:top w:val="single" w:sz="4" w:space="0" w:color="auto"/>
              <w:left w:val="nil"/>
              <w:bottom w:val="single" w:sz="4" w:space="0" w:color="auto"/>
              <w:right w:val="nil"/>
            </w:tcBorders>
            <w:shd w:val="clear" w:color="auto" w:fill="auto"/>
            <w:noWrap/>
            <w:vAlign w:val="center"/>
            <w:hideMark/>
          </w:tcPr>
          <w:p w14:paraId="76C171A5"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 </w:t>
            </w:r>
          </w:p>
        </w:tc>
        <w:tc>
          <w:tcPr>
            <w:tcW w:w="860" w:type="dxa"/>
            <w:tcBorders>
              <w:top w:val="single" w:sz="4" w:space="0" w:color="auto"/>
              <w:left w:val="nil"/>
              <w:bottom w:val="single" w:sz="4" w:space="0" w:color="auto"/>
              <w:right w:val="nil"/>
            </w:tcBorders>
            <w:shd w:val="clear" w:color="auto" w:fill="auto"/>
            <w:noWrap/>
            <w:vAlign w:val="center"/>
            <w:hideMark/>
          </w:tcPr>
          <w:p w14:paraId="76C171A6" w14:textId="77777777" w:rsidR="00BA4391" w:rsidRPr="00BA4391" w:rsidRDefault="00BA4391" w:rsidP="00BA4391">
            <w:pPr>
              <w:spacing w:after="0" w:line="240" w:lineRule="auto"/>
              <w:jc w:val="right"/>
              <w:rPr>
                <w:rFonts w:ascii="Arial" w:hAnsi="Arial" w:cs="Arial"/>
                <w:color w:val="000000"/>
                <w:sz w:val="16"/>
                <w:szCs w:val="16"/>
              </w:rPr>
            </w:pPr>
            <w:r w:rsidRPr="00BA4391">
              <w:rPr>
                <w:rFonts w:ascii="Arial" w:hAnsi="Arial" w:cs="Arial"/>
                <w:color w:val="000000"/>
                <w:sz w:val="16"/>
                <w:szCs w:val="16"/>
              </w:rPr>
              <w:t xml:space="preserve">- </w:t>
            </w:r>
          </w:p>
        </w:tc>
      </w:tr>
      <w:tr w:rsidR="00BA4391" w:rsidRPr="00BA4391" w14:paraId="76C171AD" w14:textId="77777777" w:rsidTr="00BA4391">
        <w:trPr>
          <w:trHeight w:val="420"/>
        </w:trPr>
        <w:tc>
          <w:tcPr>
            <w:tcW w:w="3100" w:type="dxa"/>
            <w:tcBorders>
              <w:top w:val="nil"/>
              <w:left w:val="nil"/>
              <w:bottom w:val="single" w:sz="4" w:space="0" w:color="auto"/>
              <w:right w:val="nil"/>
            </w:tcBorders>
            <w:shd w:val="clear" w:color="auto" w:fill="auto"/>
            <w:vAlign w:val="center"/>
            <w:hideMark/>
          </w:tcPr>
          <w:p w14:paraId="76C171A8" w14:textId="64E8373F" w:rsidR="00BA4391" w:rsidRPr="00BA4391" w:rsidRDefault="00BA4391" w:rsidP="00D14D9E">
            <w:pPr>
              <w:spacing w:after="0" w:line="240" w:lineRule="auto"/>
              <w:ind w:left="175" w:hanging="175"/>
              <w:jc w:val="left"/>
              <w:rPr>
                <w:rFonts w:ascii="Arial" w:hAnsi="Arial" w:cs="Arial"/>
                <w:b/>
                <w:bCs/>
                <w:color w:val="000000"/>
                <w:sz w:val="16"/>
                <w:szCs w:val="16"/>
              </w:rPr>
            </w:pPr>
            <w:r w:rsidRPr="00BA4391">
              <w:rPr>
                <w:rFonts w:ascii="Arial" w:hAnsi="Arial" w:cs="Arial"/>
                <w:b/>
                <w:bCs/>
                <w:color w:val="000000"/>
                <w:sz w:val="16"/>
                <w:szCs w:val="16"/>
              </w:rPr>
              <w:t>Closing balance attributable to the Australian Government</w:t>
            </w:r>
          </w:p>
        </w:tc>
        <w:tc>
          <w:tcPr>
            <w:tcW w:w="860" w:type="dxa"/>
            <w:tcBorders>
              <w:top w:val="nil"/>
              <w:left w:val="nil"/>
              <w:bottom w:val="single" w:sz="4" w:space="0" w:color="auto"/>
              <w:right w:val="nil"/>
            </w:tcBorders>
            <w:shd w:val="clear" w:color="auto" w:fill="auto"/>
            <w:noWrap/>
            <w:vAlign w:val="bottom"/>
            <w:hideMark/>
          </w:tcPr>
          <w:p w14:paraId="76C171A9" w14:textId="77777777" w:rsidR="00BA4391" w:rsidRPr="00BA4391" w:rsidRDefault="00BA4391" w:rsidP="00BA4391">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11,264 </w:t>
            </w:r>
          </w:p>
        </w:tc>
        <w:tc>
          <w:tcPr>
            <w:tcW w:w="960" w:type="dxa"/>
            <w:tcBorders>
              <w:top w:val="nil"/>
              <w:left w:val="nil"/>
              <w:bottom w:val="single" w:sz="4" w:space="0" w:color="auto"/>
              <w:right w:val="nil"/>
            </w:tcBorders>
            <w:shd w:val="clear" w:color="auto" w:fill="auto"/>
            <w:noWrap/>
            <w:vAlign w:val="bottom"/>
            <w:hideMark/>
          </w:tcPr>
          <w:p w14:paraId="76C171AA" w14:textId="77777777" w:rsidR="00BA4391" w:rsidRPr="00BA4391" w:rsidRDefault="00BA4391" w:rsidP="00BA4391">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3,961 </w:t>
            </w:r>
          </w:p>
        </w:tc>
        <w:tc>
          <w:tcPr>
            <w:tcW w:w="1020" w:type="dxa"/>
            <w:tcBorders>
              <w:top w:val="nil"/>
              <w:left w:val="nil"/>
              <w:bottom w:val="single" w:sz="4" w:space="0" w:color="auto"/>
              <w:right w:val="nil"/>
            </w:tcBorders>
            <w:shd w:val="clear" w:color="auto" w:fill="auto"/>
            <w:noWrap/>
            <w:vAlign w:val="bottom"/>
            <w:hideMark/>
          </w:tcPr>
          <w:p w14:paraId="76C171AB" w14:textId="77777777" w:rsidR="00BA4391" w:rsidRPr="00BA4391" w:rsidRDefault="00BA4391" w:rsidP="00BA4391">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7,717 </w:t>
            </w:r>
          </w:p>
        </w:tc>
        <w:tc>
          <w:tcPr>
            <w:tcW w:w="860" w:type="dxa"/>
            <w:tcBorders>
              <w:top w:val="nil"/>
              <w:left w:val="nil"/>
              <w:bottom w:val="single" w:sz="4" w:space="0" w:color="auto"/>
              <w:right w:val="nil"/>
            </w:tcBorders>
            <w:shd w:val="clear" w:color="auto" w:fill="auto"/>
            <w:noWrap/>
            <w:vAlign w:val="bottom"/>
            <w:hideMark/>
          </w:tcPr>
          <w:p w14:paraId="76C171AC" w14:textId="77777777" w:rsidR="00BA4391" w:rsidRPr="00BA4391" w:rsidRDefault="00BA4391" w:rsidP="00BA4391">
            <w:pPr>
              <w:spacing w:after="0" w:line="240" w:lineRule="auto"/>
              <w:jc w:val="right"/>
              <w:rPr>
                <w:rFonts w:ascii="Arial" w:hAnsi="Arial" w:cs="Arial"/>
                <w:b/>
                <w:bCs/>
                <w:color w:val="000000"/>
                <w:sz w:val="16"/>
                <w:szCs w:val="16"/>
              </w:rPr>
            </w:pPr>
            <w:r w:rsidRPr="00BA4391">
              <w:rPr>
                <w:rFonts w:ascii="Arial" w:hAnsi="Arial" w:cs="Arial"/>
                <w:b/>
                <w:bCs/>
                <w:color w:val="000000"/>
                <w:sz w:val="16"/>
                <w:szCs w:val="16"/>
              </w:rPr>
              <w:t xml:space="preserve">22,942 </w:t>
            </w:r>
          </w:p>
        </w:tc>
      </w:tr>
    </w:tbl>
    <w:p w14:paraId="76C171AE" w14:textId="77777777" w:rsidR="00DF0134" w:rsidRPr="00132F9E" w:rsidRDefault="00DF0134" w:rsidP="003732E1">
      <w:pPr>
        <w:pStyle w:val="TableGraphic"/>
        <w:spacing w:before="120"/>
        <w:jc w:val="left"/>
        <w:rPr>
          <w:rFonts w:ascii="Arial" w:hAnsi="Arial" w:cs="Arial"/>
          <w:sz w:val="16"/>
          <w:szCs w:val="16"/>
        </w:rPr>
      </w:pPr>
      <w:r w:rsidRPr="00D606C2">
        <w:rPr>
          <w:rFonts w:ascii="Arial" w:hAnsi="Arial" w:cs="Arial"/>
          <w:sz w:val="16"/>
        </w:rPr>
        <w:t>Prepared on Australian Accounting Standards basis</w:t>
      </w:r>
      <w:r w:rsidR="002C614F">
        <w:rPr>
          <w:rFonts w:ascii="Arial" w:hAnsi="Arial" w:cs="Arial"/>
          <w:sz w:val="16"/>
        </w:rPr>
        <w:t>.</w:t>
      </w:r>
    </w:p>
    <w:p w14:paraId="76C171AF" w14:textId="77777777" w:rsidR="00DF0134" w:rsidRDefault="00DF0134" w:rsidP="00DF0134">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240" w:type="dxa"/>
        <w:tblLook w:val="04A0" w:firstRow="1" w:lastRow="0" w:firstColumn="1" w:lastColumn="0" w:noHBand="0" w:noVBand="1"/>
      </w:tblPr>
      <w:tblGrid>
        <w:gridCol w:w="2840"/>
        <w:gridCol w:w="928"/>
        <w:gridCol w:w="880"/>
        <w:gridCol w:w="880"/>
        <w:gridCol w:w="880"/>
        <w:gridCol w:w="880"/>
      </w:tblGrid>
      <w:tr w:rsidR="00000A31" w:rsidRPr="00000A31" w14:paraId="76C171B6" w14:textId="77777777" w:rsidTr="004C7C00">
        <w:trPr>
          <w:trHeight w:val="785"/>
        </w:trPr>
        <w:tc>
          <w:tcPr>
            <w:tcW w:w="2840" w:type="dxa"/>
            <w:tcBorders>
              <w:top w:val="single" w:sz="4" w:space="0" w:color="auto"/>
              <w:left w:val="nil"/>
              <w:bottom w:val="nil"/>
              <w:right w:val="nil"/>
            </w:tcBorders>
            <w:shd w:val="clear" w:color="auto" w:fill="auto"/>
            <w:noWrap/>
            <w:hideMark/>
          </w:tcPr>
          <w:p w14:paraId="76C171B0" w14:textId="77777777" w:rsidR="00000A31" w:rsidRPr="00000A31" w:rsidRDefault="00000A31" w:rsidP="00000A31">
            <w:pPr>
              <w:spacing w:after="0" w:line="240" w:lineRule="auto"/>
              <w:jc w:val="left"/>
              <w:rPr>
                <w:rFonts w:ascii="Arial" w:hAnsi="Arial" w:cs="Arial"/>
                <w:b/>
                <w:bCs/>
                <w:sz w:val="16"/>
                <w:szCs w:val="16"/>
              </w:rPr>
            </w:pPr>
            <w:r w:rsidRPr="00000A31">
              <w:rPr>
                <w:rFonts w:ascii="Arial" w:hAnsi="Arial" w:cs="Arial"/>
                <w:b/>
                <w:bCs/>
                <w:sz w:val="16"/>
                <w:szCs w:val="16"/>
              </w:rPr>
              <w:t> </w:t>
            </w:r>
          </w:p>
        </w:tc>
        <w:tc>
          <w:tcPr>
            <w:tcW w:w="880" w:type="dxa"/>
            <w:tcBorders>
              <w:top w:val="single" w:sz="4" w:space="0" w:color="auto"/>
              <w:left w:val="nil"/>
              <w:bottom w:val="single" w:sz="4" w:space="0" w:color="auto"/>
              <w:right w:val="nil"/>
            </w:tcBorders>
            <w:shd w:val="clear" w:color="auto" w:fill="auto"/>
            <w:hideMark/>
          </w:tcPr>
          <w:p w14:paraId="76C171B1" w14:textId="77777777" w:rsidR="00000A31" w:rsidRPr="00000A31" w:rsidRDefault="009A4174" w:rsidP="00000A31">
            <w:pPr>
              <w:spacing w:after="0" w:line="240" w:lineRule="auto"/>
              <w:jc w:val="right"/>
              <w:rPr>
                <w:rFonts w:ascii="Arial" w:hAnsi="Arial" w:cs="Arial"/>
                <w:sz w:val="16"/>
                <w:szCs w:val="16"/>
              </w:rPr>
            </w:pPr>
            <w:r>
              <w:rPr>
                <w:rFonts w:ascii="Arial" w:hAnsi="Arial" w:cs="Arial"/>
                <w:sz w:val="16"/>
                <w:szCs w:val="16"/>
              </w:rPr>
              <w:t xml:space="preserve">2018–19 </w:t>
            </w:r>
            <w:r w:rsidR="00000A31" w:rsidRPr="00000A31">
              <w:rPr>
                <w:rFonts w:ascii="Arial" w:hAnsi="Arial" w:cs="Arial"/>
                <w:sz w:val="16"/>
                <w:szCs w:val="16"/>
              </w:rPr>
              <w:t xml:space="preserve"> Estimated actual</w:t>
            </w:r>
            <w:r w:rsidR="00000A31" w:rsidRPr="00000A31">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76C171B2" w14:textId="77777777" w:rsidR="00000A31" w:rsidRPr="00000A31" w:rsidRDefault="009A4174" w:rsidP="00000A31">
            <w:pPr>
              <w:spacing w:after="0" w:line="240" w:lineRule="auto"/>
              <w:jc w:val="right"/>
              <w:rPr>
                <w:rFonts w:ascii="Arial" w:hAnsi="Arial" w:cs="Arial"/>
                <w:sz w:val="16"/>
                <w:szCs w:val="16"/>
              </w:rPr>
            </w:pPr>
            <w:r>
              <w:rPr>
                <w:rFonts w:ascii="Arial" w:hAnsi="Arial" w:cs="Arial"/>
                <w:sz w:val="16"/>
                <w:szCs w:val="16"/>
              </w:rPr>
              <w:t>2019–20</w:t>
            </w:r>
            <w:r w:rsidR="00000A31" w:rsidRPr="00000A31">
              <w:rPr>
                <w:rFonts w:ascii="Arial" w:hAnsi="Arial" w:cs="Arial"/>
                <w:sz w:val="16"/>
                <w:szCs w:val="16"/>
              </w:rPr>
              <w:br/>
              <w:t>Budget</w:t>
            </w:r>
            <w:r w:rsidR="00000A31" w:rsidRPr="00000A31">
              <w:rPr>
                <w:rFonts w:ascii="Arial" w:hAnsi="Arial" w:cs="Arial"/>
                <w:sz w:val="16"/>
                <w:szCs w:val="16"/>
              </w:rPr>
              <w:br/>
            </w:r>
            <w:r w:rsidR="00000A31" w:rsidRPr="00000A31">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71B3" w14:textId="18C3E1D4" w:rsidR="00000A31" w:rsidRPr="00000A31" w:rsidRDefault="00014C66" w:rsidP="00000A31">
            <w:pPr>
              <w:spacing w:after="0" w:line="240" w:lineRule="auto"/>
              <w:jc w:val="right"/>
              <w:rPr>
                <w:rFonts w:ascii="Arial" w:hAnsi="Arial" w:cs="Arial"/>
                <w:sz w:val="16"/>
                <w:szCs w:val="16"/>
              </w:rPr>
            </w:pPr>
            <w:r>
              <w:rPr>
                <w:rFonts w:ascii="Arial" w:hAnsi="Arial" w:cs="Arial"/>
                <w:sz w:val="16"/>
                <w:szCs w:val="16"/>
              </w:rPr>
              <w:t>2020–21</w:t>
            </w:r>
            <w:r w:rsidR="00000A31" w:rsidRPr="00000A31">
              <w:rPr>
                <w:rFonts w:ascii="Arial" w:hAnsi="Arial" w:cs="Arial"/>
                <w:sz w:val="16"/>
                <w:szCs w:val="16"/>
              </w:rPr>
              <w:t xml:space="preserve"> Forward estimate</w:t>
            </w:r>
            <w:r w:rsidR="00000A31" w:rsidRPr="00000A31">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71B4" w14:textId="77777777" w:rsidR="00000A31" w:rsidRPr="00000A31" w:rsidRDefault="009A4174" w:rsidP="00000A31">
            <w:pPr>
              <w:spacing w:after="0" w:line="240" w:lineRule="auto"/>
              <w:jc w:val="right"/>
              <w:rPr>
                <w:rFonts w:ascii="Arial" w:hAnsi="Arial" w:cs="Arial"/>
                <w:sz w:val="16"/>
                <w:szCs w:val="16"/>
              </w:rPr>
            </w:pPr>
            <w:r>
              <w:rPr>
                <w:rFonts w:ascii="Arial" w:hAnsi="Arial" w:cs="Arial"/>
                <w:sz w:val="16"/>
                <w:szCs w:val="16"/>
              </w:rPr>
              <w:t>2021–22</w:t>
            </w:r>
            <w:r w:rsidR="00000A31" w:rsidRPr="00000A31">
              <w:rPr>
                <w:rFonts w:ascii="Arial" w:hAnsi="Arial" w:cs="Arial"/>
                <w:sz w:val="16"/>
                <w:szCs w:val="16"/>
              </w:rPr>
              <w:t xml:space="preserve"> Forward estimate</w:t>
            </w:r>
            <w:r w:rsidR="00000A31" w:rsidRPr="00000A31">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71B5" w14:textId="77777777" w:rsidR="00000A31" w:rsidRPr="00000A31" w:rsidRDefault="009A4174" w:rsidP="00000A31">
            <w:pPr>
              <w:spacing w:after="0" w:line="240" w:lineRule="auto"/>
              <w:jc w:val="right"/>
              <w:rPr>
                <w:rFonts w:ascii="Arial" w:hAnsi="Arial" w:cs="Arial"/>
                <w:sz w:val="16"/>
                <w:szCs w:val="16"/>
              </w:rPr>
            </w:pPr>
            <w:r>
              <w:rPr>
                <w:rFonts w:ascii="Arial" w:hAnsi="Arial" w:cs="Arial"/>
                <w:sz w:val="16"/>
                <w:szCs w:val="16"/>
              </w:rPr>
              <w:t>2022–23</w:t>
            </w:r>
            <w:r w:rsidR="00000A31" w:rsidRPr="00000A31">
              <w:rPr>
                <w:rFonts w:ascii="Arial" w:hAnsi="Arial" w:cs="Arial"/>
                <w:sz w:val="16"/>
                <w:szCs w:val="16"/>
              </w:rPr>
              <w:br/>
              <w:t>Forward estimate</w:t>
            </w:r>
            <w:r w:rsidR="00000A31" w:rsidRPr="00000A31">
              <w:rPr>
                <w:rFonts w:ascii="Arial" w:hAnsi="Arial" w:cs="Arial"/>
                <w:sz w:val="16"/>
                <w:szCs w:val="16"/>
              </w:rPr>
              <w:br/>
              <w:t>$'000</w:t>
            </w:r>
          </w:p>
        </w:tc>
      </w:tr>
      <w:tr w:rsidR="00000A31" w:rsidRPr="00000A31" w14:paraId="76C171BD" w14:textId="77777777" w:rsidTr="00000A31">
        <w:trPr>
          <w:trHeight w:val="225"/>
        </w:trPr>
        <w:tc>
          <w:tcPr>
            <w:tcW w:w="2840" w:type="dxa"/>
            <w:tcBorders>
              <w:top w:val="nil"/>
              <w:left w:val="nil"/>
              <w:bottom w:val="nil"/>
              <w:right w:val="nil"/>
            </w:tcBorders>
            <w:shd w:val="clear" w:color="auto" w:fill="auto"/>
            <w:noWrap/>
            <w:vAlign w:val="center"/>
            <w:hideMark/>
          </w:tcPr>
          <w:p w14:paraId="76C171B7" w14:textId="77777777" w:rsidR="00000A31" w:rsidRPr="00000A31" w:rsidRDefault="00000A31" w:rsidP="008425FD">
            <w:pPr>
              <w:spacing w:after="0" w:line="240" w:lineRule="auto"/>
              <w:ind w:left="175" w:hanging="175"/>
              <w:jc w:val="left"/>
              <w:rPr>
                <w:rFonts w:ascii="Arial" w:hAnsi="Arial" w:cs="Arial"/>
                <w:b/>
                <w:bCs/>
                <w:color w:val="000000"/>
                <w:sz w:val="16"/>
                <w:szCs w:val="16"/>
              </w:rPr>
            </w:pPr>
            <w:r w:rsidRPr="00000A31">
              <w:rPr>
                <w:rFonts w:ascii="Arial" w:hAnsi="Arial" w:cs="Arial"/>
                <w:b/>
                <w:bCs/>
                <w:color w:val="000000"/>
                <w:sz w:val="16"/>
                <w:szCs w:val="16"/>
              </w:rPr>
              <w:t>OPERATING ACTIVITIES</w:t>
            </w:r>
          </w:p>
        </w:tc>
        <w:tc>
          <w:tcPr>
            <w:tcW w:w="880" w:type="dxa"/>
            <w:tcBorders>
              <w:top w:val="nil"/>
              <w:left w:val="nil"/>
              <w:bottom w:val="nil"/>
              <w:right w:val="nil"/>
            </w:tcBorders>
            <w:shd w:val="clear" w:color="auto" w:fill="auto"/>
            <w:noWrap/>
            <w:vAlign w:val="center"/>
            <w:hideMark/>
          </w:tcPr>
          <w:p w14:paraId="76C171B8" w14:textId="77777777" w:rsidR="00000A31" w:rsidRPr="00000A31" w:rsidRDefault="00000A31" w:rsidP="00000A31">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1B9" w14:textId="77777777" w:rsidR="00000A31" w:rsidRPr="00000A31" w:rsidRDefault="00000A31" w:rsidP="00000A31">
            <w:pPr>
              <w:spacing w:after="0" w:line="240" w:lineRule="auto"/>
              <w:jc w:val="left"/>
              <w:rPr>
                <w:rFonts w:ascii="Arial" w:hAnsi="Arial" w:cs="Arial"/>
                <w:color w:val="000000"/>
                <w:sz w:val="16"/>
                <w:szCs w:val="16"/>
              </w:rPr>
            </w:pPr>
            <w:r w:rsidRPr="00000A31">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71BA" w14:textId="77777777" w:rsidR="00000A31" w:rsidRPr="00000A31" w:rsidRDefault="00000A31" w:rsidP="00000A31">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71BB" w14:textId="77777777" w:rsidR="00000A31" w:rsidRPr="00000A31" w:rsidRDefault="00000A31" w:rsidP="00000A31">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1BC" w14:textId="77777777" w:rsidR="00000A31" w:rsidRPr="00000A31" w:rsidRDefault="00000A31" w:rsidP="00000A31">
            <w:pPr>
              <w:spacing w:after="0" w:line="240" w:lineRule="auto"/>
              <w:jc w:val="left"/>
              <w:rPr>
                <w:rFonts w:ascii="Times New Roman" w:hAnsi="Times New Roman"/>
              </w:rPr>
            </w:pPr>
          </w:p>
        </w:tc>
      </w:tr>
      <w:tr w:rsidR="00000A31" w:rsidRPr="00000A31" w14:paraId="76C171C4" w14:textId="77777777" w:rsidTr="00000A31">
        <w:trPr>
          <w:trHeight w:val="225"/>
        </w:trPr>
        <w:tc>
          <w:tcPr>
            <w:tcW w:w="2840" w:type="dxa"/>
            <w:tcBorders>
              <w:top w:val="nil"/>
              <w:left w:val="nil"/>
              <w:bottom w:val="nil"/>
              <w:right w:val="nil"/>
            </w:tcBorders>
            <w:shd w:val="clear" w:color="auto" w:fill="auto"/>
            <w:noWrap/>
            <w:vAlign w:val="center"/>
            <w:hideMark/>
          </w:tcPr>
          <w:p w14:paraId="76C171BE" w14:textId="77777777" w:rsidR="00000A31" w:rsidRPr="00000A31" w:rsidRDefault="00000A31" w:rsidP="008425FD">
            <w:pPr>
              <w:spacing w:after="0" w:line="240" w:lineRule="auto"/>
              <w:ind w:left="175" w:hanging="175"/>
              <w:jc w:val="left"/>
              <w:rPr>
                <w:rFonts w:ascii="Arial" w:hAnsi="Arial" w:cs="Arial"/>
                <w:b/>
                <w:bCs/>
                <w:color w:val="000000"/>
                <w:sz w:val="16"/>
                <w:szCs w:val="16"/>
              </w:rPr>
            </w:pPr>
            <w:r w:rsidRPr="00000A31">
              <w:rPr>
                <w:rFonts w:ascii="Arial" w:hAnsi="Arial" w:cs="Arial"/>
                <w:b/>
                <w:bCs/>
                <w:color w:val="000000"/>
                <w:sz w:val="16"/>
                <w:szCs w:val="16"/>
              </w:rPr>
              <w:t>Cash received</w:t>
            </w:r>
          </w:p>
        </w:tc>
        <w:tc>
          <w:tcPr>
            <w:tcW w:w="880" w:type="dxa"/>
            <w:tcBorders>
              <w:top w:val="nil"/>
              <w:left w:val="nil"/>
              <w:bottom w:val="nil"/>
              <w:right w:val="nil"/>
            </w:tcBorders>
            <w:shd w:val="clear" w:color="auto" w:fill="auto"/>
            <w:noWrap/>
            <w:vAlign w:val="center"/>
            <w:hideMark/>
          </w:tcPr>
          <w:p w14:paraId="76C171BF" w14:textId="77777777" w:rsidR="00000A31" w:rsidRPr="00000A31" w:rsidRDefault="00000A31" w:rsidP="00000A31">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1C0" w14:textId="77777777" w:rsidR="00000A31" w:rsidRPr="00000A31" w:rsidRDefault="00000A31" w:rsidP="00000A31">
            <w:pPr>
              <w:spacing w:after="0" w:line="240" w:lineRule="auto"/>
              <w:jc w:val="left"/>
              <w:rPr>
                <w:rFonts w:ascii="Arial" w:hAnsi="Arial" w:cs="Arial"/>
                <w:color w:val="000000"/>
                <w:sz w:val="16"/>
                <w:szCs w:val="16"/>
              </w:rPr>
            </w:pPr>
            <w:r w:rsidRPr="00000A31">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71C1" w14:textId="77777777" w:rsidR="00000A31" w:rsidRPr="00000A31" w:rsidRDefault="00000A31" w:rsidP="00000A31">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71C2" w14:textId="77777777" w:rsidR="00000A31" w:rsidRPr="00000A31" w:rsidRDefault="00000A31" w:rsidP="00000A31">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1C3" w14:textId="77777777" w:rsidR="00000A31" w:rsidRPr="00000A31" w:rsidRDefault="00000A31" w:rsidP="00000A31">
            <w:pPr>
              <w:spacing w:after="0" w:line="240" w:lineRule="auto"/>
              <w:jc w:val="left"/>
              <w:rPr>
                <w:rFonts w:ascii="Times New Roman" w:hAnsi="Times New Roman"/>
              </w:rPr>
            </w:pPr>
          </w:p>
        </w:tc>
      </w:tr>
      <w:tr w:rsidR="00000A31" w:rsidRPr="00000A31" w14:paraId="76C171CB" w14:textId="77777777" w:rsidTr="00000A31">
        <w:trPr>
          <w:trHeight w:val="225"/>
        </w:trPr>
        <w:tc>
          <w:tcPr>
            <w:tcW w:w="2840" w:type="dxa"/>
            <w:tcBorders>
              <w:top w:val="nil"/>
              <w:left w:val="nil"/>
              <w:bottom w:val="nil"/>
              <w:right w:val="nil"/>
            </w:tcBorders>
            <w:shd w:val="clear" w:color="auto" w:fill="auto"/>
            <w:noWrap/>
            <w:vAlign w:val="center"/>
            <w:hideMark/>
          </w:tcPr>
          <w:p w14:paraId="76C171C5" w14:textId="77777777" w:rsidR="00000A31" w:rsidRPr="00000A31" w:rsidRDefault="00000A31" w:rsidP="008425FD">
            <w:pPr>
              <w:spacing w:after="0" w:line="240" w:lineRule="auto"/>
              <w:ind w:leftChars="80" w:left="317" w:hangingChars="98" w:hanging="157"/>
              <w:jc w:val="left"/>
              <w:rPr>
                <w:rFonts w:ascii="Arial" w:hAnsi="Arial" w:cs="Arial"/>
                <w:color w:val="000000"/>
                <w:sz w:val="16"/>
                <w:szCs w:val="16"/>
              </w:rPr>
            </w:pPr>
            <w:r w:rsidRPr="00000A31">
              <w:rPr>
                <w:rFonts w:ascii="Arial" w:hAnsi="Arial" w:cs="Arial"/>
                <w:color w:val="000000"/>
                <w:sz w:val="16"/>
                <w:szCs w:val="16"/>
              </w:rPr>
              <w:t>Appropriations</w:t>
            </w:r>
          </w:p>
        </w:tc>
        <w:tc>
          <w:tcPr>
            <w:tcW w:w="880" w:type="dxa"/>
            <w:tcBorders>
              <w:top w:val="nil"/>
              <w:left w:val="nil"/>
              <w:bottom w:val="nil"/>
              <w:right w:val="nil"/>
            </w:tcBorders>
            <w:shd w:val="clear" w:color="auto" w:fill="auto"/>
            <w:noWrap/>
            <w:vAlign w:val="center"/>
            <w:hideMark/>
          </w:tcPr>
          <w:p w14:paraId="76C171C6"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5,989 </w:t>
            </w:r>
          </w:p>
        </w:tc>
        <w:tc>
          <w:tcPr>
            <w:tcW w:w="880" w:type="dxa"/>
            <w:tcBorders>
              <w:top w:val="nil"/>
              <w:left w:val="nil"/>
              <w:bottom w:val="nil"/>
              <w:right w:val="nil"/>
            </w:tcBorders>
            <w:shd w:val="clear" w:color="000000" w:fill="E6E6E6"/>
            <w:noWrap/>
            <w:vAlign w:val="center"/>
            <w:hideMark/>
          </w:tcPr>
          <w:p w14:paraId="76C171C7"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5,989 </w:t>
            </w:r>
          </w:p>
        </w:tc>
        <w:tc>
          <w:tcPr>
            <w:tcW w:w="880" w:type="dxa"/>
            <w:tcBorders>
              <w:top w:val="nil"/>
              <w:left w:val="nil"/>
              <w:bottom w:val="nil"/>
              <w:right w:val="nil"/>
            </w:tcBorders>
            <w:shd w:val="clear" w:color="auto" w:fill="auto"/>
            <w:noWrap/>
            <w:vAlign w:val="center"/>
            <w:hideMark/>
          </w:tcPr>
          <w:p w14:paraId="76C171C8"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6,028 </w:t>
            </w:r>
          </w:p>
        </w:tc>
        <w:tc>
          <w:tcPr>
            <w:tcW w:w="880" w:type="dxa"/>
            <w:tcBorders>
              <w:top w:val="nil"/>
              <w:left w:val="nil"/>
              <w:bottom w:val="nil"/>
              <w:right w:val="nil"/>
            </w:tcBorders>
            <w:shd w:val="clear" w:color="auto" w:fill="auto"/>
            <w:noWrap/>
            <w:vAlign w:val="center"/>
            <w:hideMark/>
          </w:tcPr>
          <w:p w14:paraId="76C171C9"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6,069 </w:t>
            </w:r>
          </w:p>
        </w:tc>
        <w:tc>
          <w:tcPr>
            <w:tcW w:w="880" w:type="dxa"/>
            <w:tcBorders>
              <w:top w:val="nil"/>
              <w:left w:val="nil"/>
              <w:bottom w:val="nil"/>
              <w:right w:val="nil"/>
            </w:tcBorders>
            <w:shd w:val="clear" w:color="auto" w:fill="auto"/>
            <w:noWrap/>
            <w:vAlign w:val="center"/>
            <w:hideMark/>
          </w:tcPr>
          <w:p w14:paraId="76C171CA"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6,110 </w:t>
            </w:r>
          </w:p>
        </w:tc>
      </w:tr>
      <w:tr w:rsidR="00000A31" w:rsidRPr="00000A31" w14:paraId="76C171D2" w14:textId="77777777" w:rsidTr="00000A31">
        <w:trPr>
          <w:trHeight w:val="450"/>
        </w:trPr>
        <w:tc>
          <w:tcPr>
            <w:tcW w:w="2840" w:type="dxa"/>
            <w:tcBorders>
              <w:top w:val="nil"/>
              <w:left w:val="nil"/>
              <w:bottom w:val="nil"/>
              <w:right w:val="nil"/>
            </w:tcBorders>
            <w:shd w:val="clear" w:color="auto" w:fill="auto"/>
            <w:vAlign w:val="center"/>
            <w:hideMark/>
          </w:tcPr>
          <w:p w14:paraId="76C171CC" w14:textId="2A72297B" w:rsidR="00000A31" w:rsidRPr="00000A31" w:rsidRDefault="00000A31" w:rsidP="008425FD">
            <w:pPr>
              <w:spacing w:after="0" w:line="240" w:lineRule="auto"/>
              <w:ind w:leftChars="80" w:left="317" w:hangingChars="98" w:hanging="157"/>
              <w:jc w:val="left"/>
              <w:rPr>
                <w:rFonts w:ascii="Arial" w:hAnsi="Arial" w:cs="Arial"/>
                <w:color w:val="000000"/>
                <w:sz w:val="16"/>
                <w:szCs w:val="16"/>
              </w:rPr>
            </w:pPr>
            <w:r w:rsidRPr="00000A31">
              <w:rPr>
                <w:rFonts w:ascii="Arial" w:hAnsi="Arial" w:cs="Arial"/>
                <w:color w:val="000000"/>
                <w:sz w:val="16"/>
                <w:szCs w:val="16"/>
              </w:rPr>
              <w:t>Sale of goods and rendering of services</w:t>
            </w:r>
          </w:p>
        </w:tc>
        <w:tc>
          <w:tcPr>
            <w:tcW w:w="880" w:type="dxa"/>
            <w:tcBorders>
              <w:top w:val="nil"/>
              <w:left w:val="nil"/>
              <w:bottom w:val="nil"/>
              <w:right w:val="nil"/>
            </w:tcBorders>
            <w:shd w:val="clear" w:color="auto" w:fill="auto"/>
            <w:noWrap/>
            <w:vAlign w:val="center"/>
            <w:hideMark/>
          </w:tcPr>
          <w:p w14:paraId="76C171CD"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39,575 </w:t>
            </w:r>
          </w:p>
        </w:tc>
        <w:tc>
          <w:tcPr>
            <w:tcW w:w="880" w:type="dxa"/>
            <w:tcBorders>
              <w:top w:val="nil"/>
              <w:left w:val="nil"/>
              <w:bottom w:val="nil"/>
              <w:right w:val="nil"/>
            </w:tcBorders>
            <w:shd w:val="clear" w:color="000000" w:fill="E6E6E6"/>
            <w:noWrap/>
            <w:vAlign w:val="center"/>
            <w:hideMark/>
          </w:tcPr>
          <w:p w14:paraId="76C171CE"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38,862 </w:t>
            </w:r>
          </w:p>
        </w:tc>
        <w:tc>
          <w:tcPr>
            <w:tcW w:w="880" w:type="dxa"/>
            <w:tcBorders>
              <w:top w:val="nil"/>
              <w:left w:val="nil"/>
              <w:bottom w:val="nil"/>
              <w:right w:val="nil"/>
            </w:tcBorders>
            <w:shd w:val="clear" w:color="auto" w:fill="auto"/>
            <w:noWrap/>
            <w:vAlign w:val="center"/>
            <w:hideMark/>
          </w:tcPr>
          <w:p w14:paraId="76C171CF"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41,864 </w:t>
            </w:r>
          </w:p>
        </w:tc>
        <w:tc>
          <w:tcPr>
            <w:tcW w:w="880" w:type="dxa"/>
            <w:tcBorders>
              <w:top w:val="nil"/>
              <w:left w:val="nil"/>
              <w:bottom w:val="nil"/>
              <w:right w:val="nil"/>
            </w:tcBorders>
            <w:shd w:val="clear" w:color="auto" w:fill="auto"/>
            <w:noWrap/>
            <w:vAlign w:val="center"/>
            <w:hideMark/>
          </w:tcPr>
          <w:p w14:paraId="76C171D0"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39,360 </w:t>
            </w:r>
          </w:p>
        </w:tc>
        <w:tc>
          <w:tcPr>
            <w:tcW w:w="880" w:type="dxa"/>
            <w:tcBorders>
              <w:top w:val="nil"/>
              <w:left w:val="nil"/>
              <w:bottom w:val="nil"/>
              <w:right w:val="nil"/>
            </w:tcBorders>
            <w:shd w:val="clear" w:color="auto" w:fill="auto"/>
            <w:noWrap/>
            <w:vAlign w:val="center"/>
            <w:hideMark/>
          </w:tcPr>
          <w:p w14:paraId="76C171D1"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40,618 </w:t>
            </w:r>
          </w:p>
        </w:tc>
      </w:tr>
      <w:tr w:rsidR="00000A31" w:rsidRPr="00000A31" w14:paraId="76C171D9" w14:textId="77777777" w:rsidTr="00000A31">
        <w:trPr>
          <w:trHeight w:val="225"/>
        </w:trPr>
        <w:tc>
          <w:tcPr>
            <w:tcW w:w="2840" w:type="dxa"/>
            <w:tcBorders>
              <w:top w:val="nil"/>
              <w:left w:val="nil"/>
              <w:bottom w:val="nil"/>
              <w:right w:val="nil"/>
            </w:tcBorders>
            <w:shd w:val="clear" w:color="auto" w:fill="auto"/>
            <w:noWrap/>
            <w:vAlign w:val="center"/>
            <w:hideMark/>
          </w:tcPr>
          <w:p w14:paraId="76C171D3" w14:textId="77777777" w:rsidR="00000A31" w:rsidRPr="00000A31" w:rsidRDefault="00000A31" w:rsidP="008425FD">
            <w:pPr>
              <w:spacing w:after="0" w:line="240" w:lineRule="auto"/>
              <w:ind w:leftChars="80" w:left="317" w:hangingChars="98" w:hanging="157"/>
              <w:jc w:val="left"/>
              <w:rPr>
                <w:rFonts w:ascii="Arial" w:hAnsi="Arial" w:cs="Arial"/>
                <w:color w:val="000000"/>
                <w:sz w:val="16"/>
                <w:szCs w:val="16"/>
              </w:rPr>
            </w:pPr>
            <w:r w:rsidRPr="00000A31">
              <w:rPr>
                <w:rFonts w:ascii="Arial" w:hAnsi="Arial" w:cs="Arial"/>
                <w:color w:val="000000"/>
                <w:sz w:val="16"/>
                <w:szCs w:val="16"/>
              </w:rPr>
              <w:t>Interest</w:t>
            </w:r>
          </w:p>
        </w:tc>
        <w:tc>
          <w:tcPr>
            <w:tcW w:w="880" w:type="dxa"/>
            <w:tcBorders>
              <w:top w:val="nil"/>
              <w:left w:val="nil"/>
              <w:bottom w:val="nil"/>
              <w:right w:val="nil"/>
            </w:tcBorders>
            <w:shd w:val="clear" w:color="auto" w:fill="auto"/>
            <w:noWrap/>
            <w:vAlign w:val="center"/>
            <w:hideMark/>
          </w:tcPr>
          <w:p w14:paraId="76C171D4"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30,048 </w:t>
            </w:r>
          </w:p>
        </w:tc>
        <w:tc>
          <w:tcPr>
            <w:tcW w:w="880" w:type="dxa"/>
            <w:tcBorders>
              <w:top w:val="nil"/>
              <w:left w:val="nil"/>
              <w:bottom w:val="nil"/>
              <w:right w:val="nil"/>
            </w:tcBorders>
            <w:shd w:val="clear" w:color="000000" w:fill="E6E6E6"/>
            <w:noWrap/>
            <w:vAlign w:val="center"/>
            <w:hideMark/>
          </w:tcPr>
          <w:p w14:paraId="76C171D5"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25,224 </w:t>
            </w:r>
          </w:p>
        </w:tc>
        <w:tc>
          <w:tcPr>
            <w:tcW w:w="880" w:type="dxa"/>
            <w:tcBorders>
              <w:top w:val="nil"/>
              <w:left w:val="nil"/>
              <w:bottom w:val="nil"/>
              <w:right w:val="nil"/>
            </w:tcBorders>
            <w:shd w:val="clear" w:color="auto" w:fill="auto"/>
            <w:noWrap/>
            <w:vAlign w:val="center"/>
            <w:hideMark/>
          </w:tcPr>
          <w:p w14:paraId="76C171D6"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25,224 </w:t>
            </w:r>
          </w:p>
        </w:tc>
        <w:tc>
          <w:tcPr>
            <w:tcW w:w="880" w:type="dxa"/>
            <w:tcBorders>
              <w:top w:val="nil"/>
              <w:left w:val="nil"/>
              <w:bottom w:val="nil"/>
              <w:right w:val="nil"/>
            </w:tcBorders>
            <w:shd w:val="clear" w:color="auto" w:fill="auto"/>
            <w:noWrap/>
            <w:vAlign w:val="center"/>
            <w:hideMark/>
          </w:tcPr>
          <w:p w14:paraId="76C171D7"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25,224 </w:t>
            </w:r>
          </w:p>
        </w:tc>
        <w:tc>
          <w:tcPr>
            <w:tcW w:w="880" w:type="dxa"/>
            <w:tcBorders>
              <w:top w:val="nil"/>
              <w:left w:val="nil"/>
              <w:bottom w:val="nil"/>
              <w:right w:val="nil"/>
            </w:tcBorders>
            <w:shd w:val="clear" w:color="auto" w:fill="auto"/>
            <w:noWrap/>
            <w:vAlign w:val="center"/>
            <w:hideMark/>
          </w:tcPr>
          <w:p w14:paraId="76C171D8"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25,224 </w:t>
            </w:r>
          </w:p>
        </w:tc>
      </w:tr>
      <w:tr w:rsidR="00000A31" w:rsidRPr="00000A31" w14:paraId="76C171E0" w14:textId="77777777" w:rsidTr="00000A31">
        <w:trPr>
          <w:trHeight w:val="225"/>
        </w:trPr>
        <w:tc>
          <w:tcPr>
            <w:tcW w:w="2840" w:type="dxa"/>
            <w:tcBorders>
              <w:top w:val="nil"/>
              <w:left w:val="nil"/>
              <w:bottom w:val="nil"/>
              <w:right w:val="nil"/>
            </w:tcBorders>
            <w:shd w:val="clear" w:color="auto" w:fill="auto"/>
            <w:noWrap/>
            <w:vAlign w:val="center"/>
            <w:hideMark/>
          </w:tcPr>
          <w:p w14:paraId="76C171DA" w14:textId="77777777" w:rsidR="00000A31" w:rsidRPr="00000A31" w:rsidRDefault="00000A31" w:rsidP="008425FD">
            <w:pPr>
              <w:spacing w:after="0" w:line="240" w:lineRule="auto"/>
              <w:ind w:leftChars="80" w:left="317" w:hangingChars="98" w:hanging="157"/>
              <w:jc w:val="left"/>
              <w:rPr>
                <w:rFonts w:ascii="Arial" w:hAnsi="Arial" w:cs="Arial"/>
                <w:color w:val="000000"/>
                <w:sz w:val="16"/>
                <w:szCs w:val="16"/>
              </w:rPr>
            </w:pPr>
            <w:r w:rsidRPr="00000A31">
              <w:rPr>
                <w:rFonts w:ascii="Arial" w:hAnsi="Arial" w:cs="Arial"/>
                <w:color w:val="000000"/>
                <w:sz w:val="16"/>
                <w:szCs w:val="16"/>
              </w:rPr>
              <w:t>Grants from Portfolio Agencies</w:t>
            </w:r>
          </w:p>
        </w:tc>
        <w:tc>
          <w:tcPr>
            <w:tcW w:w="880" w:type="dxa"/>
            <w:tcBorders>
              <w:top w:val="nil"/>
              <w:left w:val="nil"/>
              <w:bottom w:val="nil"/>
              <w:right w:val="nil"/>
            </w:tcBorders>
            <w:shd w:val="clear" w:color="auto" w:fill="auto"/>
            <w:noWrap/>
            <w:vAlign w:val="center"/>
            <w:hideMark/>
          </w:tcPr>
          <w:p w14:paraId="76C171DB"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60,083 </w:t>
            </w:r>
          </w:p>
        </w:tc>
        <w:tc>
          <w:tcPr>
            <w:tcW w:w="880" w:type="dxa"/>
            <w:tcBorders>
              <w:top w:val="nil"/>
              <w:left w:val="nil"/>
              <w:bottom w:val="nil"/>
              <w:right w:val="nil"/>
            </w:tcBorders>
            <w:shd w:val="clear" w:color="000000" w:fill="E6E6E6"/>
            <w:noWrap/>
            <w:vAlign w:val="center"/>
            <w:hideMark/>
          </w:tcPr>
          <w:p w14:paraId="76C171DC"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55,188 </w:t>
            </w:r>
          </w:p>
        </w:tc>
        <w:tc>
          <w:tcPr>
            <w:tcW w:w="880" w:type="dxa"/>
            <w:tcBorders>
              <w:top w:val="nil"/>
              <w:left w:val="nil"/>
              <w:bottom w:val="nil"/>
              <w:right w:val="nil"/>
            </w:tcBorders>
            <w:shd w:val="clear" w:color="auto" w:fill="auto"/>
            <w:noWrap/>
            <w:vAlign w:val="center"/>
            <w:hideMark/>
          </w:tcPr>
          <w:p w14:paraId="76C171DD"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54,885 </w:t>
            </w:r>
          </w:p>
        </w:tc>
        <w:tc>
          <w:tcPr>
            <w:tcW w:w="880" w:type="dxa"/>
            <w:tcBorders>
              <w:top w:val="nil"/>
              <w:left w:val="nil"/>
              <w:bottom w:val="nil"/>
              <w:right w:val="nil"/>
            </w:tcBorders>
            <w:shd w:val="clear" w:color="auto" w:fill="auto"/>
            <w:noWrap/>
            <w:vAlign w:val="center"/>
            <w:hideMark/>
          </w:tcPr>
          <w:p w14:paraId="76C171DE"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54,632 </w:t>
            </w:r>
          </w:p>
        </w:tc>
        <w:tc>
          <w:tcPr>
            <w:tcW w:w="880" w:type="dxa"/>
            <w:tcBorders>
              <w:top w:val="nil"/>
              <w:left w:val="nil"/>
              <w:bottom w:val="nil"/>
              <w:right w:val="nil"/>
            </w:tcBorders>
            <w:shd w:val="clear" w:color="auto" w:fill="auto"/>
            <w:noWrap/>
            <w:vAlign w:val="center"/>
            <w:hideMark/>
          </w:tcPr>
          <w:p w14:paraId="76C171DF"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53,819 </w:t>
            </w:r>
          </w:p>
        </w:tc>
      </w:tr>
      <w:tr w:rsidR="00000A31" w:rsidRPr="00000A31" w14:paraId="76C171E7" w14:textId="77777777" w:rsidTr="00000A31">
        <w:trPr>
          <w:trHeight w:val="225"/>
        </w:trPr>
        <w:tc>
          <w:tcPr>
            <w:tcW w:w="2840" w:type="dxa"/>
            <w:tcBorders>
              <w:top w:val="nil"/>
              <w:left w:val="nil"/>
              <w:bottom w:val="nil"/>
              <w:right w:val="nil"/>
            </w:tcBorders>
            <w:shd w:val="clear" w:color="auto" w:fill="auto"/>
            <w:noWrap/>
            <w:vAlign w:val="center"/>
            <w:hideMark/>
          </w:tcPr>
          <w:p w14:paraId="76C171E1" w14:textId="77777777" w:rsidR="00000A31" w:rsidRPr="00000A31" w:rsidRDefault="00000A31" w:rsidP="008425FD">
            <w:pPr>
              <w:spacing w:after="0" w:line="240" w:lineRule="auto"/>
              <w:ind w:leftChars="80" w:left="317" w:hangingChars="98" w:hanging="157"/>
              <w:jc w:val="left"/>
              <w:rPr>
                <w:rFonts w:ascii="Arial" w:hAnsi="Arial" w:cs="Arial"/>
                <w:color w:val="000000"/>
                <w:sz w:val="16"/>
                <w:szCs w:val="16"/>
              </w:rPr>
            </w:pPr>
            <w:r w:rsidRPr="00000A31">
              <w:rPr>
                <w:rFonts w:ascii="Arial" w:hAnsi="Arial" w:cs="Arial"/>
                <w:color w:val="000000"/>
                <w:sz w:val="16"/>
                <w:szCs w:val="16"/>
              </w:rPr>
              <w:t>GST receipts from customers</w:t>
            </w:r>
          </w:p>
        </w:tc>
        <w:tc>
          <w:tcPr>
            <w:tcW w:w="880" w:type="dxa"/>
            <w:tcBorders>
              <w:top w:val="nil"/>
              <w:left w:val="nil"/>
              <w:bottom w:val="nil"/>
              <w:right w:val="nil"/>
            </w:tcBorders>
            <w:shd w:val="clear" w:color="auto" w:fill="auto"/>
            <w:noWrap/>
            <w:vAlign w:val="center"/>
            <w:hideMark/>
          </w:tcPr>
          <w:p w14:paraId="76C171E2"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24,914 </w:t>
            </w:r>
          </w:p>
        </w:tc>
        <w:tc>
          <w:tcPr>
            <w:tcW w:w="880" w:type="dxa"/>
            <w:tcBorders>
              <w:top w:val="nil"/>
              <w:left w:val="nil"/>
              <w:bottom w:val="nil"/>
              <w:right w:val="nil"/>
            </w:tcBorders>
            <w:shd w:val="clear" w:color="000000" w:fill="E6E6E6"/>
            <w:noWrap/>
            <w:vAlign w:val="center"/>
            <w:hideMark/>
          </w:tcPr>
          <w:p w14:paraId="76C171E3"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15,993 </w:t>
            </w:r>
          </w:p>
        </w:tc>
        <w:tc>
          <w:tcPr>
            <w:tcW w:w="880" w:type="dxa"/>
            <w:tcBorders>
              <w:top w:val="nil"/>
              <w:left w:val="nil"/>
              <w:bottom w:val="nil"/>
              <w:right w:val="nil"/>
            </w:tcBorders>
            <w:shd w:val="clear" w:color="auto" w:fill="auto"/>
            <w:noWrap/>
            <w:vAlign w:val="center"/>
            <w:hideMark/>
          </w:tcPr>
          <w:p w14:paraId="76C171E4"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18,097 </w:t>
            </w:r>
          </w:p>
        </w:tc>
        <w:tc>
          <w:tcPr>
            <w:tcW w:w="880" w:type="dxa"/>
            <w:tcBorders>
              <w:top w:val="nil"/>
              <w:left w:val="nil"/>
              <w:bottom w:val="nil"/>
              <w:right w:val="nil"/>
            </w:tcBorders>
            <w:shd w:val="clear" w:color="auto" w:fill="auto"/>
            <w:noWrap/>
            <w:vAlign w:val="center"/>
            <w:hideMark/>
          </w:tcPr>
          <w:p w14:paraId="76C171E5"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18,378 </w:t>
            </w:r>
          </w:p>
        </w:tc>
        <w:tc>
          <w:tcPr>
            <w:tcW w:w="880" w:type="dxa"/>
            <w:tcBorders>
              <w:top w:val="nil"/>
              <w:left w:val="nil"/>
              <w:bottom w:val="nil"/>
              <w:right w:val="nil"/>
            </w:tcBorders>
            <w:shd w:val="clear" w:color="auto" w:fill="auto"/>
            <w:noWrap/>
            <w:vAlign w:val="center"/>
            <w:hideMark/>
          </w:tcPr>
          <w:p w14:paraId="76C171E6"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19,030 </w:t>
            </w:r>
          </w:p>
        </w:tc>
      </w:tr>
      <w:tr w:rsidR="00000A31" w:rsidRPr="00000A31" w14:paraId="76C171EE" w14:textId="77777777" w:rsidTr="00000A31">
        <w:trPr>
          <w:trHeight w:val="225"/>
        </w:trPr>
        <w:tc>
          <w:tcPr>
            <w:tcW w:w="2840" w:type="dxa"/>
            <w:tcBorders>
              <w:top w:val="nil"/>
              <w:left w:val="nil"/>
              <w:bottom w:val="nil"/>
              <w:right w:val="nil"/>
            </w:tcBorders>
            <w:shd w:val="clear" w:color="auto" w:fill="auto"/>
            <w:noWrap/>
            <w:vAlign w:val="center"/>
            <w:hideMark/>
          </w:tcPr>
          <w:p w14:paraId="76C171E8" w14:textId="77777777" w:rsidR="00000A31" w:rsidRPr="00000A31" w:rsidRDefault="00000A31" w:rsidP="008425FD">
            <w:pPr>
              <w:spacing w:after="0" w:line="240" w:lineRule="auto"/>
              <w:ind w:leftChars="80" w:left="317" w:hangingChars="98" w:hanging="157"/>
              <w:jc w:val="left"/>
              <w:rPr>
                <w:rFonts w:ascii="Arial" w:hAnsi="Arial" w:cs="Arial"/>
                <w:color w:val="000000"/>
                <w:sz w:val="16"/>
                <w:szCs w:val="16"/>
              </w:rPr>
            </w:pPr>
            <w:r w:rsidRPr="00000A31">
              <w:rPr>
                <w:rFonts w:ascii="Arial" w:hAnsi="Arial" w:cs="Arial"/>
                <w:color w:val="000000"/>
                <w:sz w:val="16"/>
                <w:szCs w:val="16"/>
              </w:rPr>
              <w:t xml:space="preserve">Other </w:t>
            </w:r>
          </w:p>
        </w:tc>
        <w:tc>
          <w:tcPr>
            <w:tcW w:w="880" w:type="dxa"/>
            <w:tcBorders>
              <w:top w:val="nil"/>
              <w:left w:val="nil"/>
              <w:bottom w:val="nil"/>
              <w:right w:val="nil"/>
            </w:tcBorders>
            <w:shd w:val="clear" w:color="auto" w:fill="auto"/>
            <w:noWrap/>
            <w:vAlign w:val="center"/>
            <w:hideMark/>
          </w:tcPr>
          <w:p w14:paraId="76C171E9"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244,972 </w:t>
            </w:r>
          </w:p>
        </w:tc>
        <w:tc>
          <w:tcPr>
            <w:tcW w:w="880" w:type="dxa"/>
            <w:tcBorders>
              <w:top w:val="nil"/>
              <w:left w:val="nil"/>
              <w:bottom w:val="nil"/>
              <w:right w:val="nil"/>
            </w:tcBorders>
            <w:shd w:val="clear" w:color="000000" w:fill="E6E6E6"/>
            <w:noWrap/>
            <w:vAlign w:val="center"/>
            <w:hideMark/>
          </w:tcPr>
          <w:p w14:paraId="76C171EA"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156,460 </w:t>
            </w:r>
          </w:p>
        </w:tc>
        <w:tc>
          <w:tcPr>
            <w:tcW w:w="880" w:type="dxa"/>
            <w:tcBorders>
              <w:top w:val="nil"/>
              <w:left w:val="nil"/>
              <w:bottom w:val="nil"/>
              <w:right w:val="nil"/>
            </w:tcBorders>
            <w:shd w:val="clear" w:color="auto" w:fill="auto"/>
            <w:noWrap/>
            <w:vAlign w:val="center"/>
            <w:hideMark/>
          </w:tcPr>
          <w:p w14:paraId="76C171EB"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176,660 </w:t>
            </w:r>
          </w:p>
        </w:tc>
        <w:tc>
          <w:tcPr>
            <w:tcW w:w="880" w:type="dxa"/>
            <w:tcBorders>
              <w:top w:val="nil"/>
              <w:left w:val="nil"/>
              <w:bottom w:val="nil"/>
              <w:right w:val="nil"/>
            </w:tcBorders>
            <w:shd w:val="clear" w:color="auto" w:fill="auto"/>
            <w:noWrap/>
            <w:vAlign w:val="center"/>
            <w:hideMark/>
          </w:tcPr>
          <w:p w14:paraId="76C171EC"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182,450 </w:t>
            </w:r>
          </w:p>
        </w:tc>
        <w:tc>
          <w:tcPr>
            <w:tcW w:w="880" w:type="dxa"/>
            <w:tcBorders>
              <w:top w:val="nil"/>
              <w:left w:val="nil"/>
              <w:bottom w:val="nil"/>
              <w:right w:val="nil"/>
            </w:tcBorders>
            <w:shd w:val="clear" w:color="auto" w:fill="auto"/>
            <w:noWrap/>
            <w:vAlign w:val="center"/>
            <w:hideMark/>
          </w:tcPr>
          <w:p w14:paraId="76C171ED"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188,360 </w:t>
            </w:r>
          </w:p>
        </w:tc>
      </w:tr>
      <w:tr w:rsidR="00000A31" w:rsidRPr="00000A31" w14:paraId="76C171F5" w14:textId="77777777" w:rsidTr="00000A31">
        <w:trPr>
          <w:trHeight w:val="210"/>
        </w:trPr>
        <w:tc>
          <w:tcPr>
            <w:tcW w:w="2840" w:type="dxa"/>
            <w:tcBorders>
              <w:top w:val="nil"/>
              <w:left w:val="nil"/>
              <w:bottom w:val="nil"/>
              <w:right w:val="nil"/>
            </w:tcBorders>
            <w:shd w:val="clear" w:color="auto" w:fill="auto"/>
            <w:noWrap/>
            <w:vAlign w:val="center"/>
            <w:hideMark/>
          </w:tcPr>
          <w:p w14:paraId="76C171EF" w14:textId="77777777" w:rsidR="00000A31" w:rsidRPr="00000A31" w:rsidRDefault="00000A31" w:rsidP="00000A31">
            <w:pPr>
              <w:spacing w:after="0" w:line="240" w:lineRule="auto"/>
              <w:jc w:val="left"/>
              <w:rPr>
                <w:rFonts w:ascii="Arial" w:hAnsi="Arial" w:cs="Arial"/>
                <w:b/>
                <w:bCs/>
                <w:i/>
                <w:iCs/>
                <w:color w:val="000000"/>
                <w:sz w:val="16"/>
                <w:szCs w:val="16"/>
              </w:rPr>
            </w:pPr>
            <w:r w:rsidRPr="00000A31">
              <w:rPr>
                <w:rFonts w:ascii="Arial" w:hAnsi="Arial" w:cs="Arial"/>
                <w:b/>
                <w:bCs/>
                <w:i/>
                <w:iCs/>
                <w:color w:val="000000"/>
                <w:sz w:val="16"/>
                <w:szCs w:val="16"/>
              </w:rPr>
              <w:t>Total cash received</w:t>
            </w:r>
          </w:p>
        </w:tc>
        <w:tc>
          <w:tcPr>
            <w:tcW w:w="880" w:type="dxa"/>
            <w:tcBorders>
              <w:top w:val="single" w:sz="4" w:space="0" w:color="auto"/>
              <w:left w:val="nil"/>
              <w:bottom w:val="single" w:sz="4" w:space="0" w:color="auto"/>
              <w:right w:val="nil"/>
            </w:tcBorders>
            <w:shd w:val="clear" w:color="auto" w:fill="auto"/>
            <w:noWrap/>
            <w:vAlign w:val="center"/>
            <w:hideMark/>
          </w:tcPr>
          <w:p w14:paraId="76C171F0" w14:textId="77777777" w:rsidR="00000A31" w:rsidRPr="00000A31" w:rsidRDefault="00000A31" w:rsidP="00000A31">
            <w:pPr>
              <w:spacing w:after="0" w:line="240" w:lineRule="auto"/>
              <w:jc w:val="right"/>
              <w:rPr>
                <w:rFonts w:ascii="Arial" w:hAnsi="Arial" w:cs="Arial"/>
                <w:b/>
                <w:bCs/>
                <w:i/>
                <w:iCs/>
                <w:color w:val="000000"/>
                <w:sz w:val="16"/>
                <w:szCs w:val="16"/>
              </w:rPr>
            </w:pPr>
            <w:r w:rsidRPr="00000A31">
              <w:rPr>
                <w:rFonts w:ascii="Arial" w:hAnsi="Arial" w:cs="Arial"/>
                <w:b/>
                <w:bCs/>
                <w:i/>
                <w:iCs/>
                <w:color w:val="000000"/>
                <w:sz w:val="16"/>
                <w:szCs w:val="16"/>
              </w:rPr>
              <w:t xml:space="preserve">405,581 </w:t>
            </w:r>
          </w:p>
        </w:tc>
        <w:tc>
          <w:tcPr>
            <w:tcW w:w="880" w:type="dxa"/>
            <w:tcBorders>
              <w:top w:val="single" w:sz="4" w:space="0" w:color="auto"/>
              <w:left w:val="nil"/>
              <w:bottom w:val="single" w:sz="4" w:space="0" w:color="auto"/>
              <w:right w:val="nil"/>
            </w:tcBorders>
            <w:shd w:val="clear" w:color="000000" w:fill="E6E6E6"/>
            <w:noWrap/>
            <w:vAlign w:val="center"/>
            <w:hideMark/>
          </w:tcPr>
          <w:p w14:paraId="76C171F1" w14:textId="77777777" w:rsidR="00000A31" w:rsidRPr="00000A31" w:rsidRDefault="00000A31" w:rsidP="00000A31">
            <w:pPr>
              <w:spacing w:after="0" w:line="240" w:lineRule="auto"/>
              <w:jc w:val="right"/>
              <w:rPr>
                <w:rFonts w:ascii="Arial" w:hAnsi="Arial" w:cs="Arial"/>
                <w:b/>
                <w:bCs/>
                <w:i/>
                <w:iCs/>
                <w:color w:val="000000"/>
                <w:sz w:val="16"/>
                <w:szCs w:val="16"/>
              </w:rPr>
            </w:pPr>
            <w:r w:rsidRPr="00000A31">
              <w:rPr>
                <w:rFonts w:ascii="Arial" w:hAnsi="Arial" w:cs="Arial"/>
                <w:b/>
                <w:bCs/>
                <w:i/>
                <w:iCs/>
                <w:color w:val="000000"/>
                <w:sz w:val="16"/>
                <w:szCs w:val="16"/>
              </w:rPr>
              <w:t xml:space="preserve">297,716 </w:t>
            </w:r>
          </w:p>
        </w:tc>
        <w:tc>
          <w:tcPr>
            <w:tcW w:w="880" w:type="dxa"/>
            <w:tcBorders>
              <w:top w:val="single" w:sz="4" w:space="0" w:color="auto"/>
              <w:left w:val="nil"/>
              <w:bottom w:val="single" w:sz="4" w:space="0" w:color="auto"/>
              <w:right w:val="nil"/>
            </w:tcBorders>
            <w:shd w:val="clear" w:color="auto" w:fill="auto"/>
            <w:noWrap/>
            <w:vAlign w:val="center"/>
            <w:hideMark/>
          </w:tcPr>
          <w:p w14:paraId="76C171F2" w14:textId="77777777" w:rsidR="00000A31" w:rsidRPr="00000A31" w:rsidRDefault="00000A31" w:rsidP="00000A31">
            <w:pPr>
              <w:spacing w:after="0" w:line="240" w:lineRule="auto"/>
              <w:jc w:val="right"/>
              <w:rPr>
                <w:rFonts w:ascii="Arial" w:hAnsi="Arial" w:cs="Arial"/>
                <w:b/>
                <w:bCs/>
                <w:i/>
                <w:iCs/>
                <w:color w:val="000000"/>
                <w:sz w:val="16"/>
                <w:szCs w:val="16"/>
              </w:rPr>
            </w:pPr>
            <w:r w:rsidRPr="00000A31">
              <w:rPr>
                <w:rFonts w:ascii="Arial" w:hAnsi="Arial" w:cs="Arial"/>
                <w:b/>
                <w:bCs/>
                <w:i/>
                <w:iCs/>
                <w:color w:val="000000"/>
                <w:sz w:val="16"/>
                <w:szCs w:val="16"/>
              </w:rPr>
              <w:t xml:space="preserve">322,758 </w:t>
            </w:r>
          </w:p>
        </w:tc>
        <w:tc>
          <w:tcPr>
            <w:tcW w:w="880" w:type="dxa"/>
            <w:tcBorders>
              <w:top w:val="single" w:sz="4" w:space="0" w:color="auto"/>
              <w:left w:val="nil"/>
              <w:bottom w:val="single" w:sz="4" w:space="0" w:color="auto"/>
              <w:right w:val="nil"/>
            </w:tcBorders>
            <w:shd w:val="clear" w:color="auto" w:fill="auto"/>
            <w:noWrap/>
            <w:vAlign w:val="center"/>
            <w:hideMark/>
          </w:tcPr>
          <w:p w14:paraId="76C171F3" w14:textId="77777777" w:rsidR="00000A31" w:rsidRPr="00000A31" w:rsidRDefault="00000A31" w:rsidP="00000A31">
            <w:pPr>
              <w:spacing w:after="0" w:line="240" w:lineRule="auto"/>
              <w:jc w:val="right"/>
              <w:rPr>
                <w:rFonts w:ascii="Arial" w:hAnsi="Arial" w:cs="Arial"/>
                <w:b/>
                <w:bCs/>
                <w:i/>
                <w:iCs/>
                <w:color w:val="000000"/>
                <w:sz w:val="16"/>
                <w:szCs w:val="16"/>
              </w:rPr>
            </w:pPr>
            <w:r w:rsidRPr="00000A31">
              <w:rPr>
                <w:rFonts w:ascii="Arial" w:hAnsi="Arial" w:cs="Arial"/>
                <w:b/>
                <w:bCs/>
                <w:i/>
                <w:iCs/>
                <w:color w:val="000000"/>
                <w:sz w:val="16"/>
                <w:szCs w:val="16"/>
              </w:rPr>
              <w:t xml:space="preserve">326,113 </w:t>
            </w:r>
          </w:p>
        </w:tc>
        <w:tc>
          <w:tcPr>
            <w:tcW w:w="880" w:type="dxa"/>
            <w:tcBorders>
              <w:top w:val="single" w:sz="4" w:space="0" w:color="auto"/>
              <w:left w:val="nil"/>
              <w:bottom w:val="single" w:sz="4" w:space="0" w:color="auto"/>
              <w:right w:val="nil"/>
            </w:tcBorders>
            <w:shd w:val="clear" w:color="auto" w:fill="auto"/>
            <w:noWrap/>
            <w:vAlign w:val="center"/>
            <w:hideMark/>
          </w:tcPr>
          <w:p w14:paraId="76C171F4" w14:textId="77777777" w:rsidR="00000A31" w:rsidRPr="00000A31" w:rsidRDefault="00000A31" w:rsidP="00000A31">
            <w:pPr>
              <w:spacing w:after="0" w:line="240" w:lineRule="auto"/>
              <w:jc w:val="right"/>
              <w:rPr>
                <w:rFonts w:ascii="Arial" w:hAnsi="Arial" w:cs="Arial"/>
                <w:b/>
                <w:bCs/>
                <w:i/>
                <w:iCs/>
                <w:color w:val="000000"/>
                <w:sz w:val="16"/>
                <w:szCs w:val="16"/>
              </w:rPr>
            </w:pPr>
            <w:r w:rsidRPr="00000A31">
              <w:rPr>
                <w:rFonts w:ascii="Arial" w:hAnsi="Arial" w:cs="Arial"/>
                <w:b/>
                <w:bCs/>
                <w:i/>
                <w:iCs/>
                <w:color w:val="000000"/>
                <w:sz w:val="16"/>
                <w:szCs w:val="16"/>
              </w:rPr>
              <w:t xml:space="preserve">333,161 </w:t>
            </w:r>
          </w:p>
        </w:tc>
      </w:tr>
      <w:tr w:rsidR="00000A31" w:rsidRPr="00000A31" w14:paraId="76C171FC" w14:textId="77777777" w:rsidTr="00000A31">
        <w:trPr>
          <w:trHeight w:val="225"/>
        </w:trPr>
        <w:tc>
          <w:tcPr>
            <w:tcW w:w="2840" w:type="dxa"/>
            <w:tcBorders>
              <w:top w:val="nil"/>
              <w:left w:val="nil"/>
              <w:bottom w:val="nil"/>
              <w:right w:val="nil"/>
            </w:tcBorders>
            <w:shd w:val="clear" w:color="auto" w:fill="auto"/>
            <w:noWrap/>
            <w:vAlign w:val="center"/>
            <w:hideMark/>
          </w:tcPr>
          <w:p w14:paraId="76C171F6" w14:textId="77777777" w:rsidR="00000A31" w:rsidRPr="00000A31" w:rsidRDefault="00000A31" w:rsidP="008425FD">
            <w:pPr>
              <w:spacing w:after="0" w:line="240" w:lineRule="auto"/>
              <w:ind w:left="175" w:hanging="175"/>
              <w:jc w:val="left"/>
              <w:rPr>
                <w:rFonts w:ascii="Arial" w:hAnsi="Arial" w:cs="Arial"/>
                <w:b/>
                <w:bCs/>
                <w:color w:val="000000"/>
                <w:sz w:val="16"/>
                <w:szCs w:val="16"/>
              </w:rPr>
            </w:pPr>
            <w:r w:rsidRPr="00000A31">
              <w:rPr>
                <w:rFonts w:ascii="Arial" w:hAnsi="Arial" w:cs="Arial"/>
                <w:b/>
                <w:bCs/>
                <w:color w:val="000000"/>
                <w:sz w:val="16"/>
                <w:szCs w:val="16"/>
              </w:rPr>
              <w:t>Cash used</w:t>
            </w:r>
          </w:p>
        </w:tc>
        <w:tc>
          <w:tcPr>
            <w:tcW w:w="880" w:type="dxa"/>
            <w:tcBorders>
              <w:top w:val="nil"/>
              <w:left w:val="nil"/>
              <w:bottom w:val="nil"/>
              <w:right w:val="nil"/>
            </w:tcBorders>
            <w:shd w:val="clear" w:color="auto" w:fill="auto"/>
            <w:noWrap/>
            <w:vAlign w:val="center"/>
            <w:hideMark/>
          </w:tcPr>
          <w:p w14:paraId="76C171F7" w14:textId="77777777" w:rsidR="00000A31" w:rsidRPr="00000A31" w:rsidRDefault="00000A31" w:rsidP="00000A31">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1F8" w14:textId="77777777" w:rsidR="00000A31" w:rsidRPr="00000A31" w:rsidRDefault="00000A31" w:rsidP="00000A31">
            <w:pPr>
              <w:spacing w:after="0" w:line="240" w:lineRule="auto"/>
              <w:jc w:val="left"/>
              <w:rPr>
                <w:rFonts w:ascii="Arial" w:hAnsi="Arial" w:cs="Arial"/>
                <w:color w:val="000000"/>
                <w:sz w:val="16"/>
                <w:szCs w:val="16"/>
              </w:rPr>
            </w:pPr>
            <w:r w:rsidRPr="00000A31">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71F9" w14:textId="77777777" w:rsidR="00000A31" w:rsidRPr="00000A31" w:rsidRDefault="00000A31" w:rsidP="00000A31">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71FA" w14:textId="77777777" w:rsidR="00000A31" w:rsidRPr="00000A31" w:rsidRDefault="00000A31" w:rsidP="00000A31">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1FB" w14:textId="77777777" w:rsidR="00000A31" w:rsidRPr="00000A31" w:rsidRDefault="00000A31" w:rsidP="00000A31">
            <w:pPr>
              <w:spacing w:after="0" w:line="240" w:lineRule="auto"/>
              <w:jc w:val="left"/>
              <w:rPr>
                <w:rFonts w:ascii="Times New Roman" w:hAnsi="Times New Roman"/>
              </w:rPr>
            </w:pPr>
          </w:p>
        </w:tc>
      </w:tr>
      <w:tr w:rsidR="00000A31" w:rsidRPr="00000A31" w14:paraId="76C17203" w14:textId="77777777" w:rsidTr="00000A31">
        <w:trPr>
          <w:trHeight w:val="225"/>
        </w:trPr>
        <w:tc>
          <w:tcPr>
            <w:tcW w:w="2840" w:type="dxa"/>
            <w:tcBorders>
              <w:top w:val="nil"/>
              <w:left w:val="nil"/>
              <w:bottom w:val="nil"/>
              <w:right w:val="nil"/>
            </w:tcBorders>
            <w:shd w:val="clear" w:color="auto" w:fill="auto"/>
            <w:noWrap/>
            <w:vAlign w:val="center"/>
            <w:hideMark/>
          </w:tcPr>
          <w:p w14:paraId="76C171FD" w14:textId="77777777" w:rsidR="00000A31" w:rsidRPr="00000A31" w:rsidRDefault="00000A31" w:rsidP="008425FD">
            <w:pPr>
              <w:spacing w:after="0" w:line="240" w:lineRule="auto"/>
              <w:ind w:leftChars="80" w:left="317" w:hangingChars="98" w:hanging="157"/>
              <w:jc w:val="left"/>
              <w:rPr>
                <w:rFonts w:ascii="Arial" w:hAnsi="Arial" w:cs="Arial"/>
                <w:color w:val="000000"/>
                <w:sz w:val="16"/>
                <w:szCs w:val="16"/>
              </w:rPr>
            </w:pPr>
            <w:r w:rsidRPr="00000A31">
              <w:rPr>
                <w:rFonts w:ascii="Arial" w:hAnsi="Arial" w:cs="Arial"/>
                <w:color w:val="000000"/>
                <w:sz w:val="16"/>
                <w:szCs w:val="16"/>
              </w:rPr>
              <w:t>Employees</w:t>
            </w:r>
          </w:p>
        </w:tc>
        <w:tc>
          <w:tcPr>
            <w:tcW w:w="880" w:type="dxa"/>
            <w:tcBorders>
              <w:top w:val="nil"/>
              <w:left w:val="nil"/>
              <w:bottom w:val="nil"/>
              <w:right w:val="nil"/>
            </w:tcBorders>
            <w:shd w:val="clear" w:color="auto" w:fill="auto"/>
            <w:noWrap/>
            <w:vAlign w:val="center"/>
            <w:hideMark/>
          </w:tcPr>
          <w:p w14:paraId="76C171FE"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67,541 </w:t>
            </w:r>
          </w:p>
        </w:tc>
        <w:tc>
          <w:tcPr>
            <w:tcW w:w="880" w:type="dxa"/>
            <w:tcBorders>
              <w:top w:val="nil"/>
              <w:left w:val="nil"/>
              <w:bottom w:val="nil"/>
              <w:right w:val="nil"/>
            </w:tcBorders>
            <w:shd w:val="clear" w:color="000000" w:fill="E6E6E6"/>
            <w:noWrap/>
            <w:vAlign w:val="center"/>
            <w:hideMark/>
          </w:tcPr>
          <w:p w14:paraId="76C171FF"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68,820 </w:t>
            </w:r>
          </w:p>
        </w:tc>
        <w:tc>
          <w:tcPr>
            <w:tcW w:w="880" w:type="dxa"/>
            <w:tcBorders>
              <w:top w:val="nil"/>
              <w:left w:val="nil"/>
              <w:bottom w:val="nil"/>
              <w:right w:val="nil"/>
            </w:tcBorders>
            <w:shd w:val="clear" w:color="auto" w:fill="auto"/>
            <w:noWrap/>
            <w:vAlign w:val="center"/>
            <w:hideMark/>
          </w:tcPr>
          <w:p w14:paraId="76C17200"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71,991 </w:t>
            </w:r>
          </w:p>
        </w:tc>
        <w:tc>
          <w:tcPr>
            <w:tcW w:w="880" w:type="dxa"/>
            <w:tcBorders>
              <w:top w:val="nil"/>
              <w:left w:val="nil"/>
              <w:bottom w:val="nil"/>
              <w:right w:val="nil"/>
            </w:tcBorders>
            <w:shd w:val="clear" w:color="auto" w:fill="auto"/>
            <w:noWrap/>
            <w:vAlign w:val="center"/>
            <w:hideMark/>
          </w:tcPr>
          <w:p w14:paraId="76C17201"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71,387 </w:t>
            </w:r>
          </w:p>
        </w:tc>
        <w:tc>
          <w:tcPr>
            <w:tcW w:w="880" w:type="dxa"/>
            <w:tcBorders>
              <w:top w:val="nil"/>
              <w:left w:val="nil"/>
              <w:bottom w:val="nil"/>
              <w:right w:val="nil"/>
            </w:tcBorders>
            <w:shd w:val="clear" w:color="auto" w:fill="auto"/>
            <w:noWrap/>
            <w:vAlign w:val="center"/>
            <w:hideMark/>
          </w:tcPr>
          <w:p w14:paraId="76C17202"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73,610 </w:t>
            </w:r>
          </w:p>
        </w:tc>
      </w:tr>
      <w:tr w:rsidR="00000A31" w:rsidRPr="00000A31" w14:paraId="76C1720A" w14:textId="77777777" w:rsidTr="00000A31">
        <w:trPr>
          <w:trHeight w:val="225"/>
        </w:trPr>
        <w:tc>
          <w:tcPr>
            <w:tcW w:w="2840" w:type="dxa"/>
            <w:tcBorders>
              <w:top w:val="nil"/>
              <w:left w:val="nil"/>
              <w:bottom w:val="nil"/>
              <w:right w:val="nil"/>
            </w:tcBorders>
            <w:shd w:val="clear" w:color="auto" w:fill="auto"/>
            <w:noWrap/>
            <w:vAlign w:val="center"/>
            <w:hideMark/>
          </w:tcPr>
          <w:p w14:paraId="76C17204" w14:textId="77777777" w:rsidR="00000A31" w:rsidRPr="00000A31" w:rsidRDefault="00000A31" w:rsidP="008425FD">
            <w:pPr>
              <w:spacing w:after="0" w:line="240" w:lineRule="auto"/>
              <w:ind w:leftChars="80" w:left="317" w:hangingChars="98" w:hanging="157"/>
              <w:jc w:val="left"/>
              <w:rPr>
                <w:rFonts w:ascii="Arial" w:hAnsi="Arial" w:cs="Arial"/>
                <w:color w:val="000000"/>
                <w:sz w:val="16"/>
                <w:szCs w:val="16"/>
              </w:rPr>
            </w:pPr>
            <w:r w:rsidRPr="00000A31">
              <w:rPr>
                <w:rFonts w:ascii="Arial" w:hAnsi="Arial" w:cs="Arial"/>
                <w:color w:val="000000"/>
                <w:sz w:val="16"/>
                <w:szCs w:val="16"/>
              </w:rPr>
              <w:t>Suppliers</w:t>
            </w:r>
          </w:p>
        </w:tc>
        <w:tc>
          <w:tcPr>
            <w:tcW w:w="880" w:type="dxa"/>
            <w:tcBorders>
              <w:top w:val="nil"/>
              <w:left w:val="nil"/>
              <w:bottom w:val="nil"/>
              <w:right w:val="nil"/>
            </w:tcBorders>
            <w:shd w:val="clear" w:color="auto" w:fill="auto"/>
            <w:noWrap/>
            <w:vAlign w:val="center"/>
            <w:hideMark/>
          </w:tcPr>
          <w:p w14:paraId="76C17205"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34,629 </w:t>
            </w:r>
          </w:p>
        </w:tc>
        <w:tc>
          <w:tcPr>
            <w:tcW w:w="880" w:type="dxa"/>
            <w:tcBorders>
              <w:top w:val="nil"/>
              <w:left w:val="nil"/>
              <w:bottom w:val="nil"/>
              <w:right w:val="nil"/>
            </w:tcBorders>
            <w:shd w:val="clear" w:color="000000" w:fill="E6E6E6"/>
            <w:noWrap/>
            <w:vAlign w:val="center"/>
            <w:hideMark/>
          </w:tcPr>
          <w:p w14:paraId="76C17206"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34,982 </w:t>
            </w:r>
          </w:p>
        </w:tc>
        <w:tc>
          <w:tcPr>
            <w:tcW w:w="880" w:type="dxa"/>
            <w:tcBorders>
              <w:top w:val="nil"/>
              <w:left w:val="nil"/>
              <w:bottom w:val="nil"/>
              <w:right w:val="nil"/>
            </w:tcBorders>
            <w:shd w:val="clear" w:color="auto" w:fill="auto"/>
            <w:noWrap/>
            <w:vAlign w:val="center"/>
            <w:hideMark/>
          </w:tcPr>
          <w:p w14:paraId="76C17207"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34,976 </w:t>
            </w:r>
          </w:p>
        </w:tc>
        <w:tc>
          <w:tcPr>
            <w:tcW w:w="880" w:type="dxa"/>
            <w:tcBorders>
              <w:top w:val="nil"/>
              <w:left w:val="nil"/>
              <w:bottom w:val="nil"/>
              <w:right w:val="nil"/>
            </w:tcBorders>
            <w:shd w:val="clear" w:color="auto" w:fill="auto"/>
            <w:noWrap/>
            <w:vAlign w:val="center"/>
            <w:hideMark/>
          </w:tcPr>
          <w:p w14:paraId="76C17208"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34,982 </w:t>
            </w:r>
          </w:p>
        </w:tc>
        <w:tc>
          <w:tcPr>
            <w:tcW w:w="880" w:type="dxa"/>
            <w:tcBorders>
              <w:top w:val="nil"/>
              <w:left w:val="nil"/>
              <w:bottom w:val="nil"/>
              <w:right w:val="nil"/>
            </w:tcBorders>
            <w:shd w:val="clear" w:color="auto" w:fill="auto"/>
            <w:noWrap/>
            <w:vAlign w:val="center"/>
            <w:hideMark/>
          </w:tcPr>
          <w:p w14:paraId="76C17209"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34,970 </w:t>
            </w:r>
          </w:p>
        </w:tc>
      </w:tr>
      <w:tr w:rsidR="00000A31" w:rsidRPr="00000A31" w14:paraId="76C17211" w14:textId="77777777" w:rsidTr="00000A31">
        <w:trPr>
          <w:trHeight w:val="225"/>
        </w:trPr>
        <w:tc>
          <w:tcPr>
            <w:tcW w:w="2840" w:type="dxa"/>
            <w:tcBorders>
              <w:top w:val="nil"/>
              <w:left w:val="nil"/>
              <w:bottom w:val="nil"/>
              <w:right w:val="nil"/>
            </w:tcBorders>
            <w:shd w:val="clear" w:color="auto" w:fill="auto"/>
            <w:noWrap/>
            <w:vAlign w:val="center"/>
            <w:hideMark/>
          </w:tcPr>
          <w:p w14:paraId="76C1720B" w14:textId="77777777" w:rsidR="00000A31" w:rsidRPr="008425FD" w:rsidRDefault="00000A31" w:rsidP="008425FD">
            <w:pPr>
              <w:spacing w:after="0" w:line="240" w:lineRule="auto"/>
              <w:ind w:leftChars="80" w:left="317" w:hangingChars="98" w:hanging="157"/>
              <w:jc w:val="left"/>
              <w:rPr>
                <w:rFonts w:ascii="Arial" w:hAnsi="Arial" w:cs="Arial"/>
                <w:color w:val="000000"/>
                <w:sz w:val="16"/>
                <w:szCs w:val="16"/>
              </w:rPr>
            </w:pPr>
            <w:r w:rsidRPr="008425FD">
              <w:rPr>
                <w:rFonts w:ascii="Arial" w:hAnsi="Arial" w:cs="Arial"/>
                <w:color w:val="000000"/>
                <w:sz w:val="16"/>
                <w:szCs w:val="16"/>
              </w:rPr>
              <w:t>GST Payments to Suppliers</w:t>
            </w:r>
          </w:p>
        </w:tc>
        <w:tc>
          <w:tcPr>
            <w:tcW w:w="880" w:type="dxa"/>
            <w:tcBorders>
              <w:top w:val="nil"/>
              <w:left w:val="nil"/>
              <w:bottom w:val="nil"/>
              <w:right w:val="nil"/>
            </w:tcBorders>
            <w:shd w:val="clear" w:color="auto" w:fill="auto"/>
            <w:noWrap/>
            <w:vAlign w:val="center"/>
            <w:hideMark/>
          </w:tcPr>
          <w:p w14:paraId="76C1720C"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9,687 </w:t>
            </w:r>
          </w:p>
        </w:tc>
        <w:tc>
          <w:tcPr>
            <w:tcW w:w="880" w:type="dxa"/>
            <w:tcBorders>
              <w:top w:val="nil"/>
              <w:left w:val="nil"/>
              <w:bottom w:val="nil"/>
              <w:right w:val="nil"/>
            </w:tcBorders>
            <w:shd w:val="clear" w:color="000000" w:fill="E6E6E6"/>
            <w:noWrap/>
            <w:vAlign w:val="center"/>
            <w:hideMark/>
          </w:tcPr>
          <w:p w14:paraId="76C1720D"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8,692 </w:t>
            </w:r>
          </w:p>
        </w:tc>
        <w:tc>
          <w:tcPr>
            <w:tcW w:w="880" w:type="dxa"/>
            <w:tcBorders>
              <w:top w:val="nil"/>
              <w:left w:val="nil"/>
              <w:bottom w:val="nil"/>
              <w:right w:val="nil"/>
            </w:tcBorders>
            <w:shd w:val="clear" w:color="auto" w:fill="auto"/>
            <w:noWrap/>
            <w:vAlign w:val="center"/>
            <w:hideMark/>
          </w:tcPr>
          <w:p w14:paraId="76C1720E"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8,738 </w:t>
            </w:r>
          </w:p>
        </w:tc>
        <w:tc>
          <w:tcPr>
            <w:tcW w:w="880" w:type="dxa"/>
            <w:tcBorders>
              <w:top w:val="nil"/>
              <w:left w:val="nil"/>
              <w:bottom w:val="nil"/>
              <w:right w:val="nil"/>
            </w:tcBorders>
            <w:shd w:val="clear" w:color="auto" w:fill="auto"/>
            <w:noWrap/>
            <w:vAlign w:val="center"/>
            <w:hideMark/>
          </w:tcPr>
          <w:p w14:paraId="76C1720F"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8,741 </w:t>
            </w:r>
          </w:p>
        </w:tc>
        <w:tc>
          <w:tcPr>
            <w:tcW w:w="880" w:type="dxa"/>
            <w:tcBorders>
              <w:top w:val="nil"/>
              <w:left w:val="nil"/>
              <w:bottom w:val="nil"/>
              <w:right w:val="nil"/>
            </w:tcBorders>
            <w:shd w:val="clear" w:color="auto" w:fill="auto"/>
            <w:noWrap/>
            <w:vAlign w:val="center"/>
            <w:hideMark/>
          </w:tcPr>
          <w:p w14:paraId="76C17210"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8,784 </w:t>
            </w:r>
          </w:p>
        </w:tc>
      </w:tr>
      <w:tr w:rsidR="00000A31" w:rsidRPr="00000A31" w14:paraId="76C17218" w14:textId="77777777" w:rsidTr="00000A31">
        <w:trPr>
          <w:trHeight w:val="225"/>
        </w:trPr>
        <w:tc>
          <w:tcPr>
            <w:tcW w:w="2840" w:type="dxa"/>
            <w:tcBorders>
              <w:top w:val="nil"/>
              <w:left w:val="nil"/>
              <w:bottom w:val="nil"/>
              <w:right w:val="nil"/>
            </w:tcBorders>
            <w:shd w:val="clear" w:color="auto" w:fill="auto"/>
            <w:noWrap/>
            <w:vAlign w:val="center"/>
            <w:hideMark/>
          </w:tcPr>
          <w:p w14:paraId="76C17212" w14:textId="77777777" w:rsidR="00000A31" w:rsidRPr="008425FD" w:rsidRDefault="00000A31" w:rsidP="008425FD">
            <w:pPr>
              <w:spacing w:after="0" w:line="240" w:lineRule="auto"/>
              <w:ind w:leftChars="80" w:left="317" w:hangingChars="98" w:hanging="157"/>
              <w:jc w:val="left"/>
              <w:rPr>
                <w:rFonts w:ascii="Arial" w:hAnsi="Arial" w:cs="Arial"/>
                <w:color w:val="000000"/>
                <w:sz w:val="16"/>
                <w:szCs w:val="16"/>
              </w:rPr>
            </w:pPr>
            <w:r w:rsidRPr="008425FD">
              <w:rPr>
                <w:rFonts w:ascii="Arial" w:hAnsi="Arial" w:cs="Arial"/>
                <w:color w:val="000000"/>
                <w:sz w:val="16"/>
                <w:szCs w:val="16"/>
              </w:rPr>
              <w:t>Net GST paid</w:t>
            </w:r>
          </w:p>
        </w:tc>
        <w:tc>
          <w:tcPr>
            <w:tcW w:w="880" w:type="dxa"/>
            <w:tcBorders>
              <w:top w:val="nil"/>
              <w:left w:val="nil"/>
              <w:bottom w:val="nil"/>
              <w:right w:val="nil"/>
            </w:tcBorders>
            <w:shd w:val="clear" w:color="auto" w:fill="auto"/>
            <w:noWrap/>
            <w:vAlign w:val="center"/>
            <w:hideMark/>
          </w:tcPr>
          <w:p w14:paraId="76C17213"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15,227 </w:t>
            </w:r>
          </w:p>
        </w:tc>
        <w:tc>
          <w:tcPr>
            <w:tcW w:w="880" w:type="dxa"/>
            <w:tcBorders>
              <w:top w:val="nil"/>
              <w:left w:val="nil"/>
              <w:bottom w:val="nil"/>
              <w:right w:val="nil"/>
            </w:tcBorders>
            <w:shd w:val="clear" w:color="000000" w:fill="E6E6E6"/>
            <w:noWrap/>
            <w:vAlign w:val="center"/>
            <w:hideMark/>
          </w:tcPr>
          <w:p w14:paraId="76C17214"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7,301 </w:t>
            </w:r>
          </w:p>
        </w:tc>
        <w:tc>
          <w:tcPr>
            <w:tcW w:w="880" w:type="dxa"/>
            <w:tcBorders>
              <w:top w:val="nil"/>
              <w:left w:val="nil"/>
              <w:bottom w:val="nil"/>
              <w:right w:val="nil"/>
            </w:tcBorders>
            <w:shd w:val="clear" w:color="auto" w:fill="auto"/>
            <w:noWrap/>
            <w:vAlign w:val="center"/>
            <w:hideMark/>
          </w:tcPr>
          <w:p w14:paraId="76C17215"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9,359 </w:t>
            </w:r>
          </w:p>
        </w:tc>
        <w:tc>
          <w:tcPr>
            <w:tcW w:w="880" w:type="dxa"/>
            <w:tcBorders>
              <w:top w:val="nil"/>
              <w:left w:val="nil"/>
              <w:bottom w:val="nil"/>
              <w:right w:val="nil"/>
            </w:tcBorders>
            <w:shd w:val="clear" w:color="auto" w:fill="auto"/>
            <w:noWrap/>
            <w:vAlign w:val="center"/>
            <w:hideMark/>
          </w:tcPr>
          <w:p w14:paraId="76C17216"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9,637 </w:t>
            </w:r>
          </w:p>
        </w:tc>
        <w:tc>
          <w:tcPr>
            <w:tcW w:w="880" w:type="dxa"/>
            <w:tcBorders>
              <w:top w:val="nil"/>
              <w:left w:val="nil"/>
              <w:bottom w:val="nil"/>
              <w:right w:val="nil"/>
            </w:tcBorders>
            <w:shd w:val="clear" w:color="auto" w:fill="auto"/>
            <w:noWrap/>
            <w:vAlign w:val="center"/>
            <w:hideMark/>
          </w:tcPr>
          <w:p w14:paraId="76C17217"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10,246 </w:t>
            </w:r>
          </w:p>
        </w:tc>
      </w:tr>
      <w:tr w:rsidR="00000A31" w:rsidRPr="00000A31" w14:paraId="76C1721F" w14:textId="77777777" w:rsidTr="00000A31">
        <w:trPr>
          <w:trHeight w:val="225"/>
        </w:trPr>
        <w:tc>
          <w:tcPr>
            <w:tcW w:w="2840" w:type="dxa"/>
            <w:tcBorders>
              <w:top w:val="nil"/>
              <w:left w:val="nil"/>
              <w:bottom w:val="nil"/>
              <w:right w:val="nil"/>
            </w:tcBorders>
            <w:shd w:val="clear" w:color="auto" w:fill="auto"/>
            <w:noWrap/>
            <w:vAlign w:val="center"/>
            <w:hideMark/>
          </w:tcPr>
          <w:p w14:paraId="76C17219" w14:textId="77777777" w:rsidR="00000A31" w:rsidRPr="00000A31" w:rsidRDefault="00000A31" w:rsidP="008425FD">
            <w:pPr>
              <w:spacing w:after="0" w:line="240" w:lineRule="auto"/>
              <w:ind w:leftChars="80" w:left="317" w:hangingChars="98" w:hanging="157"/>
              <w:jc w:val="left"/>
              <w:rPr>
                <w:rFonts w:ascii="Arial" w:hAnsi="Arial" w:cs="Arial"/>
                <w:color w:val="000000"/>
                <w:sz w:val="16"/>
                <w:szCs w:val="16"/>
              </w:rPr>
            </w:pPr>
            <w:r w:rsidRPr="00000A31">
              <w:rPr>
                <w:rFonts w:ascii="Arial" w:hAnsi="Arial" w:cs="Arial"/>
                <w:color w:val="000000"/>
                <w:sz w:val="16"/>
                <w:szCs w:val="16"/>
              </w:rPr>
              <w:t>Other</w:t>
            </w:r>
          </w:p>
        </w:tc>
        <w:tc>
          <w:tcPr>
            <w:tcW w:w="880" w:type="dxa"/>
            <w:tcBorders>
              <w:top w:val="nil"/>
              <w:left w:val="nil"/>
              <w:bottom w:val="nil"/>
              <w:right w:val="nil"/>
            </w:tcBorders>
            <w:shd w:val="clear" w:color="auto" w:fill="auto"/>
            <w:noWrap/>
            <w:vAlign w:val="center"/>
            <w:hideMark/>
          </w:tcPr>
          <w:p w14:paraId="76C1721A"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320,580 </w:t>
            </w:r>
          </w:p>
        </w:tc>
        <w:tc>
          <w:tcPr>
            <w:tcW w:w="880" w:type="dxa"/>
            <w:tcBorders>
              <w:top w:val="nil"/>
              <w:left w:val="nil"/>
              <w:bottom w:val="nil"/>
              <w:right w:val="nil"/>
            </w:tcBorders>
            <w:shd w:val="clear" w:color="000000" w:fill="E6E6E6"/>
            <w:noWrap/>
            <w:vAlign w:val="center"/>
            <w:hideMark/>
          </w:tcPr>
          <w:p w14:paraId="76C1721B"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211,770 </w:t>
            </w:r>
          </w:p>
        </w:tc>
        <w:tc>
          <w:tcPr>
            <w:tcW w:w="880" w:type="dxa"/>
            <w:tcBorders>
              <w:top w:val="nil"/>
              <w:left w:val="nil"/>
              <w:bottom w:val="nil"/>
              <w:right w:val="nil"/>
            </w:tcBorders>
            <w:shd w:val="clear" w:color="auto" w:fill="auto"/>
            <w:noWrap/>
            <w:vAlign w:val="center"/>
            <w:hideMark/>
          </w:tcPr>
          <w:p w14:paraId="76C1721C"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213,639 </w:t>
            </w:r>
          </w:p>
        </w:tc>
        <w:tc>
          <w:tcPr>
            <w:tcW w:w="880" w:type="dxa"/>
            <w:tcBorders>
              <w:top w:val="nil"/>
              <w:left w:val="nil"/>
              <w:bottom w:val="nil"/>
              <w:right w:val="nil"/>
            </w:tcBorders>
            <w:shd w:val="clear" w:color="auto" w:fill="auto"/>
            <w:noWrap/>
            <w:vAlign w:val="center"/>
            <w:hideMark/>
          </w:tcPr>
          <w:p w14:paraId="76C1721D"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213,775 </w:t>
            </w:r>
          </w:p>
        </w:tc>
        <w:tc>
          <w:tcPr>
            <w:tcW w:w="880" w:type="dxa"/>
            <w:tcBorders>
              <w:top w:val="nil"/>
              <w:left w:val="nil"/>
              <w:bottom w:val="nil"/>
              <w:right w:val="nil"/>
            </w:tcBorders>
            <w:shd w:val="clear" w:color="auto" w:fill="auto"/>
            <w:noWrap/>
            <w:vAlign w:val="center"/>
            <w:hideMark/>
          </w:tcPr>
          <w:p w14:paraId="76C1721E"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215,508 </w:t>
            </w:r>
          </w:p>
        </w:tc>
      </w:tr>
      <w:tr w:rsidR="00000A31" w:rsidRPr="00000A31" w14:paraId="76C17226" w14:textId="77777777" w:rsidTr="00000A31">
        <w:trPr>
          <w:trHeight w:val="210"/>
        </w:trPr>
        <w:tc>
          <w:tcPr>
            <w:tcW w:w="2840" w:type="dxa"/>
            <w:tcBorders>
              <w:top w:val="nil"/>
              <w:left w:val="nil"/>
              <w:bottom w:val="nil"/>
              <w:right w:val="nil"/>
            </w:tcBorders>
            <w:shd w:val="clear" w:color="auto" w:fill="auto"/>
            <w:noWrap/>
            <w:vAlign w:val="center"/>
            <w:hideMark/>
          </w:tcPr>
          <w:p w14:paraId="76C17220" w14:textId="77777777" w:rsidR="00000A31" w:rsidRPr="00000A31" w:rsidRDefault="00000A31" w:rsidP="00000A31">
            <w:pPr>
              <w:spacing w:after="0" w:line="240" w:lineRule="auto"/>
              <w:jc w:val="left"/>
              <w:rPr>
                <w:rFonts w:ascii="Arial" w:hAnsi="Arial" w:cs="Arial"/>
                <w:b/>
                <w:bCs/>
                <w:i/>
                <w:iCs/>
                <w:color w:val="000000"/>
                <w:sz w:val="16"/>
                <w:szCs w:val="16"/>
              </w:rPr>
            </w:pPr>
            <w:r w:rsidRPr="00000A31">
              <w:rPr>
                <w:rFonts w:ascii="Arial" w:hAnsi="Arial" w:cs="Arial"/>
                <w:b/>
                <w:bCs/>
                <w:i/>
                <w:iCs/>
                <w:color w:val="000000"/>
                <w:sz w:val="16"/>
                <w:szCs w:val="16"/>
              </w:rPr>
              <w:t>Total cash used</w:t>
            </w:r>
          </w:p>
        </w:tc>
        <w:tc>
          <w:tcPr>
            <w:tcW w:w="880" w:type="dxa"/>
            <w:tcBorders>
              <w:top w:val="single" w:sz="4" w:space="0" w:color="auto"/>
              <w:left w:val="nil"/>
              <w:bottom w:val="single" w:sz="4" w:space="0" w:color="auto"/>
              <w:right w:val="nil"/>
            </w:tcBorders>
            <w:shd w:val="clear" w:color="auto" w:fill="auto"/>
            <w:noWrap/>
            <w:vAlign w:val="center"/>
            <w:hideMark/>
          </w:tcPr>
          <w:p w14:paraId="76C17221" w14:textId="77777777" w:rsidR="00000A31" w:rsidRPr="00000A31" w:rsidRDefault="00000A31" w:rsidP="00000A31">
            <w:pPr>
              <w:spacing w:after="0" w:line="240" w:lineRule="auto"/>
              <w:jc w:val="right"/>
              <w:rPr>
                <w:rFonts w:ascii="Arial" w:hAnsi="Arial" w:cs="Arial"/>
                <w:b/>
                <w:bCs/>
                <w:i/>
                <w:iCs/>
                <w:color w:val="000000"/>
                <w:sz w:val="16"/>
                <w:szCs w:val="16"/>
              </w:rPr>
            </w:pPr>
            <w:r w:rsidRPr="00000A31">
              <w:rPr>
                <w:rFonts w:ascii="Arial" w:hAnsi="Arial" w:cs="Arial"/>
                <w:b/>
                <w:bCs/>
                <w:i/>
                <w:iCs/>
                <w:color w:val="000000"/>
                <w:sz w:val="16"/>
                <w:szCs w:val="16"/>
              </w:rPr>
              <w:t xml:space="preserve">447,664 </w:t>
            </w:r>
          </w:p>
        </w:tc>
        <w:tc>
          <w:tcPr>
            <w:tcW w:w="880" w:type="dxa"/>
            <w:tcBorders>
              <w:top w:val="single" w:sz="4" w:space="0" w:color="auto"/>
              <w:left w:val="nil"/>
              <w:bottom w:val="single" w:sz="4" w:space="0" w:color="auto"/>
              <w:right w:val="nil"/>
            </w:tcBorders>
            <w:shd w:val="clear" w:color="000000" w:fill="E6E6E6"/>
            <w:noWrap/>
            <w:vAlign w:val="center"/>
            <w:hideMark/>
          </w:tcPr>
          <w:p w14:paraId="76C17222" w14:textId="77777777" w:rsidR="00000A31" w:rsidRPr="00000A31" w:rsidRDefault="00000A31" w:rsidP="00000A31">
            <w:pPr>
              <w:spacing w:after="0" w:line="240" w:lineRule="auto"/>
              <w:jc w:val="right"/>
              <w:rPr>
                <w:rFonts w:ascii="Arial" w:hAnsi="Arial" w:cs="Arial"/>
                <w:b/>
                <w:bCs/>
                <w:i/>
                <w:iCs/>
                <w:color w:val="000000"/>
                <w:sz w:val="16"/>
                <w:szCs w:val="16"/>
              </w:rPr>
            </w:pPr>
            <w:r w:rsidRPr="00000A31">
              <w:rPr>
                <w:rFonts w:ascii="Arial" w:hAnsi="Arial" w:cs="Arial"/>
                <w:b/>
                <w:bCs/>
                <w:i/>
                <w:iCs/>
                <w:color w:val="000000"/>
                <w:sz w:val="16"/>
                <w:szCs w:val="16"/>
              </w:rPr>
              <w:t xml:space="preserve">331,565 </w:t>
            </w:r>
          </w:p>
        </w:tc>
        <w:tc>
          <w:tcPr>
            <w:tcW w:w="880" w:type="dxa"/>
            <w:tcBorders>
              <w:top w:val="single" w:sz="4" w:space="0" w:color="auto"/>
              <w:left w:val="nil"/>
              <w:bottom w:val="single" w:sz="4" w:space="0" w:color="auto"/>
              <w:right w:val="nil"/>
            </w:tcBorders>
            <w:shd w:val="clear" w:color="auto" w:fill="auto"/>
            <w:noWrap/>
            <w:vAlign w:val="center"/>
            <w:hideMark/>
          </w:tcPr>
          <w:p w14:paraId="76C17223" w14:textId="77777777" w:rsidR="00000A31" w:rsidRPr="00000A31" w:rsidRDefault="00000A31" w:rsidP="00000A31">
            <w:pPr>
              <w:spacing w:after="0" w:line="240" w:lineRule="auto"/>
              <w:jc w:val="right"/>
              <w:rPr>
                <w:rFonts w:ascii="Arial" w:hAnsi="Arial" w:cs="Arial"/>
                <w:b/>
                <w:bCs/>
                <w:i/>
                <w:iCs/>
                <w:color w:val="000000"/>
                <w:sz w:val="16"/>
                <w:szCs w:val="16"/>
              </w:rPr>
            </w:pPr>
            <w:r w:rsidRPr="00000A31">
              <w:rPr>
                <w:rFonts w:ascii="Arial" w:hAnsi="Arial" w:cs="Arial"/>
                <w:b/>
                <w:bCs/>
                <w:i/>
                <w:iCs/>
                <w:color w:val="000000"/>
                <w:sz w:val="16"/>
                <w:szCs w:val="16"/>
              </w:rPr>
              <w:t xml:space="preserve">338,703 </w:t>
            </w:r>
          </w:p>
        </w:tc>
        <w:tc>
          <w:tcPr>
            <w:tcW w:w="880" w:type="dxa"/>
            <w:tcBorders>
              <w:top w:val="single" w:sz="4" w:space="0" w:color="auto"/>
              <w:left w:val="nil"/>
              <w:bottom w:val="single" w:sz="4" w:space="0" w:color="auto"/>
              <w:right w:val="nil"/>
            </w:tcBorders>
            <w:shd w:val="clear" w:color="auto" w:fill="auto"/>
            <w:noWrap/>
            <w:vAlign w:val="center"/>
            <w:hideMark/>
          </w:tcPr>
          <w:p w14:paraId="76C17224" w14:textId="77777777" w:rsidR="00000A31" w:rsidRPr="00000A31" w:rsidRDefault="00000A31" w:rsidP="00000A31">
            <w:pPr>
              <w:spacing w:after="0" w:line="240" w:lineRule="auto"/>
              <w:jc w:val="right"/>
              <w:rPr>
                <w:rFonts w:ascii="Arial" w:hAnsi="Arial" w:cs="Arial"/>
                <w:b/>
                <w:bCs/>
                <w:i/>
                <w:iCs/>
                <w:color w:val="000000"/>
                <w:sz w:val="16"/>
                <w:szCs w:val="16"/>
              </w:rPr>
            </w:pPr>
            <w:r w:rsidRPr="00000A31">
              <w:rPr>
                <w:rFonts w:ascii="Arial" w:hAnsi="Arial" w:cs="Arial"/>
                <w:b/>
                <w:bCs/>
                <w:i/>
                <w:iCs/>
                <w:color w:val="000000"/>
                <w:sz w:val="16"/>
                <w:szCs w:val="16"/>
              </w:rPr>
              <w:t xml:space="preserve">338,522 </w:t>
            </w:r>
          </w:p>
        </w:tc>
        <w:tc>
          <w:tcPr>
            <w:tcW w:w="880" w:type="dxa"/>
            <w:tcBorders>
              <w:top w:val="single" w:sz="4" w:space="0" w:color="auto"/>
              <w:left w:val="nil"/>
              <w:bottom w:val="single" w:sz="4" w:space="0" w:color="auto"/>
              <w:right w:val="nil"/>
            </w:tcBorders>
            <w:shd w:val="clear" w:color="auto" w:fill="auto"/>
            <w:noWrap/>
            <w:vAlign w:val="center"/>
            <w:hideMark/>
          </w:tcPr>
          <w:p w14:paraId="76C17225" w14:textId="77777777" w:rsidR="00000A31" w:rsidRPr="00000A31" w:rsidRDefault="00000A31" w:rsidP="00000A31">
            <w:pPr>
              <w:spacing w:after="0" w:line="240" w:lineRule="auto"/>
              <w:jc w:val="right"/>
              <w:rPr>
                <w:rFonts w:ascii="Arial" w:hAnsi="Arial" w:cs="Arial"/>
                <w:b/>
                <w:bCs/>
                <w:i/>
                <w:iCs/>
                <w:color w:val="000000"/>
                <w:sz w:val="16"/>
                <w:szCs w:val="16"/>
              </w:rPr>
            </w:pPr>
            <w:r w:rsidRPr="00000A31">
              <w:rPr>
                <w:rFonts w:ascii="Arial" w:hAnsi="Arial" w:cs="Arial"/>
                <w:b/>
                <w:bCs/>
                <w:i/>
                <w:iCs/>
                <w:color w:val="000000"/>
                <w:sz w:val="16"/>
                <w:szCs w:val="16"/>
              </w:rPr>
              <w:t xml:space="preserve">343,118 </w:t>
            </w:r>
          </w:p>
        </w:tc>
      </w:tr>
      <w:tr w:rsidR="00000A31" w:rsidRPr="00000A31" w14:paraId="76C1722D" w14:textId="77777777" w:rsidTr="00000A31">
        <w:trPr>
          <w:trHeight w:val="450"/>
        </w:trPr>
        <w:tc>
          <w:tcPr>
            <w:tcW w:w="2840" w:type="dxa"/>
            <w:tcBorders>
              <w:top w:val="nil"/>
              <w:left w:val="nil"/>
              <w:bottom w:val="nil"/>
              <w:right w:val="nil"/>
            </w:tcBorders>
            <w:shd w:val="clear" w:color="auto" w:fill="auto"/>
            <w:vAlign w:val="center"/>
            <w:hideMark/>
          </w:tcPr>
          <w:p w14:paraId="76C17227" w14:textId="2A360D98" w:rsidR="00000A31" w:rsidRPr="00000A31" w:rsidRDefault="00000A31" w:rsidP="008425FD">
            <w:pPr>
              <w:spacing w:after="0" w:line="240" w:lineRule="auto"/>
              <w:ind w:left="175" w:hanging="175"/>
              <w:jc w:val="left"/>
              <w:rPr>
                <w:rFonts w:ascii="Arial" w:hAnsi="Arial" w:cs="Arial"/>
                <w:b/>
                <w:bCs/>
                <w:color w:val="000000"/>
                <w:sz w:val="16"/>
                <w:szCs w:val="16"/>
              </w:rPr>
            </w:pPr>
            <w:r w:rsidRPr="00000A31">
              <w:rPr>
                <w:rFonts w:ascii="Arial" w:hAnsi="Arial" w:cs="Arial"/>
                <w:b/>
                <w:bCs/>
                <w:color w:val="000000"/>
                <w:sz w:val="16"/>
                <w:szCs w:val="16"/>
              </w:rPr>
              <w:t>Net cash from/(used by) operating activities</w:t>
            </w:r>
          </w:p>
        </w:tc>
        <w:tc>
          <w:tcPr>
            <w:tcW w:w="880" w:type="dxa"/>
            <w:tcBorders>
              <w:top w:val="nil"/>
              <w:left w:val="nil"/>
              <w:bottom w:val="single" w:sz="4" w:space="0" w:color="auto"/>
              <w:right w:val="nil"/>
            </w:tcBorders>
            <w:shd w:val="clear" w:color="auto" w:fill="auto"/>
            <w:noWrap/>
            <w:vAlign w:val="bottom"/>
            <w:hideMark/>
          </w:tcPr>
          <w:p w14:paraId="76C17228"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(42,083)</w:t>
            </w:r>
          </w:p>
        </w:tc>
        <w:tc>
          <w:tcPr>
            <w:tcW w:w="880" w:type="dxa"/>
            <w:tcBorders>
              <w:top w:val="nil"/>
              <w:left w:val="nil"/>
              <w:bottom w:val="single" w:sz="4" w:space="0" w:color="auto"/>
              <w:right w:val="nil"/>
            </w:tcBorders>
            <w:shd w:val="clear" w:color="000000" w:fill="E6E6E6"/>
            <w:noWrap/>
            <w:vAlign w:val="bottom"/>
            <w:hideMark/>
          </w:tcPr>
          <w:p w14:paraId="76C17229"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(33,849)</w:t>
            </w:r>
          </w:p>
        </w:tc>
        <w:tc>
          <w:tcPr>
            <w:tcW w:w="880" w:type="dxa"/>
            <w:tcBorders>
              <w:top w:val="nil"/>
              <w:left w:val="nil"/>
              <w:bottom w:val="single" w:sz="4" w:space="0" w:color="auto"/>
              <w:right w:val="nil"/>
            </w:tcBorders>
            <w:shd w:val="clear" w:color="auto" w:fill="auto"/>
            <w:noWrap/>
            <w:vAlign w:val="bottom"/>
            <w:hideMark/>
          </w:tcPr>
          <w:p w14:paraId="76C1722A"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(15,945)</w:t>
            </w:r>
          </w:p>
        </w:tc>
        <w:tc>
          <w:tcPr>
            <w:tcW w:w="880" w:type="dxa"/>
            <w:tcBorders>
              <w:top w:val="nil"/>
              <w:left w:val="nil"/>
              <w:bottom w:val="single" w:sz="4" w:space="0" w:color="auto"/>
              <w:right w:val="nil"/>
            </w:tcBorders>
            <w:shd w:val="clear" w:color="auto" w:fill="auto"/>
            <w:noWrap/>
            <w:vAlign w:val="bottom"/>
            <w:hideMark/>
          </w:tcPr>
          <w:p w14:paraId="76C1722B"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(12,409)</w:t>
            </w:r>
          </w:p>
        </w:tc>
        <w:tc>
          <w:tcPr>
            <w:tcW w:w="880" w:type="dxa"/>
            <w:tcBorders>
              <w:top w:val="nil"/>
              <w:left w:val="nil"/>
              <w:bottom w:val="single" w:sz="4" w:space="0" w:color="auto"/>
              <w:right w:val="nil"/>
            </w:tcBorders>
            <w:shd w:val="clear" w:color="auto" w:fill="auto"/>
            <w:noWrap/>
            <w:vAlign w:val="bottom"/>
            <w:hideMark/>
          </w:tcPr>
          <w:p w14:paraId="76C1722C"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(9,957)</w:t>
            </w:r>
          </w:p>
        </w:tc>
      </w:tr>
      <w:tr w:rsidR="00000A31" w:rsidRPr="00000A31" w14:paraId="76C17234" w14:textId="77777777" w:rsidTr="00000A31">
        <w:trPr>
          <w:trHeight w:val="225"/>
        </w:trPr>
        <w:tc>
          <w:tcPr>
            <w:tcW w:w="2840" w:type="dxa"/>
            <w:tcBorders>
              <w:top w:val="nil"/>
              <w:left w:val="nil"/>
              <w:bottom w:val="nil"/>
              <w:right w:val="nil"/>
            </w:tcBorders>
            <w:shd w:val="clear" w:color="auto" w:fill="auto"/>
            <w:noWrap/>
            <w:vAlign w:val="center"/>
            <w:hideMark/>
          </w:tcPr>
          <w:p w14:paraId="76C1722E" w14:textId="77777777" w:rsidR="00000A31" w:rsidRPr="00000A31" w:rsidRDefault="00000A31" w:rsidP="008425FD">
            <w:pPr>
              <w:spacing w:after="0" w:line="240" w:lineRule="auto"/>
              <w:ind w:left="175" w:hanging="175"/>
              <w:jc w:val="left"/>
              <w:rPr>
                <w:rFonts w:ascii="Arial" w:hAnsi="Arial" w:cs="Arial"/>
                <w:b/>
                <w:bCs/>
                <w:color w:val="000000"/>
                <w:sz w:val="16"/>
                <w:szCs w:val="16"/>
              </w:rPr>
            </w:pPr>
            <w:r w:rsidRPr="00000A31">
              <w:rPr>
                <w:rFonts w:ascii="Arial" w:hAnsi="Arial" w:cs="Arial"/>
                <w:b/>
                <w:bCs/>
                <w:color w:val="000000"/>
                <w:sz w:val="16"/>
                <w:szCs w:val="16"/>
              </w:rPr>
              <w:t>INVESTING ACTIVITIES</w:t>
            </w:r>
          </w:p>
        </w:tc>
        <w:tc>
          <w:tcPr>
            <w:tcW w:w="880" w:type="dxa"/>
            <w:tcBorders>
              <w:top w:val="nil"/>
              <w:left w:val="nil"/>
              <w:bottom w:val="nil"/>
              <w:right w:val="nil"/>
            </w:tcBorders>
            <w:shd w:val="clear" w:color="auto" w:fill="auto"/>
            <w:noWrap/>
            <w:vAlign w:val="center"/>
            <w:hideMark/>
          </w:tcPr>
          <w:p w14:paraId="76C1722F" w14:textId="77777777" w:rsidR="00000A31" w:rsidRPr="00000A31" w:rsidRDefault="00000A31" w:rsidP="00000A31">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230" w14:textId="77777777" w:rsidR="00000A31" w:rsidRPr="00000A31" w:rsidRDefault="00000A31" w:rsidP="00000A31">
            <w:pPr>
              <w:spacing w:after="0" w:line="240" w:lineRule="auto"/>
              <w:jc w:val="left"/>
              <w:rPr>
                <w:rFonts w:ascii="Arial" w:hAnsi="Arial" w:cs="Arial"/>
                <w:color w:val="000000"/>
                <w:sz w:val="16"/>
                <w:szCs w:val="16"/>
              </w:rPr>
            </w:pPr>
            <w:r w:rsidRPr="00000A31">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7231" w14:textId="77777777" w:rsidR="00000A31" w:rsidRPr="00000A31" w:rsidRDefault="00000A31" w:rsidP="00000A31">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7232" w14:textId="77777777" w:rsidR="00000A31" w:rsidRPr="00000A31" w:rsidRDefault="00000A31" w:rsidP="00000A31">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233" w14:textId="77777777" w:rsidR="00000A31" w:rsidRPr="00000A31" w:rsidRDefault="00000A31" w:rsidP="00000A31">
            <w:pPr>
              <w:spacing w:after="0" w:line="240" w:lineRule="auto"/>
              <w:jc w:val="left"/>
              <w:rPr>
                <w:rFonts w:ascii="Times New Roman" w:hAnsi="Times New Roman"/>
              </w:rPr>
            </w:pPr>
          </w:p>
        </w:tc>
      </w:tr>
      <w:tr w:rsidR="00000A31" w:rsidRPr="00000A31" w14:paraId="76C1723B" w14:textId="77777777" w:rsidTr="00000A31">
        <w:trPr>
          <w:trHeight w:val="225"/>
        </w:trPr>
        <w:tc>
          <w:tcPr>
            <w:tcW w:w="2840" w:type="dxa"/>
            <w:tcBorders>
              <w:top w:val="nil"/>
              <w:left w:val="nil"/>
              <w:bottom w:val="nil"/>
              <w:right w:val="nil"/>
            </w:tcBorders>
            <w:shd w:val="clear" w:color="auto" w:fill="auto"/>
            <w:noWrap/>
            <w:vAlign w:val="center"/>
            <w:hideMark/>
          </w:tcPr>
          <w:p w14:paraId="76C17235" w14:textId="77777777" w:rsidR="00000A31" w:rsidRPr="00000A31" w:rsidRDefault="00000A31" w:rsidP="008425FD">
            <w:pPr>
              <w:spacing w:after="0" w:line="240" w:lineRule="auto"/>
              <w:ind w:left="175" w:hanging="175"/>
              <w:jc w:val="left"/>
              <w:rPr>
                <w:rFonts w:ascii="Arial" w:hAnsi="Arial" w:cs="Arial"/>
                <w:b/>
                <w:bCs/>
                <w:color w:val="000000"/>
                <w:sz w:val="16"/>
                <w:szCs w:val="16"/>
              </w:rPr>
            </w:pPr>
            <w:r w:rsidRPr="00000A31">
              <w:rPr>
                <w:rFonts w:ascii="Arial" w:hAnsi="Arial" w:cs="Arial"/>
                <w:b/>
                <w:bCs/>
                <w:color w:val="000000"/>
                <w:sz w:val="16"/>
                <w:szCs w:val="16"/>
              </w:rPr>
              <w:t>Cash used</w:t>
            </w:r>
          </w:p>
        </w:tc>
        <w:tc>
          <w:tcPr>
            <w:tcW w:w="880" w:type="dxa"/>
            <w:tcBorders>
              <w:top w:val="nil"/>
              <w:left w:val="nil"/>
              <w:bottom w:val="nil"/>
              <w:right w:val="nil"/>
            </w:tcBorders>
            <w:shd w:val="clear" w:color="auto" w:fill="auto"/>
            <w:noWrap/>
            <w:vAlign w:val="center"/>
            <w:hideMark/>
          </w:tcPr>
          <w:p w14:paraId="76C17236" w14:textId="77777777" w:rsidR="00000A31" w:rsidRPr="00000A31" w:rsidRDefault="00000A31" w:rsidP="00000A31">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237" w14:textId="77777777" w:rsidR="00000A31" w:rsidRPr="00000A31" w:rsidRDefault="00000A31" w:rsidP="00000A31">
            <w:pPr>
              <w:spacing w:after="0" w:line="240" w:lineRule="auto"/>
              <w:jc w:val="left"/>
              <w:rPr>
                <w:rFonts w:ascii="Arial" w:hAnsi="Arial" w:cs="Arial"/>
                <w:color w:val="000000"/>
                <w:sz w:val="16"/>
                <w:szCs w:val="16"/>
              </w:rPr>
            </w:pPr>
            <w:r w:rsidRPr="00000A31">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7238" w14:textId="77777777" w:rsidR="00000A31" w:rsidRPr="00000A31" w:rsidRDefault="00000A31" w:rsidP="00000A31">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7239" w14:textId="77777777" w:rsidR="00000A31" w:rsidRPr="00000A31" w:rsidRDefault="00000A31" w:rsidP="00000A31">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23A" w14:textId="77777777" w:rsidR="00000A31" w:rsidRPr="00000A31" w:rsidRDefault="00000A31" w:rsidP="00000A31">
            <w:pPr>
              <w:spacing w:after="0" w:line="240" w:lineRule="auto"/>
              <w:jc w:val="left"/>
              <w:rPr>
                <w:rFonts w:ascii="Times New Roman" w:hAnsi="Times New Roman"/>
              </w:rPr>
            </w:pPr>
          </w:p>
        </w:tc>
      </w:tr>
      <w:tr w:rsidR="00000A31" w:rsidRPr="00000A31" w14:paraId="76C17242" w14:textId="77777777" w:rsidTr="00000A31">
        <w:trPr>
          <w:trHeight w:val="450"/>
        </w:trPr>
        <w:tc>
          <w:tcPr>
            <w:tcW w:w="2840" w:type="dxa"/>
            <w:tcBorders>
              <w:top w:val="nil"/>
              <w:left w:val="nil"/>
              <w:bottom w:val="nil"/>
              <w:right w:val="nil"/>
            </w:tcBorders>
            <w:shd w:val="clear" w:color="auto" w:fill="auto"/>
            <w:vAlign w:val="center"/>
            <w:hideMark/>
          </w:tcPr>
          <w:p w14:paraId="76C1723C" w14:textId="5BAEE54D" w:rsidR="00000A31" w:rsidRPr="00000A31" w:rsidRDefault="00000A31" w:rsidP="008425FD">
            <w:pPr>
              <w:spacing w:after="0" w:line="240" w:lineRule="auto"/>
              <w:ind w:leftChars="80" w:left="317" w:hangingChars="98" w:hanging="157"/>
              <w:jc w:val="left"/>
              <w:rPr>
                <w:rFonts w:ascii="Arial" w:hAnsi="Arial" w:cs="Arial"/>
                <w:color w:val="000000"/>
                <w:sz w:val="16"/>
                <w:szCs w:val="16"/>
              </w:rPr>
            </w:pPr>
            <w:r w:rsidRPr="00000A31">
              <w:rPr>
                <w:rFonts w:ascii="Arial" w:hAnsi="Arial" w:cs="Arial"/>
                <w:color w:val="000000"/>
                <w:sz w:val="16"/>
                <w:szCs w:val="16"/>
              </w:rPr>
              <w:t>Purchase of property, plant and equipment and intangibles</w:t>
            </w:r>
          </w:p>
        </w:tc>
        <w:tc>
          <w:tcPr>
            <w:tcW w:w="880" w:type="dxa"/>
            <w:tcBorders>
              <w:top w:val="nil"/>
              <w:left w:val="nil"/>
              <w:bottom w:val="nil"/>
              <w:right w:val="nil"/>
            </w:tcBorders>
            <w:shd w:val="clear" w:color="auto" w:fill="auto"/>
            <w:noWrap/>
            <w:vAlign w:val="center"/>
            <w:hideMark/>
          </w:tcPr>
          <w:p w14:paraId="76C1723D"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7,087 </w:t>
            </w:r>
          </w:p>
        </w:tc>
        <w:tc>
          <w:tcPr>
            <w:tcW w:w="880" w:type="dxa"/>
            <w:tcBorders>
              <w:top w:val="nil"/>
              <w:left w:val="nil"/>
              <w:bottom w:val="nil"/>
              <w:right w:val="nil"/>
            </w:tcBorders>
            <w:shd w:val="clear" w:color="000000" w:fill="E6E6E6"/>
            <w:noWrap/>
            <w:vAlign w:val="center"/>
            <w:hideMark/>
          </w:tcPr>
          <w:p w14:paraId="76C1723E"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6,130 </w:t>
            </w:r>
          </w:p>
        </w:tc>
        <w:tc>
          <w:tcPr>
            <w:tcW w:w="880" w:type="dxa"/>
            <w:tcBorders>
              <w:top w:val="nil"/>
              <w:left w:val="nil"/>
              <w:bottom w:val="nil"/>
              <w:right w:val="nil"/>
            </w:tcBorders>
            <w:shd w:val="clear" w:color="auto" w:fill="auto"/>
            <w:noWrap/>
            <w:vAlign w:val="center"/>
            <w:hideMark/>
          </w:tcPr>
          <w:p w14:paraId="76C1723F"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5,880 </w:t>
            </w:r>
          </w:p>
        </w:tc>
        <w:tc>
          <w:tcPr>
            <w:tcW w:w="880" w:type="dxa"/>
            <w:tcBorders>
              <w:top w:val="nil"/>
              <w:left w:val="nil"/>
              <w:bottom w:val="nil"/>
              <w:right w:val="nil"/>
            </w:tcBorders>
            <w:shd w:val="clear" w:color="auto" w:fill="auto"/>
            <w:noWrap/>
            <w:vAlign w:val="center"/>
            <w:hideMark/>
          </w:tcPr>
          <w:p w14:paraId="76C17240"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6,430 </w:t>
            </w:r>
          </w:p>
        </w:tc>
        <w:tc>
          <w:tcPr>
            <w:tcW w:w="880" w:type="dxa"/>
            <w:tcBorders>
              <w:top w:val="nil"/>
              <w:left w:val="nil"/>
              <w:bottom w:val="nil"/>
              <w:right w:val="nil"/>
            </w:tcBorders>
            <w:shd w:val="clear" w:color="auto" w:fill="auto"/>
            <w:noWrap/>
            <w:vAlign w:val="center"/>
            <w:hideMark/>
          </w:tcPr>
          <w:p w14:paraId="76C17241"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3,580 </w:t>
            </w:r>
          </w:p>
        </w:tc>
      </w:tr>
      <w:tr w:rsidR="00000A31" w:rsidRPr="00000A31" w14:paraId="76C17249" w14:textId="77777777" w:rsidTr="00000A31">
        <w:trPr>
          <w:trHeight w:val="210"/>
        </w:trPr>
        <w:tc>
          <w:tcPr>
            <w:tcW w:w="2840" w:type="dxa"/>
            <w:tcBorders>
              <w:top w:val="nil"/>
              <w:left w:val="nil"/>
              <w:bottom w:val="nil"/>
              <w:right w:val="nil"/>
            </w:tcBorders>
            <w:shd w:val="clear" w:color="auto" w:fill="auto"/>
            <w:noWrap/>
            <w:vAlign w:val="center"/>
            <w:hideMark/>
          </w:tcPr>
          <w:p w14:paraId="76C17243" w14:textId="77777777" w:rsidR="00000A31" w:rsidRPr="00000A31" w:rsidRDefault="00000A31" w:rsidP="00000A31">
            <w:pPr>
              <w:spacing w:after="0" w:line="240" w:lineRule="auto"/>
              <w:jc w:val="left"/>
              <w:rPr>
                <w:rFonts w:ascii="Arial" w:hAnsi="Arial" w:cs="Arial"/>
                <w:b/>
                <w:bCs/>
                <w:i/>
                <w:iCs/>
                <w:color w:val="000000"/>
                <w:sz w:val="16"/>
                <w:szCs w:val="16"/>
              </w:rPr>
            </w:pPr>
            <w:r w:rsidRPr="00000A31">
              <w:rPr>
                <w:rFonts w:ascii="Arial" w:hAnsi="Arial" w:cs="Arial"/>
                <w:b/>
                <w:bCs/>
                <w:i/>
                <w:iCs/>
                <w:color w:val="000000"/>
                <w:sz w:val="16"/>
                <w:szCs w:val="16"/>
              </w:rPr>
              <w:t>Total cash used</w:t>
            </w:r>
          </w:p>
        </w:tc>
        <w:tc>
          <w:tcPr>
            <w:tcW w:w="880" w:type="dxa"/>
            <w:tcBorders>
              <w:top w:val="single" w:sz="4" w:space="0" w:color="auto"/>
              <w:left w:val="nil"/>
              <w:bottom w:val="single" w:sz="4" w:space="0" w:color="auto"/>
              <w:right w:val="nil"/>
            </w:tcBorders>
            <w:shd w:val="clear" w:color="auto" w:fill="auto"/>
            <w:noWrap/>
            <w:vAlign w:val="center"/>
            <w:hideMark/>
          </w:tcPr>
          <w:p w14:paraId="76C17244" w14:textId="77777777" w:rsidR="00000A31" w:rsidRPr="00000A31" w:rsidRDefault="00000A31" w:rsidP="00000A31">
            <w:pPr>
              <w:spacing w:after="0" w:line="240" w:lineRule="auto"/>
              <w:jc w:val="right"/>
              <w:rPr>
                <w:rFonts w:ascii="Arial" w:hAnsi="Arial" w:cs="Arial"/>
                <w:b/>
                <w:bCs/>
                <w:i/>
                <w:iCs/>
                <w:color w:val="000000"/>
                <w:sz w:val="16"/>
                <w:szCs w:val="16"/>
              </w:rPr>
            </w:pPr>
            <w:r w:rsidRPr="00000A31">
              <w:rPr>
                <w:rFonts w:ascii="Arial" w:hAnsi="Arial" w:cs="Arial"/>
                <w:b/>
                <w:bCs/>
                <w:i/>
                <w:iCs/>
                <w:color w:val="000000"/>
                <w:sz w:val="16"/>
                <w:szCs w:val="16"/>
              </w:rPr>
              <w:t xml:space="preserve">7,087 </w:t>
            </w:r>
          </w:p>
        </w:tc>
        <w:tc>
          <w:tcPr>
            <w:tcW w:w="880" w:type="dxa"/>
            <w:tcBorders>
              <w:top w:val="single" w:sz="4" w:space="0" w:color="auto"/>
              <w:left w:val="nil"/>
              <w:bottom w:val="single" w:sz="4" w:space="0" w:color="auto"/>
              <w:right w:val="nil"/>
            </w:tcBorders>
            <w:shd w:val="clear" w:color="000000" w:fill="E6E6E6"/>
            <w:noWrap/>
            <w:vAlign w:val="center"/>
            <w:hideMark/>
          </w:tcPr>
          <w:p w14:paraId="76C17245" w14:textId="77777777" w:rsidR="00000A31" w:rsidRPr="00000A31" w:rsidRDefault="00000A31" w:rsidP="00000A31">
            <w:pPr>
              <w:spacing w:after="0" w:line="240" w:lineRule="auto"/>
              <w:jc w:val="right"/>
              <w:rPr>
                <w:rFonts w:ascii="Arial" w:hAnsi="Arial" w:cs="Arial"/>
                <w:b/>
                <w:bCs/>
                <w:i/>
                <w:iCs/>
                <w:color w:val="000000"/>
                <w:sz w:val="16"/>
                <w:szCs w:val="16"/>
              </w:rPr>
            </w:pPr>
            <w:r w:rsidRPr="00000A31">
              <w:rPr>
                <w:rFonts w:ascii="Arial" w:hAnsi="Arial" w:cs="Arial"/>
                <w:b/>
                <w:bCs/>
                <w:i/>
                <w:iCs/>
                <w:color w:val="000000"/>
                <w:sz w:val="16"/>
                <w:szCs w:val="16"/>
              </w:rPr>
              <w:t xml:space="preserve">6,130 </w:t>
            </w:r>
          </w:p>
        </w:tc>
        <w:tc>
          <w:tcPr>
            <w:tcW w:w="880" w:type="dxa"/>
            <w:tcBorders>
              <w:top w:val="single" w:sz="4" w:space="0" w:color="auto"/>
              <w:left w:val="nil"/>
              <w:bottom w:val="single" w:sz="4" w:space="0" w:color="auto"/>
              <w:right w:val="nil"/>
            </w:tcBorders>
            <w:shd w:val="clear" w:color="auto" w:fill="auto"/>
            <w:noWrap/>
            <w:vAlign w:val="center"/>
            <w:hideMark/>
          </w:tcPr>
          <w:p w14:paraId="76C17246" w14:textId="77777777" w:rsidR="00000A31" w:rsidRPr="00000A31" w:rsidRDefault="00000A31" w:rsidP="00000A31">
            <w:pPr>
              <w:spacing w:after="0" w:line="240" w:lineRule="auto"/>
              <w:jc w:val="right"/>
              <w:rPr>
                <w:rFonts w:ascii="Arial" w:hAnsi="Arial" w:cs="Arial"/>
                <w:b/>
                <w:bCs/>
                <w:i/>
                <w:iCs/>
                <w:color w:val="000000"/>
                <w:sz w:val="16"/>
                <w:szCs w:val="16"/>
              </w:rPr>
            </w:pPr>
            <w:r w:rsidRPr="00000A31">
              <w:rPr>
                <w:rFonts w:ascii="Arial" w:hAnsi="Arial" w:cs="Arial"/>
                <w:b/>
                <w:bCs/>
                <w:i/>
                <w:iCs/>
                <w:color w:val="000000"/>
                <w:sz w:val="16"/>
                <w:szCs w:val="16"/>
              </w:rPr>
              <w:t xml:space="preserve">5,880 </w:t>
            </w:r>
          </w:p>
        </w:tc>
        <w:tc>
          <w:tcPr>
            <w:tcW w:w="880" w:type="dxa"/>
            <w:tcBorders>
              <w:top w:val="single" w:sz="4" w:space="0" w:color="auto"/>
              <w:left w:val="nil"/>
              <w:bottom w:val="single" w:sz="4" w:space="0" w:color="auto"/>
              <w:right w:val="nil"/>
            </w:tcBorders>
            <w:shd w:val="clear" w:color="auto" w:fill="auto"/>
            <w:noWrap/>
            <w:vAlign w:val="center"/>
            <w:hideMark/>
          </w:tcPr>
          <w:p w14:paraId="76C17247" w14:textId="77777777" w:rsidR="00000A31" w:rsidRPr="00000A31" w:rsidRDefault="00000A31" w:rsidP="00000A31">
            <w:pPr>
              <w:spacing w:after="0" w:line="240" w:lineRule="auto"/>
              <w:jc w:val="right"/>
              <w:rPr>
                <w:rFonts w:ascii="Arial" w:hAnsi="Arial" w:cs="Arial"/>
                <w:b/>
                <w:bCs/>
                <w:i/>
                <w:iCs/>
                <w:color w:val="000000"/>
                <w:sz w:val="16"/>
                <w:szCs w:val="16"/>
              </w:rPr>
            </w:pPr>
            <w:r w:rsidRPr="00000A31">
              <w:rPr>
                <w:rFonts w:ascii="Arial" w:hAnsi="Arial" w:cs="Arial"/>
                <w:b/>
                <w:bCs/>
                <w:i/>
                <w:iCs/>
                <w:color w:val="000000"/>
                <w:sz w:val="16"/>
                <w:szCs w:val="16"/>
              </w:rPr>
              <w:t xml:space="preserve">6,430 </w:t>
            </w:r>
          </w:p>
        </w:tc>
        <w:tc>
          <w:tcPr>
            <w:tcW w:w="880" w:type="dxa"/>
            <w:tcBorders>
              <w:top w:val="single" w:sz="4" w:space="0" w:color="auto"/>
              <w:left w:val="nil"/>
              <w:bottom w:val="single" w:sz="4" w:space="0" w:color="auto"/>
              <w:right w:val="nil"/>
            </w:tcBorders>
            <w:shd w:val="clear" w:color="auto" w:fill="auto"/>
            <w:noWrap/>
            <w:vAlign w:val="center"/>
            <w:hideMark/>
          </w:tcPr>
          <w:p w14:paraId="76C17248" w14:textId="77777777" w:rsidR="00000A31" w:rsidRPr="00000A31" w:rsidRDefault="00000A31" w:rsidP="00000A31">
            <w:pPr>
              <w:spacing w:after="0" w:line="240" w:lineRule="auto"/>
              <w:jc w:val="right"/>
              <w:rPr>
                <w:rFonts w:ascii="Arial" w:hAnsi="Arial" w:cs="Arial"/>
                <w:b/>
                <w:bCs/>
                <w:i/>
                <w:iCs/>
                <w:color w:val="000000"/>
                <w:sz w:val="16"/>
                <w:szCs w:val="16"/>
              </w:rPr>
            </w:pPr>
            <w:r w:rsidRPr="00000A31">
              <w:rPr>
                <w:rFonts w:ascii="Arial" w:hAnsi="Arial" w:cs="Arial"/>
                <w:b/>
                <w:bCs/>
                <w:i/>
                <w:iCs/>
                <w:color w:val="000000"/>
                <w:sz w:val="16"/>
                <w:szCs w:val="16"/>
              </w:rPr>
              <w:t xml:space="preserve">3,580 </w:t>
            </w:r>
          </w:p>
        </w:tc>
      </w:tr>
      <w:tr w:rsidR="00000A31" w:rsidRPr="00000A31" w14:paraId="76C17250" w14:textId="77777777" w:rsidTr="00000A31">
        <w:trPr>
          <w:trHeight w:val="450"/>
        </w:trPr>
        <w:tc>
          <w:tcPr>
            <w:tcW w:w="2840" w:type="dxa"/>
            <w:tcBorders>
              <w:top w:val="nil"/>
              <w:left w:val="nil"/>
              <w:bottom w:val="nil"/>
              <w:right w:val="nil"/>
            </w:tcBorders>
            <w:shd w:val="clear" w:color="auto" w:fill="auto"/>
            <w:vAlign w:val="center"/>
            <w:hideMark/>
          </w:tcPr>
          <w:p w14:paraId="76C1724A" w14:textId="1185CBCB" w:rsidR="00000A31" w:rsidRPr="00000A31" w:rsidRDefault="00000A31" w:rsidP="008425FD">
            <w:pPr>
              <w:spacing w:after="0" w:line="240" w:lineRule="auto"/>
              <w:ind w:left="175" w:hanging="175"/>
              <w:jc w:val="left"/>
              <w:rPr>
                <w:rFonts w:ascii="Arial" w:hAnsi="Arial" w:cs="Arial"/>
                <w:b/>
                <w:bCs/>
                <w:color w:val="000000"/>
                <w:sz w:val="16"/>
                <w:szCs w:val="16"/>
              </w:rPr>
            </w:pPr>
            <w:r w:rsidRPr="00000A31">
              <w:rPr>
                <w:rFonts w:ascii="Arial" w:hAnsi="Arial" w:cs="Arial"/>
                <w:b/>
                <w:bCs/>
                <w:color w:val="000000"/>
                <w:sz w:val="16"/>
                <w:szCs w:val="16"/>
              </w:rPr>
              <w:t>Net cash from/(used by) investing activities</w:t>
            </w:r>
          </w:p>
        </w:tc>
        <w:tc>
          <w:tcPr>
            <w:tcW w:w="880" w:type="dxa"/>
            <w:tcBorders>
              <w:top w:val="nil"/>
              <w:left w:val="nil"/>
              <w:bottom w:val="single" w:sz="4" w:space="0" w:color="auto"/>
              <w:right w:val="nil"/>
            </w:tcBorders>
            <w:shd w:val="clear" w:color="auto" w:fill="auto"/>
            <w:noWrap/>
            <w:vAlign w:val="bottom"/>
            <w:hideMark/>
          </w:tcPr>
          <w:p w14:paraId="76C1724B"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(7,087)</w:t>
            </w:r>
          </w:p>
        </w:tc>
        <w:tc>
          <w:tcPr>
            <w:tcW w:w="880" w:type="dxa"/>
            <w:tcBorders>
              <w:top w:val="nil"/>
              <w:left w:val="nil"/>
              <w:bottom w:val="single" w:sz="4" w:space="0" w:color="auto"/>
              <w:right w:val="nil"/>
            </w:tcBorders>
            <w:shd w:val="clear" w:color="000000" w:fill="E6E6E6"/>
            <w:noWrap/>
            <w:vAlign w:val="bottom"/>
            <w:hideMark/>
          </w:tcPr>
          <w:p w14:paraId="76C1724C"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(6,130)</w:t>
            </w:r>
          </w:p>
        </w:tc>
        <w:tc>
          <w:tcPr>
            <w:tcW w:w="880" w:type="dxa"/>
            <w:tcBorders>
              <w:top w:val="nil"/>
              <w:left w:val="nil"/>
              <w:bottom w:val="single" w:sz="4" w:space="0" w:color="auto"/>
              <w:right w:val="nil"/>
            </w:tcBorders>
            <w:shd w:val="clear" w:color="auto" w:fill="auto"/>
            <w:noWrap/>
            <w:vAlign w:val="bottom"/>
            <w:hideMark/>
          </w:tcPr>
          <w:p w14:paraId="76C1724D"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(5,880)</w:t>
            </w:r>
          </w:p>
        </w:tc>
        <w:tc>
          <w:tcPr>
            <w:tcW w:w="880" w:type="dxa"/>
            <w:tcBorders>
              <w:top w:val="nil"/>
              <w:left w:val="nil"/>
              <w:bottom w:val="single" w:sz="4" w:space="0" w:color="auto"/>
              <w:right w:val="nil"/>
            </w:tcBorders>
            <w:shd w:val="clear" w:color="auto" w:fill="auto"/>
            <w:noWrap/>
            <w:vAlign w:val="bottom"/>
            <w:hideMark/>
          </w:tcPr>
          <w:p w14:paraId="76C1724E"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(6,430)</w:t>
            </w:r>
          </w:p>
        </w:tc>
        <w:tc>
          <w:tcPr>
            <w:tcW w:w="880" w:type="dxa"/>
            <w:tcBorders>
              <w:top w:val="nil"/>
              <w:left w:val="nil"/>
              <w:bottom w:val="single" w:sz="4" w:space="0" w:color="auto"/>
              <w:right w:val="nil"/>
            </w:tcBorders>
            <w:shd w:val="clear" w:color="auto" w:fill="auto"/>
            <w:noWrap/>
            <w:vAlign w:val="bottom"/>
            <w:hideMark/>
          </w:tcPr>
          <w:p w14:paraId="76C1724F"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(3,580)</w:t>
            </w:r>
          </w:p>
        </w:tc>
      </w:tr>
      <w:tr w:rsidR="00000A31" w:rsidRPr="00000A31" w14:paraId="76C17257" w14:textId="77777777" w:rsidTr="00000A31">
        <w:trPr>
          <w:trHeight w:val="450"/>
        </w:trPr>
        <w:tc>
          <w:tcPr>
            <w:tcW w:w="2840" w:type="dxa"/>
            <w:tcBorders>
              <w:top w:val="nil"/>
              <w:left w:val="nil"/>
              <w:bottom w:val="nil"/>
              <w:right w:val="nil"/>
            </w:tcBorders>
            <w:shd w:val="clear" w:color="auto" w:fill="auto"/>
            <w:vAlign w:val="center"/>
            <w:hideMark/>
          </w:tcPr>
          <w:p w14:paraId="76C17251" w14:textId="5CB061E0" w:rsidR="00000A31" w:rsidRPr="00000A31" w:rsidRDefault="00000A31" w:rsidP="008425FD">
            <w:pPr>
              <w:spacing w:after="0" w:line="240" w:lineRule="auto"/>
              <w:ind w:left="175" w:hanging="175"/>
              <w:jc w:val="left"/>
              <w:rPr>
                <w:rFonts w:ascii="Arial" w:hAnsi="Arial" w:cs="Arial"/>
                <w:b/>
                <w:bCs/>
                <w:color w:val="000000"/>
                <w:sz w:val="16"/>
                <w:szCs w:val="16"/>
              </w:rPr>
            </w:pPr>
            <w:r w:rsidRPr="00000A31">
              <w:rPr>
                <w:rFonts w:ascii="Arial" w:hAnsi="Arial" w:cs="Arial"/>
                <w:b/>
                <w:bCs/>
                <w:color w:val="000000"/>
                <w:sz w:val="16"/>
                <w:szCs w:val="16"/>
              </w:rPr>
              <w:t>Net increase/(decrease) in cash held</w:t>
            </w:r>
          </w:p>
        </w:tc>
        <w:tc>
          <w:tcPr>
            <w:tcW w:w="880" w:type="dxa"/>
            <w:tcBorders>
              <w:top w:val="nil"/>
              <w:left w:val="nil"/>
              <w:bottom w:val="single" w:sz="4" w:space="0" w:color="auto"/>
              <w:right w:val="nil"/>
            </w:tcBorders>
            <w:shd w:val="clear" w:color="auto" w:fill="auto"/>
            <w:noWrap/>
            <w:vAlign w:val="bottom"/>
            <w:hideMark/>
          </w:tcPr>
          <w:p w14:paraId="76C17252"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(49,170)</w:t>
            </w:r>
          </w:p>
        </w:tc>
        <w:tc>
          <w:tcPr>
            <w:tcW w:w="880" w:type="dxa"/>
            <w:tcBorders>
              <w:top w:val="nil"/>
              <w:left w:val="nil"/>
              <w:bottom w:val="single" w:sz="4" w:space="0" w:color="auto"/>
              <w:right w:val="nil"/>
            </w:tcBorders>
            <w:shd w:val="clear" w:color="000000" w:fill="E6E6E6"/>
            <w:noWrap/>
            <w:vAlign w:val="bottom"/>
            <w:hideMark/>
          </w:tcPr>
          <w:p w14:paraId="76C17253"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(39,979)</w:t>
            </w:r>
          </w:p>
        </w:tc>
        <w:tc>
          <w:tcPr>
            <w:tcW w:w="880" w:type="dxa"/>
            <w:tcBorders>
              <w:top w:val="nil"/>
              <w:left w:val="nil"/>
              <w:bottom w:val="single" w:sz="4" w:space="0" w:color="auto"/>
              <w:right w:val="nil"/>
            </w:tcBorders>
            <w:shd w:val="clear" w:color="auto" w:fill="auto"/>
            <w:noWrap/>
            <w:vAlign w:val="bottom"/>
            <w:hideMark/>
          </w:tcPr>
          <w:p w14:paraId="76C17254"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(21,825)</w:t>
            </w:r>
          </w:p>
        </w:tc>
        <w:tc>
          <w:tcPr>
            <w:tcW w:w="880" w:type="dxa"/>
            <w:tcBorders>
              <w:top w:val="nil"/>
              <w:left w:val="nil"/>
              <w:bottom w:val="single" w:sz="4" w:space="0" w:color="auto"/>
              <w:right w:val="nil"/>
            </w:tcBorders>
            <w:shd w:val="clear" w:color="auto" w:fill="auto"/>
            <w:noWrap/>
            <w:vAlign w:val="bottom"/>
            <w:hideMark/>
          </w:tcPr>
          <w:p w14:paraId="76C17255"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(18,839)</w:t>
            </w:r>
          </w:p>
        </w:tc>
        <w:tc>
          <w:tcPr>
            <w:tcW w:w="880" w:type="dxa"/>
            <w:tcBorders>
              <w:top w:val="nil"/>
              <w:left w:val="nil"/>
              <w:bottom w:val="single" w:sz="4" w:space="0" w:color="auto"/>
              <w:right w:val="nil"/>
            </w:tcBorders>
            <w:shd w:val="clear" w:color="auto" w:fill="auto"/>
            <w:noWrap/>
            <w:vAlign w:val="bottom"/>
            <w:hideMark/>
          </w:tcPr>
          <w:p w14:paraId="76C17256"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(13,537)</w:t>
            </w:r>
          </w:p>
        </w:tc>
      </w:tr>
      <w:tr w:rsidR="00000A31" w:rsidRPr="00000A31" w14:paraId="76C1725E" w14:textId="77777777" w:rsidTr="00000A31">
        <w:trPr>
          <w:trHeight w:val="450"/>
        </w:trPr>
        <w:tc>
          <w:tcPr>
            <w:tcW w:w="2840" w:type="dxa"/>
            <w:tcBorders>
              <w:top w:val="nil"/>
              <w:left w:val="nil"/>
              <w:bottom w:val="nil"/>
              <w:right w:val="nil"/>
            </w:tcBorders>
            <w:shd w:val="clear" w:color="auto" w:fill="auto"/>
            <w:vAlign w:val="center"/>
            <w:hideMark/>
          </w:tcPr>
          <w:p w14:paraId="76C17258" w14:textId="7A50ED58" w:rsidR="00000A31" w:rsidRPr="00000A31" w:rsidRDefault="00000A31" w:rsidP="008425FD">
            <w:pPr>
              <w:spacing w:after="0" w:line="240" w:lineRule="auto"/>
              <w:ind w:leftChars="80" w:left="317" w:hangingChars="98" w:hanging="157"/>
              <w:jc w:val="left"/>
              <w:rPr>
                <w:rFonts w:ascii="Arial" w:hAnsi="Arial" w:cs="Arial"/>
                <w:color w:val="000000"/>
                <w:sz w:val="16"/>
                <w:szCs w:val="16"/>
              </w:rPr>
            </w:pPr>
            <w:r w:rsidRPr="00000A31">
              <w:rPr>
                <w:rFonts w:ascii="Arial" w:hAnsi="Arial" w:cs="Arial"/>
                <w:color w:val="000000"/>
                <w:sz w:val="16"/>
                <w:szCs w:val="16"/>
              </w:rPr>
              <w:t>Cash and cash equivalents at the beginning of the reporting period</w:t>
            </w:r>
          </w:p>
        </w:tc>
        <w:tc>
          <w:tcPr>
            <w:tcW w:w="880" w:type="dxa"/>
            <w:tcBorders>
              <w:top w:val="nil"/>
              <w:left w:val="nil"/>
              <w:bottom w:val="single" w:sz="4" w:space="0" w:color="auto"/>
              <w:right w:val="nil"/>
            </w:tcBorders>
            <w:shd w:val="clear" w:color="auto" w:fill="auto"/>
            <w:noWrap/>
            <w:vAlign w:val="center"/>
            <w:hideMark/>
          </w:tcPr>
          <w:p w14:paraId="76C17259"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1,028,241 </w:t>
            </w:r>
          </w:p>
        </w:tc>
        <w:tc>
          <w:tcPr>
            <w:tcW w:w="880" w:type="dxa"/>
            <w:tcBorders>
              <w:top w:val="nil"/>
              <w:left w:val="nil"/>
              <w:bottom w:val="single" w:sz="4" w:space="0" w:color="auto"/>
              <w:right w:val="nil"/>
            </w:tcBorders>
            <w:shd w:val="clear" w:color="000000" w:fill="E6E6E6"/>
            <w:noWrap/>
            <w:vAlign w:val="center"/>
            <w:hideMark/>
          </w:tcPr>
          <w:p w14:paraId="76C1725A"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979,071 </w:t>
            </w:r>
          </w:p>
        </w:tc>
        <w:tc>
          <w:tcPr>
            <w:tcW w:w="880" w:type="dxa"/>
            <w:tcBorders>
              <w:top w:val="nil"/>
              <w:left w:val="nil"/>
              <w:bottom w:val="single" w:sz="4" w:space="0" w:color="auto"/>
              <w:right w:val="nil"/>
            </w:tcBorders>
            <w:shd w:val="clear" w:color="auto" w:fill="auto"/>
            <w:noWrap/>
            <w:vAlign w:val="center"/>
            <w:hideMark/>
          </w:tcPr>
          <w:p w14:paraId="76C1725B"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939,092 </w:t>
            </w:r>
          </w:p>
        </w:tc>
        <w:tc>
          <w:tcPr>
            <w:tcW w:w="880" w:type="dxa"/>
            <w:tcBorders>
              <w:top w:val="nil"/>
              <w:left w:val="nil"/>
              <w:bottom w:val="single" w:sz="4" w:space="0" w:color="auto"/>
              <w:right w:val="nil"/>
            </w:tcBorders>
            <w:shd w:val="clear" w:color="auto" w:fill="auto"/>
            <w:noWrap/>
            <w:vAlign w:val="center"/>
            <w:hideMark/>
          </w:tcPr>
          <w:p w14:paraId="76C1725C"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917,267 </w:t>
            </w:r>
          </w:p>
        </w:tc>
        <w:tc>
          <w:tcPr>
            <w:tcW w:w="880" w:type="dxa"/>
            <w:tcBorders>
              <w:top w:val="nil"/>
              <w:left w:val="nil"/>
              <w:bottom w:val="single" w:sz="4" w:space="0" w:color="auto"/>
              <w:right w:val="nil"/>
            </w:tcBorders>
            <w:shd w:val="clear" w:color="auto" w:fill="auto"/>
            <w:noWrap/>
            <w:vAlign w:val="center"/>
            <w:hideMark/>
          </w:tcPr>
          <w:p w14:paraId="76C1725D" w14:textId="77777777" w:rsidR="00000A31" w:rsidRPr="00000A31" w:rsidRDefault="00000A31" w:rsidP="00000A31">
            <w:pPr>
              <w:spacing w:after="0" w:line="240" w:lineRule="auto"/>
              <w:jc w:val="right"/>
              <w:rPr>
                <w:rFonts w:ascii="Arial" w:hAnsi="Arial" w:cs="Arial"/>
                <w:color w:val="000000"/>
                <w:sz w:val="16"/>
                <w:szCs w:val="16"/>
              </w:rPr>
            </w:pPr>
            <w:r w:rsidRPr="00000A31">
              <w:rPr>
                <w:rFonts w:ascii="Arial" w:hAnsi="Arial" w:cs="Arial"/>
                <w:color w:val="000000"/>
                <w:sz w:val="16"/>
                <w:szCs w:val="16"/>
              </w:rPr>
              <w:t xml:space="preserve">898,428 </w:t>
            </w:r>
          </w:p>
        </w:tc>
      </w:tr>
      <w:tr w:rsidR="00000A31" w:rsidRPr="00000A31" w14:paraId="76C17265" w14:textId="77777777" w:rsidTr="00000A31">
        <w:trPr>
          <w:trHeight w:val="450"/>
        </w:trPr>
        <w:tc>
          <w:tcPr>
            <w:tcW w:w="2840" w:type="dxa"/>
            <w:tcBorders>
              <w:top w:val="nil"/>
              <w:left w:val="nil"/>
              <w:bottom w:val="single" w:sz="4" w:space="0" w:color="auto"/>
              <w:right w:val="nil"/>
            </w:tcBorders>
            <w:shd w:val="clear" w:color="auto" w:fill="auto"/>
            <w:vAlign w:val="center"/>
            <w:hideMark/>
          </w:tcPr>
          <w:p w14:paraId="76C1725F" w14:textId="456B346F" w:rsidR="00000A31" w:rsidRPr="00000A31" w:rsidRDefault="00000A31" w:rsidP="008425FD">
            <w:pPr>
              <w:spacing w:after="0" w:line="240" w:lineRule="auto"/>
              <w:ind w:left="175" w:hanging="175"/>
              <w:jc w:val="left"/>
              <w:rPr>
                <w:rFonts w:ascii="Arial" w:hAnsi="Arial" w:cs="Arial"/>
                <w:b/>
                <w:bCs/>
                <w:color w:val="000000"/>
                <w:sz w:val="16"/>
                <w:szCs w:val="16"/>
              </w:rPr>
            </w:pPr>
            <w:r w:rsidRPr="00000A31">
              <w:rPr>
                <w:rFonts w:ascii="Arial" w:hAnsi="Arial" w:cs="Arial"/>
                <w:b/>
                <w:bCs/>
                <w:color w:val="000000"/>
                <w:sz w:val="16"/>
                <w:szCs w:val="16"/>
              </w:rPr>
              <w:t>Cash and cash equivalents at the end of the reporting period</w:t>
            </w:r>
          </w:p>
        </w:tc>
        <w:tc>
          <w:tcPr>
            <w:tcW w:w="880" w:type="dxa"/>
            <w:tcBorders>
              <w:top w:val="single" w:sz="4" w:space="0" w:color="000000"/>
              <w:left w:val="nil"/>
              <w:bottom w:val="single" w:sz="4" w:space="0" w:color="auto"/>
              <w:right w:val="nil"/>
            </w:tcBorders>
            <w:shd w:val="clear" w:color="auto" w:fill="auto"/>
            <w:noWrap/>
            <w:vAlign w:val="bottom"/>
            <w:hideMark/>
          </w:tcPr>
          <w:p w14:paraId="76C17260"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 xml:space="preserve">979,071 </w:t>
            </w:r>
          </w:p>
        </w:tc>
        <w:tc>
          <w:tcPr>
            <w:tcW w:w="880" w:type="dxa"/>
            <w:tcBorders>
              <w:top w:val="single" w:sz="4" w:space="0" w:color="000000"/>
              <w:left w:val="nil"/>
              <w:bottom w:val="single" w:sz="4" w:space="0" w:color="auto"/>
              <w:right w:val="nil"/>
            </w:tcBorders>
            <w:shd w:val="clear" w:color="000000" w:fill="E6E6E6"/>
            <w:noWrap/>
            <w:vAlign w:val="bottom"/>
            <w:hideMark/>
          </w:tcPr>
          <w:p w14:paraId="76C17261"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 xml:space="preserve">939,092 </w:t>
            </w:r>
          </w:p>
        </w:tc>
        <w:tc>
          <w:tcPr>
            <w:tcW w:w="880" w:type="dxa"/>
            <w:tcBorders>
              <w:top w:val="single" w:sz="4" w:space="0" w:color="000000"/>
              <w:left w:val="nil"/>
              <w:bottom w:val="single" w:sz="4" w:space="0" w:color="auto"/>
              <w:right w:val="nil"/>
            </w:tcBorders>
            <w:shd w:val="clear" w:color="auto" w:fill="auto"/>
            <w:noWrap/>
            <w:vAlign w:val="bottom"/>
            <w:hideMark/>
          </w:tcPr>
          <w:p w14:paraId="76C17262"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 xml:space="preserve">917,267 </w:t>
            </w:r>
          </w:p>
        </w:tc>
        <w:tc>
          <w:tcPr>
            <w:tcW w:w="880" w:type="dxa"/>
            <w:tcBorders>
              <w:top w:val="single" w:sz="4" w:space="0" w:color="000000"/>
              <w:left w:val="nil"/>
              <w:bottom w:val="single" w:sz="4" w:space="0" w:color="auto"/>
              <w:right w:val="nil"/>
            </w:tcBorders>
            <w:shd w:val="clear" w:color="auto" w:fill="auto"/>
            <w:noWrap/>
            <w:vAlign w:val="bottom"/>
            <w:hideMark/>
          </w:tcPr>
          <w:p w14:paraId="76C17263"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 xml:space="preserve">898,428 </w:t>
            </w:r>
          </w:p>
        </w:tc>
        <w:tc>
          <w:tcPr>
            <w:tcW w:w="880" w:type="dxa"/>
            <w:tcBorders>
              <w:top w:val="single" w:sz="4" w:space="0" w:color="000000"/>
              <w:left w:val="nil"/>
              <w:bottom w:val="single" w:sz="4" w:space="0" w:color="auto"/>
              <w:right w:val="nil"/>
            </w:tcBorders>
            <w:shd w:val="clear" w:color="auto" w:fill="auto"/>
            <w:noWrap/>
            <w:vAlign w:val="bottom"/>
            <w:hideMark/>
          </w:tcPr>
          <w:p w14:paraId="76C17264" w14:textId="77777777" w:rsidR="00000A31" w:rsidRPr="00000A31" w:rsidRDefault="00000A31" w:rsidP="00000A31">
            <w:pPr>
              <w:spacing w:after="0" w:line="240" w:lineRule="auto"/>
              <w:jc w:val="right"/>
              <w:rPr>
                <w:rFonts w:ascii="Arial" w:hAnsi="Arial" w:cs="Arial"/>
                <w:b/>
                <w:bCs/>
                <w:color w:val="000000"/>
                <w:sz w:val="16"/>
                <w:szCs w:val="16"/>
              </w:rPr>
            </w:pPr>
            <w:r w:rsidRPr="00000A31">
              <w:rPr>
                <w:rFonts w:ascii="Arial" w:hAnsi="Arial" w:cs="Arial"/>
                <w:b/>
                <w:bCs/>
                <w:color w:val="000000"/>
                <w:sz w:val="16"/>
                <w:szCs w:val="16"/>
              </w:rPr>
              <w:t xml:space="preserve">884,891 </w:t>
            </w:r>
          </w:p>
        </w:tc>
      </w:tr>
    </w:tbl>
    <w:p w14:paraId="76C17266" w14:textId="77777777" w:rsidR="00DF0134" w:rsidRPr="00132F9E" w:rsidRDefault="00DF0134" w:rsidP="003732E1">
      <w:pPr>
        <w:pStyle w:val="TableGraphic"/>
        <w:spacing w:before="120"/>
        <w:jc w:val="left"/>
        <w:rPr>
          <w:rFonts w:ascii="Arial" w:hAnsi="Arial" w:cs="Arial"/>
          <w:sz w:val="16"/>
          <w:szCs w:val="16"/>
        </w:rPr>
      </w:pPr>
      <w:r w:rsidRPr="00132F9E">
        <w:rPr>
          <w:rFonts w:ascii="Arial" w:hAnsi="Arial" w:cs="Arial"/>
          <w:sz w:val="16"/>
          <w:szCs w:val="16"/>
        </w:rPr>
        <w:t>Prepared on Australian Accounting Standards basis.</w:t>
      </w:r>
    </w:p>
    <w:p w14:paraId="76C17267" w14:textId="77777777" w:rsidR="00DF0134" w:rsidRPr="00132F9E" w:rsidRDefault="00DF0134" w:rsidP="00DF0134">
      <w:pPr>
        <w:pStyle w:val="NoSpacing"/>
        <w:rPr>
          <w:rFonts w:ascii="Arial" w:hAnsi="Arial" w:cs="Arial"/>
          <w:sz w:val="16"/>
          <w:szCs w:val="16"/>
        </w:rPr>
      </w:pPr>
    </w:p>
    <w:p w14:paraId="76C17268" w14:textId="77777777" w:rsidR="00DF0134" w:rsidRPr="0041404E" w:rsidRDefault="00DF0134" w:rsidP="00DF0134">
      <w:pPr>
        <w:pStyle w:val="TableHeading"/>
      </w:pPr>
      <w:r>
        <w:br w:type="page"/>
      </w:r>
      <w:r w:rsidRPr="00D30CBA">
        <w:lastRenderedPageBreak/>
        <w:t>Table</w:t>
      </w:r>
      <w:r>
        <w:t xml:space="preserve"> 3.5</w:t>
      </w:r>
      <w:r w:rsidRPr="00D30CBA">
        <w:t xml:space="preserve">: </w:t>
      </w:r>
      <w:r>
        <w:t>Departmental capital budget statement (for the period ended 30 June)</w:t>
      </w:r>
    </w:p>
    <w:tbl>
      <w:tblPr>
        <w:tblW w:w="7280" w:type="dxa"/>
        <w:tblLook w:val="04A0" w:firstRow="1" w:lastRow="0" w:firstColumn="1" w:lastColumn="0" w:noHBand="0" w:noVBand="1"/>
      </w:tblPr>
      <w:tblGrid>
        <w:gridCol w:w="2980"/>
        <w:gridCol w:w="928"/>
        <w:gridCol w:w="860"/>
        <w:gridCol w:w="860"/>
        <w:gridCol w:w="860"/>
        <w:gridCol w:w="860"/>
      </w:tblGrid>
      <w:tr w:rsidR="00000A31" w:rsidRPr="00000A31" w14:paraId="76C1726F" w14:textId="77777777" w:rsidTr="00823848">
        <w:trPr>
          <w:trHeight w:val="868"/>
        </w:trPr>
        <w:tc>
          <w:tcPr>
            <w:tcW w:w="2980" w:type="dxa"/>
            <w:tcBorders>
              <w:top w:val="single" w:sz="4" w:space="0" w:color="auto"/>
              <w:left w:val="nil"/>
              <w:bottom w:val="nil"/>
              <w:right w:val="nil"/>
            </w:tcBorders>
            <w:shd w:val="clear" w:color="auto" w:fill="auto"/>
            <w:noWrap/>
            <w:hideMark/>
          </w:tcPr>
          <w:p w14:paraId="76C17269" w14:textId="77777777" w:rsidR="00000A31" w:rsidRPr="00000A31" w:rsidRDefault="00000A31" w:rsidP="00000A31">
            <w:pPr>
              <w:spacing w:after="0" w:line="240" w:lineRule="auto"/>
              <w:jc w:val="left"/>
              <w:rPr>
                <w:rFonts w:ascii="Arial" w:hAnsi="Arial" w:cs="Arial"/>
                <w:b/>
                <w:bCs/>
                <w:sz w:val="16"/>
                <w:szCs w:val="16"/>
              </w:rPr>
            </w:pPr>
            <w:r w:rsidRPr="00000A31">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auto" w:fill="auto"/>
            <w:hideMark/>
          </w:tcPr>
          <w:p w14:paraId="76C1726A" w14:textId="77777777" w:rsidR="00000A31" w:rsidRPr="00000A31" w:rsidRDefault="009A4174" w:rsidP="00000A31">
            <w:pPr>
              <w:spacing w:after="0" w:line="240" w:lineRule="auto"/>
              <w:jc w:val="right"/>
              <w:rPr>
                <w:rFonts w:ascii="Arial" w:hAnsi="Arial" w:cs="Arial"/>
                <w:sz w:val="16"/>
                <w:szCs w:val="16"/>
              </w:rPr>
            </w:pPr>
            <w:r>
              <w:rPr>
                <w:rFonts w:ascii="Arial" w:hAnsi="Arial" w:cs="Arial"/>
                <w:sz w:val="16"/>
                <w:szCs w:val="16"/>
              </w:rPr>
              <w:t xml:space="preserve">2018–19 </w:t>
            </w:r>
            <w:r w:rsidR="00000A31" w:rsidRPr="00000A31">
              <w:rPr>
                <w:rFonts w:ascii="Arial" w:hAnsi="Arial" w:cs="Arial"/>
                <w:sz w:val="16"/>
                <w:szCs w:val="16"/>
              </w:rPr>
              <w:t xml:space="preserve"> Estimated actual</w:t>
            </w:r>
            <w:r w:rsidR="00000A31" w:rsidRPr="00000A31">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76C1726B" w14:textId="77777777" w:rsidR="00000A31" w:rsidRPr="00000A31" w:rsidRDefault="009A4174" w:rsidP="00000A31">
            <w:pPr>
              <w:spacing w:after="0" w:line="240" w:lineRule="auto"/>
              <w:jc w:val="right"/>
              <w:rPr>
                <w:rFonts w:ascii="Arial" w:hAnsi="Arial" w:cs="Arial"/>
                <w:sz w:val="16"/>
                <w:szCs w:val="16"/>
              </w:rPr>
            </w:pPr>
            <w:r>
              <w:rPr>
                <w:rFonts w:ascii="Arial" w:hAnsi="Arial" w:cs="Arial"/>
                <w:sz w:val="16"/>
                <w:szCs w:val="16"/>
              </w:rPr>
              <w:t>2019–20</w:t>
            </w:r>
            <w:r w:rsidR="00000A31" w:rsidRPr="00000A31">
              <w:rPr>
                <w:rFonts w:ascii="Arial" w:hAnsi="Arial" w:cs="Arial"/>
                <w:sz w:val="16"/>
                <w:szCs w:val="16"/>
              </w:rPr>
              <w:br/>
              <w:t>Budget</w:t>
            </w:r>
            <w:r w:rsidR="00000A31" w:rsidRPr="00000A31">
              <w:rPr>
                <w:rFonts w:ascii="Arial" w:hAnsi="Arial" w:cs="Arial"/>
                <w:sz w:val="16"/>
                <w:szCs w:val="16"/>
              </w:rPr>
              <w:br/>
            </w:r>
            <w:r w:rsidR="00000A31" w:rsidRPr="00000A31">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726C" w14:textId="05C00941" w:rsidR="00000A31" w:rsidRPr="00000A31" w:rsidRDefault="00014C66" w:rsidP="00000A31">
            <w:pPr>
              <w:spacing w:after="0" w:line="240" w:lineRule="auto"/>
              <w:jc w:val="right"/>
              <w:rPr>
                <w:rFonts w:ascii="Arial" w:hAnsi="Arial" w:cs="Arial"/>
                <w:sz w:val="16"/>
                <w:szCs w:val="16"/>
              </w:rPr>
            </w:pPr>
            <w:r>
              <w:rPr>
                <w:rFonts w:ascii="Arial" w:hAnsi="Arial" w:cs="Arial"/>
                <w:sz w:val="16"/>
                <w:szCs w:val="16"/>
              </w:rPr>
              <w:t>2020–21</w:t>
            </w:r>
            <w:r w:rsidR="00000A31" w:rsidRPr="00000A31">
              <w:rPr>
                <w:rFonts w:ascii="Arial" w:hAnsi="Arial" w:cs="Arial"/>
                <w:sz w:val="16"/>
                <w:szCs w:val="16"/>
              </w:rPr>
              <w:t xml:space="preserve"> Forward estimate</w:t>
            </w:r>
            <w:r w:rsidR="00000A31" w:rsidRPr="00000A31">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726D" w14:textId="77777777" w:rsidR="00000A31" w:rsidRPr="00000A31" w:rsidRDefault="009A4174" w:rsidP="00000A31">
            <w:pPr>
              <w:spacing w:after="0" w:line="240" w:lineRule="auto"/>
              <w:jc w:val="right"/>
              <w:rPr>
                <w:rFonts w:ascii="Arial" w:hAnsi="Arial" w:cs="Arial"/>
                <w:sz w:val="16"/>
                <w:szCs w:val="16"/>
              </w:rPr>
            </w:pPr>
            <w:r>
              <w:rPr>
                <w:rFonts w:ascii="Arial" w:hAnsi="Arial" w:cs="Arial"/>
                <w:sz w:val="16"/>
                <w:szCs w:val="16"/>
              </w:rPr>
              <w:t>2021–22</w:t>
            </w:r>
            <w:r w:rsidR="00000A31" w:rsidRPr="00000A31">
              <w:rPr>
                <w:rFonts w:ascii="Arial" w:hAnsi="Arial" w:cs="Arial"/>
                <w:sz w:val="16"/>
                <w:szCs w:val="16"/>
              </w:rPr>
              <w:t xml:space="preserve"> Forward estimate</w:t>
            </w:r>
            <w:r w:rsidR="00000A31" w:rsidRPr="00000A31">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726E" w14:textId="77777777" w:rsidR="00000A31" w:rsidRPr="00000A31" w:rsidRDefault="009A4174" w:rsidP="00000A31">
            <w:pPr>
              <w:spacing w:after="0" w:line="240" w:lineRule="auto"/>
              <w:jc w:val="right"/>
              <w:rPr>
                <w:rFonts w:ascii="Arial" w:hAnsi="Arial" w:cs="Arial"/>
                <w:sz w:val="16"/>
                <w:szCs w:val="16"/>
              </w:rPr>
            </w:pPr>
            <w:r>
              <w:rPr>
                <w:rFonts w:ascii="Arial" w:hAnsi="Arial" w:cs="Arial"/>
                <w:sz w:val="16"/>
                <w:szCs w:val="16"/>
              </w:rPr>
              <w:t>2022–23</w:t>
            </w:r>
            <w:r w:rsidR="00000A31" w:rsidRPr="00000A31">
              <w:rPr>
                <w:rFonts w:ascii="Arial" w:hAnsi="Arial" w:cs="Arial"/>
                <w:sz w:val="16"/>
                <w:szCs w:val="16"/>
              </w:rPr>
              <w:br/>
              <w:t>Forward estimate</w:t>
            </w:r>
            <w:r w:rsidR="00000A31" w:rsidRPr="00000A31">
              <w:rPr>
                <w:rFonts w:ascii="Arial" w:hAnsi="Arial" w:cs="Arial"/>
                <w:sz w:val="16"/>
                <w:szCs w:val="16"/>
              </w:rPr>
              <w:br/>
              <w:t>$'000</w:t>
            </w:r>
          </w:p>
        </w:tc>
      </w:tr>
      <w:tr w:rsidR="00000A31" w:rsidRPr="00000A31" w14:paraId="76C17276" w14:textId="77777777" w:rsidTr="00000A31">
        <w:trPr>
          <w:trHeight w:val="450"/>
        </w:trPr>
        <w:tc>
          <w:tcPr>
            <w:tcW w:w="2980" w:type="dxa"/>
            <w:tcBorders>
              <w:top w:val="nil"/>
              <w:left w:val="nil"/>
              <w:bottom w:val="nil"/>
              <w:right w:val="nil"/>
            </w:tcBorders>
            <w:shd w:val="clear" w:color="auto" w:fill="auto"/>
            <w:vAlign w:val="center"/>
            <w:hideMark/>
          </w:tcPr>
          <w:p w14:paraId="76C17270" w14:textId="0C8F1B7C" w:rsidR="00000A31" w:rsidRPr="008425FD" w:rsidRDefault="00000A31" w:rsidP="008425FD">
            <w:pPr>
              <w:spacing w:after="0" w:line="240" w:lineRule="auto"/>
              <w:ind w:left="175" w:hanging="175"/>
              <w:jc w:val="left"/>
              <w:rPr>
                <w:rFonts w:ascii="Arial" w:hAnsi="Arial" w:cs="Arial"/>
                <w:b/>
                <w:bCs/>
                <w:color w:val="000000"/>
                <w:sz w:val="16"/>
                <w:szCs w:val="16"/>
              </w:rPr>
            </w:pPr>
            <w:r w:rsidRPr="008425FD">
              <w:rPr>
                <w:rFonts w:ascii="Arial" w:hAnsi="Arial" w:cs="Arial"/>
                <w:b/>
                <w:bCs/>
                <w:color w:val="000000"/>
                <w:sz w:val="16"/>
                <w:szCs w:val="16"/>
              </w:rPr>
              <w:t>PURCHASE OF NON-FINANCIAL ASSETS</w:t>
            </w:r>
          </w:p>
        </w:tc>
        <w:tc>
          <w:tcPr>
            <w:tcW w:w="860" w:type="dxa"/>
            <w:tcBorders>
              <w:top w:val="nil"/>
              <w:left w:val="nil"/>
              <w:bottom w:val="nil"/>
              <w:right w:val="nil"/>
            </w:tcBorders>
            <w:shd w:val="clear" w:color="auto" w:fill="auto"/>
            <w:vAlign w:val="center"/>
            <w:hideMark/>
          </w:tcPr>
          <w:p w14:paraId="76C17271" w14:textId="77777777" w:rsidR="00000A31" w:rsidRPr="00000A31" w:rsidRDefault="00000A31" w:rsidP="00000A31">
            <w:pPr>
              <w:spacing w:after="0" w:line="240" w:lineRule="auto"/>
              <w:jc w:val="left"/>
              <w:rPr>
                <w:rFonts w:ascii="Arial" w:hAnsi="Arial" w:cs="Arial"/>
                <w:b/>
                <w:bCs/>
                <w:sz w:val="16"/>
                <w:szCs w:val="16"/>
              </w:rPr>
            </w:pPr>
          </w:p>
        </w:tc>
        <w:tc>
          <w:tcPr>
            <w:tcW w:w="860" w:type="dxa"/>
            <w:tcBorders>
              <w:top w:val="nil"/>
              <w:left w:val="nil"/>
              <w:bottom w:val="nil"/>
              <w:right w:val="nil"/>
            </w:tcBorders>
            <w:shd w:val="clear" w:color="000000" w:fill="E6E6E6"/>
            <w:vAlign w:val="center"/>
            <w:hideMark/>
          </w:tcPr>
          <w:p w14:paraId="76C17272" w14:textId="77777777" w:rsidR="00000A31" w:rsidRPr="00000A31" w:rsidRDefault="00000A31" w:rsidP="00000A31">
            <w:pPr>
              <w:spacing w:after="0" w:line="240" w:lineRule="auto"/>
              <w:jc w:val="left"/>
              <w:rPr>
                <w:rFonts w:ascii="Arial" w:hAnsi="Arial" w:cs="Arial"/>
                <w:sz w:val="16"/>
                <w:szCs w:val="16"/>
              </w:rPr>
            </w:pPr>
            <w:r w:rsidRPr="00000A31">
              <w:rPr>
                <w:rFonts w:ascii="Arial" w:hAnsi="Arial" w:cs="Arial"/>
                <w:sz w:val="16"/>
                <w:szCs w:val="16"/>
              </w:rPr>
              <w:t> </w:t>
            </w:r>
          </w:p>
        </w:tc>
        <w:tc>
          <w:tcPr>
            <w:tcW w:w="860" w:type="dxa"/>
            <w:tcBorders>
              <w:top w:val="nil"/>
              <w:left w:val="nil"/>
              <w:bottom w:val="nil"/>
              <w:right w:val="nil"/>
            </w:tcBorders>
            <w:shd w:val="clear" w:color="auto" w:fill="auto"/>
            <w:vAlign w:val="center"/>
            <w:hideMark/>
          </w:tcPr>
          <w:p w14:paraId="76C17273" w14:textId="77777777" w:rsidR="00000A31" w:rsidRPr="00000A31" w:rsidRDefault="00000A31" w:rsidP="00000A31">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vAlign w:val="center"/>
            <w:hideMark/>
          </w:tcPr>
          <w:p w14:paraId="76C17274" w14:textId="77777777" w:rsidR="00000A31" w:rsidRPr="00000A31" w:rsidRDefault="00000A31" w:rsidP="00000A31">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vAlign w:val="center"/>
            <w:hideMark/>
          </w:tcPr>
          <w:p w14:paraId="76C17275" w14:textId="77777777" w:rsidR="00000A31" w:rsidRPr="00000A31" w:rsidRDefault="00000A31" w:rsidP="00000A31">
            <w:pPr>
              <w:spacing w:after="0" w:line="240" w:lineRule="auto"/>
              <w:jc w:val="left"/>
              <w:rPr>
                <w:rFonts w:ascii="Times New Roman" w:hAnsi="Times New Roman"/>
              </w:rPr>
            </w:pPr>
          </w:p>
        </w:tc>
      </w:tr>
      <w:tr w:rsidR="00000A31" w:rsidRPr="00000A31" w14:paraId="76C1727D" w14:textId="77777777" w:rsidTr="00000A31">
        <w:trPr>
          <w:trHeight w:val="450"/>
        </w:trPr>
        <w:tc>
          <w:tcPr>
            <w:tcW w:w="2980" w:type="dxa"/>
            <w:tcBorders>
              <w:top w:val="nil"/>
              <w:left w:val="nil"/>
              <w:bottom w:val="nil"/>
              <w:right w:val="nil"/>
            </w:tcBorders>
            <w:shd w:val="clear" w:color="auto" w:fill="auto"/>
            <w:vAlign w:val="center"/>
            <w:hideMark/>
          </w:tcPr>
          <w:p w14:paraId="76C17277" w14:textId="5F8DF649" w:rsidR="00000A31" w:rsidRPr="008425FD" w:rsidRDefault="00000A31" w:rsidP="008425FD">
            <w:pPr>
              <w:spacing w:after="0" w:line="240" w:lineRule="auto"/>
              <w:ind w:leftChars="80" w:left="317" w:hangingChars="98" w:hanging="157"/>
              <w:jc w:val="left"/>
              <w:rPr>
                <w:rFonts w:ascii="Arial" w:hAnsi="Arial" w:cs="Arial"/>
                <w:color w:val="000000"/>
                <w:sz w:val="16"/>
                <w:szCs w:val="16"/>
              </w:rPr>
            </w:pPr>
            <w:r w:rsidRPr="008425FD">
              <w:rPr>
                <w:rFonts w:ascii="Arial" w:hAnsi="Arial" w:cs="Arial"/>
                <w:color w:val="000000"/>
                <w:sz w:val="16"/>
                <w:szCs w:val="16"/>
              </w:rPr>
              <w:t>Fund</w:t>
            </w:r>
            <w:r w:rsidR="008425FD">
              <w:rPr>
                <w:rFonts w:ascii="Arial" w:hAnsi="Arial" w:cs="Arial"/>
                <w:color w:val="000000"/>
                <w:sz w:val="16"/>
                <w:szCs w:val="16"/>
              </w:rPr>
              <w:t>ed internally from departmental</w:t>
            </w:r>
            <w:r w:rsidRPr="008425FD">
              <w:rPr>
                <w:rFonts w:ascii="Arial" w:hAnsi="Arial" w:cs="Arial"/>
                <w:color w:val="000000"/>
                <w:sz w:val="16"/>
                <w:szCs w:val="16"/>
              </w:rPr>
              <w:t xml:space="preserve"> resources</w:t>
            </w:r>
          </w:p>
        </w:tc>
        <w:tc>
          <w:tcPr>
            <w:tcW w:w="860" w:type="dxa"/>
            <w:tcBorders>
              <w:top w:val="nil"/>
              <w:left w:val="nil"/>
              <w:bottom w:val="nil"/>
              <w:right w:val="nil"/>
            </w:tcBorders>
            <w:shd w:val="clear" w:color="auto" w:fill="auto"/>
            <w:noWrap/>
            <w:vAlign w:val="center"/>
            <w:hideMark/>
          </w:tcPr>
          <w:p w14:paraId="76C17278" w14:textId="77777777" w:rsidR="00000A31" w:rsidRPr="00000A31" w:rsidRDefault="00000A31" w:rsidP="00000A31">
            <w:pPr>
              <w:spacing w:after="0" w:line="240" w:lineRule="auto"/>
              <w:jc w:val="right"/>
              <w:rPr>
                <w:rFonts w:ascii="Arial" w:hAnsi="Arial" w:cs="Arial"/>
                <w:sz w:val="16"/>
                <w:szCs w:val="16"/>
              </w:rPr>
            </w:pPr>
            <w:r w:rsidRPr="00000A31">
              <w:rPr>
                <w:rFonts w:ascii="Arial" w:hAnsi="Arial" w:cs="Arial"/>
                <w:sz w:val="16"/>
                <w:szCs w:val="16"/>
              </w:rPr>
              <w:t xml:space="preserve">7,087 </w:t>
            </w:r>
          </w:p>
        </w:tc>
        <w:tc>
          <w:tcPr>
            <w:tcW w:w="860" w:type="dxa"/>
            <w:tcBorders>
              <w:top w:val="nil"/>
              <w:left w:val="nil"/>
              <w:bottom w:val="nil"/>
              <w:right w:val="nil"/>
            </w:tcBorders>
            <w:shd w:val="clear" w:color="000000" w:fill="E6E6E6"/>
            <w:noWrap/>
            <w:vAlign w:val="center"/>
            <w:hideMark/>
          </w:tcPr>
          <w:p w14:paraId="76C17279" w14:textId="77777777" w:rsidR="00000A31" w:rsidRPr="00000A31" w:rsidRDefault="00000A31" w:rsidP="00000A31">
            <w:pPr>
              <w:spacing w:after="0" w:line="240" w:lineRule="auto"/>
              <w:jc w:val="right"/>
              <w:rPr>
                <w:rFonts w:ascii="Arial" w:hAnsi="Arial" w:cs="Arial"/>
                <w:sz w:val="16"/>
                <w:szCs w:val="16"/>
              </w:rPr>
            </w:pPr>
            <w:r w:rsidRPr="00000A31">
              <w:rPr>
                <w:rFonts w:ascii="Arial" w:hAnsi="Arial" w:cs="Arial"/>
                <w:sz w:val="16"/>
                <w:szCs w:val="16"/>
              </w:rPr>
              <w:t xml:space="preserve">6,130 </w:t>
            </w:r>
          </w:p>
        </w:tc>
        <w:tc>
          <w:tcPr>
            <w:tcW w:w="860" w:type="dxa"/>
            <w:tcBorders>
              <w:top w:val="nil"/>
              <w:left w:val="nil"/>
              <w:bottom w:val="nil"/>
              <w:right w:val="nil"/>
            </w:tcBorders>
            <w:shd w:val="clear" w:color="auto" w:fill="auto"/>
            <w:noWrap/>
            <w:vAlign w:val="center"/>
            <w:hideMark/>
          </w:tcPr>
          <w:p w14:paraId="76C1727A" w14:textId="77777777" w:rsidR="00000A31" w:rsidRPr="00000A31" w:rsidRDefault="00000A31" w:rsidP="00000A31">
            <w:pPr>
              <w:spacing w:after="0" w:line="240" w:lineRule="auto"/>
              <w:jc w:val="right"/>
              <w:rPr>
                <w:rFonts w:ascii="Arial" w:hAnsi="Arial" w:cs="Arial"/>
                <w:sz w:val="16"/>
                <w:szCs w:val="16"/>
              </w:rPr>
            </w:pPr>
            <w:r w:rsidRPr="00000A31">
              <w:rPr>
                <w:rFonts w:ascii="Arial" w:hAnsi="Arial" w:cs="Arial"/>
                <w:sz w:val="16"/>
                <w:szCs w:val="16"/>
              </w:rPr>
              <w:t xml:space="preserve">5,880 </w:t>
            </w:r>
          </w:p>
        </w:tc>
        <w:tc>
          <w:tcPr>
            <w:tcW w:w="860" w:type="dxa"/>
            <w:tcBorders>
              <w:top w:val="nil"/>
              <w:left w:val="nil"/>
              <w:bottom w:val="nil"/>
              <w:right w:val="nil"/>
            </w:tcBorders>
            <w:shd w:val="clear" w:color="auto" w:fill="auto"/>
            <w:noWrap/>
            <w:vAlign w:val="center"/>
            <w:hideMark/>
          </w:tcPr>
          <w:p w14:paraId="76C1727B" w14:textId="77777777" w:rsidR="00000A31" w:rsidRPr="00000A31" w:rsidRDefault="00000A31" w:rsidP="00000A31">
            <w:pPr>
              <w:spacing w:after="0" w:line="240" w:lineRule="auto"/>
              <w:jc w:val="right"/>
              <w:rPr>
                <w:rFonts w:ascii="Arial" w:hAnsi="Arial" w:cs="Arial"/>
                <w:sz w:val="16"/>
                <w:szCs w:val="16"/>
              </w:rPr>
            </w:pPr>
            <w:r w:rsidRPr="00000A31">
              <w:rPr>
                <w:rFonts w:ascii="Arial" w:hAnsi="Arial" w:cs="Arial"/>
                <w:sz w:val="16"/>
                <w:szCs w:val="16"/>
              </w:rPr>
              <w:t xml:space="preserve">6,430 </w:t>
            </w:r>
          </w:p>
        </w:tc>
        <w:tc>
          <w:tcPr>
            <w:tcW w:w="860" w:type="dxa"/>
            <w:tcBorders>
              <w:top w:val="nil"/>
              <w:left w:val="nil"/>
              <w:bottom w:val="nil"/>
              <w:right w:val="nil"/>
            </w:tcBorders>
            <w:shd w:val="clear" w:color="auto" w:fill="auto"/>
            <w:noWrap/>
            <w:vAlign w:val="center"/>
            <w:hideMark/>
          </w:tcPr>
          <w:p w14:paraId="76C1727C" w14:textId="77777777" w:rsidR="00000A31" w:rsidRPr="00000A31" w:rsidRDefault="00000A31" w:rsidP="00000A31">
            <w:pPr>
              <w:spacing w:after="0" w:line="240" w:lineRule="auto"/>
              <w:jc w:val="right"/>
              <w:rPr>
                <w:rFonts w:ascii="Arial" w:hAnsi="Arial" w:cs="Arial"/>
                <w:sz w:val="16"/>
                <w:szCs w:val="16"/>
              </w:rPr>
            </w:pPr>
            <w:r w:rsidRPr="00000A31">
              <w:rPr>
                <w:rFonts w:ascii="Arial" w:hAnsi="Arial" w:cs="Arial"/>
                <w:sz w:val="16"/>
                <w:szCs w:val="16"/>
              </w:rPr>
              <w:t xml:space="preserve">3,580 </w:t>
            </w:r>
          </w:p>
        </w:tc>
      </w:tr>
      <w:tr w:rsidR="00000A31" w:rsidRPr="00000A31" w14:paraId="76C17284" w14:textId="77777777" w:rsidTr="00000A31">
        <w:trPr>
          <w:trHeight w:val="225"/>
        </w:trPr>
        <w:tc>
          <w:tcPr>
            <w:tcW w:w="2980" w:type="dxa"/>
            <w:tcBorders>
              <w:top w:val="nil"/>
              <w:left w:val="nil"/>
              <w:bottom w:val="nil"/>
              <w:right w:val="nil"/>
            </w:tcBorders>
            <w:shd w:val="clear" w:color="auto" w:fill="auto"/>
            <w:noWrap/>
            <w:vAlign w:val="center"/>
            <w:hideMark/>
          </w:tcPr>
          <w:p w14:paraId="76C1727E" w14:textId="77777777" w:rsidR="00000A31" w:rsidRPr="008425FD" w:rsidRDefault="00000A31" w:rsidP="008425FD">
            <w:pPr>
              <w:spacing w:after="0" w:line="240" w:lineRule="auto"/>
              <w:ind w:left="175" w:hanging="175"/>
              <w:jc w:val="left"/>
              <w:rPr>
                <w:rFonts w:ascii="Arial" w:hAnsi="Arial" w:cs="Arial"/>
                <w:b/>
                <w:bCs/>
                <w:color w:val="000000"/>
                <w:sz w:val="16"/>
                <w:szCs w:val="16"/>
              </w:rPr>
            </w:pPr>
            <w:r w:rsidRPr="008425FD">
              <w:rPr>
                <w:rFonts w:ascii="Arial" w:hAnsi="Arial" w:cs="Arial"/>
                <w:b/>
                <w:bCs/>
                <w:color w:val="000000"/>
                <w:sz w:val="16"/>
                <w:szCs w:val="16"/>
              </w:rPr>
              <w:t>TOTAL</w:t>
            </w:r>
          </w:p>
        </w:tc>
        <w:tc>
          <w:tcPr>
            <w:tcW w:w="860" w:type="dxa"/>
            <w:tcBorders>
              <w:top w:val="single" w:sz="4" w:space="0" w:color="auto"/>
              <w:left w:val="nil"/>
              <w:bottom w:val="single" w:sz="4" w:space="0" w:color="auto"/>
              <w:right w:val="nil"/>
            </w:tcBorders>
            <w:shd w:val="clear" w:color="auto" w:fill="auto"/>
            <w:noWrap/>
            <w:vAlign w:val="center"/>
            <w:hideMark/>
          </w:tcPr>
          <w:p w14:paraId="76C1727F" w14:textId="77777777" w:rsidR="00000A31" w:rsidRPr="00000A31" w:rsidRDefault="00000A31" w:rsidP="00000A31">
            <w:pPr>
              <w:spacing w:after="0" w:line="240" w:lineRule="auto"/>
              <w:jc w:val="right"/>
              <w:rPr>
                <w:rFonts w:ascii="Arial" w:hAnsi="Arial" w:cs="Arial"/>
                <w:b/>
                <w:bCs/>
                <w:sz w:val="16"/>
                <w:szCs w:val="16"/>
              </w:rPr>
            </w:pPr>
            <w:r w:rsidRPr="00000A31">
              <w:rPr>
                <w:rFonts w:ascii="Arial" w:hAnsi="Arial" w:cs="Arial"/>
                <w:b/>
                <w:bCs/>
                <w:sz w:val="16"/>
                <w:szCs w:val="16"/>
              </w:rPr>
              <w:t xml:space="preserve">7,087 </w:t>
            </w:r>
          </w:p>
        </w:tc>
        <w:tc>
          <w:tcPr>
            <w:tcW w:w="860" w:type="dxa"/>
            <w:tcBorders>
              <w:top w:val="single" w:sz="4" w:space="0" w:color="auto"/>
              <w:left w:val="nil"/>
              <w:bottom w:val="single" w:sz="4" w:space="0" w:color="auto"/>
              <w:right w:val="nil"/>
            </w:tcBorders>
            <w:shd w:val="clear" w:color="000000" w:fill="E6E6E6"/>
            <w:noWrap/>
            <w:vAlign w:val="center"/>
            <w:hideMark/>
          </w:tcPr>
          <w:p w14:paraId="76C17280" w14:textId="77777777" w:rsidR="00000A31" w:rsidRPr="00000A31" w:rsidRDefault="00000A31" w:rsidP="00000A31">
            <w:pPr>
              <w:spacing w:after="0" w:line="240" w:lineRule="auto"/>
              <w:jc w:val="right"/>
              <w:rPr>
                <w:rFonts w:ascii="Arial" w:hAnsi="Arial" w:cs="Arial"/>
                <w:b/>
                <w:bCs/>
                <w:sz w:val="16"/>
                <w:szCs w:val="16"/>
              </w:rPr>
            </w:pPr>
            <w:r w:rsidRPr="00000A31">
              <w:rPr>
                <w:rFonts w:ascii="Arial" w:hAnsi="Arial" w:cs="Arial"/>
                <w:b/>
                <w:bCs/>
                <w:sz w:val="16"/>
                <w:szCs w:val="16"/>
              </w:rPr>
              <w:t xml:space="preserve">6,130 </w:t>
            </w:r>
          </w:p>
        </w:tc>
        <w:tc>
          <w:tcPr>
            <w:tcW w:w="860" w:type="dxa"/>
            <w:tcBorders>
              <w:top w:val="single" w:sz="4" w:space="0" w:color="auto"/>
              <w:left w:val="nil"/>
              <w:bottom w:val="single" w:sz="4" w:space="0" w:color="auto"/>
              <w:right w:val="nil"/>
            </w:tcBorders>
            <w:shd w:val="clear" w:color="auto" w:fill="auto"/>
            <w:noWrap/>
            <w:vAlign w:val="center"/>
            <w:hideMark/>
          </w:tcPr>
          <w:p w14:paraId="76C17281" w14:textId="77777777" w:rsidR="00000A31" w:rsidRPr="00000A31" w:rsidRDefault="00000A31" w:rsidP="00000A31">
            <w:pPr>
              <w:spacing w:after="0" w:line="240" w:lineRule="auto"/>
              <w:jc w:val="right"/>
              <w:rPr>
                <w:rFonts w:ascii="Arial" w:hAnsi="Arial" w:cs="Arial"/>
                <w:b/>
                <w:bCs/>
                <w:sz w:val="16"/>
                <w:szCs w:val="16"/>
              </w:rPr>
            </w:pPr>
            <w:r w:rsidRPr="00000A31">
              <w:rPr>
                <w:rFonts w:ascii="Arial" w:hAnsi="Arial" w:cs="Arial"/>
                <w:b/>
                <w:bCs/>
                <w:sz w:val="16"/>
                <w:szCs w:val="16"/>
              </w:rPr>
              <w:t xml:space="preserve">5,880 </w:t>
            </w:r>
          </w:p>
        </w:tc>
        <w:tc>
          <w:tcPr>
            <w:tcW w:w="860" w:type="dxa"/>
            <w:tcBorders>
              <w:top w:val="single" w:sz="4" w:space="0" w:color="auto"/>
              <w:left w:val="nil"/>
              <w:bottom w:val="single" w:sz="4" w:space="0" w:color="auto"/>
              <w:right w:val="nil"/>
            </w:tcBorders>
            <w:shd w:val="clear" w:color="auto" w:fill="auto"/>
            <w:noWrap/>
            <w:vAlign w:val="center"/>
            <w:hideMark/>
          </w:tcPr>
          <w:p w14:paraId="76C17282" w14:textId="77777777" w:rsidR="00000A31" w:rsidRPr="00000A31" w:rsidRDefault="00000A31" w:rsidP="00000A31">
            <w:pPr>
              <w:spacing w:after="0" w:line="240" w:lineRule="auto"/>
              <w:jc w:val="right"/>
              <w:rPr>
                <w:rFonts w:ascii="Arial" w:hAnsi="Arial" w:cs="Arial"/>
                <w:b/>
                <w:bCs/>
                <w:sz w:val="16"/>
                <w:szCs w:val="16"/>
              </w:rPr>
            </w:pPr>
            <w:r w:rsidRPr="00000A31">
              <w:rPr>
                <w:rFonts w:ascii="Arial" w:hAnsi="Arial" w:cs="Arial"/>
                <w:b/>
                <w:bCs/>
                <w:sz w:val="16"/>
                <w:szCs w:val="16"/>
              </w:rPr>
              <w:t xml:space="preserve">6,430 </w:t>
            </w:r>
          </w:p>
        </w:tc>
        <w:tc>
          <w:tcPr>
            <w:tcW w:w="860" w:type="dxa"/>
            <w:tcBorders>
              <w:top w:val="single" w:sz="4" w:space="0" w:color="auto"/>
              <w:left w:val="nil"/>
              <w:bottom w:val="single" w:sz="4" w:space="0" w:color="auto"/>
              <w:right w:val="nil"/>
            </w:tcBorders>
            <w:shd w:val="clear" w:color="auto" w:fill="auto"/>
            <w:noWrap/>
            <w:vAlign w:val="center"/>
            <w:hideMark/>
          </w:tcPr>
          <w:p w14:paraId="76C17283" w14:textId="77777777" w:rsidR="00000A31" w:rsidRPr="00000A31" w:rsidRDefault="00000A31" w:rsidP="00000A31">
            <w:pPr>
              <w:spacing w:after="0" w:line="240" w:lineRule="auto"/>
              <w:jc w:val="right"/>
              <w:rPr>
                <w:rFonts w:ascii="Arial" w:hAnsi="Arial" w:cs="Arial"/>
                <w:b/>
                <w:bCs/>
                <w:sz w:val="16"/>
                <w:szCs w:val="16"/>
              </w:rPr>
            </w:pPr>
            <w:r w:rsidRPr="00000A31">
              <w:rPr>
                <w:rFonts w:ascii="Arial" w:hAnsi="Arial" w:cs="Arial"/>
                <w:b/>
                <w:bCs/>
                <w:sz w:val="16"/>
                <w:szCs w:val="16"/>
              </w:rPr>
              <w:t xml:space="preserve">3,580 </w:t>
            </w:r>
          </w:p>
        </w:tc>
      </w:tr>
      <w:tr w:rsidR="00000A31" w:rsidRPr="00000A31" w14:paraId="76C1728B" w14:textId="77777777" w:rsidTr="00000A31">
        <w:trPr>
          <w:trHeight w:val="675"/>
        </w:trPr>
        <w:tc>
          <w:tcPr>
            <w:tcW w:w="2980" w:type="dxa"/>
            <w:tcBorders>
              <w:top w:val="nil"/>
              <w:left w:val="nil"/>
              <w:bottom w:val="nil"/>
              <w:right w:val="nil"/>
            </w:tcBorders>
            <w:shd w:val="clear" w:color="auto" w:fill="auto"/>
            <w:vAlign w:val="center"/>
            <w:hideMark/>
          </w:tcPr>
          <w:p w14:paraId="76C17285" w14:textId="576F60ED" w:rsidR="00000A31" w:rsidRPr="008425FD" w:rsidRDefault="00000A31" w:rsidP="008425FD">
            <w:pPr>
              <w:spacing w:after="0" w:line="240" w:lineRule="auto"/>
              <w:ind w:left="175" w:hanging="175"/>
              <w:jc w:val="left"/>
              <w:rPr>
                <w:rFonts w:ascii="Arial" w:hAnsi="Arial" w:cs="Arial"/>
                <w:b/>
                <w:bCs/>
                <w:color w:val="000000"/>
                <w:sz w:val="16"/>
                <w:szCs w:val="16"/>
              </w:rPr>
            </w:pPr>
            <w:r w:rsidRPr="008425FD">
              <w:rPr>
                <w:rFonts w:ascii="Arial" w:hAnsi="Arial" w:cs="Arial"/>
                <w:b/>
                <w:bCs/>
                <w:color w:val="000000"/>
                <w:sz w:val="16"/>
                <w:szCs w:val="16"/>
              </w:rPr>
              <w:t>RECONCILIATION OF CASH USED TO ACQUIRE ASSETS TO ASSET MOVEMENT TABLE</w:t>
            </w:r>
          </w:p>
        </w:tc>
        <w:tc>
          <w:tcPr>
            <w:tcW w:w="860" w:type="dxa"/>
            <w:tcBorders>
              <w:top w:val="nil"/>
              <w:left w:val="nil"/>
              <w:bottom w:val="nil"/>
              <w:right w:val="nil"/>
            </w:tcBorders>
            <w:shd w:val="clear" w:color="auto" w:fill="auto"/>
            <w:noWrap/>
            <w:vAlign w:val="center"/>
            <w:hideMark/>
          </w:tcPr>
          <w:p w14:paraId="76C17286" w14:textId="77777777" w:rsidR="00000A31" w:rsidRPr="00000A31" w:rsidRDefault="00000A31" w:rsidP="00000A31">
            <w:pPr>
              <w:spacing w:after="0" w:line="240" w:lineRule="auto"/>
              <w:jc w:val="left"/>
              <w:rPr>
                <w:rFonts w:ascii="Arial" w:hAnsi="Arial" w:cs="Arial"/>
                <w:b/>
                <w:bCs/>
                <w:sz w:val="16"/>
                <w:szCs w:val="16"/>
              </w:rPr>
            </w:pPr>
          </w:p>
        </w:tc>
        <w:tc>
          <w:tcPr>
            <w:tcW w:w="860" w:type="dxa"/>
            <w:tcBorders>
              <w:top w:val="nil"/>
              <w:left w:val="nil"/>
              <w:bottom w:val="nil"/>
              <w:right w:val="nil"/>
            </w:tcBorders>
            <w:shd w:val="clear" w:color="000000" w:fill="E6E6E6"/>
            <w:noWrap/>
            <w:vAlign w:val="center"/>
            <w:hideMark/>
          </w:tcPr>
          <w:p w14:paraId="76C17287" w14:textId="77777777" w:rsidR="00000A31" w:rsidRPr="00000A31" w:rsidRDefault="00000A31" w:rsidP="00000A31">
            <w:pPr>
              <w:spacing w:after="0" w:line="240" w:lineRule="auto"/>
              <w:jc w:val="left"/>
              <w:rPr>
                <w:rFonts w:ascii="Arial" w:hAnsi="Arial" w:cs="Arial"/>
                <w:sz w:val="16"/>
                <w:szCs w:val="16"/>
              </w:rPr>
            </w:pPr>
            <w:r w:rsidRPr="00000A31">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76C17288" w14:textId="77777777" w:rsidR="00000A31" w:rsidRPr="00000A31" w:rsidRDefault="00000A31" w:rsidP="00000A31">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76C17289" w14:textId="77777777" w:rsidR="00000A31" w:rsidRPr="00000A31" w:rsidRDefault="00000A31" w:rsidP="00000A31">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728A" w14:textId="77777777" w:rsidR="00000A31" w:rsidRPr="00000A31" w:rsidRDefault="00000A31" w:rsidP="00000A31">
            <w:pPr>
              <w:spacing w:after="0" w:line="240" w:lineRule="auto"/>
              <w:jc w:val="left"/>
              <w:rPr>
                <w:rFonts w:ascii="Times New Roman" w:hAnsi="Times New Roman"/>
              </w:rPr>
            </w:pPr>
          </w:p>
        </w:tc>
      </w:tr>
      <w:tr w:rsidR="00000A31" w:rsidRPr="00000A31" w14:paraId="76C17292" w14:textId="77777777" w:rsidTr="00000A31">
        <w:trPr>
          <w:trHeight w:val="225"/>
        </w:trPr>
        <w:tc>
          <w:tcPr>
            <w:tcW w:w="2980" w:type="dxa"/>
            <w:tcBorders>
              <w:top w:val="nil"/>
              <w:left w:val="nil"/>
              <w:bottom w:val="nil"/>
              <w:right w:val="nil"/>
            </w:tcBorders>
            <w:shd w:val="clear" w:color="auto" w:fill="auto"/>
            <w:noWrap/>
            <w:vAlign w:val="center"/>
            <w:hideMark/>
          </w:tcPr>
          <w:p w14:paraId="76C1728C" w14:textId="77777777" w:rsidR="00000A31" w:rsidRPr="008425FD" w:rsidRDefault="00000A31" w:rsidP="008425FD">
            <w:pPr>
              <w:spacing w:after="0" w:line="240" w:lineRule="auto"/>
              <w:ind w:leftChars="80" w:left="317" w:hangingChars="98" w:hanging="157"/>
              <w:jc w:val="left"/>
              <w:rPr>
                <w:rFonts w:ascii="Arial" w:hAnsi="Arial" w:cs="Arial"/>
                <w:color w:val="000000"/>
                <w:sz w:val="16"/>
                <w:szCs w:val="16"/>
              </w:rPr>
            </w:pPr>
            <w:r w:rsidRPr="008425FD">
              <w:rPr>
                <w:rFonts w:ascii="Arial" w:hAnsi="Arial" w:cs="Arial"/>
                <w:color w:val="000000"/>
                <w:sz w:val="16"/>
                <w:szCs w:val="16"/>
              </w:rPr>
              <w:t>Total purchases</w:t>
            </w:r>
          </w:p>
        </w:tc>
        <w:tc>
          <w:tcPr>
            <w:tcW w:w="860" w:type="dxa"/>
            <w:tcBorders>
              <w:top w:val="nil"/>
              <w:left w:val="nil"/>
              <w:bottom w:val="nil"/>
              <w:right w:val="nil"/>
            </w:tcBorders>
            <w:shd w:val="clear" w:color="auto" w:fill="auto"/>
            <w:noWrap/>
            <w:vAlign w:val="center"/>
            <w:hideMark/>
          </w:tcPr>
          <w:p w14:paraId="76C1728D" w14:textId="77777777" w:rsidR="00000A31" w:rsidRPr="00000A31" w:rsidRDefault="00000A31" w:rsidP="00000A31">
            <w:pPr>
              <w:spacing w:after="0" w:line="240" w:lineRule="auto"/>
              <w:jc w:val="right"/>
              <w:rPr>
                <w:rFonts w:ascii="Arial" w:hAnsi="Arial" w:cs="Arial"/>
                <w:sz w:val="16"/>
                <w:szCs w:val="16"/>
              </w:rPr>
            </w:pPr>
            <w:r w:rsidRPr="00000A31">
              <w:rPr>
                <w:rFonts w:ascii="Arial" w:hAnsi="Arial" w:cs="Arial"/>
                <w:sz w:val="16"/>
                <w:szCs w:val="16"/>
              </w:rPr>
              <w:t xml:space="preserve">7,087 </w:t>
            </w:r>
          </w:p>
        </w:tc>
        <w:tc>
          <w:tcPr>
            <w:tcW w:w="860" w:type="dxa"/>
            <w:tcBorders>
              <w:top w:val="nil"/>
              <w:left w:val="nil"/>
              <w:bottom w:val="nil"/>
              <w:right w:val="nil"/>
            </w:tcBorders>
            <w:shd w:val="clear" w:color="000000" w:fill="E6E6E6"/>
            <w:noWrap/>
            <w:vAlign w:val="center"/>
            <w:hideMark/>
          </w:tcPr>
          <w:p w14:paraId="76C1728E" w14:textId="77777777" w:rsidR="00000A31" w:rsidRPr="00000A31" w:rsidRDefault="00000A31" w:rsidP="00000A31">
            <w:pPr>
              <w:spacing w:after="0" w:line="240" w:lineRule="auto"/>
              <w:jc w:val="right"/>
              <w:rPr>
                <w:rFonts w:ascii="Arial" w:hAnsi="Arial" w:cs="Arial"/>
                <w:sz w:val="16"/>
                <w:szCs w:val="16"/>
              </w:rPr>
            </w:pPr>
            <w:r w:rsidRPr="00000A31">
              <w:rPr>
                <w:rFonts w:ascii="Arial" w:hAnsi="Arial" w:cs="Arial"/>
                <w:sz w:val="16"/>
                <w:szCs w:val="16"/>
              </w:rPr>
              <w:t xml:space="preserve">6,130 </w:t>
            </w:r>
          </w:p>
        </w:tc>
        <w:tc>
          <w:tcPr>
            <w:tcW w:w="860" w:type="dxa"/>
            <w:tcBorders>
              <w:top w:val="nil"/>
              <w:left w:val="nil"/>
              <w:bottom w:val="nil"/>
              <w:right w:val="nil"/>
            </w:tcBorders>
            <w:shd w:val="clear" w:color="auto" w:fill="auto"/>
            <w:noWrap/>
            <w:vAlign w:val="center"/>
            <w:hideMark/>
          </w:tcPr>
          <w:p w14:paraId="76C1728F" w14:textId="77777777" w:rsidR="00000A31" w:rsidRPr="00000A31" w:rsidRDefault="00000A31" w:rsidP="00000A31">
            <w:pPr>
              <w:spacing w:after="0" w:line="240" w:lineRule="auto"/>
              <w:jc w:val="right"/>
              <w:rPr>
                <w:rFonts w:ascii="Arial" w:hAnsi="Arial" w:cs="Arial"/>
                <w:sz w:val="16"/>
                <w:szCs w:val="16"/>
              </w:rPr>
            </w:pPr>
            <w:r w:rsidRPr="00000A31">
              <w:rPr>
                <w:rFonts w:ascii="Arial" w:hAnsi="Arial" w:cs="Arial"/>
                <w:sz w:val="16"/>
                <w:szCs w:val="16"/>
              </w:rPr>
              <w:t xml:space="preserve">5,880 </w:t>
            </w:r>
          </w:p>
        </w:tc>
        <w:tc>
          <w:tcPr>
            <w:tcW w:w="860" w:type="dxa"/>
            <w:tcBorders>
              <w:top w:val="nil"/>
              <w:left w:val="nil"/>
              <w:bottom w:val="nil"/>
              <w:right w:val="nil"/>
            </w:tcBorders>
            <w:shd w:val="clear" w:color="auto" w:fill="auto"/>
            <w:noWrap/>
            <w:vAlign w:val="center"/>
            <w:hideMark/>
          </w:tcPr>
          <w:p w14:paraId="76C17290" w14:textId="77777777" w:rsidR="00000A31" w:rsidRPr="00000A31" w:rsidRDefault="00000A31" w:rsidP="00000A31">
            <w:pPr>
              <w:spacing w:after="0" w:line="240" w:lineRule="auto"/>
              <w:jc w:val="right"/>
              <w:rPr>
                <w:rFonts w:ascii="Arial" w:hAnsi="Arial" w:cs="Arial"/>
                <w:sz w:val="16"/>
                <w:szCs w:val="16"/>
              </w:rPr>
            </w:pPr>
            <w:r w:rsidRPr="00000A31">
              <w:rPr>
                <w:rFonts w:ascii="Arial" w:hAnsi="Arial" w:cs="Arial"/>
                <w:sz w:val="16"/>
                <w:szCs w:val="16"/>
              </w:rPr>
              <w:t xml:space="preserve">6,430 </w:t>
            </w:r>
          </w:p>
        </w:tc>
        <w:tc>
          <w:tcPr>
            <w:tcW w:w="860" w:type="dxa"/>
            <w:tcBorders>
              <w:top w:val="nil"/>
              <w:left w:val="nil"/>
              <w:bottom w:val="nil"/>
              <w:right w:val="nil"/>
            </w:tcBorders>
            <w:shd w:val="clear" w:color="auto" w:fill="auto"/>
            <w:noWrap/>
            <w:vAlign w:val="center"/>
            <w:hideMark/>
          </w:tcPr>
          <w:p w14:paraId="76C17291" w14:textId="77777777" w:rsidR="00000A31" w:rsidRPr="00000A31" w:rsidRDefault="00000A31" w:rsidP="00000A31">
            <w:pPr>
              <w:spacing w:after="0" w:line="240" w:lineRule="auto"/>
              <w:jc w:val="right"/>
              <w:rPr>
                <w:rFonts w:ascii="Arial" w:hAnsi="Arial" w:cs="Arial"/>
                <w:sz w:val="16"/>
                <w:szCs w:val="16"/>
              </w:rPr>
            </w:pPr>
            <w:r w:rsidRPr="00000A31">
              <w:rPr>
                <w:rFonts w:ascii="Arial" w:hAnsi="Arial" w:cs="Arial"/>
                <w:sz w:val="16"/>
                <w:szCs w:val="16"/>
              </w:rPr>
              <w:t xml:space="preserve">3,580 </w:t>
            </w:r>
          </w:p>
        </w:tc>
      </w:tr>
      <w:tr w:rsidR="00000A31" w:rsidRPr="00000A31" w14:paraId="76C17299" w14:textId="77777777" w:rsidTr="00000A31">
        <w:trPr>
          <w:trHeight w:val="225"/>
        </w:trPr>
        <w:tc>
          <w:tcPr>
            <w:tcW w:w="2980" w:type="dxa"/>
            <w:tcBorders>
              <w:top w:val="nil"/>
              <w:left w:val="nil"/>
              <w:bottom w:val="single" w:sz="4" w:space="0" w:color="auto"/>
              <w:right w:val="nil"/>
            </w:tcBorders>
            <w:shd w:val="clear" w:color="auto" w:fill="auto"/>
            <w:vAlign w:val="center"/>
            <w:hideMark/>
          </w:tcPr>
          <w:p w14:paraId="76C17293" w14:textId="77777777" w:rsidR="00000A31" w:rsidRPr="008425FD" w:rsidRDefault="00000A31" w:rsidP="008425FD">
            <w:pPr>
              <w:spacing w:after="0" w:line="240" w:lineRule="auto"/>
              <w:ind w:left="175" w:hanging="175"/>
              <w:jc w:val="left"/>
              <w:rPr>
                <w:rFonts w:ascii="Arial" w:hAnsi="Arial" w:cs="Arial"/>
                <w:b/>
                <w:bCs/>
                <w:color w:val="000000"/>
                <w:sz w:val="16"/>
                <w:szCs w:val="16"/>
              </w:rPr>
            </w:pPr>
            <w:r w:rsidRPr="008425FD">
              <w:rPr>
                <w:rFonts w:ascii="Arial" w:hAnsi="Arial" w:cs="Arial"/>
                <w:b/>
                <w:bCs/>
                <w:color w:val="000000"/>
                <w:sz w:val="16"/>
                <w:szCs w:val="16"/>
              </w:rPr>
              <w:t>Total cash used to acquire assets</w:t>
            </w:r>
          </w:p>
        </w:tc>
        <w:tc>
          <w:tcPr>
            <w:tcW w:w="860" w:type="dxa"/>
            <w:tcBorders>
              <w:top w:val="single" w:sz="4" w:space="0" w:color="auto"/>
              <w:left w:val="nil"/>
              <w:bottom w:val="single" w:sz="4" w:space="0" w:color="auto"/>
              <w:right w:val="nil"/>
            </w:tcBorders>
            <w:shd w:val="clear" w:color="auto" w:fill="auto"/>
            <w:noWrap/>
            <w:vAlign w:val="center"/>
            <w:hideMark/>
          </w:tcPr>
          <w:p w14:paraId="76C17294" w14:textId="77777777" w:rsidR="00000A31" w:rsidRPr="00000A31" w:rsidRDefault="00000A31" w:rsidP="00000A31">
            <w:pPr>
              <w:spacing w:after="0" w:line="240" w:lineRule="auto"/>
              <w:jc w:val="right"/>
              <w:rPr>
                <w:rFonts w:ascii="Arial" w:hAnsi="Arial" w:cs="Arial"/>
                <w:b/>
                <w:bCs/>
                <w:sz w:val="16"/>
                <w:szCs w:val="16"/>
              </w:rPr>
            </w:pPr>
            <w:r w:rsidRPr="00000A31">
              <w:rPr>
                <w:rFonts w:ascii="Arial" w:hAnsi="Arial" w:cs="Arial"/>
                <w:b/>
                <w:bCs/>
                <w:sz w:val="16"/>
                <w:szCs w:val="16"/>
              </w:rPr>
              <w:t xml:space="preserve">7,087 </w:t>
            </w:r>
          </w:p>
        </w:tc>
        <w:tc>
          <w:tcPr>
            <w:tcW w:w="860" w:type="dxa"/>
            <w:tcBorders>
              <w:top w:val="single" w:sz="4" w:space="0" w:color="auto"/>
              <w:left w:val="nil"/>
              <w:bottom w:val="single" w:sz="4" w:space="0" w:color="auto"/>
              <w:right w:val="nil"/>
            </w:tcBorders>
            <w:shd w:val="clear" w:color="000000" w:fill="E6E6E6"/>
            <w:noWrap/>
            <w:vAlign w:val="center"/>
            <w:hideMark/>
          </w:tcPr>
          <w:p w14:paraId="76C17295" w14:textId="77777777" w:rsidR="00000A31" w:rsidRPr="00000A31" w:rsidRDefault="00000A31" w:rsidP="00000A31">
            <w:pPr>
              <w:spacing w:after="0" w:line="240" w:lineRule="auto"/>
              <w:jc w:val="right"/>
              <w:rPr>
                <w:rFonts w:ascii="Arial" w:hAnsi="Arial" w:cs="Arial"/>
                <w:b/>
                <w:bCs/>
                <w:sz w:val="16"/>
                <w:szCs w:val="16"/>
              </w:rPr>
            </w:pPr>
            <w:r w:rsidRPr="00000A31">
              <w:rPr>
                <w:rFonts w:ascii="Arial" w:hAnsi="Arial" w:cs="Arial"/>
                <w:b/>
                <w:bCs/>
                <w:sz w:val="16"/>
                <w:szCs w:val="16"/>
              </w:rPr>
              <w:t xml:space="preserve">6,130 </w:t>
            </w:r>
          </w:p>
        </w:tc>
        <w:tc>
          <w:tcPr>
            <w:tcW w:w="860" w:type="dxa"/>
            <w:tcBorders>
              <w:top w:val="single" w:sz="4" w:space="0" w:color="auto"/>
              <w:left w:val="nil"/>
              <w:bottom w:val="single" w:sz="4" w:space="0" w:color="auto"/>
              <w:right w:val="nil"/>
            </w:tcBorders>
            <w:shd w:val="clear" w:color="auto" w:fill="auto"/>
            <w:noWrap/>
            <w:vAlign w:val="center"/>
            <w:hideMark/>
          </w:tcPr>
          <w:p w14:paraId="76C17296" w14:textId="77777777" w:rsidR="00000A31" w:rsidRPr="00000A31" w:rsidRDefault="00000A31" w:rsidP="00000A31">
            <w:pPr>
              <w:spacing w:after="0" w:line="240" w:lineRule="auto"/>
              <w:jc w:val="right"/>
              <w:rPr>
                <w:rFonts w:ascii="Arial" w:hAnsi="Arial" w:cs="Arial"/>
                <w:b/>
                <w:bCs/>
                <w:sz w:val="16"/>
                <w:szCs w:val="16"/>
              </w:rPr>
            </w:pPr>
            <w:r w:rsidRPr="00000A31">
              <w:rPr>
                <w:rFonts w:ascii="Arial" w:hAnsi="Arial" w:cs="Arial"/>
                <w:b/>
                <w:bCs/>
                <w:sz w:val="16"/>
                <w:szCs w:val="16"/>
              </w:rPr>
              <w:t xml:space="preserve">5,880 </w:t>
            </w:r>
          </w:p>
        </w:tc>
        <w:tc>
          <w:tcPr>
            <w:tcW w:w="860" w:type="dxa"/>
            <w:tcBorders>
              <w:top w:val="single" w:sz="4" w:space="0" w:color="auto"/>
              <w:left w:val="nil"/>
              <w:bottom w:val="single" w:sz="4" w:space="0" w:color="auto"/>
              <w:right w:val="nil"/>
            </w:tcBorders>
            <w:shd w:val="clear" w:color="auto" w:fill="auto"/>
            <w:noWrap/>
            <w:vAlign w:val="center"/>
            <w:hideMark/>
          </w:tcPr>
          <w:p w14:paraId="76C17297" w14:textId="77777777" w:rsidR="00000A31" w:rsidRPr="00000A31" w:rsidRDefault="00000A31" w:rsidP="00000A31">
            <w:pPr>
              <w:spacing w:after="0" w:line="240" w:lineRule="auto"/>
              <w:jc w:val="right"/>
              <w:rPr>
                <w:rFonts w:ascii="Arial" w:hAnsi="Arial" w:cs="Arial"/>
                <w:b/>
                <w:bCs/>
                <w:sz w:val="16"/>
                <w:szCs w:val="16"/>
              </w:rPr>
            </w:pPr>
            <w:r w:rsidRPr="00000A31">
              <w:rPr>
                <w:rFonts w:ascii="Arial" w:hAnsi="Arial" w:cs="Arial"/>
                <w:b/>
                <w:bCs/>
                <w:sz w:val="16"/>
                <w:szCs w:val="16"/>
              </w:rPr>
              <w:t xml:space="preserve">6,430 </w:t>
            </w:r>
          </w:p>
        </w:tc>
        <w:tc>
          <w:tcPr>
            <w:tcW w:w="860" w:type="dxa"/>
            <w:tcBorders>
              <w:top w:val="single" w:sz="4" w:space="0" w:color="auto"/>
              <w:left w:val="nil"/>
              <w:bottom w:val="single" w:sz="4" w:space="0" w:color="auto"/>
              <w:right w:val="nil"/>
            </w:tcBorders>
            <w:shd w:val="clear" w:color="auto" w:fill="auto"/>
            <w:noWrap/>
            <w:vAlign w:val="center"/>
            <w:hideMark/>
          </w:tcPr>
          <w:p w14:paraId="76C17298" w14:textId="77777777" w:rsidR="00000A31" w:rsidRPr="00000A31" w:rsidRDefault="00000A31" w:rsidP="00000A31">
            <w:pPr>
              <w:spacing w:after="0" w:line="240" w:lineRule="auto"/>
              <w:jc w:val="right"/>
              <w:rPr>
                <w:rFonts w:ascii="Arial" w:hAnsi="Arial" w:cs="Arial"/>
                <w:b/>
                <w:bCs/>
                <w:sz w:val="16"/>
                <w:szCs w:val="16"/>
              </w:rPr>
            </w:pPr>
            <w:r w:rsidRPr="00000A31">
              <w:rPr>
                <w:rFonts w:ascii="Arial" w:hAnsi="Arial" w:cs="Arial"/>
                <w:b/>
                <w:bCs/>
                <w:sz w:val="16"/>
                <w:szCs w:val="16"/>
              </w:rPr>
              <w:t xml:space="preserve">3,580 </w:t>
            </w:r>
          </w:p>
        </w:tc>
      </w:tr>
    </w:tbl>
    <w:p w14:paraId="76C1729A" w14:textId="77777777" w:rsidR="00DF0134" w:rsidRDefault="00DF0134" w:rsidP="003732E1">
      <w:pPr>
        <w:pStyle w:val="TableGraphic"/>
        <w:spacing w:before="120"/>
        <w:jc w:val="left"/>
        <w:rPr>
          <w:rFonts w:ascii="Arial" w:hAnsi="Arial" w:cs="Arial"/>
          <w:sz w:val="16"/>
          <w:szCs w:val="16"/>
        </w:rPr>
      </w:pPr>
      <w:r w:rsidRPr="00132F9E">
        <w:rPr>
          <w:rFonts w:ascii="Arial" w:hAnsi="Arial" w:cs="Arial"/>
          <w:sz w:val="16"/>
          <w:szCs w:val="16"/>
        </w:rPr>
        <w:t>Prepared on Australian Accounting Standards basis.</w:t>
      </w:r>
    </w:p>
    <w:p w14:paraId="76C1729B" w14:textId="77777777" w:rsidR="00000A31" w:rsidRDefault="00000A31" w:rsidP="00000A31"/>
    <w:p w14:paraId="76C1729C" w14:textId="77777777" w:rsidR="00000A31" w:rsidRDefault="00000A31" w:rsidP="00000A31">
      <w:pPr>
        <w:pStyle w:val="TableHeading"/>
      </w:pPr>
      <w:r w:rsidRPr="00D30CBA">
        <w:t>Table</w:t>
      </w:r>
      <w:r>
        <w:t xml:space="preserve"> 3.6</w:t>
      </w:r>
      <w:r w:rsidRPr="00D30CBA">
        <w:t xml:space="preserve">: </w:t>
      </w:r>
      <w:r>
        <w:t xml:space="preserve">Statement of asset movements (Budget year </w:t>
      </w:r>
      <w:r w:rsidR="009A4174">
        <w:t>2019–20</w:t>
      </w:r>
      <w:r>
        <w:t>)</w:t>
      </w:r>
    </w:p>
    <w:tbl>
      <w:tblPr>
        <w:tblW w:w="7280" w:type="dxa"/>
        <w:tblLook w:val="04A0" w:firstRow="1" w:lastRow="0" w:firstColumn="1" w:lastColumn="0" w:noHBand="0" w:noVBand="1"/>
      </w:tblPr>
      <w:tblGrid>
        <w:gridCol w:w="3080"/>
        <w:gridCol w:w="1400"/>
        <w:gridCol w:w="1400"/>
        <w:gridCol w:w="1400"/>
      </w:tblGrid>
      <w:tr w:rsidR="00D939C1" w:rsidRPr="00D939C1" w14:paraId="76C172A1" w14:textId="77777777" w:rsidTr="00823848">
        <w:trPr>
          <w:trHeight w:val="898"/>
        </w:trPr>
        <w:tc>
          <w:tcPr>
            <w:tcW w:w="3080" w:type="dxa"/>
            <w:tcBorders>
              <w:top w:val="single" w:sz="4" w:space="0" w:color="auto"/>
              <w:left w:val="nil"/>
              <w:bottom w:val="nil"/>
              <w:right w:val="nil"/>
            </w:tcBorders>
            <w:shd w:val="clear" w:color="auto" w:fill="auto"/>
            <w:noWrap/>
            <w:vAlign w:val="center"/>
            <w:hideMark/>
          </w:tcPr>
          <w:p w14:paraId="76C1729D" w14:textId="77777777" w:rsidR="00D939C1" w:rsidRPr="00D939C1" w:rsidRDefault="00D939C1" w:rsidP="00D939C1">
            <w:pPr>
              <w:spacing w:after="0" w:line="240" w:lineRule="auto"/>
              <w:jc w:val="left"/>
              <w:rPr>
                <w:rFonts w:ascii="Arial" w:hAnsi="Arial" w:cs="Arial"/>
                <w:sz w:val="16"/>
                <w:szCs w:val="16"/>
              </w:rPr>
            </w:pPr>
            <w:r w:rsidRPr="00D939C1">
              <w:rPr>
                <w:rFonts w:ascii="Arial" w:hAnsi="Arial" w:cs="Arial"/>
                <w:sz w:val="16"/>
                <w:szCs w:val="16"/>
              </w:rPr>
              <w:t> </w:t>
            </w:r>
          </w:p>
        </w:tc>
        <w:tc>
          <w:tcPr>
            <w:tcW w:w="1400" w:type="dxa"/>
            <w:tcBorders>
              <w:top w:val="single" w:sz="4" w:space="0" w:color="auto"/>
              <w:left w:val="nil"/>
              <w:bottom w:val="single" w:sz="4" w:space="0" w:color="auto"/>
              <w:right w:val="nil"/>
            </w:tcBorders>
            <w:shd w:val="clear" w:color="auto" w:fill="auto"/>
            <w:vAlign w:val="center"/>
            <w:hideMark/>
          </w:tcPr>
          <w:p w14:paraId="76C1729E" w14:textId="77777777" w:rsidR="00D939C1" w:rsidRPr="00D939C1" w:rsidRDefault="00D939C1" w:rsidP="00D126BC">
            <w:pPr>
              <w:spacing w:after="0" w:line="240" w:lineRule="auto"/>
              <w:jc w:val="right"/>
              <w:rPr>
                <w:rFonts w:ascii="Arial" w:hAnsi="Arial" w:cs="Arial"/>
                <w:sz w:val="16"/>
                <w:szCs w:val="16"/>
              </w:rPr>
            </w:pPr>
            <w:r w:rsidRPr="00D939C1">
              <w:rPr>
                <w:rFonts w:ascii="Arial" w:hAnsi="Arial" w:cs="Arial"/>
                <w:sz w:val="16"/>
                <w:szCs w:val="16"/>
              </w:rPr>
              <w:t>Other</w:t>
            </w:r>
            <w:r w:rsidR="004C7C00">
              <w:rPr>
                <w:rFonts w:ascii="Arial" w:hAnsi="Arial" w:cs="Arial"/>
                <w:sz w:val="16"/>
                <w:szCs w:val="16"/>
              </w:rPr>
              <w:t xml:space="preserve"> </w:t>
            </w:r>
            <w:r w:rsidRPr="00D939C1">
              <w:rPr>
                <w:rFonts w:ascii="Arial" w:hAnsi="Arial" w:cs="Arial"/>
                <w:sz w:val="16"/>
                <w:szCs w:val="16"/>
              </w:rPr>
              <w:t>property,</w:t>
            </w:r>
            <w:r w:rsidRPr="00D939C1">
              <w:rPr>
                <w:rFonts w:ascii="Arial" w:hAnsi="Arial" w:cs="Arial"/>
                <w:sz w:val="16"/>
                <w:szCs w:val="16"/>
              </w:rPr>
              <w:br/>
              <w:t>plant and</w:t>
            </w:r>
            <w:r w:rsidRPr="00D939C1">
              <w:rPr>
                <w:rFonts w:ascii="Arial" w:hAnsi="Arial" w:cs="Arial"/>
                <w:sz w:val="16"/>
                <w:szCs w:val="16"/>
              </w:rPr>
              <w:br/>
              <w:t>equipment</w:t>
            </w:r>
            <w:r w:rsidRPr="00D939C1">
              <w:rPr>
                <w:rFonts w:ascii="Arial" w:hAnsi="Arial" w:cs="Arial"/>
                <w:sz w:val="16"/>
                <w:szCs w:val="16"/>
              </w:rPr>
              <w:br/>
              <w:t>$'000</w:t>
            </w:r>
          </w:p>
        </w:tc>
        <w:tc>
          <w:tcPr>
            <w:tcW w:w="1400" w:type="dxa"/>
            <w:tcBorders>
              <w:top w:val="single" w:sz="4" w:space="0" w:color="auto"/>
              <w:left w:val="nil"/>
              <w:bottom w:val="single" w:sz="4" w:space="0" w:color="auto"/>
              <w:right w:val="nil"/>
            </w:tcBorders>
            <w:shd w:val="clear" w:color="auto" w:fill="auto"/>
            <w:vAlign w:val="center"/>
            <w:hideMark/>
          </w:tcPr>
          <w:p w14:paraId="76C1729F" w14:textId="77777777" w:rsidR="00D939C1" w:rsidRPr="00D939C1" w:rsidRDefault="00D939C1" w:rsidP="00D126BC">
            <w:pPr>
              <w:spacing w:after="0" w:line="240" w:lineRule="auto"/>
              <w:jc w:val="right"/>
              <w:rPr>
                <w:rFonts w:ascii="Arial" w:hAnsi="Arial" w:cs="Arial"/>
                <w:sz w:val="16"/>
                <w:szCs w:val="16"/>
              </w:rPr>
            </w:pPr>
            <w:r w:rsidRPr="00D939C1">
              <w:rPr>
                <w:rFonts w:ascii="Arial" w:hAnsi="Arial" w:cs="Arial"/>
                <w:sz w:val="16"/>
                <w:szCs w:val="16"/>
              </w:rPr>
              <w:t>Computer</w:t>
            </w:r>
            <w:r w:rsidRPr="00D939C1">
              <w:rPr>
                <w:rFonts w:ascii="Arial" w:hAnsi="Arial" w:cs="Arial"/>
                <w:sz w:val="16"/>
                <w:szCs w:val="16"/>
              </w:rPr>
              <w:br/>
              <w:t>software and</w:t>
            </w:r>
            <w:r w:rsidRPr="00D939C1">
              <w:rPr>
                <w:rFonts w:ascii="Arial" w:hAnsi="Arial" w:cs="Arial"/>
                <w:sz w:val="16"/>
                <w:szCs w:val="16"/>
              </w:rPr>
              <w:br/>
              <w:t>intangibles</w:t>
            </w:r>
            <w:r w:rsidRPr="00D939C1">
              <w:rPr>
                <w:rFonts w:ascii="Arial" w:hAnsi="Arial" w:cs="Arial"/>
                <w:sz w:val="16"/>
                <w:szCs w:val="16"/>
              </w:rPr>
              <w:br/>
              <w:t>$'000</w:t>
            </w:r>
          </w:p>
        </w:tc>
        <w:tc>
          <w:tcPr>
            <w:tcW w:w="1400" w:type="dxa"/>
            <w:tcBorders>
              <w:top w:val="single" w:sz="4" w:space="0" w:color="auto"/>
              <w:left w:val="nil"/>
              <w:bottom w:val="single" w:sz="4" w:space="0" w:color="auto"/>
              <w:right w:val="nil"/>
            </w:tcBorders>
            <w:shd w:val="clear" w:color="auto" w:fill="auto"/>
            <w:vAlign w:val="center"/>
            <w:hideMark/>
          </w:tcPr>
          <w:p w14:paraId="76C172A0" w14:textId="77777777" w:rsidR="00D939C1" w:rsidRPr="00D939C1" w:rsidRDefault="00D126BC" w:rsidP="00D126BC">
            <w:pPr>
              <w:spacing w:after="0" w:line="240" w:lineRule="auto"/>
              <w:jc w:val="right"/>
              <w:rPr>
                <w:rFonts w:ascii="Arial" w:hAnsi="Arial" w:cs="Arial"/>
                <w:sz w:val="16"/>
                <w:szCs w:val="16"/>
              </w:rPr>
            </w:pPr>
            <w:r w:rsidRPr="00D939C1">
              <w:rPr>
                <w:rFonts w:ascii="Arial" w:hAnsi="Arial" w:cs="Arial"/>
                <w:sz w:val="16"/>
                <w:szCs w:val="16"/>
              </w:rPr>
              <w:t>Total</w:t>
            </w:r>
            <w:r w:rsidR="00D939C1" w:rsidRPr="00D939C1">
              <w:rPr>
                <w:rFonts w:ascii="Arial" w:hAnsi="Arial" w:cs="Arial"/>
                <w:sz w:val="16"/>
                <w:szCs w:val="16"/>
              </w:rPr>
              <w:br/>
              <w:t>$'000</w:t>
            </w:r>
          </w:p>
        </w:tc>
      </w:tr>
      <w:tr w:rsidR="00D939C1" w:rsidRPr="00D939C1" w14:paraId="76C172A6" w14:textId="77777777" w:rsidTr="00D939C1">
        <w:trPr>
          <w:trHeight w:val="225"/>
        </w:trPr>
        <w:tc>
          <w:tcPr>
            <w:tcW w:w="3080" w:type="dxa"/>
            <w:tcBorders>
              <w:top w:val="nil"/>
              <w:left w:val="nil"/>
              <w:bottom w:val="nil"/>
              <w:right w:val="nil"/>
            </w:tcBorders>
            <w:shd w:val="clear" w:color="auto" w:fill="auto"/>
            <w:vAlign w:val="bottom"/>
            <w:hideMark/>
          </w:tcPr>
          <w:p w14:paraId="76C172A2" w14:textId="77777777" w:rsidR="00D939C1" w:rsidRPr="00D939C1" w:rsidRDefault="00D939C1" w:rsidP="00D939C1">
            <w:pPr>
              <w:spacing w:after="0" w:line="240" w:lineRule="auto"/>
              <w:jc w:val="left"/>
              <w:rPr>
                <w:rFonts w:ascii="Arial" w:hAnsi="Arial" w:cs="Arial"/>
                <w:b/>
                <w:bCs/>
                <w:sz w:val="16"/>
                <w:szCs w:val="16"/>
              </w:rPr>
            </w:pPr>
            <w:r w:rsidRPr="00D939C1">
              <w:rPr>
                <w:rFonts w:ascii="Arial" w:hAnsi="Arial" w:cs="Arial"/>
                <w:b/>
                <w:bCs/>
                <w:sz w:val="16"/>
                <w:szCs w:val="16"/>
              </w:rPr>
              <w:t>As at 1 July 2019</w:t>
            </w:r>
          </w:p>
        </w:tc>
        <w:tc>
          <w:tcPr>
            <w:tcW w:w="1400" w:type="dxa"/>
            <w:tcBorders>
              <w:top w:val="nil"/>
              <w:left w:val="nil"/>
              <w:bottom w:val="nil"/>
              <w:right w:val="nil"/>
            </w:tcBorders>
            <w:shd w:val="clear" w:color="auto" w:fill="auto"/>
            <w:noWrap/>
            <w:vAlign w:val="bottom"/>
            <w:hideMark/>
          </w:tcPr>
          <w:p w14:paraId="76C172A3" w14:textId="77777777" w:rsidR="00D939C1" w:rsidRPr="00D939C1" w:rsidRDefault="00D939C1" w:rsidP="00D939C1">
            <w:pPr>
              <w:spacing w:after="0" w:line="240" w:lineRule="auto"/>
              <w:jc w:val="left"/>
              <w:rPr>
                <w:rFonts w:ascii="Arial" w:hAnsi="Arial" w:cs="Arial"/>
                <w:b/>
                <w:bCs/>
                <w:sz w:val="16"/>
                <w:szCs w:val="16"/>
              </w:rPr>
            </w:pPr>
          </w:p>
        </w:tc>
        <w:tc>
          <w:tcPr>
            <w:tcW w:w="1400" w:type="dxa"/>
            <w:tcBorders>
              <w:top w:val="nil"/>
              <w:left w:val="nil"/>
              <w:bottom w:val="nil"/>
              <w:right w:val="nil"/>
            </w:tcBorders>
            <w:shd w:val="clear" w:color="auto" w:fill="auto"/>
            <w:noWrap/>
            <w:vAlign w:val="bottom"/>
            <w:hideMark/>
          </w:tcPr>
          <w:p w14:paraId="76C172A4" w14:textId="77777777" w:rsidR="00D939C1" w:rsidRPr="00D939C1" w:rsidRDefault="00D939C1" w:rsidP="00D939C1">
            <w:pPr>
              <w:spacing w:after="0" w:line="240" w:lineRule="auto"/>
              <w:jc w:val="left"/>
              <w:rPr>
                <w:rFonts w:ascii="Times New Roman" w:hAnsi="Times New Roman"/>
              </w:rPr>
            </w:pPr>
          </w:p>
        </w:tc>
        <w:tc>
          <w:tcPr>
            <w:tcW w:w="1400" w:type="dxa"/>
            <w:tcBorders>
              <w:top w:val="nil"/>
              <w:left w:val="nil"/>
              <w:bottom w:val="nil"/>
              <w:right w:val="nil"/>
            </w:tcBorders>
            <w:shd w:val="clear" w:color="auto" w:fill="auto"/>
            <w:noWrap/>
            <w:vAlign w:val="bottom"/>
            <w:hideMark/>
          </w:tcPr>
          <w:p w14:paraId="76C172A5" w14:textId="77777777" w:rsidR="00D939C1" w:rsidRPr="00D939C1" w:rsidRDefault="00D939C1" w:rsidP="00D939C1">
            <w:pPr>
              <w:spacing w:after="0" w:line="240" w:lineRule="auto"/>
              <w:jc w:val="left"/>
              <w:rPr>
                <w:rFonts w:ascii="Times New Roman" w:hAnsi="Times New Roman"/>
              </w:rPr>
            </w:pPr>
          </w:p>
        </w:tc>
      </w:tr>
      <w:tr w:rsidR="00D939C1" w:rsidRPr="00D939C1" w14:paraId="76C172AB" w14:textId="77777777" w:rsidTr="00D939C1">
        <w:trPr>
          <w:trHeight w:val="225"/>
        </w:trPr>
        <w:tc>
          <w:tcPr>
            <w:tcW w:w="3080" w:type="dxa"/>
            <w:tcBorders>
              <w:top w:val="nil"/>
              <w:left w:val="nil"/>
              <w:bottom w:val="nil"/>
              <w:right w:val="nil"/>
            </w:tcBorders>
            <w:shd w:val="clear" w:color="auto" w:fill="auto"/>
            <w:vAlign w:val="bottom"/>
            <w:hideMark/>
          </w:tcPr>
          <w:p w14:paraId="76C172A7" w14:textId="77777777" w:rsidR="00D939C1" w:rsidRPr="008425FD" w:rsidRDefault="00D939C1" w:rsidP="008425FD">
            <w:pPr>
              <w:spacing w:after="0" w:line="240" w:lineRule="auto"/>
              <w:ind w:leftChars="80" w:left="317" w:hangingChars="98" w:hanging="157"/>
              <w:jc w:val="left"/>
              <w:rPr>
                <w:rFonts w:ascii="Arial" w:hAnsi="Arial" w:cs="Arial"/>
                <w:color w:val="000000"/>
                <w:sz w:val="16"/>
                <w:szCs w:val="16"/>
              </w:rPr>
            </w:pPr>
            <w:r w:rsidRPr="008425FD">
              <w:rPr>
                <w:rFonts w:ascii="Arial" w:hAnsi="Arial" w:cs="Arial"/>
                <w:color w:val="000000"/>
                <w:sz w:val="16"/>
                <w:szCs w:val="16"/>
              </w:rPr>
              <w:t xml:space="preserve">Gross book value </w:t>
            </w:r>
          </w:p>
        </w:tc>
        <w:tc>
          <w:tcPr>
            <w:tcW w:w="1400" w:type="dxa"/>
            <w:tcBorders>
              <w:top w:val="nil"/>
              <w:left w:val="nil"/>
              <w:bottom w:val="nil"/>
              <w:right w:val="nil"/>
            </w:tcBorders>
            <w:shd w:val="clear" w:color="auto" w:fill="auto"/>
            <w:noWrap/>
            <w:vAlign w:val="bottom"/>
            <w:hideMark/>
          </w:tcPr>
          <w:p w14:paraId="76C172A8"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 xml:space="preserve">34,958 </w:t>
            </w:r>
          </w:p>
        </w:tc>
        <w:tc>
          <w:tcPr>
            <w:tcW w:w="1400" w:type="dxa"/>
            <w:tcBorders>
              <w:top w:val="nil"/>
              <w:left w:val="nil"/>
              <w:bottom w:val="nil"/>
              <w:right w:val="nil"/>
            </w:tcBorders>
            <w:shd w:val="clear" w:color="auto" w:fill="auto"/>
            <w:noWrap/>
            <w:vAlign w:val="bottom"/>
            <w:hideMark/>
          </w:tcPr>
          <w:p w14:paraId="76C172A9"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 xml:space="preserve">27,002 </w:t>
            </w:r>
          </w:p>
        </w:tc>
        <w:tc>
          <w:tcPr>
            <w:tcW w:w="1400" w:type="dxa"/>
            <w:tcBorders>
              <w:top w:val="nil"/>
              <w:left w:val="nil"/>
              <w:bottom w:val="nil"/>
              <w:right w:val="nil"/>
            </w:tcBorders>
            <w:shd w:val="clear" w:color="auto" w:fill="auto"/>
            <w:noWrap/>
            <w:vAlign w:val="bottom"/>
            <w:hideMark/>
          </w:tcPr>
          <w:p w14:paraId="76C172AA"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 xml:space="preserve">61,960 </w:t>
            </w:r>
          </w:p>
        </w:tc>
      </w:tr>
      <w:tr w:rsidR="00D939C1" w:rsidRPr="00D939C1" w14:paraId="76C172B0" w14:textId="77777777" w:rsidTr="00D939C1">
        <w:trPr>
          <w:trHeight w:val="450"/>
        </w:trPr>
        <w:tc>
          <w:tcPr>
            <w:tcW w:w="3080" w:type="dxa"/>
            <w:tcBorders>
              <w:top w:val="nil"/>
              <w:left w:val="nil"/>
              <w:bottom w:val="nil"/>
              <w:right w:val="nil"/>
            </w:tcBorders>
            <w:shd w:val="clear" w:color="auto" w:fill="auto"/>
            <w:vAlign w:val="bottom"/>
            <w:hideMark/>
          </w:tcPr>
          <w:p w14:paraId="76C172AC" w14:textId="6293C42E" w:rsidR="00D939C1" w:rsidRPr="008425FD" w:rsidRDefault="00D939C1" w:rsidP="008425FD">
            <w:pPr>
              <w:spacing w:after="0" w:line="240" w:lineRule="auto"/>
              <w:ind w:leftChars="80" w:left="317" w:hangingChars="98" w:hanging="157"/>
              <w:jc w:val="left"/>
              <w:rPr>
                <w:rFonts w:ascii="Arial" w:hAnsi="Arial" w:cs="Arial"/>
                <w:color w:val="000000"/>
                <w:sz w:val="16"/>
                <w:szCs w:val="16"/>
              </w:rPr>
            </w:pPr>
            <w:r w:rsidRPr="008425FD">
              <w:rPr>
                <w:rFonts w:ascii="Arial" w:hAnsi="Arial" w:cs="Arial"/>
                <w:color w:val="000000"/>
                <w:sz w:val="16"/>
                <w:szCs w:val="16"/>
              </w:rPr>
              <w:t>Accumulated depreciation/</w:t>
            </w:r>
            <w:r w:rsidR="008425FD">
              <w:rPr>
                <w:rFonts w:ascii="Arial" w:hAnsi="Arial" w:cs="Arial"/>
                <w:color w:val="000000"/>
                <w:sz w:val="16"/>
                <w:szCs w:val="16"/>
              </w:rPr>
              <w:br/>
            </w:r>
            <w:r w:rsidRPr="008425FD">
              <w:rPr>
                <w:rFonts w:ascii="Arial" w:hAnsi="Arial" w:cs="Arial"/>
                <w:color w:val="000000"/>
                <w:sz w:val="16"/>
                <w:szCs w:val="16"/>
              </w:rPr>
              <w:t>amortisation and impairment</w:t>
            </w:r>
          </w:p>
        </w:tc>
        <w:tc>
          <w:tcPr>
            <w:tcW w:w="1400" w:type="dxa"/>
            <w:tcBorders>
              <w:top w:val="nil"/>
              <w:left w:val="nil"/>
              <w:bottom w:val="nil"/>
              <w:right w:val="nil"/>
            </w:tcBorders>
            <w:shd w:val="clear" w:color="auto" w:fill="auto"/>
            <w:noWrap/>
            <w:vAlign w:val="bottom"/>
            <w:hideMark/>
          </w:tcPr>
          <w:p w14:paraId="76C172AD"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(23,862)</w:t>
            </w:r>
          </w:p>
        </w:tc>
        <w:tc>
          <w:tcPr>
            <w:tcW w:w="1400" w:type="dxa"/>
            <w:tcBorders>
              <w:top w:val="nil"/>
              <w:left w:val="nil"/>
              <w:bottom w:val="nil"/>
              <w:right w:val="nil"/>
            </w:tcBorders>
            <w:shd w:val="clear" w:color="auto" w:fill="auto"/>
            <w:noWrap/>
            <w:vAlign w:val="bottom"/>
            <w:hideMark/>
          </w:tcPr>
          <w:p w14:paraId="76C172AE"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(18,422)</w:t>
            </w:r>
          </w:p>
        </w:tc>
        <w:tc>
          <w:tcPr>
            <w:tcW w:w="1400" w:type="dxa"/>
            <w:tcBorders>
              <w:top w:val="nil"/>
              <w:left w:val="nil"/>
              <w:bottom w:val="nil"/>
              <w:right w:val="nil"/>
            </w:tcBorders>
            <w:shd w:val="clear" w:color="auto" w:fill="auto"/>
            <w:noWrap/>
            <w:vAlign w:val="bottom"/>
            <w:hideMark/>
          </w:tcPr>
          <w:p w14:paraId="76C172AF"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(42,284)</w:t>
            </w:r>
          </w:p>
        </w:tc>
      </w:tr>
      <w:tr w:rsidR="00D939C1" w:rsidRPr="00D939C1" w14:paraId="76C172B5" w14:textId="77777777" w:rsidTr="00D939C1">
        <w:trPr>
          <w:trHeight w:val="225"/>
        </w:trPr>
        <w:tc>
          <w:tcPr>
            <w:tcW w:w="3080" w:type="dxa"/>
            <w:tcBorders>
              <w:top w:val="nil"/>
              <w:left w:val="nil"/>
              <w:bottom w:val="nil"/>
              <w:right w:val="nil"/>
            </w:tcBorders>
            <w:shd w:val="clear" w:color="auto" w:fill="auto"/>
            <w:vAlign w:val="bottom"/>
            <w:hideMark/>
          </w:tcPr>
          <w:p w14:paraId="76C172B1" w14:textId="77777777" w:rsidR="00D939C1" w:rsidRPr="008425FD" w:rsidRDefault="00D939C1" w:rsidP="008425FD">
            <w:pPr>
              <w:spacing w:after="0" w:line="240" w:lineRule="auto"/>
              <w:ind w:left="175" w:hanging="175"/>
              <w:jc w:val="left"/>
              <w:rPr>
                <w:rFonts w:ascii="Arial" w:hAnsi="Arial" w:cs="Arial"/>
                <w:b/>
                <w:bCs/>
                <w:color w:val="000000"/>
                <w:sz w:val="16"/>
                <w:szCs w:val="16"/>
              </w:rPr>
            </w:pPr>
            <w:r w:rsidRPr="008425FD">
              <w:rPr>
                <w:rFonts w:ascii="Arial" w:hAnsi="Arial" w:cs="Arial"/>
                <w:b/>
                <w:bCs/>
                <w:color w:val="000000"/>
                <w:sz w:val="16"/>
                <w:szCs w:val="16"/>
              </w:rPr>
              <w:t>Opening net book balance</w:t>
            </w:r>
          </w:p>
        </w:tc>
        <w:tc>
          <w:tcPr>
            <w:tcW w:w="1400" w:type="dxa"/>
            <w:tcBorders>
              <w:top w:val="single" w:sz="4" w:space="0" w:color="auto"/>
              <w:left w:val="nil"/>
              <w:bottom w:val="single" w:sz="4" w:space="0" w:color="auto"/>
              <w:right w:val="nil"/>
            </w:tcBorders>
            <w:shd w:val="clear" w:color="auto" w:fill="auto"/>
            <w:noWrap/>
            <w:vAlign w:val="bottom"/>
            <w:hideMark/>
          </w:tcPr>
          <w:p w14:paraId="76C172B2" w14:textId="77777777" w:rsidR="00D939C1" w:rsidRPr="00D939C1" w:rsidRDefault="00D939C1" w:rsidP="00D939C1">
            <w:pPr>
              <w:spacing w:after="0" w:line="240" w:lineRule="auto"/>
              <w:jc w:val="right"/>
              <w:rPr>
                <w:rFonts w:ascii="Arial" w:hAnsi="Arial" w:cs="Arial"/>
                <w:b/>
                <w:bCs/>
                <w:sz w:val="16"/>
                <w:szCs w:val="16"/>
              </w:rPr>
            </w:pPr>
            <w:r w:rsidRPr="00D939C1">
              <w:rPr>
                <w:rFonts w:ascii="Arial" w:hAnsi="Arial" w:cs="Arial"/>
                <w:b/>
                <w:bCs/>
                <w:sz w:val="16"/>
                <w:szCs w:val="16"/>
              </w:rPr>
              <w:t xml:space="preserve">11,096 </w:t>
            </w:r>
          </w:p>
        </w:tc>
        <w:tc>
          <w:tcPr>
            <w:tcW w:w="1400" w:type="dxa"/>
            <w:tcBorders>
              <w:top w:val="single" w:sz="4" w:space="0" w:color="auto"/>
              <w:left w:val="nil"/>
              <w:bottom w:val="single" w:sz="4" w:space="0" w:color="auto"/>
              <w:right w:val="nil"/>
            </w:tcBorders>
            <w:shd w:val="clear" w:color="auto" w:fill="auto"/>
            <w:noWrap/>
            <w:vAlign w:val="bottom"/>
            <w:hideMark/>
          </w:tcPr>
          <w:p w14:paraId="76C172B3" w14:textId="77777777" w:rsidR="00D939C1" w:rsidRPr="00D939C1" w:rsidRDefault="00D939C1" w:rsidP="00D939C1">
            <w:pPr>
              <w:spacing w:after="0" w:line="240" w:lineRule="auto"/>
              <w:jc w:val="right"/>
              <w:rPr>
                <w:rFonts w:ascii="Arial" w:hAnsi="Arial" w:cs="Arial"/>
                <w:b/>
                <w:bCs/>
                <w:sz w:val="16"/>
                <w:szCs w:val="16"/>
              </w:rPr>
            </w:pPr>
            <w:r w:rsidRPr="00D939C1">
              <w:rPr>
                <w:rFonts w:ascii="Arial" w:hAnsi="Arial" w:cs="Arial"/>
                <w:b/>
                <w:bCs/>
                <w:sz w:val="16"/>
                <w:szCs w:val="16"/>
              </w:rPr>
              <w:t xml:space="preserve">8,580 </w:t>
            </w:r>
          </w:p>
        </w:tc>
        <w:tc>
          <w:tcPr>
            <w:tcW w:w="1400" w:type="dxa"/>
            <w:tcBorders>
              <w:top w:val="single" w:sz="4" w:space="0" w:color="auto"/>
              <w:left w:val="nil"/>
              <w:bottom w:val="single" w:sz="4" w:space="0" w:color="auto"/>
              <w:right w:val="nil"/>
            </w:tcBorders>
            <w:shd w:val="clear" w:color="auto" w:fill="auto"/>
            <w:noWrap/>
            <w:vAlign w:val="bottom"/>
            <w:hideMark/>
          </w:tcPr>
          <w:p w14:paraId="76C172B4" w14:textId="77777777" w:rsidR="00D939C1" w:rsidRPr="00D939C1" w:rsidRDefault="00D939C1" w:rsidP="00D939C1">
            <w:pPr>
              <w:spacing w:after="0" w:line="240" w:lineRule="auto"/>
              <w:jc w:val="right"/>
              <w:rPr>
                <w:rFonts w:ascii="Arial" w:hAnsi="Arial" w:cs="Arial"/>
                <w:b/>
                <w:bCs/>
                <w:sz w:val="16"/>
                <w:szCs w:val="16"/>
              </w:rPr>
            </w:pPr>
            <w:r w:rsidRPr="00D939C1">
              <w:rPr>
                <w:rFonts w:ascii="Arial" w:hAnsi="Arial" w:cs="Arial"/>
                <w:b/>
                <w:bCs/>
                <w:sz w:val="16"/>
                <w:szCs w:val="16"/>
              </w:rPr>
              <w:t xml:space="preserve">19,676 </w:t>
            </w:r>
          </w:p>
        </w:tc>
      </w:tr>
      <w:tr w:rsidR="00D939C1" w:rsidRPr="00D939C1" w14:paraId="76C172BA" w14:textId="77777777" w:rsidTr="00D939C1">
        <w:trPr>
          <w:trHeight w:val="225"/>
        </w:trPr>
        <w:tc>
          <w:tcPr>
            <w:tcW w:w="3080" w:type="dxa"/>
            <w:tcBorders>
              <w:top w:val="nil"/>
              <w:left w:val="nil"/>
              <w:bottom w:val="nil"/>
              <w:right w:val="nil"/>
            </w:tcBorders>
            <w:shd w:val="clear" w:color="auto" w:fill="auto"/>
            <w:vAlign w:val="bottom"/>
            <w:hideMark/>
          </w:tcPr>
          <w:p w14:paraId="76C172B6" w14:textId="77777777" w:rsidR="00D939C1" w:rsidRPr="008425FD" w:rsidRDefault="00D939C1" w:rsidP="008425FD">
            <w:pPr>
              <w:spacing w:after="0" w:line="240" w:lineRule="auto"/>
              <w:ind w:left="175" w:hanging="175"/>
              <w:jc w:val="left"/>
              <w:rPr>
                <w:rFonts w:ascii="Arial" w:hAnsi="Arial" w:cs="Arial"/>
                <w:b/>
                <w:bCs/>
                <w:color w:val="000000"/>
                <w:sz w:val="16"/>
                <w:szCs w:val="16"/>
              </w:rPr>
            </w:pPr>
            <w:r w:rsidRPr="008425FD">
              <w:rPr>
                <w:rFonts w:ascii="Arial" w:hAnsi="Arial" w:cs="Arial"/>
                <w:b/>
                <w:bCs/>
                <w:color w:val="000000"/>
                <w:sz w:val="16"/>
                <w:szCs w:val="16"/>
              </w:rPr>
              <w:t>Capital asset additions</w:t>
            </w:r>
          </w:p>
        </w:tc>
        <w:tc>
          <w:tcPr>
            <w:tcW w:w="1400" w:type="dxa"/>
            <w:tcBorders>
              <w:top w:val="nil"/>
              <w:left w:val="nil"/>
              <w:bottom w:val="nil"/>
              <w:right w:val="nil"/>
            </w:tcBorders>
            <w:shd w:val="clear" w:color="auto" w:fill="auto"/>
            <w:noWrap/>
            <w:vAlign w:val="bottom"/>
            <w:hideMark/>
          </w:tcPr>
          <w:p w14:paraId="76C172B7" w14:textId="77777777" w:rsidR="00D939C1" w:rsidRPr="00D939C1" w:rsidRDefault="00D939C1" w:rsidP="00D939C1">
            <w:pPr>
              <w:spacing w:after="0" w:line="240" w:lineRule="auto"/>
              <w:jc w:val="left"/>
              <w:rPr>
                <w:rFonts w:ascii="Arial" w:hAnsi="Arial" w:cs="Arial"/>
                <w:b/>
                <w:bCs/>
                <w:sz w:val="16"/>
                <w:szCs w:val="16"/>
              </w:rPr>
            </w:pPr>
          </w:p>
        </w:tc>
        <w:tc>
          <w:tcPr>
            <w:tcW w:w="1400" w:type="dxa"/>
            <w:tcBorders>
              <w:top w:val="nil"/>
              <w:left w:val="nil"/>
              <w:bottom w:val="nil"/>
              <w:right w:val="nil"/>
            </w:tcBorders>
            <w:shd w:val="clear" w:color="auto" w:fill="auto"/>
            <w:noWrap/>
            <w:vAlign w:val="bottom"/>
            <w:hideMark/>
          </w:tcPr>
          <w:p w14:paraId="76C172B8" w14:textId="77777777" w:rsidR="00D939C1" w:rsidRPr="00D939C1" w:rsidRDefault="00D939C1" w:rsidP="00D939C1">
            <w:pPr>
              <w:spacing w:after="0" w:line="240" w:lineRule="auto"/>
              <w:jc w:val="left"/>
              <w:rPr>
                <w:rFonts w:ascii="Times New Roman" w:hAnsi="Times New Roman"/>
              </w:rPr>
            </w:pPr>
          </w:p>
        </w:tc>
        <w:tc>
          <w:tcPr>
            <w:tcW w:w="1400" w:type="dxa"/>
            <w:tcBorders>
              <w:top w:val="nil"/>
              <w:left w:val="nil"/>
              <w:bottom w:val="nil"/>
              <w:right w:val="nil"/>
            </w:tcBorders>
            <w:shd w:val="clear" w:color="auto" w:fill="auto"/>
            <w:noWrap/>
            <w:vAlign w:val="bottom"/>
            <w:hideMark/>
          </w:tcPr>
          <w:p w14:paraId="76C172B9" w14:textId="77777777" w:rsidR="00D939C1" w:rsidRPr="00D939C1" w:rsidRDefault="00D939C1" w:rsidP="00D939C1">
            <w:pPr>
              <w:spacing w:after="0" w:line="240" w:lineRule="auto"/>
              <w:jc w:val="left"/>
              <w:rPr>
                <w:rFonts w:ascii="Times New Roman" w:hAnsi="Times New Roman"/>
              </w:rPr>
            </w:pPr>
          </w:p>
        </w:tc>
      </w:tr>
      <w:tr w:rsidR="00D939C1" w:rsidRPr="00D939C1" w14:paraId="76C172BF" w14:textId="77777777" w:rsidTr="00D939C1">
        <w:trPr>
          <w:trHeight w:val="450"/>
        </w:trPr>
        <w:tc>
          <w:tcPr>
            <w:tcW w:w="3080" w:type="dxa"/>
            <w:tcBorders>
              <w:top w:val="nil"/>
              <w:left w:val="nil"/>
              <w:bottom w:val="nil"/>
              <w:right w:val="nil"/>
            </w:tcBorders>
            <w:shd w:val="clear" w:color="auto" w:fill="auto"/>
            <w:vAlign w:val="bottom"/>
            <w:hideMark/>
          </w:tcPr>
          <w:p w14:paraId="76C172BB" w14:textId="1F52E4DB" w:rsidR="00D939C1" w:rsidRPr="008425FD" w:rsidRDefault="00D939C1" w:rsidP="008425FD">
            <w:pPr>
              <w:spacing w:after="0" w:line="240" w:lineRule="auto"/>
              <w:ind w:left="175" w:hanging="175"/>
              <w:jc w:val="left"/>
              <w:rPr>
                <w:rFonts w:ascii="Arial" w:hAnsi="Arial" w:cs="Arial"/>
                <w:b/>
                <w:bCs/>
                <w:color w:val="000000"/>
                <w:sz w:val="16"/>
                <w:szCs w:val="16"/>
              </w:rPr>
            </w:pPr>
            <w:r w:rsidRPr="008425FD">
              <w:rPr>
                <w:rFonts w:ascii="Arial" w:hAnsi="Arial" w:cs="Arial"/>
                <w:b/>
                <w:bCs/>
                <w:color w:val="000000"/>
                <w:sz w:val="16"/>
                <w:szCs w:val="16"/>
              </w:rPr>
              <w:t>Estimated expenditure on new or replacement assets</w:t>
            </w:r>
          </w:p>
        </w:tc>
        <w:tc>
          <w:tcPr>
            <w:tcW w:w="1400" w:type="dxa"/>
            <w:tcBorders>
              <w:top w:val="nil"/>
              <w:left w:val="nil"/>
              <w:bottom w:val="nil"/>
              <w:right w:val="nil"/>
            </w:tcBorders>
            <w:shd w:val="clear" w:color="auto" w:fill="auto"/>
            <w:noWrap/>
            <w:vAlign w:val="bottom"/>
            <w:hideMark/>
          </w:tcPr>
          <w:p w14:paraId="76C172BC" w14:textId="77777777" w:rsidR="00D939C1" w:rsidRPr="00D939C1" w:rsidRDefault="00D939C1" w:rsidP="00D939C1">
            <w:pPr>
              <w:spacing w:after="0" w:line="240" w:lineRule="auto"/>
              <w:ind w:firstLineChars="100" w:firstLine="161"/>
              <w:jc w:val="left"/>
              <w:rPr>
                <w:rFonts w:ascii="Arial" w:hAnsi="Arial" w:cs="Arial"/>
                <w:b/>
                <w:bCs/>
                <w:sz w:val="16"/>
                <w:szCs w:val="16"/>
              </w:rPr>
            </w:pPr>
          </w:p>
        </w:tc>
        <w:tc>
          <w:tcPr>
            <w:tcW w:w="1400" w:type="dxa"/>
            <w:tcBorders>
              <w:top w:val="nil"/>
              <w:left w:val="nil"/>
              <w:bottom w:val="nil"/>
              <w:right w:val="nil"/>
            </w:tcBorders>
            <w:shd w:val="clear" w:color="auto" w:fill="auto"/>
            <w:noWrap/>
            <w:vAlign w:val="bottom"/>
            <w:hideMark/>
          </w:tcPr>
          <w:p w14:paraId="76C172BD" w14:textId="77777777" w:rsidR="00D939C1" w:rsidRPr="00D939C1" w:rsidRDefault="00D939C1" w:rsidP="00D939C1">
            <w:pPr>
              <w:spacing w:after="0" w:line="240" w:lineRule="auto"/>
              <w:jc w:val="left"/>
              <w:rPr>
                <w:rFonts w:ascii="Times New Roman" w:hAnsi="Times New Roman"/>
              </w:rPr>
            </w:pPr>
          </w:p>
        </w:tc>
        <w:tc>
          <w:tcPr>
            <w:tcW w:w="1400" w:type="dxa"/>
            <w:tcBorders>
              <w:top w:val="nil"/>
              <w:left w:val="nil"/>
              <w:bottom w:val="nil"/>
              <w:right w:val="nil"/>
            </w:tcBorders>
            <w:shd w:val="clear" w:color="auto" w:fill="auto"/>
            <w:noWrap/>
            <w:vAlign w:val="bottom"/>
            <w:hideMark/>
          </w:tcPr>
          <w:p w14:paraId="76C172BE" w14:textId="77777777" w:rsidR="00D939C1" w:rsidRPr="00D939C1" w:rsidRDefault="00D939C1" w:rsidP="00D939C1">
            <w:pPr>
              <w:spacing w:after="0" w:line="240" w:lineRule="auto"/>
              <w:jc w:val="left"/>
              <w:rPr>
                <w:rFonts w:ascii="Times New Roman" w:hAnsi="Times New Roman"/>
              </w:rPr>
            </w:pPr>
          </w:p>
        </w:tc>
      </w:tr>
      <w:tr w:rsidR="00D939C1" w:rsidRPr="00D939C1" w14:paraId="76C172C4" w14:textId="77777777" w:rsidTr="00D939C1">
        <w:trPr>
          <w:trHeight w:val="225"/>
        </w:trPr>
        <w:tc>
          <w:tcPr>
            <w:tcW w:w="3080" w:type="dxa"/>
            <w:tcBorders>
              <w:top w:val="nil"/>
              <w:left w:val="nil"/>
              <w:bottom w:val="nil"/>
              <w:right w:val="nil"/>
            </w:tcBorders>
            <w:shd w:val="clear" w:color="auto" w:fill="auto"/>
            <w:vAlign w:val="bottom"/>
            <w:hideMark/>
          </w:tcPr>
          <w:p w14:paraId="76C172C0" w14:textId="0C037158" w:rsidR="00D939C1" w:rsidRPr="008425FD" w:rsidRDefault="00D939C1" w:rsidP="008425FD">
            <w:pPr>
              <w:spacing w:after="0" w:line="240" w:lineRule="auto"/>
              <w:ind w:leftChars="80" w:left="317" w:hangingChars="98" w:hanging="157"/>
              <w:jc w:val="left"/>
              <w:rPr>
                <w:rFonts w:ascii="Arial" w:hAnsi="Arial" w:cs="Arial"/>
                <w:color w:val="000000"/>
                <w:sz w:val="16"/>
                <w:szCs w:val="16"/>
              </w:rPr>
            </w:pPr>
            <w:r w:rsidRPr="008425FD">
              <w:rPr>
                <w:rFonts w:ascii="Arial" w:hAnsi="Arial" w:cs="Arial"/>
                <w:color w:val="000000"/>
                <w:sz w:val="16"/>
                <w:szCs w:val="16"/>
              </w:rPr>
              <w:t xml:space="preserve">By purchase </w:t>
            </w:r>
            <w:r w:rsidR="008425FD">
              <w:rPr>
                <w:rFonts w:ascii="Arial" w:hAnsi="Arial" w:cs="Arial"/>
                <w:color w:val="000000"/>
                <w:sz w:val="16"/>
                <w:szCs w:val="16"/>
              </w:rPr>
              <w:t>—</w:t>
            </w:r>
            <w:r w:rsidRPr="008425FD">
              <w:rPr>
                <w:rFonts w:ascii="Arial" w:hAnsi="Arial" w:cs="Arial"/>
                <w:color w:val="000000"/>
                <w:sz w:val="16"/>
                <w:szCs w:val="16"/>
              </w:rPr>
              <w:t xml:space="preserve"> other</w:t>
            </w:r>
          </w:p>
        </w:tc>
        <w:tc>
          <w:tcPr>
            <w:tcW w:w="1400" w:type="dxa"/>
            <w:tcBorders>
              <w:top w:val="nil"/>
              <w:left w:val="nil"/>
              <w:bottom w:val="nil"/>
              <w:right w:val="nil"/>
            </w:tcBorders>
            <w:shd w:val="clear" w:color="auto" w:fill="auto"/>
            <w:noWrap/>
            <w:vAlign w:val="bottom"/>
            <w:hideMark/>
          </w:tcPr>
          <w:p w14:paraId="76C172C1"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 xml:space="preserve">1,370 </w:t>
            </w:r>
          </w:p>
        </w:tc>
        <w:tc>
          <w:tcPr>
            <w:tcW w:w="1400" w:type="dxa"/>
            <w:tcBorders>
              <w:top w:val="nil"/>
              <w:left w:val="nil"/>
              <w:bottom w:val="nil"/>
              <w:right w:val="nil"/>
            </w:tcBorders>
            <w:shd w:val="clear" w:color="auto" w:fill="auto"/>
            <w:noWrap/>
            <w:vAlign w:val="bottom"/>
            <w:hideMark/>
          </w:tcPr>
          <w:p w14:paraId="76C172C2"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 xml:space="preserve">4,760 </w:t>
            </w:r>
          </w:p>
        </w:tc>
        <w:tc>
          <w:tcPr>
            <w:tcW w:w="1400" w:type="dxa"/>
            <w:tcBorders>
              <w:top w:val="nil"/>
              <w:left w:val="nil"/>
              <w:bottom w:val="nil"/>
              <w:right w:val="nil"/>
            </w:tcBorders>
            <w:shd w:val="clear" w:color="auto" w:fill="auto"/>
            <w:noWrap/>
            <w:vAlign w:val="bottom"/>
            <w:hideMark/>
          </w:tcPr>
          <w:p w14:paraId="76C172C3"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 xml:space="preserve">6,130 </w:t>
            </w:r>
          </w:p>
        </w:tc>
      </w:tr>
      <w:tr w:rsidR="00D939C1" w:rsidRPr="00D939C1" w14:paraId="76C172C9" w14:textId="77777777" w:rsidTr="00D939C1">
        <w:trPr>
          <w:trHeight w:val="225"/>
        </w:trPr>
        <w:tc>
          <w:tcPr>
            <w:tcW w:w="3080" w:type="dxa"/>
            <w:tcBorders>
              <w:top w:val="nil"/>
              <w:left w:val="nil"/>
              <w:bottom w:val="nil"/>
              <w:right w:val="nil"/>
            </w:tcBorders>
            <w:shd w:val="clear" w:color="auto" w:fill="auto"/>
            <w:vAlign w:val="bottom"/>
            <w:hideMark/>
          </w:tcPr>
          <w:p w14:paraId="76C172C5" w14:textId="77777777" w:rsidR="00D939C1" w:rsidRPr="00D939C1" w:rsidRDefault="00D939C1" w:rsidP="00D939C1">
            <w:pPr>
              <w:spacing w:after="0" w:line="240" w:lineRule="auto"/>
              <w:ind w:firstLineChars="100" w:firstLine="161"/>
              <w:jc w:val="left"/>
              <w:rPr>
                <w:rFonts w:ascii="Arial" w:hAnsi="Arial" w:cs="Arial"/>
                <w:b/>
                <w:bCs/>
                <w:sz w:val="16"/>
                <w:szCs w:val="16"/>
              </w:rPr>
            </w:pPr>
            <w:r w:rsidRPr="00D939C1">
              <w:rPr>
                <w:rFonts w:ascii="Arial" w:hAnsi="Arial" w:cs="Arial"/>
                <w:b/>
                <w:bCs/>
                <w:sz w:val="16"/>
                <w:szCs w:val="16"/>
              </w:rPr>
              <w:t>Total additions</w:t>
            </w:r>
          </w:p>
        </w:tc>
        <w:tc>
          <w:tcPr>
            <w:tcW w:w="1400" w:type="dxa"/>
            <w:tcBorders>
              <w:top w:val="single" w:sz="4" w:space="0" w:color="auto"/>
              <w:left w:val="nil"/>
              <w:bottom w:val="single" w:sz="4" w:space="0" w:color="auto"/>
              <w:right w:val="nil"/>
            </w:tcBorders>
            <w:shd w:val="clear" w:color="auto" w:fill="auto"/>
            <w:noWrap/>
            <w:vAlign w:val="bottom"/>
            <w:hideMark/>
          </w:tcPr>
          <w:p w14:paraId="76C172C6" w14:textId="77777777" w:rsidR="00D939C1" w:rsidRPr="00D939C1" w:rsidRDefault="00D939C1" w:rsidP="00D939C1">
            <w:pPr>
              <w:spacing w:after="0" w:line="240" w:lineRule="auto"/>
              <w:jc w:val="right"/>
              <w:rPr>
                <w:rFonts w:ascii="Arial" w:hAnsi="Arial" w:cs="Arial"/>
                <w:b/>
                <w:bCs/>
                <w:sz w:val="16"/>
                <w:szCs w:val="16"/>
              </w:rPr>
            </w:pPr>
            <w:r w:rsidRPr="00D939C1">
              <w:rPr>
                <w:rFonts w:ascii="Arial" w:hAnsi="Arial" w:cs="Arial"/>
                <w:b/>
                <w:bCs/>
                <w:sz w:val="16"/>
                <w:szCs w:val="16"/>
              </w:rPr>
              <w:t xml:space="preserve">1,370 </w:t>
            </w:r>
          </w:p>
        </w:tc>
        <w:tc>
          <w:tcPr>
            <w:tcW w:w="1400" w:type="dxa"/>
            <w:tcBorders>
              <w:top w:val="single" w:sz="4" w:space="0" w:color="auto"/>
              <w:left w:val="nil"/>
              <w:bottom w:val="single" w:sz="4" w:space="0" w:color="auto"/>
              <w:right w:val="nil"/>
            </w:tcBorders>
            <w:shd w:val="clear" w:color="auto" w:fill="auto"/>
            <w:noWrap/>
            <w:vAlign w:val="bottom"/>
            <w:hideMark/>
          </w:tcPr>
          <w:p w14:paraId="76C172C7" w14:textId="77777777" w:rsidR="00D939C1" w:rsidRPr="00D939C1" w:rsidRDefault="00D939C1" w:rsidP="00D939C1">
            <w:pPr>
              <w:spacing w:after="0" w:line="240" w:lineRule="auto"/>
              <w:jc w:val="right"/>
              <w:rPr>
                <w:rFonts w:ascii="Arial" w:hAnsi="Arial" w:cs="Arial"/>
                <w:b/>
                <w:bCs/>
                <w:sz w:val="16"/>
                <w:szCs w:val="16"/>
              </w:rPr>
            </w:pPr>
            <w:r w:rsidRPr="00D939C1">
              <w:rPr>
                <w:rFonts w:ascii="Arial" w:hAnsi="Arial" w:cs="Arial"/>
                <w:b/>
                <w:bCs/>
                <w:sz w:val="16"/>
                <w:szCs w:val="16"/>
              </w:rPr>
              <w:t xml:space="preserve">4,760 </w:t>
            </w:r>
          </w:p>
        </w:tc>
        <w:tc>
          <w:tcPr>
            <w:tcW w:w="1400" w:type="dxa"/>
            <w:tcBorders>
              <w:top w:val="single" w:sz="4" w:space="0" w:color="auto"/>
              <w:left w:val="nil"/>
              <w:bottom w:val="single" w:sz="4" w:space="0" w:color="auto"/>
              <w:right w:val="nil"/>
            </w:tcBorders>
            <w:shd w:val="clear" w:color="auto" w:fill="auto"/>
            <w:noWrap/>
            <w:vAlign w:val="bottom"/>
            <w:hideMark/>
          </w:tcPr>
          <w:p w14:paraId="76C172C8" w14:textId="77777777" w:rsidR="00D939C1" w:rsidRPr="00D939C1" w:rsidRDefault="00D939C1" w:rsidP="00D939C1">
            <w:pPr>
              <w:spacing w:after="0" w:line="240" w:lineRule="auto"/>
              <w:jc w:val="right"/>
              <w:rPr>
                <w:rFonts w:ascii="Arial" w:hAnsi="Arial" w:cs="Arial"/>
                <w:b/>
                <w:bCs/>
                <w:sz w:val="16"/>
                <w:szCs w:val="16"/>
              </w:rPr>
            </w:pPr>
            <w:r w:rsidRPr="00D939C1">
              <w:rPr>
                <w:rFonts w:ascii="Arial" w:hAnsi="Arial" w:cs="Arial"/>
                <w:b/>
                <w:bCs/>
                <w:sz w:val="16"/>
                <w:szCs w:val="16"/>
              </w:rPr>
              <w:t xml:space="preserve">6,130 </w:t>
            </w:r>
          </w:p>
        </w:tc>
      </w:tr>
      <w:tr w:rsidR="00D939C1" w:rsidRPr="00D939C1" w14:paraId="76C172CE" w14:textId="77777777" w:rsidTr="00D939C1">
        <w:trPr>
          <w:trHeight w:val="225"/>
        </w:trPr>
        <w:tc>
          <w:tcPr>
            <w:tcW w:w="3080" w:type="dxa"/>
            <w:tcBorders>
              <w:top w:val="nil"/>
              <w:left w:val="nil"/>
              <w:bottom w:val="nil"/>
              <w:right w:val="nil"/>
            </w:tcBorders>
            <w:shd w:val="clear" w:color="auto" w:fill="auto"/>
            <w:vAlign w:val="bottom"/>
            <w:hideMark/>
          </w:tcPr>
          <w:p w14:paraId="76C172CA" w14:textId="77777777" w:rsidR="00D939C1" w:rsidRPr="00D939C1" w:rsidRDefault="00D939C1" w:rsidP="00D939C1">
            <w:pPr>
              <w:spacing w:after="0" w:line="240" w:lineRule="auto"/>
              <w:ind w:firstLineChars="100" w:firstLine="161"/>
              <w:jc w:val="left"/>
              <w:rPr>
                <w:rFonts w:ascii="Arial" w:hAnsi="Arial" w:cs="Arial"/>
                <w:b/>
                <w:bCs/>
                <w:sz w:val="16"/>
                <w:szCs w:val="16"/>
              </w:rPr>
            </w:pPr>
            <w:r w:rsidRPr="00D939C1">
              <w:rPr>
                <w:rFonts w:ascii="Arial" w:hAnsi="Arial" w:cs="Arial"/>
                <w:b/>
                <w:bCs/>
                <w:sz w:val="16"/>
                <w:szCs w:val="16"/>
              </w:rPr>
              <w:t>Other movements</w:t>
            </w:r>
          </w:p>
        </w:tc>
        <w:tc>
          <w:tcPr>
            <w:tcW w:w="1400" w:type="dxa"/>
            <w:tcBorders>
              <w:top w:val="nil"/>
              <w:left w:val="nil"/>
              <w:bottom w:val="nil"/>
              <w:right w:val="nil"/>
            </w:tcBorders>
            <w:shd w:val="clear" w:color="auto" w:fill="auto"/>
            <w:noWrap/>
            <w:vAlign w:val="bottom"/>
            <w:hideMark/>
          </w:tcPr>
          <w:p w14:paraId="76C172CB" w14:textId="77777777" w:rsidR="00D939C1" w:rsidRPr="00D939C1" w:rsidRDefault="00D939C1" w:rsidP="00D939C1">
            <w:pPr>
              <w:spacing w:after="0" w:line="240" w:lineRule="auto"/>
              <w:ind w:firstLineChars="100" w:firstLine="161"/>
              <w:jc w:val="left"/>
              <w:rPr>
                <w:rFonts w:ascii="Arial" w:hAnsi="Arial" w:cs="Arial"/>
                <w:b/>
                <w:bCs/>
                <w:sz w:val="16"/>
                <w:szCs w:val="16"/>
              </w:rPr>
            </w:pPr>
          </w:p>
        </w:tc>
        <w:tc>
          <w:tcPr>
            <w:tcW w:w="1400" w:type="dxa"/>
            <w:tcBorders>
              <w:top w:val="nil"/>
              <w:left w:val="nil"/>
              <w:bottom w:val="nil"/>
              <w:right w:val="nil"/>
            </w:tcBorders>
            <w:shd w:val="clear" w:color="auto" w:fill="auto"/>
            <w:noWrap/>
            <w:vAlign w:val="bottom"/>
            <w:hideMark/>
          </w:tcPr>
          <w:p w14:paraId="76C172CC" w14:textId="77777777" w:rsidR="00D939C1" w:rsidRPr="00D939C1" w:rsidRDefault="00D939C1" w:rsidP="00D939C1">
            <w:pPr>
              <w:spacing w:after="0" w:line="240" w:lineRule="auto"/>
              <w:jc w:val="left"/>
              <w:rPr>
                <w:rFonts w:ascii="Times New Roman" w:hAnsi="Times New Roman"/>
              </w:rPr>
            </w:pPr>
          </w:p>
        </w:tc>
        <w:tc>
          <w:tcPr>
            <w:tcW w:w="1400" w:type="dxa"/>
            <w:tcBorders>
              <w:top w:val="nil"/>
              <w:left w:val="nil"/>
              <w:bottom w:val="nil"/>
              <w:right w:val="nil"/>
            </w:tcBorders>
            <w:shd w:val="clear" w:color="auto" w:fill="auto"/>
            <w:noWrap/>
            <w:vAlign w:val="bottom"/>
            <w:hideMark/>
          </w:tcPr>
          <w:p w14:paraId="76C172CD" w14:textId="77777777" w:rsidR="00D939C1" w:rsidRPr="00D939C1" w:rsidRDefault="00D939C1" w:rsidP="00D939C1">
            <w:pPr>
              <w:spacing w:after="0" w:line="240" w:lineRule="auto"/>
              <w:jc w:val="left"/>
              <w:rPr>
                <w:rFonts w:ascii="Times New Roman" w:hAnsi="Times New Roman"/>
              </w:rPr>
            </w:pPr>
          </w:p>
        </w:tc>
      </w:tr>
      <w:tr w:rsidR="00D939C1" w:rsidRPr="00D939C1" w14:paraId="76C172D3" w14:textId="77777777" w:rsidTr="00D939C1">
        <w:trPr>
          <w:trHeight w:val="225"/>
        </w:trPr>
        <w:tc>
          <w:tcPr>
            <w:tcW w:w="3080" w:type="dxa"/>
            <w:tcBorders>
              <w:top w:val="nil"/>
              <w:left w:val="nil"/>
              <w:bottom w:val="nil"/>
              <w:right w:val="nil"/>
            </w:tcBorders>
            <w:shd w:val="clear" w:color="auto" w:fill="auto"/>
            <w:vAlign w:val="bottom"/>
            <w:hideMark/>
          </w:tcPr>
          <w:p w14:paraId="76C172CF" w14:textId="77777777" w:rsidR="00D939C1" w:rsidRPr="008425FD" w:rsidRDefault="00D939C1" w:rsidP="008425FD">
            <w:pPr>
              <w:spacing w:after="0" w:line="240" w:lineRule="auto"/>
              <w:ind w:leftChars="80" w:left="317" w:hangingChars="98" w:hanging="157"/>
              <w:jc w:val="left"/>
              <w:rPr>
                <w:rFonts w:ascii="Arial" w:hAnsi="Arial" w:cs="Arial"/>
                <w:color w:val="000000"/>
                <w:sz w:val="16"/>
                <w:szCs w:val="16"/>
              </w:rPr>
            </w:pPr>
            <w:r w:rsidRPr="008425FD">
              <w:rPr>
                <w:rFonts w:ascii="Arial" w:hAnsi="Arial" w:cs="Arial"/>
                <w:color w:val="000000"/>
                <w:sz w:val="16"/>
                <w:szCs w:val="16"/>
              </w:rPr>
              <w:t>Depreciation/amortisation expense</w:t>
            </w:r>
          </w:p>
        </w:tc>
        <w:tc>
          <w:tcPr>
            <w:tcW w:w="1400" w:type="dxa"/>
            <w:tcBorders>
              <w:top w:val="nil"/>
              <w:left w:val="nil"/>
              <w:bottom w:val="nil"/>
              <w:right w:val="nil"/>
            </w:tcBorders>
            <w:shd w:val="clear" w:color="auto" w:fill="auto"/>
            <w:noWrap/>
            <w:vAlign w:val="bottom"/>
            <w:hideMark/>
          </w:tcPr>
          <w:p w14:paraId="76C172D0"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(3,887)</w:t>
            </w:r>
          </w:p>
        </w:tc>
        <w:tc>
          <w:tcPr>
            <w:tcW w:w="1400" w:type="dxa"/>
            <w:tcBorders>
              <w:top w:val="nil"/>
              <w:left w:val="nil"/>
              <w:bottom w:val="nil"/>
              <w:right w:val="nil"/>
            </w:tcBorders>
            <w:shd w:val="clear" w:color="auto" w:fill="auto"/>
            <w:noWrap/>
            <w:vAlign w:val="bottom"/>
            <w:hideMark/>
          </w:tcPr>
          <w:p w14:paraId="76C172D1"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(986)</w:t>
            </w:r>
          </w:p>
        </w:tc>
        <w:tc>
          <w:tcPr>
            <w:tcW w:w="1400" w:type="dxa"/>
            <w:tcBorders>
              <w:top w:val="nil"/>
              <w:left w:val="nil"/>
              <w:bottom w:val="nil"/>
              <w:right w:val="nil"/>
            </w:tcBorders>
            <w:shd w:val="clear" w:color="auto" w:fill="auto"/>
            <w:noWrap/>
            <w:vAlign w:val="bottom"/>
            <w:hideMark/>
          </w:tcPr>
          <w:p w14:paraId="76C172D2"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(4,873)</w:t>
            </w:r>
          </w:p>
        </w:tc>
      </w:tr>
      <w:tr w:rsidR="00D939C1" w:rsidRPr="00D939C1" w14:paraId="76C172D8" w14:textId="77777777" w:rsidTr="00D939C1">
        <w:trPr>
          <w:trHeight w:val="225"/>
        </w:trPr>
        <w:tc>
          <w:tcPr>
            <w:tcW w:w="3080" w:type="dxa"/>
            <w:tcBorders>
              <w:top w:val="nil"/>
              <w:left w:val="nil"/>
              <w:bottom w:val="nil"/>
              <w:right w:val="nil"/>
            </w:tcBorders>
            <w:shd w:val="clear" w:color="auto" w:fill="auto"/>
            <w:vAlign w:val="bottom"/>
            <w:hideMark/>
          </w:tcPr>
          <w:p w14:paraId="76C172D4" w14:textId="77777777" w:rsidR="00D939C1" w:rsidRPr="00D939C1" w:rsidRDefault="00D939C1" w:rsidP="00D939C1">
            <w:pPr>
              <w:spacing w:after="0" w:line="240" w:lineRule="auto"/>
              <w:ind w:firstLineChars="100" w:firstLine="161"/>
              <w:jc w:val="left"/>
              <w:rPr>
                <w:rFonts w:ascii="Arial" w:hAnsi="Arial" w:cs="Arial"/>
                <w:b/>
                <w:bCs/>
                <w:sz w:val="16"/>
                <w:szCs w:val="16"/>
              </w:rPr>
            </w:pPr>
            <w:r w:rsidRPr="00D939C1">
              <w:rPr>
                <w:rFonts w:ascii="Arial" w:hAnsi="Arial" w:cs="Arial"/>
                <w:b/>
                <w:bCs/>
                <w:sz w:val="16"/>
                <w:szCs w:val="16"/>
              </w:rPr>
              <w:t>Total other movements</w:t>
            </w:r>
          </w:p>
        </w:tc>
        <w:tc>
          <w:tcPr>
            <w:tcW w:w="1400" w:type="dxa"/>
            <w:tcBorders>
              <w:top w:val="single" w:sz="4" w:space="0" w:color="auto"/>
              <w:left w:val="nil"/>
              <w:bottom w:val="single" w:sz="4" w:space="0" w:color="auto"/>
              <w:right w:val="nil"/>
            </w:tcBorders>
            <w:shd w:val="clear" w:color="auto" w:fill="auto"/>
            <w:noWrap/>
            <w:vAlign w:val="bottom"/>
            <w:hideMark/>
          </w:tcPr>
          <w:p w14:paraId="76C172D5" w14:textId="77777777" w:rsidR="00D939C1" w:rsidRPr="00D939C1" w:rsidRDefault="00D939C1" w:rsidP="00D939C1">
            <w:pPr>
              <w:spacing w:after="0" w:line="240" w:lineRule="auto"/>
              <w:jc w:val="right"/>
              <w:rPr>
                <w:rFonts w:ascii="Arial" w:hAnsi="Arial" w:cs="Arial"/>
                <w:b/>
                <w:bCs/>
                <w:sz w:val="16"/>
                <w:szCs w:val="16"/>
              </w:rPr>
            </w:pPr>
            <w:r w:rsidRPr="00D939C1">
              <w:rPr>
                <w:rFonts w:ascii="Arial" w:hAnsi="Arial" w:cs="Arial"/>
                <w:b/>
                <w:bCs/>
                <w:sz w:val="16"/>
                <w:szCs w:val="16"/>
              </w:rPr>
              <w:t>(3,887)</w:t>
            </w:r>
          </w:p>
        </w:tc>
        <w:tc>
          <w:tcPr>
            <w:tcW w:w="1400" w:type="dxa"/>
            <w:tcBorders>
              <w:top w:val="single" w:sz="4" w:space="0" w:color="auto"/>
              <w:left w:val="nil"/>
              <w:bottom w:val="single" w:sz="4" w:space="0" w:color="auto"/>
              <w:right w:val="nil"/>
            </w:tcBorders>
            <w:shd w:val="clear" w:color="auto" w:fill="auto"/>
            <w:noWrap/>
            <w:vAlign w:val="bottom"/>
            <w:hideMark/>
          </w:tcPr>
          <w:p w14:paraId="76C172D6" w14:textId="77777777" w:rsidR="00D939C1" w:rsidRPr="00D939C1" w:rsidRDefault="00D939C1" w:rsidP="00D939C1">
            <w:pPr>
              <w:spacing w:after="0" w:line="240" w:lineRule="auto"/>
              <w:jc w:val="right"/>
              <w:rPr>
                <w:rFonts w:ascii="Arial" w:hAnsi="Arial" w:cs="Arial"/>
                <w:b/>
                <w:bCs/>
                <w:sz w:val="16"/>
                <w:szCs w:val="16"/>
              </w:rPr>
            </w:pPr>
            <w:r w:rsidRPr="00D939C1">
              <w:rPr>
                <w:rFonts w:ascii="Arial" w:hAnsi="Arial" w:cs="Arial"/>
                <w:b/>
                <w:bCs/>
                <w:sz w:val="16"/>
                <w:szCs w:val="16"/>
              </w:rPr>
              <w:t>(986)</w:t>
            </w:r>
          </w:p>
        </w:tc>
        <w:tc>
          <w:tcPr>
            <w:tcW w:w="1400" w:type="dxa"/>
            <w:tcBorders>
              <w:top w:val="single" w:sz="4" w:space="0" w:color="auto"/>
              <w:left w:val="nil"/>
              <w:bottom w:val="single" w:sz="4" w:space="0" w:color="auto"/>
              <w:right w:val="nil"/>
            </w:tcBorders>
            <w:shd w:val="clear" w:color="auto" w:fill="auto"/>
            <w:noWrap/>
            <w:vAlign w:val="bottom"/>
            <w:hideMark/>
          </w:tcPr>
          <w:p w14:paraId="76C172D7" w14:textId="77777777" w:rsidR="00D939C1" w:rsidRPr="00D939C1" w:rsidRDefault="00D939C1" w:rsidP="00D939C1">
            <w:pPr>
              <w:spacing w:after="0" w:line="240" w:lineRule="auto"/>
              <w:jc w:val="right"/>
              <w:rPr>
                <w:rFonts w:ascii="Arial" w:hAnsi="Arial" w:cs="Arial"/>
                <w:b/>
                <w:bCs/>
                <w:sz w:val="16"/>
                <w:szCs w:val="16"/>
              </w:rPr>
            </w:pPr>
            <w:r w:rsidRPr="00D939C1">
              <w:rPr>
                <w:rFonts w:ascii="Arial" w:hAnsi="Arial" w:cs="Arial"/>
                <w:b/>
                <w:bCs/>
                <w:sz w:val="16"/>
                <w:szCs w:val="16"/>
              </w:rPr>
              <w:t>(4,873)</w:t>
            </w:r>
          </w:p>
        </w:tc>
      </w:tr>
      <w:tr w:rsidR="00D939C1" w:rsidRPr="00D939C1" w14:paraId="76C172DD" w14:textId="77777777" w:rsidTr="00D939C1">
        <w:trPr>
          <w:trHeight w:val="225"/>
        </w:trPr>
        <w:tc>
          <w:tcPr>
            <w:tcW w:w="3080" w:type="dxa"/>
            <w:tcBorders>
              <w:top w:val="nil"/>
              <w:left w:val="nil"/>
              <w:bottom w:val="nil"/>
              <w:right w:val="nil"/>
            </w:tcBorders>
            <w:shd w:val="clear" w:color="auto" w:fill="auto"/>
            <w:vAlign w:val="bottom"/>
            <w:hideMark/>
          </w:tcPr>
          <w:p w14:paraId="76C172D9" w14:textId="77777777" w:rsidR="00D939C1" w:rsidRPr="008425FD" w:rsidRDefault="00D939C1" w:rsidP="008425FD">
            <w:pPr>
              <w:spacing w:after="0" w:line="240" w:lineRule="auto"/>
              <w:ind w:left="175" w:hanging="175"/>
              <w:jc w:val="left"/>
              <w:rPr>
                <w:rFonts w:ascii="Arial" w:hAnsi="Arial" w:cs="Arial"/>
                <w:b/>
                <w:bCs/>
                <w:color w:val="000000"/>
                <w:sz w:val="16"/>
                <w:szCs w:val="16"/>
              </w:rPr>
            </w:pPr>
            <w:r w:rsidRPr="008425FD">
              <w:rPr>
                <w:rFonts w:ascii="Arial" w:hAnsi="Arial" w:cs="Arial"/>
                <w:b/>
                <w:bCs/>
                <w:color w:val="000000"/>
                <w:sz w:val="16"/>
                <w:szCs w:val="16"/>
              </w:rPr>
              <w:t>As at 30 June 2020</w:t>
            </w:r>
          </w:p>
        </w:tc>
        <w:tc>
          <w:tcPr>
            <w:tcW w:w="1400" w:type="dxa"/>
            <w:tcBorders>
              <w:top w:val="nil"/>
              <w:left w:val="nil"/>
              <w:bottom w:val="nil"/>
              <w:right w:val="nil"/>
            </w:tcBorders>
            <w:shd w:val="clear" w:color="auto" w:fill="auto"/>
            <w:noWrap/>
            <w:vAlign w:val="bottom"/>
            <w:hideMark/>
          </w:tcPr>
          <w:p w14:paraId="76C172DA" w14:textId="77777777" w:rsidR="00D939C1" w:rsidRPr="00D939C1" w:rsidRDefault="00D939C1" w:rsidP="00D939C1">
            <w:pPr>
              <w:spacing w:after="0" w:line="240" w:lineRule="auto"/>
              <w:jc w:val="left"/>
              <w:rPr>
                <w:rFonts w:ascii="Arial" w:hAnsi="Arial" w:cs="Arial"/>
                <w:b/>
                <w:bCs/>
                <w:sz w:val="16"/>
                <w:szCs w:val="16"/>
              </w:rPr>
            </w:pPr>
          </w:p>
        </w:tc>
        <w:tc>
          <w:tcPr>
            <w:tcW w:w="1400" w:type="dxa"/>
            <w:tcBorders>
              <w:top w:val="nil"/>
              <w:left w:val="nil"/>
              <w:bottom w:val="nil"/>
              <w:right w:val="nil"/>
            </w:tcBorders>
            <w:shd w:val="clear" w:color="auto" w:fill="auto"/>
            <w:noWrap/>
            <w:vAlign w:val="bottom"/>
            <w:hideMark/>
          </w:tcPr>
          <w:p w14:paraId="76C172DB" w14:textId="77777777" w:rsidR="00D939C1" w:rsidRPr="00D939C1" w:rsidRDefault="00D939C1" w:rsidP="00D939C1">
            <w:pPr>
              <w:spacing w:after="0" w:line="240" w:lineRule="auto"/>
              <w:jc w:val="left"/>
              <w:rPr>
                <w:rFonts w:ascii="Times New Roman" w:hAnsi="Times New Roman"/>
              </w:rPr>
            </w:pPr>
          </w:p>
        </w:tc>
        <w:tc>
          <w:tcPr>
            <w:tcW w:w="1400" w:type="dxa"/>
            <w:tcBorders>
              <w:top w:val="nil"/>
              <w:left w:val="nil"/>
              <w:bottom w:val="nil"/>
              <w:right w:val="nil"/>
            </w:tcBorders>
            <w:shd w:val="clear" w:color="auto" w:fill="auto"/>
            <w:noWrap/>
            <w:vAlign w:val="bottom"/>
            <w:hideMark/>
          </w:tcPr>
          <w:p w14:paraId="76C172DC" w14:textId="77777777" w:rsidR="00D939C1" w:rsidRPr="00D939C1" w:rsidRDefault="00D939C1" w:rsidP="00D939C1">
            <w:pPr>
              <w:spacing w:after="0" w:line="240" w:lineRule="auto"/>
              <w:jc w:val="left"/>
              <w:rPr>
                <w:rFonts w:ascii="Times New Roman" w:hAnsi="Times New Roman"/>
              </w:rPr>
            </w:pPr>
          </w:p>
        </w:tc>
      </w:tr>
      <w:tr w:rsidR="00D939C1" w:rsidRPr="00D939C1" w14:paraId="76C172E2" w14:textId="77777777" w:rsidTr="00D939C1">
        <w:trPr>
          <w:trHeight w:val="225"/>
        </w:trPr>
        <w:tc>
          <w:tcPr>
            <w:tcW w:w="3080" w:type="dxa"/>
            <w:tcBorders>
              <w:top w:val="nil"/>
              <w:left w:val="nil"/>
              <w:bottom w:val="nil"/>
              <w:right w:val="nil"/>
            </w:tcBorders>
            <w:shd w:val="clear" w:color="auto" w:fill="auto"/>
            <w:vAlign w:val="bottom"/>
            <w:hideMark/>
          </w:tcPr>
          <w:p w14:paraId="76C172DE" w14:textId="77777777" w:rsidR="00D939C1" w:rsidRPr="008425FD" w:rsidRDefault="00D939C1" w:rsidP="008425FD">
            <w:pPr>
              <w:spacing w:after="0" w:line="240" w:lineRule="auto"/>
              <w:ind w:leftChars="80" w:left="317" w:hangingChars="98" w:hanging="157"/>
              <w:jc w:val="left"/>
              <w:rPr>
                <w:rFonts w:ascii="Arial" w:hAnsi="Arial" w:cs="Arial"/>
                <w:color w:val="000000"/>
                <w:sz w:val="16"/>
                <w:szCs w:val="16"/>
              </w:rPr>
            </w:pPr>
            <w:r w:rsidRPr="008425FD">
              <w:rPr>
                <w:rFonts w:ascii="Arial" w:hAnsi="Arial" w:cs="Arial"/>
                <w:color w:val="000000"/>
                <w:sz w:val="16"/>
                <w:szCs w:val="16"/>
              </w:rPr>
              <w:t>Gross book value</w:t>
            </w:r>
          </w:p>
        </w:tc>
        <w:tc>
          <w:tcPr>
            <w:tcW w:w="1400" w:type="dxa"/>
            <w:tcBorders>
              <w:top w:val="nil"/>
              <w:left w:val="nil"/>
              <w:bottom w:val="nil"/>
              <w:right w:val="nil"/>
            </w:tcBorders>
            <w:shd w:val="clear" w:color="auto" w:fill="auto"/>
            <w:noWrap/>
            <w:vAlign w:val="bottom"/>
            <w:hideMark/>
          </w:tcPr>
          <w:p w14:paraId="76C172DF"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 xml:space="preserve">36,328 </w:t>
            </w:r>
          </w:p>
        </w:tc>
        <w:tc>
          <w:tcPr>
            <w:tcW w:w="1400" w:type="dxa"/>
            <w:tcBorders>
              <w:top w:val="nil"/>
              <w:left w:val="nil"/>
              <w:bottom w:val="nil"/>
              <w:right w:val="nil"/>
            </w:tcBorders>
            <w:shd w:val="clear" w:color="auto" w:fill="auto"/>
            <w:noWrap/>
            <w:vAlign w:val="bottom"/>
            <w:hideMark/>
          </w:tcPr>
          <w:p w14:paraId="76C172E0"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 xml:space="preserve">31,762 </w:t>
            </w:r>
          </w:p>
        </w:tc>
        <w:tc>
          <w:tcPr>
            <w:tcW w:w="1400" w:type="dxa"/>
            <w:tcBorders>
              <w:top w:val="nil"/>
              <w:left w:val="nil"/>
              <w:bottom w:val="nil"/>
              <w:right w:val="nil"/>
            </w:tcBorders>
            <w:shd w:val="clear" w:color="auto" w:fill="auto"/>
            <w:noWrap/>
            <w:vAlign w:val="bottom"/>
            <w:hideMark/>
          </w:tcPr>
          <w:p w14:paraId="76C172E1"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 xml:space="preserve">68,090 </w:t>
            </w:r>
          </w:p>
        </w:tc>
      </w:tr>
      <w:tr w:rsidR="00D939C1" w:rsidRPr="00D939C1" w14:paraId="76C172E7" w14:textId="77777777" w:rsidTr="00D939C1">
        <w:trPr>
          <w:trHeight w:val="450"/>
        </w:trPr>
        <w:tc>
          <w:tcPr>
            <w:tcW w:w="3080" w:type="dxa"/>
            <w:tcBorders>
              <w:top w:val="nil"/>
              <w:left w:val="nil"/>
              <w:bottom w:val="nil"/>
              <w:right w:val="nil"/>
            </w:tcBorders>
            <w:shd w:val="clear" w:color="auto" w:fill="auto"/>
            <w:vAlign w:val="bottom"/>
            <w:hideMark/>
          </w:tcPr>
          <w:p w14:paraId="76C172E3" w14:textId="00BE8BA4" w:rsidR="00D939C1" w:rsidRPr="008425FD" w:rsidRDefault="00D939C1" w:rsidP="008425FD">
            <w:pPr>
              <w:spacing w:after="0" w:line="240" w:lineRule="auto"/>
              <w:ind w:leftChars="80" w:left="317" w:hangingChars="98" w:hanging="157"/>
              <w:jc w:val="left"/>
              <w:rPr>
                <w:rFonts w:ascii="Arial" w:hAnsi="Arial" w:cs="Arial"/>
                <w:color w:val="000000"/>
                <w:sz w:val="16"/>
                <w:szCs w:val="16"/>
              </w:rPr>
            </w:pPr>
            <w:r w:rsidRPr="008425FD">
              <w:rPr>
                <w:rFonts w:ascii="Arial" w:hAnsi="Arial" w:cs="Arial"/>
                <w:color w:val="000000"/>
                <w:sz w:val="16"/>
                <w:szCs w:val="16"/>
              </w:rPr>
              <w:t>Accumulated depreciation/ amortisation and impairment</w:t>
            </w:r>
          </w:p>
        </w:tc>
        <w:tc>
          <w:tcPr>
            <w:tcW w:w="1400" w:type="dxa"/>
            <w:tcBorders>
              <w:top w:val="nil"/>
              <w:left w:val="nil"/>
              <w:bottom w:val="nil"/>
              <w:right w:val="nil"/>
            </w:tcBorders>
            <w:shd w:val="clear" w:color="auto" w:fill="auto"/>
            <w:noWrap/>
            <w:vAlign w:val="bottom"/>
            <w:hideMark/>
          </w:tcPr>
          <w:p w14:paraId="76C172E4"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(27,749)</w:t>
            </w:r>
          </w:p>
        </w:tc>
        <w:tc>
          <w:tcPr>
            <w:tcW w:w="1400" w:type="dxa"/>
            <w:tcBorders>
              <w:top w:val="nil"/>
              <w:left w:val="nil"/>
              <w:bottom w:val="nil"/>
              <w:right w:val="nil"/>
            </w:tcBorders>
            <w:shd w:val="clear" w:color="auto" w:fill="auto"/>
            <w:noWrap/>
            <w:vAlign w:val="bottom"/>
            <w:hideMark/>
          </w:tcPr>
          <w:p w14:paraId="76C172E5"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(19,408)</w:t>
            </w:r>
          </w:p>
        </w:tc>
        <w:tc>
          <w:tcPr>
            <w:tcW w:w="1400" w:type="dxa"/>
            <w:tcBorders>
              <w:top w:val="nil"/>
              <w:left w:val="nil"/>
              <w:bottom w:val="nil"/>
              <w:right w:val="nil"/>
            </w:tcBorders>
            <w:shd w:val="clear" w:color="auto" w:fill="auto"/>
            <w:noWrap/>
            <w:vAlign w:val="bottom"/>
            <w:hideMark/>
          </w:tcPr>
          <w:p w14:paraId="76C172E6" w14:textId="77777777" w:rsidR="00D939C1" w:rsidRPr="00D939C1" w:rsidRDefault="00D939C1" w:rsidP="00D939C1">
            <w:pPr>
              <w:spacing w:after="0" w:line="240" w:lineRule="auto"/>
              <w:jc w:val="right"/>
              <w:rPr>
                <w:rFonts w:ascii="Arial" w:hAnsi="Arial" w:cs="Arial"/>
                <w:sz w:val="16"/>
                <w:szCs w:val="16"/>
              </w:rPr>
            </w:pPr>
            <w:r w:rsidRPr="00D939C1">
              <w:rPr>
                <w:rFonts w:ascii="Arial" w:hAnsi="Arial" w:cs="Arial"/>
                <w:sz w:val="16"/>
                <w:szCs w:val="16"/>
              </w:rPr>
              <w:t>(47,157)</w:t>
            </w:r>
          </w:p>
        </w:tc>
      </w:tr>
      <w:tr w:rsidR="00D939C1" w:rsidRPr="00D939C1" w14:paraId="76C172EC" w14:textId="77777777" w:rsidTr="00D939C1">
        <w:trPr>
          <w:trHeight w:val="225"/>
        </w:trPr>
        <w:tc>
          <w:tcPr>
            <w:tcW w:w="3080" w:type="dxa"/>
            <w:tcBorders>
              <w:top w:val="nil"/>
              <w:left w:val="nil"/>
              <w:bottom w:val="single" w:sz="4" w:space="0" w:color="auto"/>
              <w:right w:val="nil"/>
            </w:tcBorders>
            <w:shd w:val="clear" w:color="auto" w:fill="auto"/>
            <w:noWrap/>
            <w:vAlign w:val="bottom"/>
            <w:hideMark/>
          </w:tcPr>
          <w:p w14:paraId="76C172E8" w14:textId="77777777" w:rsidR="00D939C1" w:rsidRPr="008425FD" w:rsidRDefault="00D939C1" w:rsidP="008425FD">
            <w:pPr>
              <w:spacing w:after="0" w:line="240" w:lineRule="auto"/>
              <w:ind w:left="175" w:hanging="175"/>
              <w:jc w:val="left"/>
              <w:rPr>
                <w:rFonts w:ascii="Arial" w:hAnsi="Arial" w:cs="Arial"/>
                <w:b/>
                <w:bCs/>
                <w:color w:val="000000"/>
                <w:sz w:val="16"/>
                <w:szCs w:val="16"/>
              </w:rPr>
            </w:pPr>
            <w:r w:rsidRPr="008425FD">
              <w:rPr>
                <w:rFonts w:ascii="Arial" w:hAnsi="Arial" w:cs="Arial"/>
                <w:b/>
                <w:bCs/>
                <w:color w:val="000000"/>
                <w:sz w:val="16"/>
                <w:szCs w:val="16"/>
              </w:rPr>
              <w:t>Closing net book balance</w:t>
            </w:r>
          </w:p>
        </w:tc>
        <w:tc>
          <w:tcPr>
            <w:tcW w:w="1400" w:type="dxa"/>
            <w:tcBorders>
              <w:top w:val="single" w:sz="4" w:space="0" w:color="auto"/>
              <w:left w:val="nil"/>
              <w:bottom w:val="single" w:sz="4" w:space="0" w:color="auto"/>
              <w:right w:val="nil"/>
            </w:tcBorders>
            <w:shd w:val="clear" w:color="auto" w:fill="auto"/>
            <w:noWrap/>
            <w:vAlign w:val="bottom"/>
            <w:hideMark/>
          </w:tcPr>
          <w:p w14:paraId="76C172E9" w14:textId="77777777" w:rsidR="00D939C1" w:rsidRPr="00D939C1" w:rsidRDefault="00D939C1" w:rsidP="00D939C1">
            <w:pPr>
              <w:spacing w:after="0" w:line="240" w:lineRule="auto"/>
              <w:jc w:val="right"/>
              <w:rPr>
                <w:rFonts w:ascii="Arial" w:hAnsi="Arial" w:cs="Arial"/>
                <w:b/>
                <w:bCs/>
                <w:sz w:val="16"/>
                <w:szCs w:val="16"/>
              </w:rPr>
            </w:pPr>
            <w:r w:rsidRPr="00D939C1">
              <w:rPr>
                <w:rFonts w:ascii="Arial" w:hAnsi="Arial" w:cs="Arial"/>
                <w:b/>
                <w:bCs/>
                <w:sz w:val="16"/>
                <w:szCs w:val="16"/>
              </w:rPr>
              <w:t xml:space="preserve">8,579 </w:t>
            </w:r>
          </w:p>
        </w:tc>
        <w:tc>
          <w:tcPr>
            <w:tcW w:w="1400" w:type="dxa"/>
            <w:tcBorders>
              <w:top w:val="single" w:sz="4" w:space="0" w:color="auto"/>
              <w:left w:val="nil"/>
              <w:bottom w:val="single" w:sz="4" w:space="0" w:color="auto"/>
              <w:right w:val="nil"/>
            </w:tcBorders>
            <w:shd w:val="clear" w:color="auto" w:fill="auto"/>
            <w:noWrap/>
            <w:vAlign w:val="bottom"/>
            <w:hideMark/>
          </w:tcPr>
          <w:p w14:paraId="76C172EA" w14:textId="77777777" w:rsidR="00D939C1" w:rsidRPr="00D939C1" w:rsidRDefault="00D939C1" w:rsidP="00D939C1">
            <w:pPr>
              <w:spacing w:after="0" w:line="240" w:lineRule="auto"/>
              <w:jc w:val="right"/>
              <w:rPr>
                <w:rFonts w:ascii="Arial" w:hAnsi="Arial" w:cs="Arial"/>
                <w:b/>
                <w:bCs/>
                <w:sz w:val="16"/>
                <w:szCs w:val="16"/>
              </w:rPr>
            </w:pPr>
            <w:r w:rsidRPr="00D939C1">
              <w:rPr>
                <w:rFonts w:ascii="Arial" w:hAnsi="Arial" w:cs="Arial"/>
                <w:b/>
                <w:bCs/>
                <w:sz w:val="16"/>
                <w:szCs w:val="16"/>
              </w:rPr>
              <w:t xml:space="preserve">12,354 </w:t>
            </w:r>
          </w:p>
        </w:tc>
        <w:tc>
          <w:tcPr>
            <w:tcW w:w="1400" w:type="dxa"/>
            <w:tcBorders>
              <w:top w:val="single" w:sz="4" w:space="0" w:color="auto"/>
              <w:left w:val="nil"/>
              <w:bottom w:val="single" w:sz="4" w:space="0" w:color="auto"/>
              <w:right w:val="nil"/>
            </w:tcBorders>
            <w:shd w:val="clear" w:color="auto" w:fill="auto"/>
            <w:noWrap/>
            <w:vAlign w:val="bottom"/>
            <w:hideMark/>
          </w:tcPr>
          <w:p w14:paraId="76C172EB" w14:textId="77777777" w:rsidR="00D939C1" w:rsidRPr="00D939C1" w:rsidRDefault="00D939C1" w:rsidP="00D939C1">
            <w:pPr>
              <w:spacing w:after="0" w:line="240" w:lineRule="auto"/>
              <w:jc w:val="right"/>
              <w:rPr>
                <w:rFonts w:ascii="Arial" w:hAnsi="Arial" w:cs="Arial"/>
                <w:b/>
                <w:bCs/>
                <w:sz w:val="16"/>
                <w:szCs w:val="16"/>
              </w:rPr>
            </w:pPr>
            <w:r w:rsidRPr="00D939C1">
              <w:rPr>
                <w:rFonts w:ascii="Arial" w:hAnsi="Arial" w:cs="Arial"/>
                <w:b/>
                <w:bCs/>
                <w:sz w:val="16"/>
                <w:szCs w:val="16"/>
              </w:rPr>
              <w:t xml:space="preserve">20,933 </w:t>
            </w:r>
          </w:p>
        </w:tc>
      </w:tr>
    </w:tbl>
    <w:p w14:paraId="76C172ED" w14:textId="77777777" w:rsidR="00D939C1" w:rsidRDefault="00D939C1" w:rsidP="003732E1">
      <w:pPr>
        <w:pStyle w:val="TableGraphic"/>
        <w:spacing w:before="120"/>
        <w:jc w:val="left"/>
        <w:rPr>
          <w:rFonts w:ascii="Arial" w:hAnsi="Arial" w:cs="Arial"/>
          <w:sz w:val="16"/>
          <w:szCs w:val="16"/>
        </w:rPr>
      </w:pPr>
      <w:r w:rsidRPr="00132F9E">
        <w:rPr>
          <w:rFonts w:ascii="Arial" w:hAnsi="Arial" w:cs="Arial"/>
          <w:sz w:val="16"/>
          <w:szCs w:val="16"/>
        </w:rPr>
        <w:t>Prepared on Australian Accounting Standards basis.</w:t>
      </w:r>
    </w:p>
    <w:p w14:paraId="76C172EE" w14:textId="77777777" w:rsidR="00DF0134" w:rsidRDefault="00DF0134" w:rsidP="00DF0134">
      <w:pPr>
        <w:pStyle w:val="NoSpacing"/>
      </w:pPr>
    </w:p>
    <w:p w14:paraId="76C172EF" w14:textId="77777777" w:rsidR="00DF0134" w:rsidRDefault="00DF0134" w:rsidP="00DF0134">
      <w:pPr>
        <w:pStyle w:val="ExampleText0"/>
        <w:sectPr w:rsidR="00DF0134" w:rsidSect="00901F73">
          <w:footerReference w:type="default" r:id="rId23"/>
          <w:footnotePr>
            <w:numRestart w:val="eachPage"/>
          </w:footnotePr>
          <w:pgSz w:w="11906" w:h="16838" w:code="9"/>
          <w:pgMar w:top="2466" w:right="2098" w:bottom="2466" w:left="2098" w:header="1899" w:footer="1899" w:gutter="0"/>
          <w:cols w:space="708"/>
          <w:titlePg/>
          <w:docGrid w:linePitch="360"/>
        </w:sectPr>
      </w:pPr>
    </w:p>
    <w:p w14:paraId="76C172F0" w14:textId="77777777" w:rsidR="00DF0134" w:rsidRDefault="00DF0134" w:rsidP="00DF0134">
      <w:pPr>
        <w:pStyle w:val="TableHeading"/>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tbl>
      <w:tblPr>
        <w:tblW w:w="7711" w:type="dxa"/>
        <w:tblLook w:val="04A0" w:firstRow="1" w:lastRow="0" w:firstColumn="1" w:lastColumn="0" w:noHBand="0" w:noVBand="1"/>
      </w:tblPr>
      <w:tblGrid>
        <w:gridCol w:w="3212"/>
        <w:gridCol w:w="975"/>
        <w:gridCol w:w="881"/>
        <w:gridCol w:w="881"/>
        <w:gridCol w:w="881"/>
        <w:gridCol w:w="881"/>
      </w:tblGrid>
      <w:tr w:rsidR="00D939C1" w:rsidRPr="00D939C1" w14:paraId="76C172F7" w14:textId="77777777" w:rsidTr="00823848">
        <w:trPr>
          <w:trHeight w:val="785"/>
        </w:trPr>
        <w:tc>
          <w:tcPr>
            <w:tcW w:w="3060" w:type="dxa"/>
            <w:tcBorders>
              <w:top w:val="single" w:sz="4" w:space="0" w:color="auto"/>
              <w:left w:val="nil"/>
              <w:bottom w:val="nil"/>
              <w:right w:val="nil"/>
            </w:tcBorders>
            <w:shd w:val="clear" w:color="auto" w:fill="auto"/>
            <w:noWrap/>
            <w:hideMark/>
          </w:tcPr>
          <w:p w14:paraId="76C172F1" w14:textId="77777777" w:rsidR="00D939C1" w:rsidRPr="00D939C1" w:rsidRDefault="00D939C1" w:rsidP="00D939C1">
            <w:pPr>
              <w:spacing w:after="0" w:line="240" w:lineRule="auto"/>
              <w:jc w:val="left"/>
              <w:rPr>
                <w:rFonts w:ascii="Arial" w:hAnsi="Arial" w:cs="Arial"/>
                <w:b/>
                <w:bCs/>
                <w:sz w:val="16"/>
                <w:szCs w:val="16"/>
              </w:rPr>
            </w:pPr>
            <w:r w:rsidRPr="00D939C1">
              <w:rPr>
                <w:rFonts w:ascii="Arial" w:hAnsi="Arial" w:cs="Arial"/>
                <w:b/>
                <w:bCs/>
                <w:sz w:val="16"/>
                <w:szCs w:val="16"/>
              </w:rPr>
              <w:t> </w:t>
            </w:r>
          </w:p>
        </w:tc>
        <w:tc>
          <w:tcPr>
            <w:tcW w:w="840" w:type="dxa"/>
            <w:tcBorders>
              <w:top w:val="single" w:sz="4" w:space="0" w:color="auto"/>
              <w:left w:val="nil"/>
              <w:bottom w:val="single" w:sz="4" w:space="0" w:color="auto"/>
              <w:right w:val="nil"/>
            </w:tcBorders>
            <w:shd w:val="clear" w:color="auto" w:fill="auto"/>
            <w:hideMark/>
          </w:tcPr>
          <w:p w14:paraId="76C172F2" w14:textId="77777777" w:rsidR="00D939C1" w:rsidRPr="00D939C1" w:rsidRDefault="009A4174" w:rsidP="00D939C1">
            <w:pPr>
              <w:spacing w:after="0" w:line="240" w:lineRule="auto"/>
              <w:jc w:val="right"/>
              <w:rPr>
                <w:rFonts w:ascii="Arial" w:hAnsi="Arial" w:cs="Arial"/>
                <w:sz w:val="16"/>
                <w:szCs w:val="16"/>
              </w:rPr>
            </w:pPr>
            <w:r>
              <w:rPr>
                <w:rFonts w:ascii="Arial" w:hAnsi="Arial" w:cs="Arial"/>
                <w:sz w:val="16"/>
                <w:szCs w:val="16"/>
              </w:rPr>
              <w:t xml:space="preserve">2018–19 </w:t>
            </w:r>
            <w:r w:rsidR="00D939C1" w:rsidRPr="00D939C1">
              <w:rPr>
                <w:rFonts w:ascii="Arial" w:hAnsi="Arial" w:cs="Arial"/>
                <w:sz w:val="16"/>
                <w:szCs w:val="16"/>
              </w:rPr>
              <w:t xml:space="preserve"> Estimated actual</w:t>
            </w:r>
            <w:r w:rsidR="00D939C1" w:rsidRPr="00D939C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000000" w:fill="E6E6E6"/>
            <w:hideMark/>
          </w:tcPr>
          <w:p w14:paraId="76C172F3" w14:textId="77777777" w:rsidR="00D939C1" w:rsidRPr="00D939C1" w:rsidRDefault="009A4174" w:rsidP="00D939C1">
            <w:pPr>
              <w:spacing w:after="0" w:line="240" w:lineRule="auto"/>
              <w:jc w:val="right"/>
              <w:rPr>
                <w:rFonts w:ascii="Arial" w:hAnsi="Arial" w:cs="Arial"/>
                <w:sz w:val="16"/>
                <w:szCs w:val="16"/>
              </w:rPr>
            </w:pPr>
            <w:r>
              <w:rPr>
                <w:rFonts w:ascii="Arial" w:hAnsi="Arial" w:cs="Arial"/>
                <w:sz w:val="16"/>
                <w:szCs w:val="16"/>
              </w:rPr>
              <w:t>2019–20</w:t>
            </w:r>
            <w:r w:rsidR="00D939C1" w:rsidRPr="00D939C1">
              <w:rPr>
                <w:rFonts w:ascii="Arial" w:hAnsi="Arial" w:cs="Arial"/>
                <w:sz w:val="16"/>
                <w:szCs w:val="16"/>
              </w:rPr>
              <w:br/>
              <w:t>Budget</w:t>
            </w:r>
            <w:r w:rsidR="00D939C1" w:rsidRPr="00D939C1">
              <w:rPr>
                <w:rFonts w:ascii="Arial" w:hAnsi="Arial" w:cs="Arial"/>
                <w:sz w:val="16"/>
                <w:szCs w:val="16"/>
              </w:rPr>
              <w:br/>
            </w:r>
            <w:r w:rsidR="00D939C1" w:rsidRPr="00D939C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76C172F4" w14:textId="490A5AC9" w:rsidR="00D939C1" w:rsidRPr="00D939C1" w:rsidRDefault="00014C66" w:rsidP="00D939C1">
            <w:pPr>
              <w:spacing w:after="0" w:line="240" w:lineRule="auto"/>
              <w:jc w:val="right"/>
              <w:rPr>
                <w:rFonts w:ascii="Arial" w:hAnsi="Arial" w:cs="Arial"/>
                <w:sz w:val="16"/>
                <w:szCs w:val="16"/>
              </w:rPr>
            </w:pPr>
            <w:r>
              <w:rPr>
                <w:rFonts w:ascii="Arial" w:hAnsi="Arial" w:cs="Arial"/>
                <w:sz w:val="16"/>
                <w:szCs w:val="16"/>
              </w:rPr>
              <w:t>2020–21</w:t>
            </w:r>
            <w:r w:rsidR="00D939C1" w:rsidRPr="00D939C1">
              <w:rPr>
                <w:rFonts w:ascii="Arial" w:hAnsi="Arial" w:cs="Arial"/>
                <w:sz w:val="16"/>
                <w:szCs w:val="16"/>
              </w:rPr>
              <w:t xml:space="preserve"> Forward estimate</w:t>
            </w:r>
            <w:r w:rsidR="00D939C1" w:rsidRPr="00D939C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76C172F5" w14:textId="77777777" w:rsidR="00D939C1" w:rsidRPr="00D939C1" w:rsidRDefault="009A4174" w:rsidP="00D939C1">
            <w:pPr>
              <w:spacing w:after="0" w:line="240" w:lineRule="auto"/>
              <w:jc w:val="right"/>
              <w:rPr>
                <w:rFonts w:ascii="Arial" w:hAnsi="Arial" w:cs="Arial"/>
                <w:sz w:val="16"/>
                <w:szCs w:val="16"/>
              </w:rPr>
            </w:pPr>
            <w:r>
              <w:rPr>
                <w:rFonts w:ascii="Arial" w:hAnsi="Arial" w:cs="Arial"/>
                <w:sz w:val="16"/>
                <w:szCs w:val="16"/>
              </w:rPr>
              <w:t>2021–22</w:t>
            </w:r>
            <w:r w:rsidR="00D939C1" w:rsidRPr="00D939C1">
              <w:rPr>
                <w:rFonts w:ascii="Arial" w:hAnsi="Arial" w:cs="Arial"/>
                <w:sz w:val="16"/>
                <w:szCs w:val="16"/>
              </w:rPr>
              <w:t xml:space="preserve"> Forward estimate</w:t>
            </w:r>
            <w:r w:rsidR="00D939C1" w:rsidRPr="00D939C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76C172F6" w14:textId="77777777" w:rsidR="00D939C1" w:rsidRPr="00D939C1" w:rsidRDefault="009A4174" w:rsidP="00D939C1">
            <w:pPr>
              <w:spacing w:after="0" w:line="240" w:lineRule="auto"/>
              <w:jc w:val="right"/>
              <w:rPr>
                <w:rFonts w:ascii="Arial" w:hAnsi="Arial" w:cs="Arial"/>
                <w:sz w:val="16"/>
                <w:szCs w:val="16"/>
              </w:rPr>
            </w:pPr>
            <w:r>
              <w:rPr>
                <w:rFonts w:ascii="Arial" w:hAnsi="Arial" w:cs="Arial"/>
                <w:sz w:val="16"/>
                <w:szCs w:val="16"/>
              </w:rPr>
              <w:t>2022–23</w:t>
            </w:r>
            <w:r w:rsidR="00D939C1" w:rsidRPr="00D939C1">
              <w:rPr>
                <w:rFonts w:ascii="Arial" w:hAnsi="Arial" w:cs="Arial"/>
                <w:sz w:val="16"/>
                <w:szCs w:val="16"/>
              </w:rPr>
              <w:br/>
              <w:t>Forward estimate</w:t>
            </w:r>
            <w:r w:rsidR="00D939C1" w:rsidRPr="00D939C1">
              <w:rPr>
                <w:rFonts w:ascii="Arial" w:hAnsi="Arial" w:cs="Arial"/>
                <w:sz w:val="16"/>
                <w:szCs w:val="16"/>
              </w:rPr>
              <w:br/>
              <w:t>$'000</w:t>
            </w:r>
          </w:p>
        </w:tc>
      </w:tr>
      <w:tr w:rsidR="00D939C1" w:rsidRPr="00D939C1" w14:paraId="76C172FE" w14:textId="77777777" w:rsidTr="00823848">
        <w:trPr>
          <w:trHeight w:val="225"/>
        </w:trPr>
        <w:tc>
          <w:tcPr>
            <w:tcW w:w="3060" w:type="dxa"/>
            <w:tcBorders>
              <w:top w:val="nil"/>
              <w:left w:val="nil"/>
              <w:bottom w:val="nil"/>
              <w:right w:val="nil"/>
            </w:tcBorders>
            <w:shd w:val="clear" w:color="auto" w:fill="auto"/>
            <w:noWrap/>
            <w:vAlign w:val="center"/>
            <w:hideMark/>
          </w:tcPr>
          <w:p w14:paraId="76C172F8" w14:textId="77777777" w:rsidR="00D939C1" w:rsidRPr="00D939C1" w:rsidRDefault="00D939C1" w:rsidP="00D939C1">
            <w:pPr>
              <w:spacing w:after="0" w:line="240" w:lineRule="auto"/>
              <w:jc w:val="left"/>
              <w:rPr>
                <w:rFonts w:ascii="Arial" w:hAnsi="Arial" w:cs="Arial"/>
                <w:b/>
                <w:bCs/>
                <w:color w:val="000000"/>
                <w:sz w:val="16"/>
                <w:szCs w:val="16"/>
              </w:rPr>
            </w:pPr>
            <w:r w:rsidRPr="00D939C1">
              <w:rPr>
                <w:rFonts w:ascii="Arial" w:hAnsi="Arial" w:cs="Arial"/>
                <w:b/>
                <w:bCs/>
                <w:color w:val="000000"/>
                <w:sz w:val="16"/>
                <w:szCs w:val="16"/>
              </w:rPr>
              <w:t>EXPENSES</w:t>
            </w:r>
          </w:p>
        </w:tc>
        <w:tc>
          <w:tcPr>
            <w:tcW w:w="840" w:type="dxa"/>
            <w:tcBorders>
              <w:top w:val="nil"/>
              <w:left w:val="nil"/>
              <w:bottom w:val="nil"/>
              <w:right w:val="nil"/>
            </w:tcBorders>
            <w:shd w:val="clear" w:color="auto" w:fill="auto"/>
            <w:noWrap/>
            <w:vAlign w:val="center"/>
            <w:hideMark/>
          </w:tcPr>
          <w:p w14:paraId="76C172F9" w14:textId="77777777" w:rsidR="00D939C1" w:rsidRPr="00D939C1" w:rsidRDefault="00D939C1" w:rsidP="00D939C1">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76C172FA" w14:textId="77777777" w:rsidR="00D939C1" w:rsidRPr="00D939C1" w:rsidRDefault="00D939C1" w:rsidP="00D939C1">
            <w:pPr>
              <w:spacing w:after="0" w:line="240" w:lineRule="auto"/>
              <w:jc w:val="left"/>
              <w:rPr>
                <w:rFonts w:ascii="Arial" w:hAnsi="Arial" w:cs="Arial"/>
                <w:color w:val="000000"/>
                <w:sz w:val="16"/>
                <w:szCs w:val="16"/>
              </w:rPr>
            </w:pPr>
            <w:r w:rsidRPr="00D939C1">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72FB" w14:textId="77777777" w:rsidR="00D939C1" w:rsidRPr="00D939C1" w:rsidRDefault="00D939C1" w:rsidP="00D939C1">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72FC" w14:textId="77777777" w:rsidR="00D939C1" w:rsidRPr="00D939C1" w:rsidRDefault="00D939C1" w:rsidP="00D939C1">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72FD" w14:textId="77777777" w:rsidR="00D939C1" w:rsidRPr="00D939C1" w:rsidRDefault="00D939C1" w:rsidP="00D939C1">
            <w:pPr>
              <w:spacing w:after="0" w:line="240" w:lineRule="auto"/>
              <w:jc w:val="left"/>
              <w:rPr>
                <w:rFonts w:ascii="Times New Roman" w:hAnsi="Times New Roman"/>
              </w:rPr>
            </w:pPr>
          </w:p>
        </w:tc>
      </w:tr>
      <w:tr w:rsidR="00D939C1" w:rsidRPr="00D939C1" w14:paraId="76C17305" w14:textId="77777777" w:rsidTr="00823848">
        <w:trPr>
          <w:trHeight w:val="225"/>
        </w:trPr>
        <w:tc>
          <w:tcPr>
            <w:tcW w:w="3060" w:type="dxa"/>
            <w:tcBorders>
              <w:top w:val="nil"/>
              <w:left w:val="nil"/>
              <w:bottom w:val="nil"/>
              <w:right w:val="nil"/>
            </w:tcBorders>
            <w:shd w:val="clear" w:color="auto" w:fill="auto"/>
            <w:noWrap/>
            <w:vAlign w:val="center"/>
            <w:hideMark/>
          </w:tcPr>
          <w:p w14:paraId="76C172FF" w14:textId="77777777" w:rsidR="00D939C1" w:rsidRPr="00D939C1" w:rsidRDefault="00D939C1" w:rsidP="00D939C1">
            <w:pPr>
              <w:spacing w:after="0" w:line="240" w:lineRule="auto"/>
              <w:ind w:firstLineChars="100" w:firstLine="160"/>
              <w:jc w:val="left"/>
              <w:rPr>
                <w:rFonts w:ascii="Arial" w:hAnsi="Arial" w:cs="Arial"/>
                <w:color w:val="000000"/>
                <w:sz w:val="16"/>
                <w:szCs w:val="16"/>
              </w:rPr>
            </w:pPr>
            <w:r w:rsidRPr="00D939C1">
              <w:rPr>
                <w:rFonts w:ascii="Arial" w:hAnsi="Arial" w:cs="Arial"/>
                <w:color w:val="000000"/>
                <w:sz w:val="16"/>
                <w:szCs w:val="16"/>
              </w:rPr>
              <w:t>Suppliers</w:t>
            </w:r>
          </w:p>
        </w:tc>
        <w:tc>
          <w:tcPr>
            <w:tcW w:w="840" w:type="dxa"/>
            <w:tcBorders>
              <w:top w:val="nil"/>
              <w:left w:val="nil"/>
              <w:bottom w:val="nil"/>
              <w:right w:val="nil"/>
            </w:tcBorders>
            <w:shd w:val="clear" w:color="auto" w:fill="auto"/>
            <w:noWrap/>
            <w:vAlign w:val="center"/>
            <w:hideMark/>
          </w:tcPr>
          <w:p w14:paraId="76C17300" w14:textId="77777777" w:rsidR="00D939C1" w:rsidRPr="00D939C1" w:rsidRDefault="00D939C1" w:rsidP="00D939C1">
            <w:pPr>
              <w:spacing w:after="0" w:line="240" w:lineRule="auto"/>
              <w:jc w:val="right"/>
              <w:rPr>
                <w:rFonts w:ascii="Arial" w:hAnsi="Arial" w:cs="Arial"/>
                <w:color w:val="000000"/>
                <w:sz w:val="16"/>
                <w:szCs w:val="16"/>
              </w:rPr>
            </w:pPr>
            <w:r w:rsidRPr="00D939C1">
              <w:rPr>
                <w:rFonts w:ascii="Arial" w:hAnsi="Arial" w:cs="Arial"/>
                <w:color w:val="000000"/>
                <w:sz w:val="16"/>
                <w:szCs w:val="16"/>
              </w:rPr>
              <w:t xml:space="preserve">160 </w:t>
            </w:r>
          </w:p>
        </w:tc>
        <w:tc>
          <w:tcPr>
            <w:tcW w:w="840" w:type="dxa"/>
            <w:tcBorders>
              <w:top w:val="nil"/>
              <w:left w:val="nil"/>
              <w:bottom w:val="nil"/>
              <w:right w:val="nil"/>
            </w:tcBorders>
            <w:shd w:val="clear" w:color="000000" w:fill="E6E6E6"/>
            <w:noWrap/>
            <w:vAlign w:val="center"/>
            <w:hideMark/>
          </w:tcPr>
          <w:p w14:paraId="76C17301" w14:textId="77777777" w:rsidR="00D939C1" w:rsidRPr="00D939C1" w:rsidRDefault="00D939C1" w:rsidP="00D939C1">
            <w:pPr>
              <w:spacing w:after="0" w:line="240" w:lineRule="auto"/>
              <w:jc w:val="right"/>
              <w:rPr>
                <w:rFonts w:ascii="Arial" w:hAnsi="Arial" w:cs="Arial"/>
                <w:color w:val="000000"/>
                <w:sz w:val="16"/>
                <w:szCs w:val="16"/>
              </w:rPr>
            </w:pPr>
            <w:r w:rsidRPr="00D939C1">
              <w:rPr>
                <w:rFonts w:ascii="Arial" w:hAnsi="Arial" w:cs="Arial"/>
                <w:color w:val="000000"/>
                <w:sz w:val="16"/>
                <w:szCs w:val="16"/>
              </w:rPr>
              <w:t xml:space="preserve">143 </w:t>
            </w:r>
          </w:p>
        </w:tc>
        <w:tc>
          <w:tcPr>
            <w:tcW w:w="840" w:type="dxa"/>
            <w:tcBorders>
              <w:top w:val="nil"/>
              <w:left w:val="nil"/>
              <w:bottom w:val="nil"/>
              <w:right w:val="nil"/>
            </w:tcBorders>
            <w:shd w:val="clear" w:color="auto" w:fill="auto"/>
            <w:noWrap/>
            <w:vAlign w:val="center"/>
            <w:hideMark/>
          </w:tcPr>
          <w:p w14:paraId="76C17302" w14:textId="77777777" w:rsidR="00D939C1" w:rsidRPr="00D939C1" w:rsidRDefault="00D939C1" w:rsidP="00D939C1">
            <w:pPr>
              <w:spacing w:after="0" w:line="240" w:lineRule="auto"/>
              <w:jc w:val="right"/>
              <w:rPr>
                <w:rFonts w:ascii="Arial" w:hAnsi="Arial" w:cs="Arial"/>
                <w:color w:val="000000"/>
                <w:sz w:val="16"/>
                <w:szCs w:val="16"/>
              </w:rPr>
            </w:pPr>
            <w:r w:rsidRPr="00D939C1">
              <w:rPr>
                <w:rFonts w:ascii="Arial" w:hAnsi="Arial" w:cs="Arial"/>
                <w:color w:val="000000"/>
                <w:sz w:val="16"/>
                <w:szCs w:val="16"/>
              </w:rPr>
              <w:t xml:space="preserve">169 </w:t>
            </w:r>
          </w:p>
        </w:tc>
        <w:tc>
          <w:tcPr>
            <w:tcW w:w="840" w:type="dxa"/>
            <w:tcBorders>
              <w:top w:val="nil"/>
              <w:left w:val="nil"/>
              <w:bottom w:val="nil"/>
              <w:right w:val="nil"/>
            </w:tcBorders>
            <w:shd w:val="clear" w:color="auto" w:fill="auto"/>
            <w:noWrap/>
            <w:vAlign w:val="center"/>
            <w:hideMark/>
          </w:tcPr>
          <w:p w14:paraId="76C17303" w14:textId="77777777" w:rsidR="00D939C1" w:rsidRPr="00D939C1" w:rsidRDefault="00D939C1" w:rsidP="00D939C1">
            <w:pPr>
              <w:spacing w:after="0" w:line="240" w:lineRule="auto"/>
              <w:jc w:val="right"/>
              <w:rPr>
                <w:rFonts w:ascii="Arial" w:hAnsi="Arial" w:cs="Arial"/>
                <w:color w:val="000000"/>
                <w:sz w:val="16"/>
                <w:szCs w:val="16"/>
              </w:rPr>
            </w:pPr>
            <w:r w:rsidRPr="00D939C1">
              <w:rPr>
                <w:rFonts w:ascii="Arial" w:hAnsi="Arial" w:cs="Arial"/>
                <w:color w:val="000000"/>
                <w:sz w:val="16"/>
                <w:szCs w:val="16"/>
              </w:rPr>
              <w:t xml:space="preserve">151 </w:t>
            </w:r>
          </w:p>
        </w:tc>
        <w:tc>
          <w:tcPr>
            <w:tcW w:w="840" w:type="dxa"/>
            <w:tcBorders>
              <w:top w:val="nil"/>
              <w:left w:val="nil"/>
              <w:bottom w:val="nil"/>
              <w:right w:val="nil"/>
            </w:tcBorders>
            <w:shd w:val="clear" w:color="auto" w:fill="auto"/>
            <w:noWrap/>
            <w:vAlign w:val="center"/>
            <w:hideMark/>
          </w:tcPr>
          <w:p w14:paraId="76C17304" w14:textId="77777777" w:rsidR="00D939C1" w:rsidRPr="00D939C1" w:rsidRDefault="00D939C1" w:rsidP="00D939C1">
            <w:pPr>
              <w:spacing w:after="0" w:line="240" w:lineRule="auto"/>
              <w:jc w:val="right"/>
              <w:rPr>
                <w:rFonts w:ascii="Arial" w:hAnsi="Arial" w:cs="Arial"/>
                <w:color w:val="000000"/>
                <w:sz w:val="16"/>
                <w:szCs w:val="16"/>
              </w:rPr>
            </w:pPr>
            <w:r w:rsidRPr="00D939C1">
              <w:rPr>
                <w:rFonts w:ascii="Arial" w:hAnsi="Arial" w:cs="Arial"/>
                <w:color w:val="000000"/>
                <w:sz w:val="16"/>
                <w:szCs w:val="16"/>
              </w:rPr>
              <w:t xml:space="preserve">177 </w:t>
            </w:r>
          </w:p>
        </w:tc>
      </w:tr>
      <w:tr w:rsidR="00D939C1" w:rsidRPr="00D939C1" w14:paraId="76C1730C" w14:textId="77777777" w:rsidTr="00823848">
        <w:trPr>
          <w:trHeight w:val="450"/>
        </w:trPr>
        <w:tc>
          <w:tcPr>
            <w:tcW w:w="3060" w:type="dxa"/>
            <w:tcBorders>
              <w:top w:val="nil"/>
              <w:left w:val="nil"/>
              <w:bottom w:val="nil"/>
              <w:right w:val="nil"/>
            </w:tcBorders>
            <w:shd w:val="clear" w:color="auto" w:fill="auto"/>
            <w:vAlign w:val="center"/>
            <w:hideMark/>
          </w:tcPr>
          <w:p w14:paraId="76C17306" w14:textId="69DEC813" w:rsidR="00D939C1" w:rsidRPr="00D939C1" w:rsidRDefault="00D939C1" w:rsidP="008425FD">
            <w:pPr>
              <w:spacing w:after="0" w:line="240" w:lineRule="auto"/>
              <w:ind w:left="175" w:hanging="175"/>
              <w:jc w:val="left"/>
              <w:rPr>
                <w:rFonts w:ascii="Arial" w:hAnsi="Arial" w:cs="Arial"/>
                <w:b/>
                <w:bCs/>
                <w:color w:val="000000"/>
                <w:sz w:val="16"/>
                <w:szCs w:val="16"/>
              </w:rPr>
            </w:pPr>
            <w:r w:rsidRPr="00D939C1">
              <w:rPr>
                <w:rFonts w:ascii="Arial" w:hAnsi="Arial" w:cs="Arial"/>
                <w:b/>
                <w:bCs/>
                <w:color w:val="000000"/>
                <w:sz w:val="16"/>
                <w:szCs w:val="16"/>
              </w:rPr>
              <w:t>Total expenses administered on behalf of Government</w:t>
            </w:r>
          </w:p>
        </w:tc>
        <w:tc>
          <w:tcPr>
            <w:tcW w:w="840" w:type="dxa"/>
            <w:tcBorders>
              <w:top w:val="single" w:sz="4" w:space="0" w:color="auto"/>
              <w:left w:val="nil"/>
              <w:bottom w:val="single" w:sz="4" w:space="0" w:color="auto"/>
              <w:right w:val="nil"/>
            </w:tcBorders>
            <w:shd w:val="clear" w:color="auto" w:fill="auto"/>
            <w:noWrap/>
            <w:vAlign w:val="bottom"/>
            <w:hideMark/>
          </w:tcPr>
          <w:p w14:paraId="76C17307"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160 </w:t>
            </w:r>
          </w:p>
        </w:tc>
        <w:tc>
          <w:tcPr>
            <w:tcW w:w="840" w:type="dxa"/>
            <w:tcBorders>
              <w:top w:val="single" w:sz="4" w:space="0" w:color="auto"/>
              <w:left w:val="nil"/>
              <w:bottom w:val="single" w:sz="4" w:space="0" w:color="auto"/>
              <w:right w:val="nil"/>
            </w:tcBorders>
            <w:shd w:val="clear" w:color="000000" w:fill="E6E6E6"/>
            <w:noWrap/>
            <w:vAlign w:val="bottom"/>
            <w:hideMark/>
          </w:tcPr>
          <w:p w14:paraId="76C17308"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143 </w:t>
            </w:r>
          </w:p>
        </w:tc>
        <w:tc>
          <w:tcPr>
            <w:tcW w:w="840" w:type="dxa"/>
            <w:tcBorders>
              <w:top w:val="single" w:sz="4" w:space="0" w:color="auto"/>
              <w:left w:val="nil"/>
              <w:bottom w:val="single" w:sz="4" w:space="0" w:color="auto"/>
              <w:right w:val="nil"/>
            </w:tcBorders>
            <w:shd w:val="clear" w:color="auto" w:fill="auto"/>
            <w:noWrap/>
            <w:vAlign w:val="bottom"/>
            <w:hideMark/>
          </w:tcPr>
          <w:p w14:paraId="76C17309"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169 </w:t>
            </w:r>
          </w:p>
        </w:tc>
        <w:tc>
          <w:tcPr>
            <w:tcW w:w="840" w:type="dxa"/>
            <w:tcBorders>
              <w:top w:val="single" w:sz="4" w:space="0" w:color="auto"/>
              <w:left w:val="nil"/>
              <w:bottom w:val="single" w:sz="4" w:space="0" w:color="auto"/>
              <w:right w:val="nil"/>
            </w:tcBorders>
            <w:shd w:val="clear" w:color="auto" w:fill="auto"/>
            <w:noWrap/>
            <w:vAlign w:val="bottom"/>
            <w:hideMark/>
          </w:tcPr>
          <w:p w14:paraId="76C1730A"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151 </w:t>
            </w:r>
          </w:p>
        </w:tc>
        <w:tc>
          <w:tcPr>
            <w:tcW w:w="840" w:type="dxa"/>
            <w:tcBorders>
              <w:top w:val="single" w:sz="4" w:space="0" w:color="auto"/>
              <w:left w:val="nil"/>
              <w:bottom w:val="single" w:sz="4" w:space="0" w:color="auto"/>
              <w:right w:val="nil"/>
            </w:tcBorders>
            <w:shd w:val="clear" w:color="auto" w:fill="auto"/>
            <w:noWrap/>
            <w:vAlign w:val="bottom"/>
            <w:hideMark/>
          </w:tcPr>
          <w:p w14:paraId="76C1730B"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177 </w:t>
            </w:r>
          </w:p>
        </w:tc>
      </w:tr>
      <w:tr w:rsidR="00D939C1" w:rsidRPr="00D939C1" w14:paraId="76C17313" w14:textId="77777777" w:rsidTr="00823848">
        <w:trPr>
          <w:trHeight w:val="225"/>
        </w:trPr>
        <w:tc>
          <w:tcPr>
            <w:tcW w:w="3060" w:type="dxa"/>
            <w:tcBorders>
              <w:top w:val="nil"/>
              <w:left w:val="nil"/>
              <w:bottom w:val="nil"/>
              <w:right w:val="nil"/>
            </w:tcBorders>
            <w:shd w:val="clear" w:color="auto" w:fill="auto"/>
            <w:noWrap/>
            <w:vAlign w:val="center"/>
            <w:hideMark/>
          </w:tcPr>
          <w:p w14:paraId="76C1730D" w14:textId="77777777" w:rsidR="00D939C1" w:rsidRPr="00D939C1" w:rsidRDefault="00D939C1" w:rsidP="00D939C1">
            <w:pPr>
              <w:spacing w:after="0" w:line="240" w:lineRule="auto"/>
              <w:jc w:val="left"/>
              <w:rPr>
                <w:rFonts w:ascii="Arial" w:hAnsi="Arial" w:cs="Arial"/>
                <w:b/>
                <w:bCs/>
                <w:color w:val="000000"/>
                <w:sz w:val="16"/>
                <w:szCs w:val="16"/>
              </w:rPr>
            </w:pPr>
            <w:r w:rsidRPr="00D939C1">
              <w:rPr>
                <w:rFonts w:ascii="Arial" w:hAnsi="Arial" w:cs="Arial"/>
                <w:b/>
                <w:bCs/>
                <w:color w:val="000000"/>
                <w:sz w:val="16"/>
                <w:szCs w:val="16"/>
              </w:rPr>
              <w:t>LESS:</w:t>
            </w:r>
          </w:p>
        </w:tc>
        <w:tc>
          <w:tcPr>
            <w:tcW w:w="840" w:type="dxa"/>
            <w:tcBorders>
              <w:top w:val="nil"/>
              <w:left w:val="nil"/>
              <w:bottom w:val="nil"/>
              <w:right w:val="nil"/>
            </w:tcBorders>
            <w:shd w:val="clear" w:color="auto" w:fill="auto"/>
            <w:noWrap/>
            <w:vAlign w:val="center"/>
            <w:hideMark/>
          </w:tcPr>
          <w:p w14:paraId="76C1730E" w14:textId="77777777" w:rsidR="00D939C1" w:rsidRPr="00D939C1" w:rsidRDefault="00D939C1" w:rsidP="00D939C1">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76C1730F" w14:textId="77777777" w:rsidR="00D939C1" w:rsidRPr="00D939C1" w:rsidRDefault="00D939C1" w:rsidP="00D939C1">
            <w:pPr>
              <w:spacing w:after="0" w:line="240" w:lineRule="auto"/>
              <w:jc w:val="left"/>
              <w:rPr>
                <w:rFonts w:ascii="Arial" w:hAnsi="Arial" w:cs="Arial"/>
                <w:color w:val="000000"/>
                <w:sz w:val="16"/>
                <w:szCs w:val="16"/>
              </w:rPr>
            </w:pPr>
            <w:r w:rsidRPr="00D939C1">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7310" w14:textId="77777777" w:rsidR="00D939C1" w:rsidRPr="00D939C1" w:rsidRDefault="00D939C1" w:rsidP="00D939C1">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7311" w14:textId="77777777" w:rsidR="00D939C1" w:rsidRPr="00D939C1" w:rsidRDefault="00D939C1" w:rsidP="00D939C1">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7312" w14:textId="77777777" w:rsidR="00D939C1" w:rsidRPr="00D939C1" w:rsidRDefault="00D939C1" w:rsidP="00D939C1">
            <w:pPr>
              <w:spacing w:after="0" w:line="240" w:lineRule="auto"/>
              <w:jc w:val="left"/>
              <w:rPr>
                <w:rFonts w:ascii="Times New Roman" w:hAnsi="Times New Roman"/>
              </w:rPr>
            </w:pPr>
          </w:p>
        </w:tc>
      </w:tr>
      <w:tr w:rsidR="00D939C1" w:rsidRPr="00D939C1" w14:paraId="76C1731A" w14:textId="77777777" w:rsidTr="00823848">
        <w:trPr>
          <w:trHeight w:val="225"/>
        </w:trPr>
        <w:tc>
          <w:tcPr>
            <w:tcW w:w="3060" w:type="dxa"/>
            <w:tcBorders>
              <w:top w:val="nil"/>
              <w:left w:val="nil"/>
              <w:bottom w:val="nil"/>
              <w:right w:val="nil"/>
            </w:tcBorders>
            <w:shd w:val="clear" w:color="auto" w:fill="auto"/>
            <w:noWrap/>
            <w:vAlign w:val="center"/>
            <w:hideMark/>
          </w:tcPr>
          <w:p w14:paraId="76C17314" w14:textId="77777777" w:rsidR="00D939C1" w:rsidRPr="00D939C1" w:rsidRDefault="00D939C1" w:rsidP="00D939C1">
            <w:pPr>
              <w:spacing w:after="0" w:line="240" w:lineRule="auto"/>
              <w:jc w:val="left"/>
              <w:rPr>
                <w:rFonts w:ascii="Arial" w:hAnsi="Arial" w:cs="Arial"/>
                <w:b/>
                <w:bCs/>
                <w:color w:val="000000"/>
                <w:sz w:val="16"/>
                <w:szCs w:val="16"/>
              </w:rPr>
            </w:pPr>
            <w:r w:rsidRPr="00D939C1">
              <w:rPr>
                <w:rFonts w:ascii="Arial" w:hAnsi="Arial" w:cs="Arial"/>
                <w:b/>
                <w:bCs/>
                <w:color w:val="000000"/>
                <w:sz w:val="16"/>
                <w:szCs w:val="16"/>
              </w:rPr>
              <w:t>OWN-SOURCE INCOME</w:t>
            </w:r>
          </w:p>
        </w:tc>
        <w:tc>
          <w:tcPr>
            <w:tcW w:w="840" w:type="dxa"/>
            <w:tcBorders>
              <w:top w:val="nil"/>
              <w:left w:val="nil"/>
              <w:bottom w:val="nil"/>
              <w:right w:val="nil"/>
            </w:tcBorders>
            <w:shd w:val="clear" w:color="auto" w:fill="auto"/>
            <w:noWrap/>
            <w:vAlign w:val="center"/>
            <w:hideMark/>
          </w:tcPr>
          <w:p w14:paraId="76C17315" w14:textId="77777777" w:rsidR="00D939C1" w:rsidRPr="00D939C1" w:rsidRDefault="00D939C1" w:rsidP="00D939C1">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76C17316" w14:textId="77777777" w:rsidR="00D939C1" w:rsidRPr="00D939C1" w:rsidRDefault="00D939C1" w:rsidP="00D939C1">
            <w:pPr>
              <w:spacing w:after="0" w:line="240" w:lineRule="auto"/>
              <w:jc w:val="left"/>
              <w:rPr>
                <w:rFonts w:ascii="Arial" w:hAnsi="Arial" w:cs="Arial"/>
                <w:color w:val="000000"/>
                <w:sz w:val="16"/>
                <w:szCs w:val="16"/>
              </w:rPr>
            </w:pPr>
            <w:r w:rsidRPr="00D939C1">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7317" w14:textId="77777777" w:rsidR="00D939C1" w:rsidRPr="00D939C1" w:rsidRDefault="00D939C1" w:rsidP="00D939C1">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7318" w14:textId="77777777" w:rsidR="00D939C1" w:rsidRPr="00D939C1" w:rsidRDefault="00D939C1" w:rsidP="00D939C1">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7319" w14:textId="77777777" w:rsidR="00D939C1" w:rsidRPr="00D939C1" w:rsidRDefault="00D939C1" w:rsidP="00D939C1">
            <w:pPr>
              <w:spacing w:after="0" w:line="240" w:lineRule="auto"/>
              <w:jc w:val="left"/>
              <w:rPr>
                <w:rFonts w:ascii="Times New Roman" w:hAnsi="Times New Roman"/>
              </w:rPr>
            </w:pPr>
          </w:p>
        </w:tc>
      </w:tr>
      <w:tr w:rsidR="00D939C1" w:rsidRPr="00D939C1" w14:paraId="76C17321" w14:textId="77777777" w:rsidTr="00823848">
        <w:trPr>
          <w:trHeight w:val="225"/>
        </w:trPr>
        <w:tc>
          <w:tcPr>
            <w:tcW w:w="3060" w:type="dxa"/>
            <w:tcBorders>
              <w:top w:val="nil"/>
              <w:left w:val="nil"/>
              <w:bottom w:val="nil"/>
              <w:right w:val="nil"/>
            </w:tcBorders>
            <w:shd w:val="clear" w:color="auto" w:fill="auto"/>
            <w:noWrap/>
            <w:vAlign w:val="center"/>
            <w:hideMark/>
          </w:tcPr>
          <w:p w14:paraId="76C1731B" w14:textId="77777777" w:rsidR="00D939C1" w:rsidRPr="00D939C1" w:rsidRDefault="00D939C1" w:rsidP="00D939C1">
            <w:pPr>
              <w:spacing w:after="0" w:line="240" w:lineRule="auto"/>
              <w:jc w:val="left"/>
              <w:rPr>
                <w:rFonts w:ascii="Arial" w:hAnsi="Arial" w:cs="Arial"/>
                <w:b/>
                <w:bCs/>
                <w:color w:val="000000"/>
                <w:sz w:val="16"/>
                <w:szCs w:val="16"/>
              </w:rPr>
            </w:pPr>
            <w:r w:rsidRPr="00D939C1">
              <w:rPr>
                <w:rFonts w:ascii="Arial" w:hAnsi="Arial" w:cs="Arial"/>
                <w:b/>
                <w:bCs/>
                <w:color w:val="000000"/>
                <w:sz w:val="16"/>
                <w:szCs w:val="16"/>
              </w:rPr>
              <w:t>Non-taxation revenue</w:t>
            </w:r>
          </w:p>
        </w:tc>
        <w:tc>
          <w:tcPr>
            <w:tcW w:w="840" w:type="dxa"/>
            <w:tcBorders>
              <w:top w:val="nil"/>
              <w:left w:val="nil"/>
              <w:bottom w:val="nil"/>
              <w:right w:val="nil"/>
            </w:tcBorders>
            <w:shd w:val="clear" w:color="auto" w:fill="auto"/>
            <w:noWrap/>
            <w:vAlign w:val="center"/>
            <w:hideMark/>
          </w:tcPr>
          <w:p w14:paraId="76C1731C" w14:textId="77777777" w:rsidR="00D939C1" w:rsidRPr="00D939C1" w:rsidRDefault="00D939C1" w:rsidP="00D939C1">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76C1731D" w14:textId="77777777" w:rsidR="00D939C1" w:rsidRPr="00D939C1" w:rsidRDefault="00D939C1" w:rsidP="00D939C1">
            <w:pPr>
              <w:spacing w:after="0" w:line="240" w:lineRule="auto"/>
              <w:jc w:val="left"/>
              <w:rPr>
                <w:rFonts w:ascii="Arial" w:hAnsi="Arial" w:cs="Arial"/>
                <w:color w:val="000000"/>
                <w:sz w:val="16"/>
                <w:szCs w:val="16"/>
              </w:rPr>
            </w:pPr>
            <w:r w:rsidRPr="00D939C1">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731E" w14:textId="77777777" w:rsidR="00D939C1" w:rsidRPr="00D939C1" w:rsidRDefault="00D939C1" w:rsidP="00D939C1">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731F" w14:textId="77777777" w:rsidR="00D939C1" w:rsidRPr="00D939C1" w:rsidRDefault="00D939C1" w:rsidP="00D939C1">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7320" w14:textId="77777777" w:rsidR="00D939C1" w:rsidRPr="00D939C1" w:rsidRDefault="00D939C1" w:rsidP="00D939C1">
            <w:pPr>
              <w:spacing w:after="0" w:line="240" w:lineRule="auto"/>
              <w:jc w:val="left"/>
              <w:rPr>
                <w:rFonts w:ascii="Times New Roman" w:hAnsi="Times New Roman"/>
              </w:rPr>
            </w:pPr>
          </w:p>
        </w:tc>
      </w:tr>
      <w:tr w:rsidR="00D939C1" w:rsidRPr="00D939C1" w14:paraId="76C17328" w14:textId="77777777" w:rsidTr="00823848">
        <w:trPr>
          <w:trHeight w:val="225"/>
        </w:trPr>
        <w:tc>
          <w:tcPr>
            <w:tcW w:w="3060" w:type="dxa"/>
            <w:tcBorders>
              <w:top w:val="nil"/>
              <w:left w:val="nil"/>
              <w:bottom w:val="nil"/>
              <w:right w:val="nil"/>
            </w:tcBorders>
            <w:shd w:val="clear" w:color="auto" w:fill="auto"/>
            <w:noWrap/>
            <w:vAlign w:val="center"/>
            <w:hideMark/>
          </w:tcPr>
          <w:p w14:paraId="76C17322" w14:textId="77777777" w:rsidR="00D939C1" w:rsidRPr="00D939C1" w:rsidRDefault="00D939C1" w:rsidP="00D939C1">
            <w:pPr>
              <w:spacing w:after="0" w:line="240" w:lineRule="auto"/>
              <w:ind w:firstLineChars="100" w:firstLine="160"/>
              <w:jc w:val="left"/>
              <w:rPr>
                <w:rFonts w:ascii="Arial" w:hAnsi="Arial" w:cs="Arial"/>
                <w:color w:val="000000"/>
                <w:sz w:val="16"/>
                <w:szCs w:val="16"/>
              </w:rPr>
            </w:pPr>
            <w:r w:rsidRPr="00D939C1">
              <w:rPr>
                <w:rFonts w:ascii="Arial" w:hAnsi="Arial" w:cs="Arial"/>
                <w:color w:val="000000"/>
                <w:sz w:val="16"/>
                <w:szCs w:val="16"/>
              </w:rPr>
              <w:t>Other revenue</w:t>
            </w:r>
          </w:p>
        </w:tc>
        <w:tc>
          <w:tcPr>
            <w:tcW w:w="840" w:type="dxa"/>
            <w:tcBorders>
              <w:top w:val="nil"/>
              <w:left w:val="nil"/>
              <w:bottom w:val="nil"/>
              <w:right w:val="nil"/>
            </w:tcBorders>
            <w:shd w:val="clear" w:color="auto" w:fill="auto"/>
            <w:noWrap/>
            <w:vAlign w:val="center"/>
            <w:hideMark/>
          </w:tcPr>
          <w:p w14:paraId="76C17323" w14:textId="77777777" w:rsidR="00D939C1" w:rsidRPr="00D939C1" w:rsidRDefault="00D939C1" w:rsidP="00D939C1">
            <w:pPr>
              <w:spacing w:after="0" w:line="240" w:lineRule="auto"/>
              <w:jc w:val="right"/>
              <w:rPr>
                <w:rFonts w:ascii="Arial" w:hAnsi="Arial" w:cs="Arial"/>
                <w:color w:val="000000"/>
                <w:sz w:val="16"/>
                <w:szCs w:val="16"/>
              </w:rPr>
            </w:pPr>
            <w:r w:rsidRPr="00D939C1">
              <w:rPr>
                <w:rFonts w:ascii="Arial" w:hAnsi="Arial" w:cs="Arial"/>
                <w:color w:val="000000"/>
                <w:sz w:val="16"/>
                <w:szCs w:val="16"/>
              </w:rPr>
              <w:t xml:space="preserve">179 </w:t>
            </w:r>
          </w:p>
        </w:tc>
        <w:tc>
          <w:tcPr>
            <w:tcW w:w="840" w:type="dxa"/>
            <w:tcBorders>
              <w:top w:val="nil"/>
              <w:left w:val="nil"/>
              <w:bottom w:val="nil"/>
              <w:right w:val="nil"/>
            </w:tcBorders>
            <w:shd w:val="clear" w:color="000000" w:fill="E6E6E6"/>
            <w:noWrap/>
            <w:vAlign w:val="center"/>
            <w:hideMark/>
          </w:tcPr>
          <w:p w14:paraId="76C17324" w14:textId="77777777" w:rsidR="00D939C1" w:rsidRPr="00D939C1" w:rsidRDefault="00D939C1" w:rsidP="00D939C1">
            <w:pPr>
              <w:spacing w:after="0" w:line="240" w:lineRule="auto"/>
              <w:jc w:val="right"/>
              <w:rPr>
                <w:rFonts w:ascii="Arial" w:hAnsi="Arial" w:cs="Arial"/>
                <w:color w:val="000000"/>
                <w:sz w:val="16"/>
                <w:szCs w:val="16"/>
              </w:rPr>
            </w:pPr>
            <w:r w:rsidRPr="00D939C1">
              <w:rPr>
                <w:rFonts w:ascii="Arial" w:hAnsi="Arial" w:cs="Arial"/>
                <w:color w:val="000000"/>
                <w:sz w:val="16"/>
                <w:szCs w:val="16"/>
              </w:rPr>
              <w:t xml:space="preserve">179 </w:t>
            </w:r>
          </w:p>
        </w:tc>
        <w:tc>
          <w:tcPr>
            <w:tcW w:w="840" w:type="dxa"/>
            <w:tcBorders>
              <w:top w:val="nil"/>
              <w:left w:val="nil"/>
              <w:bottom w:val="nil"/>
              <w:right w:val="nil"/>
            </w:tcBorders>
            <w:shd w:val="clear" w:color="auto" w:fill="auto"/>
            <w:noWrap/>
            <w:vAlign w:val="center"/>
            <w:hideMark/>
          </w:tcPr>
          <w:p w14:paraId="76C17325" w14:textId="77777777" w:rsidR="00D939C1" w:rsidRPr="00D939C1" w:rsidRDefault="00D939C1" w:rsidP="00D939C1">
            <w:pPr>
              <w:spacing w:after="0" w:line="240" w:lineRule="auto"/>
              <w:jc w:val="right"/>
              <w:rPr>
                <w:rFonts w:ascii="Arial" w:hAnsi="Arial" w:cs="Arial"/>
                <w:color w:val="000000"/>
                <w:sz w:val="16"/>
                <w:szCs w:val="16"/>
              </w:rPr>
            </w:pPr>
            <w:r w:rsidRPr="00D939C1">
              <w:rPr>
                <w:rFonts w:ascii="Arial" w:hAnsi="Arial" w:cs="Arial"/>
                <w:color w:val="000000"/>
                <w:sz w:val="16"/>
                <w:szCs w:val="16"/>
              </w:rPr>
              <w:t xml:space="preserve">179 </w:t>
            </w:r>
          </w:p>
        </w:tc>
        <w:tc>
          <w:tcPr>
            <w:tcW w:w="840" w:type="dxa"/>
            <w:tcBorders>
              <w:top w:val="nil"/>
              <w:left w:val="nil"/>
              <w:bottom w:val="nil"/>
              <w:right w:val="nil"/>
            </w:tcBorders>
            <w:shd w:val="clear" w:color="auto" w:fill="auto"/>
            <w:noWrap/>
            <w:vAlign w:val="center"/>
            <w:hideMark/>
          </w:tcPr>
          <w:p w14:paraId="76C17326" w14:textId="77777777" w:rsidR="00D939C1" w:rsidRPr="00D939C1" w:rsidRDefault="00D939C1" w:rsidP="00D939C1">
            <w:pPr>
              <w:spacing w:after="0" w:line="240" w:lineRule="auto"/>
              <w:jc w:val="right"/>
              <w:rPr>
                <w:rFonts w:ascii="Arial" w:hAnsi="Arial" w:cs="Arial"/>
                <w:color w:val="000000"/>
                <w:sz w:val="16"/>
                <w:szCs w:val="16"/>
              </w:rPr>
            </w:pPr>
            <w:r w:rsidRPr="00D939C1">
              <w:rPr>
                <w:rFonts w:ascii="Arial" w:hAnsi="Arial" w:cs="Arial"/>
                <w:color w:val="000000"/>
                <w:sz w:val="16"/>
                <w:szCs w:val="16"/>
              </w:rPr>
              <w:t xml:space="preserve">179 </w:t>
            </w:r>
          </w:p>
        </w:tc>
        <w:tc>
          <w:tcPr>
            <w:tcW w:w="840" w:type="dxa"/>
            <w:tcBorders>
              <w:top w:val="nil"/>
              <w:left w:val="nil"/>
              <w:bottom w:val="nil"/>
              <w:right w:val="nil"/>
            </w:tcBorders>
            <w:shd w:val="clear" w:color="auto" w:fill="auto"/>
            <w:noWrap/>
            <w:vAlign w:val="center"/>
            <w:hideMark/>
          </w:tcPr>
          <w:p w14:paraId="76C17327" w14:textId="77777777" w:rsidR="00D939C1" w:rsidRPr="00D939C1" w:rsidRDefault="00D939C1" w:rsidP="00D939C1">
            <w:pPr>
              <w:spacing w:after="0" w:line="240" w:lineRule="auto"/>
              <w:jc w:val="right"/>
              <w:rPr>
                <w:rFonts w:ascii="Arial" w:hAnsi="Arial" w:cs="Arial"/>
                <w:color w:val="000000"/>
                <w:sz w:val="16"/>
                <w:szCs w:val="16"/>
              </w:rPr>
            </w:pPr>
            <w:r w:rsidRPr="00D939C1">
              <w:rPr>
                <w:rFonts w:ascii="Arial" w:hAnsi="Arial" w:cs="Arial"/>
                <w:color w:val="000000"/>
                <w:sz w:val="16"/>
                <w:szCs w:val="16"/>
              </w:rPr>
              <w:t xml:space="preserve">179 </w:t>
            </w:r>
          </w:p>
        </w:tc>
      </w:tr>
      <w:tr w:rsidR="00D939C1" w:rsidRPr="00D939C1" w14:paraId="76C1732F" w14:textId="77777777" w:rsidTr="00823848">
        <w:trPr>
          <w:trHeight w:val="282"/>
        </w:trPr>
        <w:tc>
          <w:tcPr>
            <w:tcW w:w="3060" w:type="dxa"/>
            <w:tcBorders>
              <w:top w:val="nil"/>
              <w:left w:val="nil"/>
              <w:bottom w:val="nil"/>
              <w:right w:val="nil"/>
            </w:tcBorders>
            <w:shd w:val="clear" w:color="auto" w:fill="auto"/>
            <w:noWrap/>
            <w:vAlign w:val="center"/>
            <w:hideMark/>
          </w:tcPr>
          <w:p w14:paraId="76C17329" w14:textId="77777777" w:rsidR="00D939C1" w:rsidRPr="00D939C1" w:rsidRDefault="00D939C1" w:rsidP="00D939C1">
            <w:pPr>
              <w:spacing w:after="0" w:line="240" w:lineRule="auto"/>
              <w:jc w:val="left"/>
              <w:rPr>
                <w:rFonts w:ascii="Arial" w:hAnsi="Arial" w:cs="Arial"/>
                <w:b/>
                <w:bCs/>
                <w:i/>
                <w:iCs/>
                <w:color w:val="000000"/>
                <w:sz w:val="16"/>
                <w:szCs w:val="16"/>
              </w:rPr>
            </w:pPr>
            <w:r w:rsidRPr="00D939C1">
              <w:rPr>
                <w:rFonts w:ascii="Arial" w:hAnsi="Arial" w:cs="Arial"/>
                <w:b/>
                <w:bCs/>
                <w:i/>
                <w:iCs/>
                <w:color w:val="000000"/>
                <w:sz w:val="16"/>
                <w:szCs w:val="16"/>
              </w:rPr>
              <w:t>Total non-taxation revenue</w:t>
            </w:r>
          </w:p>
        </w:tc>
        <w:tc>
          <w:tcPr>
            <w:tcW w:w="840" w:type="dxa"/>
            <w:tcBorders>
              <w:top w:val="single" w:sz="4" w:space="0" w:color="auto"/>
              <w:left w:val="nil"/>
              <w:bottom w:val="single" w:sz="4" w:space="0" w:color="auto"/>
              <w:right w:val="nil"/>
            </w:tcBorders>
            <w:shd w:val="clear" w:color="auto" w:fill="auto"/>
            <w:noWrap/>
            <w:vAlign w:val="center"/>
            <w:hideMark/>
          </w:tcPr>
          <w:p w14:paraId="76C1732A" w14:textId="77777777" w:rsidR="00D939C1" w:rsidRPr="00D939C1" w:rsidRDefault="00D939C1" w:rsidP="00D939C1">
            <w:pPr>
              <w:spacing w:after="0" w:line="240" w:lineRule="auto"/>
              <w:jc w:val="right"/>
              <w:rPr>
                <w:rFonts w:ascii="Arial" w:hAnsi="Arial" w:cs="Arial"/>
                <w:b/>
                <w:bCs/>
                <w:i/>
                <w:iCs/>
                <w:color w:val="000000"/>
                <w:sz w:val="16"/>
                <w:szCs w:val="16"/>
              </w:rPr>
            </w:pPr>
            <w:r w:rsidRPr="00D939C1">
              <w:rPr>
                <w:rFonts w:ascii="Arial" w:hAnsi="Arial" w:cs="Arial"/>
                <w:b/>
                <w:bCs/>
                <w:i/>
                <w:iCs/>
                <w:color w:val="000000"/>
                <w:sz w:val="16"/>
                <w:szCs w:val="16"/>
              </w:rPr>
              <w:t xml:space="preserve">179 </w:t>
            </w:r>
          </w:p>
        </w:tc>
        <w:tc>
          <w:tcPr>
            <w:tcW w:w="840" w:type="dxa"/>
            <w:tcBorders>
              <w:top w:val="single" w:sz="4" w:space="0" w:color="auto"/>
              <w:left w:val="nil"/>
              <w:bottom w:val="single" w:sz="4" w:space="0" w:color="auto"/>
              <w:right w:val="nil"/>
            </w:tcBorders>
            <w:shd w:val="clear" w:color="000000" w:fill="E6E6E6"/>
            <w:noWrap/>
            <w:vAlign w:val="center"/>
            <w:hideMark/>
          </w:tcPr>
          <w:p w14:paraId="76C1732B" w14:textId="77777777" w:rsidR="00D939C1" w:rsidRPr="00D939C1" w:rsidRDefault="00D939C1" w:rsidP="00D939C1">
            <w:pPr>
              <w:spacing w:after="0" w:line="240" w:lineRule="auto"/>
              <w:jc w:val="right"/>
              <w:rPr>
                <w:rFonts w:ascii="Arial" w:hAnsi="Arial" w:cs="Arial"/>
                <w:b/>
                <w:bCs/>
                <w:i/>
                <w:iCs/>
                <w:color w:val="000000"/>
                <w:sz w:val="16"/>
                <w:szCs w:val="16"/>
              </w:rPr>
            </w:pPr>
            <w:r w:rsidRPr="00D939C1">
              <w:rPr>
                <w:rFonts w:ascii="Arial" w:hAnsi="Arial" w:cs="Arial"/>
                <w:b/>
                <w:bCs/>
                <w:i/>
                <w:iCs/>
                <w:color w:val="000000"/>
                <w:sz w:val="16"/>
                <w:szCs w:val="16"/>
              </w:rPr>
              <w:t xml:space="preserve">179 </w:t>
            </w:r>
          </w:p>
        </w:tc>
        <w:tc>
          <w:tcPr>
            <w:tcW w:w="840" w:type="dxa"/>
            <w:tcBorders>
              <w:top w:val="single" w:sz="4" w:space="0" w:color="auto"/>
              <w:left w:val="nil"/>
              <w:bottom w:val="single" w:sz="4" w:space="0" w:color="auto"/>
              <w:right w:val="nil"/>
            </w:tcBorders>
            <w:shd w:val="clear" w:color="auto" w:fill="auto"/>
            <w:noWrap/>
            <w:vAlign w:val="center"/>
            <w:hideMark/>
          </w:tcPr>
          <w:p w14:paraId="76C1732C" w14:textId="77777777" w:rsidR="00D939C1" w:rsidRPr="00D939C1" w:rsidRDefault="00D939C1" w:rsidP="00D939C1">
            <w:pPr>
              <w:spacing w:after="0" w:line="240" w:lineRule="auto"/>
              <w:jc w:val="right"/>
              <w:rPr>
                <w:rFonts w:ascii="Arial" w:hAnsi="Arial" w:cs="Arial"/>
                <w:b/>
                <w:bCs/>
                <w:i/>
                <w:iCs/>
                <w:color w:val="000000"/>
                <w:sz w:val="16"/>
                <w:szCs w:val="16"/>
              </w:rPr>
            </w:pPr>
            <w:r w:rsidRPr="00D939C1">
              <w:rPr>
                <w:rFonts w:ascii="Arial" w:hAnsi="Arial" w:cs="Arial"/>
                <w:b/>
                <w:bCs/>
                <w:i/>
                <w:iCs/>
                <w:color w:val="000000"/>
                <w:sz w:val="16"/>
                <w:szCs w:val="16"/>
              </w:rPr>
              <w:t xml:space="preserve">179 </w:t>
            </w:r>
          </w:p>
        </w:tc>
        <w:tc>
          <w:tcPr>
            <w:tcW w:w="840" w:type="dxa"/>
            <w:tcBorders>
              <w:top w:val="single" w:sz="4" w:space="0" w:color="auto"/>
              <w:left w:val="nil"/>
              <w:bottom w:val="single" w:sz="4" w:space="0" w:color="auto"/>
              <w:right w:val="nil"/>
            </w:tcBorders>
            <w:shd w:val="clear" w:color="auto" w:fill="auto"/>
            <w:noWrap/>
            <w:vAlign w:val="center"/>
            <w:hideMark/>
          </w:tcPr>
          <w:p w14:paraId="76C1732D" w14:textId="77777777" w:rsidR="00D939C1" w:rsidRPr="00D939C1" w:rsidRDefault="00D939C1" w:rsidP="00D939C1">
            <w:pPr>
              <w:spacing w:after="0" w:line="240" w:lineRule="auto"/>
              <w:jc w:val="right"/>
              <w:rPr>
                <w:rFonts w:ascii="Arial" w:hAnsi="Arial" w:cs="Arial"/>
                <w:b/>
                <w:bCs/>
                <w:i/>
                <w:iCs/>
                <w:color w:val="000000"/>
                <w:sz w:val="16"/>
                <w:szCs w:val="16"/>
              </w:rPr>
            </w:pPr>
            <w:r w:rsidRPr="00D939C1">
              <w:rPr>
                <w:rFonts w:ascii="Arial" w:hAnsi="Arial" w:cs="Arial"/>
                <w:b/>
                <w:bCs/>
                <w:i/>
                <w:iCs/>
                <w:color w:val="000000"/>
                <w:sz w:val="16"/>
                <w:szCs w:val="16"/>
              </w:rPr>
              <w:t xml:space="preserve">179 </w:t>
            </w:r>
          </w:p>
        </w:tc>
        <w:tc>
          <w:tcPr>
            <w:tcW w:w="840" w:type="dxa"/>
            <w:tcBorders>
              <w:top w:val="single" w:sz="4" w:space="0" w:color="auto"/>
              <w:left w:val="nil"/>
              <w:bottom w:val="single" w:sz="4" w:space="0" w:color="auto"/>
              <w:right w:val="nil"/>
            </w:tcBorders>
            <w:shd w:val="clear" w:color="auto" w:fill="auto"/>
            <w:noWrap/>
            <w:vAlign w:val="center"/>
            <w:hideMark/>
          </w:tcPr>
          <w:p w14:paraId="76C1732E" w14:textId="77777777" w:rsidR="00D939C1" w:rsidRPr="00D939C1" w:rsidRDefault="00D939C1" w:rsidP="00D939C1">
            <w:pPr>
              <w:spacing w:after="0" w:line="240" w:lineRule="auto"/>
              <w:jc w:val="right"/>
              <w:rPr>
                <w:rFonts w:ascii="Arial" w:hAnsi="Arial" w:cs="Arial"/>
                <w:b/>
                <w:bCs/>
                <w:i/>
                <w:iCs/>
                <w:color w:val="000000"/>
                <w:sz w:val="16"/>
                <w:szCs w:val="16"/>
              </w:rPr>
            </w:pPr>
            <w:r w:rsidRPr="00D939C1">
              <w:rPr>
                <w:rFonts w:ascii="Arial" w:hAnsi="Arial" w:cs="Arial"/>
                <w:b/>
                <w:bCs/>
                <w:i/>
                <w:iCs/>
                <w:color w:val="000000"/>
                <w:sz w:val="16"/>
                <w:szCs w:val="16"/>
              </w:rPr>
              <w:t xml:space="preserve">179 </w:t>
            </w:r>
          </w:p>
        </w:tc>
      </w:tr>
      <w:tr w:rsidR="00D939C1" w:rsidRPr="00D939C1" w14:paraId="76C17336" w14:textId="77777777" w:rsidTr="00823848">
        <w:trPr>
          <w:trHeight w:val="675"/>
        </w:trPr>
        <w:tc>
          <w:tcPr>
            <w:tcW w:w="3060" w:type="dxa"/>
            <w:tcBorders>
              <w:top w:val="nil"/>
              <w:left w:val="nil"/>
              <w:bottom w:val="nil"/>
              <w:right w:val="nil"/>
            </w:tcBorders>
            <w:shd w:val="clear" w:color="auto" w:fill="auto"/>
            <w:vAlign w:val="center"/>
            <w:hideMark/>
          </w:tcPr>
          <w:p w14:paraId="76C17330" w14:textId="22C3116D" w:rsidR="00D939C1" w:rsidRPr="00D939C1" w:rsidRDefault="00D939C1" w:rsidP="008425FD">
            <w:pPr>
              <w:spacing w:after="0" w:line="240" w:lineRule="auto"/>
              <w:ind w:left="175" w:hanging="175"/>
              <w:jc w:val="left"/>
              <w:rPr>
                <w:rFonts w:ascii="Arial" w:hAnsi="Arial" w:cs="Arial"/>
                <w:b/>
                <w:bCs/>
                <w:color w:val="000000"/>
                <w:sz w:val="16"/>
                <w:szCs w:val="16"/>
              </w:rPr>
            </w:pPr>
            <w:r w:rsidRPr="00D939C1">
              <w:rPr>
                <w:rFonts w:ascii="Arial" w:hAnsi="Arial" w:cs="Arial"/>
                <w:b/>
                <w:bCs/>
                <w:color w:val="000000"/>
                <w:sz w:val="16"/>
                <w:szCs w:val="16"/>
              </w:rPr>
              <w:t>Total own-source revenue administered on behalf of Government</w:t>
            </w:r>
          </w:p>
        </w:tc>
        <w:tc>
          <w:tcPr>
            <w:tcW w:w="840" w:type="dxa"/>
            <w:tcBorders>
              <w:top w:val="nil"/>
              <w:left w:val="nil"/>
              <w:bottom w:val="nil"/>
              <w:right w:val="nil"/>
            </w:tcBorders>
            <w:shd w:val="clear" w:color="auto" w:fill="auto"/>
            <w:noWrap/>
            <w:vAlign w:val="bottom"/>
            <w:hideMark/>
          </w:tcPr>
          <w:p w14:paraId="76C17331"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179 </w:t>
            </w:r>
          </w:p>
        </w:tc>
        <w:tc>
          <w:tcPr>
            <w:tcW w:w="840" w:type="dxa"/>
            <w:tcBorders>
              <w:top w:val="nil"/>
              <w:left w:val="nil"/>
              <w:bottom w:val="nil"/>
              <w:right w:val="nil"/>
            </w:tcBorders>
            <w:shd w:val="clear" w:color="000000" w:fill="E6E6E6"/>
            <w:noWrap/>
            <w:vAlign w:val="bottom"/>
            <w:hideMark/>
          </w:tcPr>
          <w:p w14:paraId="76C17332"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179 </w:t>
            </w:r>
          </w:p>
        </w:tc>
        <w:tc>
          <w:tcPr>
            <w:tcW w:w="840" w:type="dxa"/>
            <w:tcBorders>
              <w:top w:val="nil"/>
              <w:left w:val="nil"/>
              <w:bottom w:val="nil"/>
              <w:right w:val="nil"/>
            </w:tcBorders>
            <w:shd w:val="clear" w:color="auto" w:fill="auto"/>
            <w:noWrap/>
            <w:vAlign w:val="bottom"/>
            <w:hideMark/>
          </w:tcPr>
          <w:p w14:paraId="76C17333"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179 </w:t>
            </w:r>
          </w:p>
        </w:tc>
        <w:tc>
          <w:tcPr>
            <w:tcW w:w="840" w:type="dxa"/>
            <w:tcBorders>
              <w:top w:val="nil"/>
              <w:left w:val="nil"/>
              <w:bottom w:val="nil"/>
              <w:right w:val="nil"/>
            </w:tcBorders>
            <w:shd w:val="clear" w:color="auto" w:fill="auto"/>
            <w:noWrap/>
            <w:vAlign w:val="bottom"/>
            <w:hideMark/>
          </w:tcPr>
          <w:p w14:paraId="76C17334"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179 </w:t>
            </w:r>
          </w:p>
        </w:tc>
        <w:tc>
          <w:tcPr>
            <w:tcW w:w="840" w:type="dxa"/>
            <w:tcBorders>
              <w:top w:val="nil"/>
              <w:left w:val="nil"/>
              <w:bottom w:val="nil"/>
              <w:right w:val="nil"/>
            </w:tcBorders>
            <w:shd w:val="clear" w:color="auto" w:fill="auto"/>
            <w:noWrap/>
            <w:vAlign w:val="bottom"/>
            <w:hideMark/>
          </w:tcPr>
          <w:p w14:paraId="76C17335"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179 </w:t>
            </w:r>
          </w:p>
        </w:tc>
      </w:tr>
      <w:tr w:rsidR="00D939C1" w:rsidRPr="00D939C1" w14:paraId="76C1733D" w14:textId="77777777" w:rsidTr="00823848">
        <w:trPr>
          <w:trHeight w:val="675"/>
        </w:trPr>
        <w:tc>
          <w:tcPr>
            <w:tcW w:w="3060" w:type="dxa"/>
            <w:tcBorders>
              <w:top w:val="nil"/>
              <w:left w:val="nil"/>
              <w:bottom w:val="nil"/>
              <w:right w:val="nil"/>
            </w:tcBorders>
            <w:shd w:val="clear" w:color="auto" w:fill="auto"/>
            <w:vAlign w:val="center"/>
            <w:hideMark/>
          </w:tcPr>
          <w:p w14:paraId="76C17337" w14:textId="685DF97B" w:rsidR="00D939C1" w:rsidRPr="00D939C1" w:rsidRDefault="00D939C1" w:rsidP="008425FD">
            <w:pPr>
              <w:spacing w:after="0" w:line="240" w:lineRule="auto"/>
              <w:ind w:left="175" w:hanging="175"/>
              <w:jc w:val="left"/>
              <w:rPr>
                <w:rFonts w:ascii="Arial" w:hAnsi="Arial" w:cs="Arial"/>
                <w:b/>
                <w:bCs/>
                <w:color w:val="000000"/>
                <w:sz w:val="16"/>
                <w:szCs w:val="16"/>
              </w:rPr>
            </w:pPr>
            <w:r w:rsidRPr="00D939C1">
              <w:rPr>
                <w:rFonts w:ascii="Arial" w:hAnsi="Arial" w:cs="Arial"/>
                <w:b/>
                <w:bCs/>
                <w:color w:val="000000"/>
                <w:sz w:val="16"/>
                <w:szCs w:val="16"/>
              </w:rPr>
              <w:t>Total own-sourced income administered on behalf of Government</w:t>
            </w:r>
          </w:p>
        </w:tc>
        <w:tc>
          <w:tcPr>
            <w:tcW w:w="840" w:type="dxa"/>
            <w:tcBorders>
              <w:top w:val="single" w:sz="4" w:space="0" w:color="auto"/>
              <w:left w:val="nil"/>
              <w:bottom w:val="single" w:sz="4" w:space="0" w:color="auto"/>
              <w:right w:val="nil"/>
            </w:tcBorders>
            <w:shd w:val="clear" w:color="auto" w:fill="auto"/>
            <w:noWrap/>
            <w:vAlign w:val="bottom"/>
            <w:hideMark/>
          </w:tcPr>
          <w:p w14:paraId="76C17338"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179 </w:t>
            </w:r>
          </w:p>
        </w:tc>
        <w:tc>
          <w:tcPr>
            <w:tcW w:w="840" w:type="dxa"/>
            <w:tcBorders>
              <w:top w:val="single" w:sz="4" w:space="0" w:color="auto"/>
              <w:left w:val="nil"/>
              <w:bottom w:val="single" w:sz="4" w:space="0" w:color="auto"/>
              <w:right w:val="nil"/>
            </w:tcBorders>
            <w:shd w:val="clear" w:color="000000" w:fill="E6E6E6"/>
            <w:noWrap/>
            <w:vAlign w:val="bottom"/>
            <w:hideMark/>
          </w:tcPr>
          <w:p w14:paraId="76C17339"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179 </w:t>
            </w:r>
          </w:p>
        </w:tc>
        <w:tc>
          <w:tcPr>
            <w:tcW w:w="840" w:type="dxa"/>
            <w:tcBorders>
              <w:top w:val="single" w:sz="4" w:space="0" w:color="auto"/>
              <w:left w:val="nil"/>
              <w:bottom w:val="single" w:sz="4" w:space="0" w:color="auto"/>
              <w:right w:val="nil"/>
            </w:tcBorders>
            <w:shd w:val="clear" w:color="auto" w:fill="auto"/>
            <w:noWrap/>
            <w:vAlign w:val="bottom"/>
            <w:hideMark/>
          </w:tcPr>
          <w:p w14:paraId="76C1733A"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179 </w:t>
            </w:r>
          </w:p>
        </w:tc>
        <w:tc>
          <w:tcPr>
            <w:tcW w:w="840" w:type="dxa"/>
            <w:tcBorders>
              <w:top w:val="single" w:sz="4" w:space="0" w:color="auto"/>
              <w:left w:val="nil"/>
              <w:bottom w:val="single" w:sz="4" w:space="0" w:color="auto"/>
              <w:right w:val="nil"/>
            </w:tcBorders>
            <w:shd w:val="clear" w:color="auto" w:fill="auto"/>
            <w:noWrap/>
            <w:vAlign w:val="bottom"/>
            <w:hideMark/>
          </w:tcPr>
          <w:p w14:paraId="76C1733B"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179 </w:t>
            </w:r>
          </w:p>
        </w:tc>
        <w:tc>
          <w:tcPr>
            <w:tcW w:w="840" w:type="dxa"/>
            <w:tcBorders>
              <w:top w:val="single" w:sz="4" w:space="0" w:color="auto"/>
              <w:left w:val="nil"/>
              <w:bottom w:val="single" w:sz="4" w:space="0" w:color="auto"/>
              <w:right w:val="nil"/>
            </w:tcBorders>
            <w:shd w:val="clear" w:color="auto" w:fill="auto"/>
            <w:noWrap/>
            <w:vAlign w:val="bottom"/>
            <w:hideMark/>
          </w:tcPr>
          <w:p w14:paraId="76C1733C"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179 </w:t>
            </w:r>
          </w:p>
        </w:tc>
      </w:tr>
      <w:tr w:rsidR="00D939C1" w:rsidRPr="00D939C1" w14:paraId="76C17344" w14:textId="77777777" w:rsidTr="008425FD">
        <w:trPr>
          <w:trHeight w:val="308"/>
        </w:trPr>
        <w:tc>
          <w:tcPr>
            <w:tcW w:w="3060" w:type="dxa"/>
            <w:tcBorders>
              <w:top w:val="nil"/>
              <w:left w:val="nil"/>
              <w:bottom w:val="single" w:sz="4" w:space="0" w:color="auto"/>
              <w:right w:val="nil"/>
            </w:tcBorders>
            <w:shd w:val="clear" w:color="auto" w:fill="auto"/>
            <w:vAlign w:val="center"/>
            <w:hideMark/>
          </w:tcPr>
          <w:p w14:paraId="76C1733E" w14:textId="32AD2709" w:rsidR="00D939C1" w:rsidRPr="00D939C1" w:rsidRDefault="00D939C1" w:rsidP="008425FD">
            <w:pPr>
              <w:spacing w:after="0" w:line="240" w:lineRule="auto"/>
              <w:ind w:left="175" w:hanging="175"/>
              <w:jc w:val="left"/>
              <w:rPr>
                <w:rFonts w:ascii="Arial" w:hAnsi="Arial" w:cs="Arial"/>
                <w:b/>
                <w:bCs/>
                <w:color w:val="000000"/>
                <w:sz w:val="16"/>
                <w:szCs w:val="16"/>
              </w:rPr>
            </w:pPr>
            <w:r w:rsidRPr="00D939C1">
              <w:rPr>
                <w:rFonts w:ascii="Arial" w:hAnsi="Arial" w:cs="Arial"/>
                <w:b/>
                <w:bCs/>
                <w:color w:val="000000"/>
                <w:sz w:val="16"/>
                <w:szCs w:val="16"/>
              </w:rPr>
              <w:t>Net (cost of)/contribution by services</w:t>
            </w:r>
          </w:p>
        </w:tc>
        <w:tc>
          <w:tcPr>
            <w:tcW w:w="840" w:type="dxa"/>
            <w:tcBorders>
              <w:top w:val="nil"/>
              <w:left w:val="nil"/>
              <w:bottom w:val="single" w:sz="4" w:space="0" w:color="auto"/>
              <w:right w:val="nil"/>
            </w:tcBorders>
            <w:shd w:val="clear" w:color="auto" w:fill="auto"/>
            <w:noWrap/>
            <w:vAlign w:val="bottom"/>
            <w:hideMark/>
          </w:tcPr>
          <w:p w14:paraId="76C1733F"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19 </w:t>
            </w:r>
          </w:p>
        </w:tc>
        <w:tc>
          <w:tcPr>
            <w:tcW w:w="840" w:type="dxa"/>
            <w:tcBorders>
              <w:top w:val="nil"/>
              <w:left w:val="nil"/>
              <w:bottom w:val="single" w:sz="4" w:space="0" w:color="auto"/>
              <w:right w:val="nil"/>
            </w:tcBorders>
            <w:shd w:val="clear" w:color="000000" w:fill="E6E6E6"/>
            <w:noWrap/>
            <w:vAlign w:val="bottom"/>
            <w:hideMark/>
          </w:tcPr>
          <w:p w14:paraId="76C17340"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36 </w:t>
            </w:r>
          </w:p>
        </w:tc>
        <w:tc>
          <w:tcPr>
            <w:tcW w:w="840" w:type="dxa"/>
            <w:tcBorders>
              <w:top w:val="nil"/>
              <w:left w:val="nil"/>
              <w:bottom w:val="single" w:sz="4" w:space="0" w:color="auto"/>
              <w:right w:val="nil"/>
            </w:tcBorders>
            <w:shd w:val="clear" w:color="auto" w:fill="auto"/>
            <w:noWrap/>
            <w:vAlign w:val="bottom"/>
            <w:hideMark/>
          </w:tcPr>
          <w:p w14:paraId="76C17341"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10 </w:t>
            </w:r>
          </w:p>
        </w:tc>
        <w:tc>
          <w:tcPr>
            <w:tcW w:w="840" w:type="dxa"/>
            <w:tcBorders>
              <w:top w:val="nil"/>
              <w:left w:val="nil"/>
              <w:bottom w:val="single" w:sz="4" w:space="0" w:color="auto"/>
              <w:right w:val="nil"/>
            </w:tcBorders>
            <w:shd w:val="clear" w:color="auto" w:fill="auto"/>
            <w:noWrap/>
            <w:vAlign w:val="bottom"/>
            <w:hideMark/>
          </w:tcPr>
          <w:p w14:paraId="76C17342"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28 </w:t>
            </w:r>
          </w:p>
        </w:tc>
        <w:tc>
          <w:tcPr>
            <w:tcW w:w="840" w:type="dxa"/>
            <w:tcBorders>
              <w:top w:val="nil"/>
              <w:left w:val="nil"/>
              <w:bottom w:val="single" w:sz="4" w:space="0" w:color="auto"/>
              <w:right w:val="nil"/>
            </w:tcBorders>
            <w:shd w:val="clear" w:color="auto" w:fill="auto"/>
            <w:noWrap/>
            <w:vAlign w:val="bottom"/>
            <w:hideMark/>
          </w:tcPr>
          <w:p w14:paraId="76C17343" w14:textId="77777777" w:rsidR="00D939C1" w:rsidRPr="00D939C1" w:rsidRDefault="00D939C1" w:rsidP="00D939C1">
            <w:pPr>
              <w:spacing w:after="0" w:line="240" w:lineRule="auto"/>
              <w:jc w:val="right"/>
              <w:rPr>
                <w:rFonts w:ascii="Arial" w:hAnsi="Arial" w:cs="Arial"/>
                <w:b/>
                <w:bCs/>
                <w:color w:val="000000"/>
                <w:sz w:val="16"/>
                <w:szCs w:val="16"/>
              </w:rPr>
            </w:pPr>
            <w:r w:rsidRPr="00D939C1">
              <w:rPr>
                <w:rFonts w:ascii="Arial" w:hAnsi="Arial" w:cs="Arial"/>
                <w:b/>
                <w:bCs/>
                <w:color w:val="000000"/>
                <w:sz w:val="16"/>
                <w:szCs w:val="16"/>
              </w:rPr>
              <w:t xml:space="preserve">2 </w:t>
            </w:r>
          </w:p>
        </w:tc>
      </w:tr>
    </w:tbl>
    <w:p w14:paraId="76C17345" w14:textId="77777777" w:rsidR="00DF0134" w:rsidRPr="00933A7D" w:rsidRDefault="00DF0134" w:rsidP="003732E1">
      <w:pPr>
        <w:pStyle w:val="Source"/>
        <w:spacing w:before="120"/>
        <w:jc w:val="left"/>
      </w:pPr>
      <w:r w:rsidRPr="00E4582E">
        <w:t>Prepared on Australian Accounting Standards basis</w:t>
      </w:r>
      <w:r>
        <w:t>.</w:t>
      </w:r>
    </w:p>
    <w:p w14:paraId="76C17346" w14:textId="77777777" w:rsidR="00D939C1" w:rsidRDefault="00D939C1" w:rsidP="00DF0134">
      <w:pPr>
        <w:pStyle w:val="TableHeading"/>
      </w:pPr>
    </w:p>
    <w:p w14:paraId="76C17347" w14:textId="77777777" w:rsidR="00DF0134" w:rsidRDefault="00DF0134" w:rsidP="00DF0134">
      <w:pPr>
        <w:pStyle w:val="TableHeading"/>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tbl>
      <w:tblPr>
        <w:tblW w:w="7680" w:type="dxa"/>
        <w:tblLook w:val="04A0" w:firstRow="1" w:lastRow="0" w:firstColumn="1" w:lastColumn="0" w:noHBand="0" w:noVBand="1"/>
      </w:tblPr>
      <w:tblGrid>
        <w:gridCol w:w="3272"/>
        <w:gridCol w:w="926"/>
        <w:gridCol w:w="878"/>
        <w:gridCol w:w="878"/>
        <w:gridCol w:w="878"/>
        <w:gridCol w:w="878"/>
      </w:tblGrid>
      <w:tr w:rsidR="00D939C1" w:rsidRPr="00D939C1" w14:paraId="76C1734E" w14:textId="77777777" w:rsidTr="00823848">
        <w:trPr>
          <w:trHeight w:val="782"/>
        </w:trPr>
        <w:tc>
          <w:tcPr>
            <w:tcW w:w="3280" w:type="dxa"/>
            <w:tcBorders>
              <w:top w:val="single" w:sz="4" w:space="0" w:color="auto"/>
              <w:left w:val="nil"/>
              <w:bottom w:val="nil"/>
              <w:right w:val="nil"/>
            </w:tcBorders>
            <w:shd w:val="clear" w:color="auto" w:fill="auto"/>
            <w:noWrap/>
            <w:hideMark/>
          </w:tcPr>
          <w:p w14:paraId="76C17348" w14:textId="77777777" w:rsidR="00D939C1" w:rsidRPr="00D939C1" w:rsidRDefault="00D939C1" w:rsidP="00D939C1">
            <w:pPr>
              <w:spacing w:after="0" w:line="240" w:lineRule="auto"/>
              <w:jc w:val="left"/>
              <w:rPr>
                <w:rFonts w:ascii="Arial" w:hAnsi="Arial" w:cs="Arial"/>
                <w:b/>
                <w:bCs/>
                <w:sz w:val="16"/>
                <w:szCs w:val="16"/>
              </w:rPr>
            </w:pPr>
            <w:r w:rsidRPr="00D939C1">
              <w:rPr>
                <w:rFonts w:ascii="Arial" w:hAnsi="Arial" w:cs="Arial"/>
                <w:b/>
                <w:bCs/>
                <w:sz w:val="16"/>
                <w:szCs w:val="16"/>
              </w:rPr>
              <w:t> </w:t>
            </w:r>
          </w:p>
        </w:tc>
        <w:tc>
          <w:tcPr>
            <w:tcW w:w="880" w:type="dxa"/>
            <w:tcBorders>
              <w:top w:val="single" w:sz="4" w:space="0" w:color="auto"/>
              <w:left w:val="nil"/>
              <w:bottom w:val="single" w:sz="4" w:space="0" w:color="auto"/>
              <w:right w:val="nil"/>
            </w:tcBorders>
            <w:shd w:val="clear" w:color="auto" w:fill="auto"/>
            <w:hideMark/>
          </w:tcPr>
          <w:p w14:paraId="76C17349" w14:textId="77777777" w:rsidR="00D939C1" w:rsidRPr="00D939C1" w:rsidRDefault="009A4174" w:rsidP="00D939C1">
            <w:pPr>
              <w:spacing w:after="0" w:line="240" w:lineRule="auto"/>
              <w:jc w:val="right"/>
              <w:rPr>
                <w:rFonts w:ascii="Arial" w:hAnsi="Arial" w:cs="Arial"/>
                <w:sz w:val="16"/>
                <w:szCs w:val="16"/>
              </w:rPr>
            </w:pPr>
            <w:r>
              <w:rPr>
                <w:rFonts w:ascii="Arial" w:hAnsi="Arial" w:cs="Arial"/>
                <w:sz w:val="16"/>
                <w:szCs w:val="16"/>
              </w:rPr>
              <w:t xml:space="preserve">2018–19 </w:t>
            </w:r>
            <w:r w:rsidR="00D939C1" w:rsidRPr="00D939C1">
              <w:rPr>
                <w:rFonts w:ascii="Arial" w:hAnsi="Arial" w:cs="Arial"/>
                <w:sz w:val="16"/>
                <w:szCs w:val="16"/>
              </w:rPr>
              <w:t xml:space="preserve"> Estimated actual</w:t>
            </w:r>
            <w:r w:rsidR="00D939C1" w:rsidRPr="00D939C1">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76C1734A" w14:textId="77777777" w:rsidR="00D939C1" w:rsidRPr="00D939C1" w:rsidRDefault="009A4174" w:rsidP="00D939C1">
            <w:pPr>
              <w:spacing w:after="0" w:line="240" w:lineRule="auto"/>
              <w:jc w:val="right"/>
              <w:rPr>
                <w:rFonts w:ascii="Arial" w:hAnsi="Arial" w:cs="Arial"/>
                <w:sz w:val="16"/>
                <w:szCs w:val="16"/>
              </w:rPr>
            </w:pPr>
            <w:r>
              <w:rPr>
                <w:rFonts w:ascii="Arial" w:hAnsi="Arial" w:cs="Arial"/>
                <w:sz w:val="16"/>
                <w:szCs w:val="16"/>
              </w:rPr>
              <w:t>2019–20</w:t>
            </w:r>
            <w:r w:rsidR="00D939C1" w:rsidRPr="00D939C1">
              <w:rPr>
                <w:rFonts w:ascii="Arial" w:hAnsi="Arial" w:cs="Arial"/>
                <w:sz w:val="16"/>
                <w:szCs w:val="16"/>
              </w:rPr>
              <w:br/>
              <w:t>Budget</w:t>
            </w:r>
            <w:r w:rsidR="00D939C1" w:rsidRPr="00D939C1">
              <w:rPr>
                <w:rFonts w:ascii="Arial" w:hAnsi="Arial" w:cs="Arial"/>
                <w:sz w:val="16"/>
                <w:szCs w:val="16"/>
              </w:rPr>
              <w:br/>
            </w:r>
            <w:r w:rsidR="00D939C1" w:rsidRPr="00D939C1">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734B" w14:textId="7E044D67" w:rsidR="00D939C1" w:rsidRPr="00D939C1" w:rsidRDefault="00014C66" w:rsidP="00D939C1">
            <w:pPr>
              <w:spacing w:after="0" w:line="240" w:lineRule="auto"/>
              <w:jc w:val="right"/>
              <w:rPr>
                <w:rFonts w:ascii="Arial" w:hAnsi="Arial" w:cs="Arial"/>
                <w:sz w:val="16"/>
                <w:szCs w:val="16"/>
              </w:rPr>
            </w:pPr>
            <w:r>
              <w:rPr>
                <w:rFonts w:ascii="Arial" w:hAnsi="Arial" w:cs="Arial"/>
                <w:sz w:val="16"/>
                <w:szCs w:val="16"/>
              </w:rPr>
              <w:t>2020–21</w:t>
            </w:r>
            <w:r w:rsidR="00D939C1" w:rsidRPr="00D939C1">
              <w:rPr>
                <w:rFonts w:ascii="Arial" w:hAnsi="Arial" w:cs="Arial"/>
                <w:sz w:val="16"/>
                <w:szCs w:val="16"/>
              </w:rPr>
              <w:t xml:space="preserve"> Forward estimate</w:t>
            </w:r>
            <w:r w:rsidR="00D939C1" w:rsidRPr="00D939C1">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734C" w14:textId="77777777" w:rsidR="00D939C1" w:rsidRPr="00D939C1" w:rsidRDefault="009A4174" w:rsidP="00D939C1">
            <w:pPr>
              <w:spacing w:after="0" w:line="240" w:lineRule="auto"/>
              <w:jc w:val="right"/>
              <w:rPr>
                <w:rFonts w:ascii="Arial" w:hAnsi="Arial" w:cs="Arial"/>
                <w:sz w:val="16"/>
                <w:szCs w:val="16"/>
              </w:rPr>
            </w:pPr>
            <w:r>
              <w:rPr>
                <w:rFonts w:ascii="Arial" w:hAnsi="Arial" w:cs="Arial"/>
                <w:sz w:val="16"/>
                <w:szCs w:val="16"/>
              </w:rPr>
              <w:t>2021–22</w:t>
            </w:r>
            <w:r w:rsidR="00D939C1" w:rsidRPr="00D939C1">
              <w:rPr>
                <w:rFonts w:ascii="Arial" w:hAnsi="Arial" w:cs="Arial"/>
                <w:sz w:val="16"/>
                <w:szCs w:val="16"/>
              </w:rPr>
              <w:t xml:space="preserve"> Forward estimate</w:t>
            </w:r>
            <w:r w:rsidR="00D939C1" w:rsidRPr="00D939C1">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734D" w14:textId="77777777" w:rsidR="00D939C1" w:rsidRPr="00D939C1" w:rsidRDefault="009A4174" w:rsidP="00D939C1">
            <w:pPr>
              <w:spacing w:after="0" w:line="240" w:lineRule="auto"/>
              <w:jc w:val="right"/>
              <w:rPr>
                <w:rFonts w:ascii="Arial" w:hAnsi="Arial" w:cs="Arial"/>
                <w:sz w:val="16"/>
                <w:szCs w:val="16"/>
              </w:rPr>
            </w:pPr>
            <w:r>
              <w:rPr>
                <w:rFonts w:ascii="Arial" w:hAnsi="Arial" w:cs="Arial"/>
                <w:sz w:val="16"/>
                <w:szCs w:val="16"/>
              </w:rPr>
              <w:t>2022–23</w:t>
            </w:r>
            <w:r w:rsidR="00D939C1" w:rsidRPr="00D939C1">
              <w:rPr>
                <w:rFonts w:ascii="Arial" w:hAnsi="Arial" w:cs="Arial"/>
                <w:sz w:val="16"/>
                <w:szCs w:val="16"/>
              </w:rPr>
              <w:br/>
              <w:t>Forward estimate</w:t>
            </w:r>
            <w:r w:rsidR="00D939C1" w:rsidRPr="00D939C1">
              <w:rPr>
                <w:rFonts w:ascii="Arial" w:hAnsi="Arial" w:cs="Arial"/>
                <w:sz w:val="16"/>
                <w:szCs w:val="16"/>
              </w:rPr>
              <w:br/>
              <w:t>$'000</w:t>
            </w:r>
          </w:p>
        </w:tc>
      </w:tr>
      <w:tr w:rsidR="00D939C1" w:rsidRPr="00D939C1" w14:paraId="76C17355" w14:textId="77777777" w:rsidTr="00D939C1">
        <w:trPr>
          <w:trHeight w:val="225"/>
        </w:trPr>
        <w:tc>
          <w:tcPr>
            <w:tcW w:w="3280" w:type="dxa"/>
            <w:tcBorders>
              <w:top w:val="nil"/>
              <w:left w:val="nil"/>
              <w:bottom w:val="nil"/>
              <w:right w:val="nil"/>
            </w:tcBorders>
            <w:shd w:val="clear" w:color="auto" w:fill="auto"/>
            <w:noWrap/>
            <w:vAlign w:val="center"/>
            <w:hideMark/>
          </w:tcPr>
          <w:p w14:paraId="76C1734F" w14:textId="77777777" w:rsidR="00D939C1" w:rsidRPr="00D939C1" w:rsidRDefault="00D939C1" w:rsidP="00D939C1">
            <w:pPr>
              <w:spacing w:after="0" w:line="240" w:lineRule="auto"/>
              <w:jc w:val="left"/>
              <w:rPr>
                <w:rFonts w:ascii="Arial" w:hAnsi="Arial" w:cs="Arial"/>
                <w:b/>
                <w:bCs/>
                <w:color w:val="000000"/>
                <w:sz w:val="16"/>
                <w:szCs w:val="16"/>
              </w:rPr>
            </w:pPr>
            <w:r w:rsidRPr="00D939C1">
              <w:rPr>
                <w:rFonts w:ascii="Arial" w:hAnsi="Arial" w:cs="Arial"/>
                <w:b/>
                <w:bCs/>
                <w:color w:val="000000"/>
                <w:sz w:val="16"/>
                <w:szCs w:val="16"/>
              </w:rPr>
              <w:t xml:space="preserve">ASSETS </w:t>
            </w:r>
          </w:p>
        </w:tc>
        <w:tc>
          <w:tcPr>
            <w:tcW w:w="880" w:type="dxa"/>
            <w:tcBorders>
              <w:top w:val="nil"/>
              <w:left w:val="nil"/>
              <w:bottom w:val="nil"/>
              <w:right w:val="nil"/>
            </w:tcBorders>
            <w:shd w:val="clear" w:color="auto" w:fill="auto"/>
            <w:noWrap/>
            <w:vAlign w:val="center"/>
            <w:hideMark/>
          </w:tcPr>
          <w:p w14:paraId="76C17350" w14:textId="77777777" w:rsidR="00D939C1" w:rsidRPr="00D939C1" w:rsidRDefault="00D939C1" w:rsidP="00D939C1">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351" w14:textId="77777777" w:rsidR="00D939C1" w:rsidRPr="00D939C1" w:rsidRDefault="00D939C1" w:rsidP="00D939C1">
            <w:pPr>
              <w:spacing w:after="0" w:line="240" w:lineRule="auto"/>
              <w:jc w:val="left"/>
              <w:rPr>
                <w:rFonts w:ascii="Arial" w:hAnsi="Arial" w:cs="Arial"/>
                <w:color w:val="000000"/>
                <w:sz w:val="16"/>
                <w:szCs w:val="16"/>
              </w:rPr>
            </w:pPr>
            <w:r w:rsidRPr="00D939C1">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7352" w14:textId="77777777" w:rsidR="00D939C1" w:rsidRPr="00D939C1" w:rsidRDefault="00D939C1" w:rsidP="00D939C1">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7353" w14:textId="77777777" w:rsidR="00D939C1" w:rsidRPr="00D939C1" w:rsidRDefault="00D939C1" w:rsidP="00D939C1">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354" w14:textId="77777777" w:rsidR="00D939C1" w:rsidRPr="00D939C1" w:rsidRDefault="00D939C1" w:rsidP="00D939C1">
            <w:pPr>
              <w:spacing w:after="0" w:line="240" w:lineRule="auto"/>
              <w:jc w:val="left"/>
              <w:rPr>
                <w:rFonts w:ascii="Times New Roman" w:hAnsi="Times New Roman"/>
              </w:rPr>
            </w:pPr>
          </w:p>
        </w:tc>
      </w:tr>
      <w:tr w:rsidR="00D939C1" w:rsidRPr="00D939C1" w14:paraId="76C1735C" w14:textId="77777777" w:rsidTr="00D939C1">
        <w:trPr>
          <w:trHeight w:val="225"/>
        </w:trPr>
        <w:tc>
          <w:tcPr>
            <w:tcW w:w="3280" w:type="dxa"/>
            <w:tcBorders>
              <w:top w:val="nil"/>
              <w:left w:val="nil"/>
              <w:bottom w:val="nil"/>
              <w:right w:val="nil"/>
            </w:tcBorders>
            <w:shd w:val="clear" w:color="auto" w:fill="auto"/>
            <w:noWrap/>
            <w:vAlign w:val="center"/>
            <w:hideMark/>
          </w:tcPr>
          <w:p w14:paraId="76C17356" w14:textId="77777777" w:rsidR="00D939C1" w:rsidRPr="00D939C1" w:rsidRDefault="00D939C1" w:rsidP="00D939C1">
            <w:pPr>
              <w:spacing w:after="0" w:line="240" w:lineRule="auto"/>
              <w:jc w:val="left"/>
              <w:rPr>
                <w:rFonts w:ascii="Arial" w:hAnsi="Arial" w:cs="Arial"/>
                <w:b/>
                <w:bCs/>
                <w:color w:val="000000"/>
                <w:sz w:val="16"/>
                <w:szCs w:val="16"/>
              </w:rPr>
            </w:pPr>
            <w:r w:rsidRPr="00D939C1">
              <w:rPr>
                <w:rFonts w:ascii="Arial" w:hAnsi="Arial" w:cs="Arial"/>
                <w:b/>
                <w:bCs/>
                <w:color w:val="000000"/>
                <w:sz w:val="16"/>
                <w:szCs w:val="16"/>
              </w:rPr>
              <w:t>Financial assets</w:t>
            </w:r>
          </w:p>
        </w:tc>
        <w:tc>
          <w:tcPr>
            <w:tcW w:w="880" w:type="dxa"/>
            <w:tcBorders>
              <w:top w:val="nil"/>
              <w:left w:val="nil"/>
              <w:bottom w:val="nil"/>
              <w:right w:val="nil"/>
            </w:tcBorders>
            <w:shd w:val="clear" w:color="auto" w:fill="auto"/>
            <w:noWrap/>
            <w:vAlign w:val="center"/>
            <w:hideMark/>
          </w:tcPr>
          <w:p w14:paraId="76C17357" w14:textId="77777777" w:rsidR="00D939C1" w:rsidRPr="00D939C1" w:rsidRDefault="00D939C1" w:rsidP="00D939C1">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358" w14:textId="77777777" w:rsidR="00D939C1" w:rsidRPr="00D939C1" w:rsidRDefault="00D939C1" w:rsidP="00D939C1">
            <w:pPr>
              <w:spacing w:after="0" w:line="240" w:lineRule="auto"/>
              <w:jc w:val="left"/>
              <w:rPr>
                <w:rFonts w:ascii="Arial" w:hAnsi="Arial" w:cs="Arial"/>
                <w:color w:val="000000"/>
                <w:sz w:val="16"/>
                <w:szCs w:val="16"/>
              </w:rPr>
            </w:pPr>
            <w:r w:rsidRPr="00D939C1">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7359" w14:textId="77777777" w:rsidR="00D939C1" w:rsidRPr="00D939C1" w:rsidRDefault="00D939C1" w:rsidP="00D939C1">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735A" w14:textId="77777777" w:rsidR="00D939C1" w:rsidRPr="00D939C1" w:rsidRDefault="00D939C1" w:rsidP="00D939C1">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35B" w14:textId="77777777" w:rsidR="00D939C1" w:rsidRPr="00D939C1" w:rsidRDefault="00D939C1" w:rsidP="00D939C1">
            <w:pPr>
              <w:spacing w:after="0" w:line="240" w:lineRule="auto"/>
              <w:jc w:val="left"/>
              <w:rPr>
                <w:rFonts w:ascii="Times New Roman" w:hAnsi="Times New Roman"/>
              </w:rPr>
            </w:pPr>
          </w:p>
        </w:tc>
      </w:tr>
      <w:tr w:rsidR="00D939C1" w:rsidRPr="00D939C1" w14:paraId="76C17363" w14:textId="77777777" w:rsidTr="00D939C1">
        <w:trPr>
          <w:trHeight w:val="225"/>
        </w:trPr>
        <w:tc>
          <w:tcPr>
            <w:tcW w:w="3280" w:type="dxa"/>
            <w:tcBorders>
              <w:top w:val="nil"/>
              <w:left w:val="nil"/>
              <w:bottom w:val="nil"/>
              <w:right w:val="nil"/>
            </w:tcBorders>
            <w:shd w:val="clear" w:color="auto" w:fill="auto"/>
            <w:noWrap/>
            <w:vAlign w:val="center"/>
            <w:hideMark/>
          </w:tcPr>
          <w:p w14:paraId="76C1735D" w14:textId="310E6A84" w:rsidR="00D939C1" w:rsidRPr="008425FD" w:rsidRDefault="008425FD" w:rsidP="008425FD">
            <w:pPr>
              <w:spacing w:after="0" w:line="240" w:lineRule="auto"/>
              <w:ind w:leftChars="80" w:left="317" w:hangingChars="98" w:hanging="157"/>
              <w:jc w:val="left"/>
              <w:rPr>
                <w:rFonts w:ascii="Arial" w:hAnsi="Arial" w:cs="Arial"/>
                <w:color w:val="000000"/>
                <w:sz w:val="16"/>
                <w:szCs w:val="16"/>
              </w:rPr>
            </w:pPr>
            <w:r>
              <w:rPr>
                <w:rFonts w:ascii="Arial" w:hAnsi="Arial" w:cs="Arial"/>
                <w:color w:val="000000"/>
                <w:sz w:val="16"/>
                <w:szCs w:val="16"/>
              </w:rPr>
              <w:t>Cash held in the OPA — Special </w:t>
            </w:r>
            <w:r w:rsidR="00D939C1" w:rsidRPr="008425FD">
              <w:rPr>
                <w:rFonts w:ascii="Arial" w:hAnsi="Arial" w:cs="Arial"/>
                <w:color w:val="000000"/>
                <w:sz w:val="16"/>
                <w:szCs w:val="16"/>
              </w:rPr>
              <w:t>Accounts</w:t>
            </w:r>
          </w:p>
        </w:tc>
        <w:tc>
          <w:tcPr>
            <w:tcW w:w="880" w:type="dxa"/>
            <w:tcBorders>
              <w:top w:val="nil"/>
              <w:left w:val="nil"/>
              <w:bottom w:val="nil"/>
              <w:right w:val="nil"/>
            </w:tcBorders>
            <w:shd w:val="clear" w:color="auto" w:fill="auto"/>
            <w:noWrap/>
            <w:vAlign w:val="center"/>
            <w:hideMark/>
          </w:tcPr>
          <w:p w14:paraId="76C1735E"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306 </w:t>
            </w:r>
          </w:p>
        </w:tc>
        <w:tc>
          <w:tcPr>
            <w:tcW w:w="880" w:type="dxa"/>
            <w:tcBorders>
              <w:top w:val="nil"/>
              <w:left w:val="nil"/>
              <w:bottom w:val="nil"/>
              <w:right w:val="nil"/>
            </w:tcBorders>
            <w:shd w:val="clear" w:color="000000" w:fill="E6E6E6"/>
            <w:noWrap/>
            <w:vAlign w:val="center"/>
            <w:hideMark/>
          </w:tcPr>
          <w:p w14:paraId="76C1735F"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219 </w:t>
            </w:r>
          </w:p>
        </w:tc>
        <w:tc>
          <w:tcPr>
            <w:tcW w:w="880" w:type="dxa"/>
            <w:tcBorders>
              <w:top w:val="nil"/>
              <w:left w:val="nil"/>
              <w:bottom w:val="nil"/>
              <w:right w:val="nil"/>
            </w:tcBorders>
            <w:shd w:val="clear" w:color="auto" w:fill="auto"/>
            <w:noWrap/>
            <w:vAlign w:val="center"/>
            <w:hideMark/>
          </w:tcPr>
          <w:p w14:paraId="76C17360"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106 </w:t>
            </w:r>
          </w:p>
        </w:tc>
        <w:tc>
          <w:tcPr>
            <w:tcW w:w="880" w:type="dxa"/>
            <w:tcBorders>
              <w:top w:val="nil"/>
              <w:left w:val="nil"/>
              <w:bottom w:val="nil"/>
              <w:right w:val="nil"/>
            </w:tcBorders>
            <w:shd w:val="clear" w:color="auto" w:fill="auto"/>
            <w:noWrap/>
            <w:vAlign w:val="center"/>
            <w:hideMark/>
          </w:tcPr>
          <w:p w14:paraId="76C17361"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107 </w:t>
            </w:r>
          </w:p>
        </w:tc>
        <w:tc>
          <w:tcPr>
            <w:tcW w:w="880" w:type="dxa"/>
            <w:tcBorders>
              <w:top w:val="nil"/>
              <w:left w:val="nil"/>
              <w:bottom w:val="nil"/>
              <w:right w:val="nil"/>
            </w:tcBorders>
            <w:shd w:val="clear" w:color="auto" w:fill="auto"/>
            <w:noWrap/>
            <w:vAlign w:val="center"/>
            <w:hideMark/>
          </w:tcPr>
          <w:p w14:paraId="76C17362"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109 </w:t>
            </w:r>
          </w:p>
        </w:tc>
      </w:tr>
      <w:tr w:rsidR="00D939C1" w:rsidRPr="00D939C1" w14:paraId="76C1736A" w14:textId="77777777" w:rsidTr="00D939C1">
        <w:trPr>
          <w:trHeight w:val="225"/>
        </w:trPr>
        <w:tc>
          <w:tcPr>
            <w:tcW w:w="3280" w:type="dxa"/>
            <w:tcBorders>
              <w:top w:val="nil"/>
              <w:left w:val="nil"/>
              <w:bottom w:val="nil"/>
              <w:right w:val="nil"/>
            </w:tcBorders>
            <w:shd w:val="clear" w:color="auto" w:fill="auto"/>
            <w:noWrap/>
            <w:vAlign w:val="center"/>
            <w:hideMark/>
          </w:tcPr>
          <w:p w14:paraId="76C17364" w14:textId="77777777" w:rsidR="00D939C1" w:rsidRPr="00D939C1" w:rsidRDefault="00D939C1" w:rsidP="008425FD">
            <w:pPr>
              <w:spacing w:after="0" w:line="240" w:lineRule="auto"/>
              <w:ind w:leftChars="80" w:left="317" w:hangingChars="98" w:hanging="157"/>
              <w:jc w:val="left"/>
              <w:rPr>
                <w:rFonts w:ascii="Arial" w:hAnsi="Arial" w:cs="Arial"/>
                <w:color w:val="000000"/>
                <w:sz w:val="16"/>
                <w:szCs w:val="16"/>
              </w:rPr>
            </w:pPr>
            <w:r w:rsidRPr="00D939C1">
              <w:rPr>
                <w:rFonts w:ascii="Arial" w:hAnsi="Arial" w:cs="Arial"/>
                <w:color w:val="000000"/>
                <w:sz w:val="16"/>
                <w:szCs w:val="16"/>
              </w:rPr>
              <w:t>Trade and other receivables</w:t>
            </w:r>
          </w:p>
        </w:tc>
        <w:tc>
          <w:tcPr>
            <w:tcW w:w="880" w:type="dxa"/>
            <w:tcBorders>
              <w:top w:val="nil"/>
              <w:left w:val="nil"/>
              <w:bottom w:val="nil"/>
              <w:right w:val="nil"/>
            </w:tcBorders>
            <w:shd w:val="clear" w:color="auto" w:fill="auto"/>
            <w:noWrap/>
            <w:vAlign w:val="center"/>
            <w:hideMark/>
          </w:tcPr>
          <w:p w14:paraId="76C17365"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2,063 </w:t>
            </w:r>
          </w:p>
        </w:tc>
        <w:tc>
          <w:tcPr>
            <w:tcW w:w="880" w:type="dxa"/>
            <w:tcBorders>
              <w:top w:val="nil"/>
              <w:left w:val="nil"/>
              <w:bottom w:val="nil"/>
              <w:right w:val="nil"/>
            </w:tcBorders>
            <w:shd w:val="clear" w:color="000000" w:fill="E6E6E6"/>
            <w:noWrap/>
            <w:vAlign w:val="center"/>
            <w:hideMark/>
          </w:tcPr>
          <w:p w14:paraId="76C17366"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2,063 </w:t>
            </w:r>
          </w:p>
        </w:tc>
        <w:tc>
          <w:tcPr>
            <w:tcW w:w="880" w:type="dxa"/>
            <w:tcBorders>
              <w:top w:val="nil"/>
              <w:left w:val="nil"/>
              <w:bottom w:val="nil"/>
              <w:right w:val="nil"/>
            </w:tcBorders>
            <w:shd w:val="clear" w:color="auto" w:fill="auto"/>
            <w:noWrap/>
            <w:vAlign w:val="center"/>
            <w:hideMark/>
          </w:tcPr>
          <w:p w14:paraId="76C17367"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2,063 </w:t>
            </w:r>
          </w:p>
        </w:tc>
        <w:tc>
          <w:tcPr>
            <w:tcW w:w="880" w:type="dxa"/>
            <w:tcBorders>
              <w:top w:val="nil"/>
              <w:left w:val="nil"/>
              <w:bottom w:val="nil"/>
              <w:right w:val="nil"/>
            </w:tcBorders>
            <w:shd w:val="clear" w:color="auto" w:fill="auto"/>
            <w:noWrap/>
            <w:vAlign w:val="center"/>
            <w:hideMark/>
          </w:tcPr>
          <w:p w14:paraId="76C17368"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1,967 </w:t>
            </w:r>
          </w:p>
        </w:tc>
        <w:tc>
          <w:tcPr>
            <w:tcW w:w="880" w:type="dxa"/>
            <w:tcBorders>
              <w:top w:val="nil"/>
              <w:left w:val="nil"/>
              <w:bottom w:val="nil"/>
              <w:right w:val="nil"/>
            </w:tcBorders>
            <w:shd w:val="clear" w:color="auto" w:fill="auto"/>
            <w:noWrap/>
            <w:vAlign w:val="center"/>
            <w:hideMark/>
          </w:tcPr>
          <w:p w14:paraId="76C17369"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1,844 </w:t>
            </w:r>
          </w:p>
        </w:tc>
      </w:tr>
      <w:tr w:rsidR="00D939C1" w:rsidRPr="00D939C1" w14:paraId="76C17371" w14:textId="77777777" w:rsidTr="00D939C1">
        <w:trPr>
          <w:trHeight w:val="210"/>
        </w:trPr>
        <w:tc>
          <w:tcPr>
            <w:tcW w:w="3280" w:type="dxa"/>
            <w:tcBorders>
              <w:top w:val="nil"/>
              <w:left w:val="nil"/>
              <w:bottom w:val="nil"/>
              <w:right w:val="nil"/>
            </w:tcBorders>
            <w:shd w:val="clear" w:color="auto" w:fill="auto"/>
            <w:noWrap/>
            <w:vAlign w:val="center"/>
            <w:hideMark/>
          </w:tcPr>
          <w:p w14:paraId="76C1736B" w14:textId="77777777" w:rsidR="00D939C1" w:rsidRPr="00D939C1" w:rsidRDefault="00D939C1" w:rsidP="00D939C1">
            <w:pPr>
              <w:spacing w:after="0" w:line="240" w:lineRule="auto"/>
              <w:jc w:val="left"/>
              <w:rPr>
                <w:rFonts w:ascii="Arial" w:hAnsi="Arial" w:cs="Arial"/>
                <w:b/>
                <w:bCs/>
                <w:i/>
                <w:iCs/>
                <w:color w:val="000000"/>
                <w:sz w:val="16"/>
                <w:szCs w:val="16"/>
              </w:rPr>
            </w:pPr>
            <w:r w:rsidRPr="00D939C1">
              <w:rPr>
                <w:rFonts w:ascii="Arial" w:hAnsi="Arial" w:cs="Arial"/>
                <w:b/>
                <w:bCs/>
                <w:i/>
                <w:iCs/>
                <w:color w:val="000000"/>
                <w:sz w:val="16"/>
                <w:szCs w:val="16"/>
              </w:rPr>
              <w:t>Total financial assets</w:t>
            </w:r>
          </w:p>
        </w:tc>
        <w:tc>
          <w:tcPr>
            <w:tcW w:w="880" w:type="dxa"/>
            <w:tcBorders>
              <w:top w:val="single" w:sz="4" w:space="0" w:color="auto"/>
              <w:left w:val="nil"/>
              <w:bottom w:val="single" w:sz="4" w:space="0" w:color="auto"/>
              <w:right w:val="nil"/>
            </w:tcBorders>
            <w:shd w:val="clear" w:color="auto" w:fill="auto"/>
            <w:noWrap/>
            <w:vAlign w:val="center"/>
            <w:hideMark/>
          </w:tcPr>
          <w:p w14:paraId="76C1736C"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2,369 </w:t>
            </w:r>
          </w:p>
        </w:tc>
        <w:tc>
          <w:tcPr>
            <w:tcW w:w="880" w:type="dxa"/>
            <w:tcBorders>
              <w:top w:val="single" w:sz="4" w:space="0" w:color="auto"/>
              <w:left w:val="nil"/>
              <w:bottom w:val="single" w:sz="4" w:space="0" w:color="auto"/>
              <w:right w:val="nil"/>
            </w:tcBorders>
            <w:shd w:val="clear" w:color="000000" w:fill="E6E6E6"/>
            <w:noWrap/>
            <w:vAlign w:val="center"/>
            <w:hideMark/>
          </w:tcPr>
          <w:p w14:paraId="76C1736D"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2,282 </w:t>
            </w:r>
          </w:p>
        </w:tc>
        <w:tc>
          <w:tcPr>
            <w:tcW w:w="880" w:type="dxa"/>
            <w:tcBorders>
              <w:top w:val="single" w:sz="4" w:space="0" w:color="auto"/>
              <w:left w:val="nil"/>
              <w:bottom w:val="single" w:sz="4" w:space="0" w:color="auto"/>
              <w:right w:val="nil"/>
            </w:tcBorders>
            <w:shd w:val="clear" w:color="auto" w:fill="auto"/>
            <w:noWrap/>
            <w:vAlign w:val="center"/>
            <w:hideMark/>
          </w:tcPr>
          <w:p w14:paraId="76C1736E"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2,169 </w:t>
            </w:r>
          </w:p>
        </w:tc>
        <w:tc>
          <w:tcPr>
            <w:tcW w:w="880" w:type="dxa"/>
            <w:tcBorders>
              <w:top w:val="single" w:sz="4" w:space="0" w:color="auto"/>
              <w:left w:val="nil"/>
              <w:bottom w:val="single" w:sz="4" w:space="0" w:color="auto"/>
              <w:right w:val="nil"/>
            </w:tcBorders>
            <w:shd w:val="clear" w:color="auto" w:fill="auto"/>
            <w:noWrap/>
            <w:vAlign w:val="center"/>
            <w:hideMark/>
          </w:tcPr>
          <w:p w14:paraId="76C1736F"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2,074 </w:t>
            </w:r>
          </w:p>
        </w:tc>
        <w:tc>
          <w:tcPr>
            <w:tcW w:w="880" w:type="dxa"/>
            <w:tcBorders>
              <w:top w:val="single" w:sz="4" w:space="0" w:color="auto"/>
              <w:left w:val="nil"/>
              <w:bottom w:val="single" w:sz="4" w:space="0" w:color="auto"/>
              <w:right w:val="nil"/>
            </w:tcBorders>
            <w:shd w:val="clear" w:color="auto" w:fill="auto"/>
            <w:noWrap/>
            <w:vAlign w:val="center"/>
            <w:hideMark/>
          </w:tcPr>
          <w:p w14:paraId="76C17370"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1,953 </w:t>
            </w:r>
          </w:p>
        </w:tc>
      </w:tr>
      <w:tr w:rsidR="00D939C1" w:rsidRPr="00D939C1" w14:paraId="76C17378" w14:textId="77777777" w:rsidTr="00D939C1">
        <w:trPr>
          <w:trHeight w:val="450"/>
        </w:trPr>
        <w:tc>
          <w:tcPr>
            <w:tcW w:w="3280" w:type="dxa"/>
            <w:tcBorders>
              <w:top w:val="nil"/>
              <w:left w:val="nil"/>
              <w:bottom w:val="nil"/>
              <w:right w:val="nil"/>
            </w:tcBorders>
            <w:shd w:val="clear" w:color="auto" w:fill="auto"/>
            <w:vAlign w:val="center"/>
            <w:hideMark/>
          </w:tcPr>
          <w:p w14:paraId="76C17372" w14:textId="4FB2D03F" w:rsidR="00D939C1" w:rsidRPr="00D939C1" w:rsidRDefault="00D939C1" w:rsidP="008425FD">
            <w:pPr>
              <w:spacing w:after="0" w:line="240" w:lineRule="auto"/>
              <w:ind w:left="175" w:hanging="175"/>
              <w:jc w:val="left"/>
              <w:rPr>
                <w:rFonts w:ascii="Arial" w:hAnsi="Arial" w:cs="Arial"/>
                <w:b/>
                <w:bCs/>
                <w:color w:val="000000"/>
                <w:sz w:val="16"/>
                <w:szCs w:val="16"/>
              </w:rPr>
            </w:pPr>
            <w:r w:rsidRPr="00D939C1">
              <w:rPr>
                <w:rFonts w:ascii="Arial" w:hAnsi="Arial" w:cs="Arial"/>
                <w:b/>
                <w:bCs/>
                <w:color w:val="000000"/>
                <w:sz w:val="16"/>
                <w:szCs w:val="16"/>
              </w:rPr>
              <w:t>Total assets administered on behalf of Government</w:t>
            </w:r>
          </w:p>
        </w:tc>
        <w:tc>
          <w:tcPr>
            <w:tcW w:w="880" w:type="dxa"/>
            <w:tcBorders>
              <w:top w:val="nil"/>
              <w:left w:val="nil"/>
              <w:bottom w:val="single" w:sz="4" w:space="0" w:color="auto"/>
              <w:right w:val="nil"/>
            </w:tcBorders>
            <w:shd w:val="clear" w:color="auto" w:fill="auto"/>
            <w:noWrap/>
            <w:vAlign w:val="center"/>
            <w:hideMark/>
          </w:tcPr>
          <w:p w14:paraId="76C17373"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2,369 </w:t>
            </w:r>
          </w:p>
        </w:tc>
        <w:tc>
          <w:tcPr>
            <w:tcW w:w="880" w:type="dxa"/>
            <w:tcBorders>
              <w:top w:val="nil"/>
              <w:left w:val="nil"/>
              <w:bottom w:val="single" w:sz="4" w:space="0" w:color="auto"/>
              <w:right w:val="nil"/>
            </w:tcBorders>
            <w:shd w:val="clear" w:color="000000" w:fill="E6E6E6"/>
            <w:noWrap/>
            <w:vAlign w:val="center"/>
            <w:hideMark/>
          </w:tcPr>
          <w:p w14:paraId="76C17374"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2,282 </w:t>
            </w:r>
          </w:p>
        </w:tc>
        <w:tc>
          <w:tcPr>
            <w:tcW w:w="880" w:type="dxa"/>
            <w:tcBorders>
              <w:top w:val="nil"/>
              <w:left w:val="nil"/>
              <w:bottom w:val="single" w:sz="4" w:space="0" w:color="auto"/>
              <w:right w:val="nil"/>
            </w:tcBorders>
            <w:shd w:val="clear" w:color="auto" w:fill="auto"/>
            <w:noWrap/>
            <w:vAlign w:val="center"/>
            <w:hideMark/>
          </w:tcPr>
          <w:p w14:paraId="76C17375"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2,169 </w:t>
            </w:r>
          </w:p>
        </w:tc>
        <w:tc>
          <w:tcPr>
            <w:tcW w:w="880" w:type="dxa"/>
            <w:tcBorders>
              <w:top w:val="nil"/>
              <w:left w:val="nil"/>
              <w:bottom w:val="single" w:sz="4" w:space="0" w:color="auto"/>
              <w:right w:val="nil"/>
            </w:tcBorders>
            <w:shd w:val="clear" w:color="auto" w:fill="auto"/>
            <w:noWrap/>
            <w:vAlign w:val="center"/>
            <w:hideMark/>
          </w:tcPr>
          <w:p w14:paraId="76C17376"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2,074 </w:t>
            </w:r>
          </w:p>
        </w:tc>
        <w:tc>
          <w:tcPr>
            <w:tcW w:w="880" w:type="dxa"/>
            <w:tcBorders>
              <w:top w:val="nil"/>
              <w:left w:val="nil"/>
              <w:bottom w:val="single" w:sz="4" w:space="0" w:color="auto"/>
              <w:right w:val="nil"/>
            </w:tcBorders>
            <w:shd w:val="clear" w:color="auto" w:fill="auto"/>
            <w:noWrap/>
            <w:vAlign w:val="center"/>
            <w:hideMark/>
          </w:tcPr>
          <w:p w14:paraId="76C17377"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1,953 </w:t>
            </w:r>
          </w:p>
        </w:tc>
      </w:tr>
      <w:tr w:rsidR="00D939C1" w:rsidRPr="00D939C1" w14:paraId="76C1737F" w14:textId="77777777" w:rsidTr="00D939C1">
        <w:trPr>
          <w:trHeight w:val="225"/>
        </w:trPr>
        <w:tc>
          <w:tcPr>
            <w:tcW w:w="3280" w:type="dxa"/>
            <w:tcBorders>
              <w:top w:val="nil"/>
              <w:left w:val="nil"/>
              <w:bottom w:val="nil"/>
              <w:right w:val="nil"/>
            </w:tcBorders>
            <w:shd w:val="clear" w:color="auto" w:fill="auto"/>
            <w:noWrap/>
            <w:vAlign w:val="center"/>
            <w:hideMark/>
          </w:tcPr>
          <w:p w14:paraId="76C17379" w14:textId="77777777" w:rsidR="00D939C1" w:rsidRPr="00D939C1" w:rsidRDefault="00D939C1" w:rsidP="00D939C1">
            <w:pPr>
              <w:spacing w:after="0" w:line="240" w:lineRule="auto"/>
              <w:jc w:val="left"/>
              <w:rPr>
                <w:rFonts w:ascii="Arial" w:hAnsi="Arial" w:cs="Arial"/>
                <w:b/>
                <w:bCs/>
                <w:color w:val="000000"/>
                <w:sz w:val="16"/>
                <w:szCs w:val="16"/>
              </w:rPr>
            </w:pPr>
            <w:r w:rsidRPr="00D939C1">
              <w:rPr>
                <w:rFonts w:ascii="Arial" w:hAnsi="Arial" w:cs="Arial"/>
                <w:b/>
                <w:bCs/>
                <w:color w:val="000000"/>
                <w:sz w:val="16"/>
                <w:szCs w:val="16"/>
              </w:rPr>
              <w:t>LIABILITIES</w:t>
            </w:r>
          </w:p>
        </w:tc>
        <w:tc>
          <w:tcPr>
            <w:tcW w:w="880" w:type="dxa"/>
            <w:tcBorders>
              <w:top w:val="nil"/>
              <w:left w:val="nil"/>
              <w:bottom w:val="nil"/>
              <w:right w:val="nil"/>
            </w:tcBorders>
            <w:shd w:val="clear" w:color="auto" w:fill="auto"/>
            <w:noWrap/>
            <w:vAlign w:val="center"/>
            <w:hideMark/>
          </w:tcPr>
          <w:p w14:paraId="76C1737A" w14:textId="77777777" w:rsidR="00D939C1" w:rsidRPr="00E76B04" w:rsidRDefault="00D939C1" w:rsidP="00D939C1">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37B" w14:textId="77777777" w:rsidR="00D939C1" w:rsidRPr="00E76B04" w:rsidRDefault="00D939C1" w:rsidP="00D939C1">
            <w:pPr>
              <w:spacing w:after="0" w:line="240" w:lineRule="auto"/>
              <w:jc w:val="left"/>
              <w:rPr>
                <w:rFonts w:ascii="Arial" w:hAnsi="Arial" w:cs="Arial"/>
                <w:color w:val="000000"/>
                <w:sz w:val="16"/>
                <w:szCs w:val="16"/>
              </w:rPr>
            </w:pPr>
            <w:r w:rsidRPr="00E76B04">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737C" w14:textId="77777777" w:rsidR="00D939C1" w:rsidRPr="00E76B04" w:rsidRDefault="00D939C1" w:rsidP="00D939C1">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737D" w14:textId="77777777" w:rsidR="00D939C1" w:rsidRPr="00E76B04" w:rsidRDefault="00D939C1" w:rsidP="00D939C1">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37E" w14:textId="77777777" w:rsidR="00D939C1" w:rsidRPr="00E76B04" w:rsidRDefault="00D939C1" w:rsidP="00D939C1">
            <w:pPr>
              <w:spacing w:after="0" w:line="240" w:lineRule="auto"/>
              <w:jc w:val="left"/>
              <w:rPr>
                <w:rFonts w:ascii="Times New Roman" w:hAnsi="Times New Roman"/>
              </w:rPr>
            </w:pPr>
          </w:p>
        </w:tc>
      </w:tr>
      <w:tr w:rsidR="00D939C1" w:rsidRPr="00D939C1" w14:paraId="76C17386" w14:textId="77777777" w:rsidTr="00D939C1">
        <w:trPr>
          <w:trHeight w:val="225"/>
        </w:trPr>
        <w:tc>
          <w:tcPr>
            <w:tcW w:w="3280" w:type="dxa"/>
            <w:tcBorders>
              <w:top w:val="nil"/>
              <w:left w:val="nil"/>
              <w:bottom w:val="nil"/>
              <w:right w:val="nil"/>
            </w:tcBorders>
            <w:shd w:val="clear" w:color="auto" w:fill="auto"/>
            <w:noWrap/>
            <w:vAlign w:val="center"/>
            <w:hideMark/>
          </w:tcPr>
          <w:p w14:paraId="76C17380" w14:textId="77777777" w:rsidR="00D939C1" w:rsidRPr="00D939C1" w:rsidRDefault="00D939C1" w:rsidP="00D939C1">
            <w:pPr>
              <w:spacing w:after="0" w:line="240" w:lineRule="auto"/>
              <w:jc w:val="left"/>
              <w:rPr>
                <w:rFonts w:ascii="Arial" w:hAnsi="Arial" w:cs="Arial"/>
                <w:b/>
                <w:bCs/>
                <w:color w:val="000000"/>
                <w:sz w:val="16"/>
                <w:szCs w:val="16"/>
              </w:rPr>
            </w:pPr>
            <w:r w:rsidRPr="00D939C1">
              <w:rPr>
                <w:rFonts w:ascii="Arial" w:hAnsi="Arial" w:cs="Arial"/>
                <w:b/>
                <w:bCs/>
                <w:color w:val="000000"/>
                <w:sz w:val="16"/>
                <w:szCs w:val="16"/>
              </w:rPr>
              <w:t>Provisions</w:t>
            </w:r>
          </w:p>
        </w:tc>
        <w:tc>
          <w:tcPr>
            <w:tcW w:w="880" w:type="dxa"/>
            <w:tcBorders>
              <w:top w:val="nil"/>
              <w:left w:val="nil"/>
              <w:bottom w:val="nil"/>
              <w:right w:val="nil"/>
            </w:tcBorders>
            <w:shd w:val="clear" w:color="auto" w:fill="auto"/>
            <w:noWrap/>
            <w:vAlign w:val="center"/>
            <w:hideMark/>
          </w:tcPr>
          <w:p w14:paraId="76C17381" w14:textId="77777777" w:rsidR="00D939C1" w:rsidRPr="00E76B04" w:rsidRDefault="00D939C1" w:rsidP="00D939C1">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7382" w14:textId="77777777" w:rsidR="00D939C1" w:rsidRPr="00E76B04" w:rsidRDefault="00D939C1" w:rsidP="00D939C1">
            <w:pPr>
              <w:spacing w:after="0" w:line="240" w:lineRule="auto"/>
              <w:jc w:val="left"/>
              <w:rPr>
                <w:rFonts w:ascii="Arial" w:hAnsi="Arial" w:cs="Arial"/>
                <w:color w:val="000000"/>
                <w:sz w:val="16"/>
                <w:szCs w:val="16"/>
              </w:rPr>
            </w:pPr>
            <w:r w:rsidRPr="00E76B04">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7383" w14:textId="77777777" w:rsidR="00D939C1" w:rsidRPr="00E76B04" w:rsidRDefault="00D939C1" w:rsidP="00D939C1">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7384" w14:textId="77777777" w:rsidR="00D939C1" w:rsidRPr="00E76B04" w:rsidRDefault="00D939C1" w:rsidP="00D939C1">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7385" w14:textId="77777777" w:rsidR="00D939C1" w:rsidRPr="00E76B04" w:rsidRDefault="00D939C1" w:rsidP="00D939C1">
            <w:pPr>
              <w:spacing w:after="0" w:line="240" w:lineRule="auto"/>
              <w:jc w:val="left"/>
              <w:rPr>
                <w:rFonts w:ascii="Times New Roman" w:hAnsi="Times New Roman"/>
              </w:rPr>
            </w:pPr>
          </w:p>
        </w:tc>
      </w:tr>
      <w:tr w:rsidR="00D939C1" w:rsidRPr="00D939C1" w14:paraId="76C1738D" w14:textId="77777777" w:rsidTr="00D939C1">
        <w:trPr>
          <w:trHeight w:val="225"/>
        </w:trPr>
        <w:tc>
          <w:tcPr>
            <w:tcW w:w="3280" w:type="dxa"/>
            <w:tcBorders>
              <w:top w:val="nil"/>
              <w:left w:val="nil"/>
              <w:bottom w:val="nil"/>
              <w:right w:val="nil"/>
            </w:tcBorders>
            <w:shd w:val="clear" w:color="auto" w:fill="auto"/>
            <w:noWrap/>
            <w:vAlign w:val="center"/>
            <w:hideMark/>
          </w:tcPr>
          <w:p w14:paraId="76C17387" w14:textId="77777777" w:rsidR="00D939C1" w:rsidRPr="00D939C1" w:rsidRDefault="00D939C1" w:rsidP="00D939C1">
            <w:pPr>
              <w:spacing w:after="0" w:line="240" w:lineRule="auto"/>
              <w:ind w:firstLineChars="100" w:firstLine="160"/>
              <w:jc w:val="left"/>
              <w:rPr>
                <w:rFonts w:ascii="Arial" w:hAnsi="Arial" w:cs="Arial"/>
                <w:color w:val="000000"/>
                <w:sz w:val="16"/>
                <w:szCs w:val="16"/>
              </w:rPr>
            </w:pPr>
            <w:r w:rsidRPr="00D939C1">
              <w:rPr>
                <w:rFonts w:ascii="Arial" w:hAnsi="Arial" w:cs="Arial"/>
                <w:color w:val="000000"/>
                <w:sz w:val="16"/>
                <w:szCs w:val="16"/>
              </w:rPr>
              <w:t>Other provisions</w:t>
            </w:r>
          </w:p>
        </w:tc>
        <w:tc>
          <w:tcPr>
            <w:tcW w:w="880" w:type="dxa"/>
            <w:tcBorders>
              <w:top w:val="nil"/>
              <w:left w:val="nil"/>
              <w:bottom w:val="nil"/>
              <w:right w:val="nil"/>
            </w:tcBorders>
            <w:shd w:val="clear" w:color="auto" w:fill="auto"/>
            <w:noWrap/>
            <w:vAlign w:val="center"/>
            <w:hideMark/>
          </w:tcPr>
          <w:p w14:paraId="76C17388"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2,604 </w:t>
            </w:r>
          </w:p>
        </w:tc>
        <w:tc>
          <w:tcPr>
            <w:tcW w:w="880" w:type="dxa"/>
            <w:tcBorders>
              <w:top w:val="nil"/>
              <w:left w:val="nil"/>
              <w:bottom w:val="nil"/>
              <w:right w:val="nil"/>
            </w:tcBorders>
            <w:shd w:val="clear" w:color="000000" w:fill="E6E6E6"/>
            <w:noWrap/>
            <w:vAlign w:val="center"/>
            <w:hideMark/>
          </w:tcPr>
          <w:p w14:paraId="76C17389"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2,481 </w:t>
            </w:r>
          </w:p>
        </w:tc>
        <w:tc>
          <w:tcPr>
            <w:tcW w:w="880" w:type="dxa"/>
            <w:tcBorders>
              <w:top w:val="nil"/>
              <w:left w:val="nil"/>
              <w:bottom w:val="nil"/>
              <w:right w:val="nil"/>
            </w:tcBorders>
            <w:shd w:val="clear" w:color="auto" w:fill="auto"/>
            <w:noWrap/>
            <w:vAlign w:val="center"/>
            <w:hideMark/>
          </w:tcPr>
          <w:p w14:paraId="76C1738A"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2,358 </w:t>
            </w:r>
          </w:p>
        </w:tc>
        <w:tc>
          <w:tcPr>
            <w:tcW w:w="880" w:type="dxa"/>
            <w:tcBorders>
              <w:top w:val="nil"/>
              <w:left w:val="nil"/>
              <w:bottom w:val="nil"/>
              <w:right w:val="nil"/>
            </w:tcBorders>
            <w:shd w:val="clear" w:color="auto" w:fill="auto"/>
            <w:noWrap/>
            <w:vAlign w:val="center"/>
            <w:hideMark/>
          </w:tcPr>
          <w:p w14:paraId="76C1738B"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2,235 </w:t>
            </w:r>
          </w:p>
        </w:tc>
        <w:tc>
          <w:tcPr>
            <w:tcW w:w="880" w:type="dxa"/>
            <w:tcBorders>
              <w:top w:val="nil"/>
              <w:left w:val="nil"/>
              <w:bottom w:val="nil"/>
              <w:right w:val="nil"/>
            </w:tcBorders>
            <w:shd w:val="clear" w:color="auto" w:fill="auto"/>
            <w:noWrap/>
            <w:vAlign w:val="center"/>
            <w:hideMark/>
          </w:tcPr>
          <w:p w14:paraId="76C1738C"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2,112 </w:t>
            </w:r>
          </w:p>
        </w:tc>
      </w:tr>
      <w:tr w:rsidR="00D939C1" w:rsidRPr="00D939C1" w14:paraId="76C17394" w14:textId="77777777" w:rsidTr="00D939C1">
        <w:trPr>
          <w:trHeight w:val="210"/>
        </w:trPr>
        <w:tc>
          <w:tcPr>
            <w:tcW w:w="3280" w:type="dxa"/>
            <w:tcBorders>
              <w:top w:val="nil"/>
              <w:left w:val="nil"/>
              <w:bottom w:val="nil"/>
              <w:right w:val="nil"/>
            </w:tcBorders>
            <w:shd w:val="clear" w:color="auto" w:fill="auto"/>
            <w:noWrap/>
            <w:vAlign w:val="center"/>
            <w:hideMark/>
          </w:tcPr>
          <w:p w14:paraId="76C1738E" w14:textId="77777777" w:rsidR="00D939C1" w:rsidRPr="00D939C1" w:rsidRDefault="00D939C1" w:rsidP="00D939C1">
            <w:pPr>
              <w:spacing w:after="0" w:line="240" w:lineRule="auto"/>
              <w:jc w:val="left"/>
              <w:rPr>
                <w:rFonts w:ascii="Arial" w:hAnsi="Arial" w:cs="Arial"/>
                <w:b/>
                <w:bCs/>
                <w:i/>
                <w:iCs/>
                <w:color w:val="000000"/>
                <w:sz w:val="16"/>
                <w:szCs w:val="16"/>
              </w:rPr>
            </w:pPr>
            <w:r w:rsidRPr="00D939C1">
              <w:rPr>
                <w:rFonts w:ascii="Arial" w:hAnsi="Arial" w:cs="Arial"/>
                <w:b/>
                <w:bCs/>
                <w:i/>
                <w:iCs/>
                <w:color w:val="000000"/>
                <w:sz w:val="16"/>
                <w:szCs w:val="16"/>
              </w:rPr>
              <w:t>Total provisions</w:t>
            </w:r>
          </w:p>
        </w:tc>
        <w:tc>
          <w:tcPr>
            <w:tcW w:w="880" w:type="dxa"/>
            <w:tcBorders>
              <w:top w:val="single" w:sz="4" w:space="0" w:color="auto"/>
              <w:left w:val="nil"/>
              <w:bottom w:val="single" w:sz="4" w:space="0" w:color="auto"/>
              <w:right w:val="nil"/>
            </w:tcBorders>
            <w:shd w:val="clear" w:color="auto" w:fill="auto"/>
            <w:noWrap/>
            <w:vAlign w:val="center"/>
            <w:hideMark/>
          </w:tcPr>
          <w:p w14:paraId="76C1738F"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2,604 </w:t>
            </w:r>
          </w:p>
        </w:tc>
        <w:tc>
          <w:tcPr>
            <w:tcW w:w="880" w:type="dxa"/>
            <w:tcBorders>
              <w:top w:val="single" w:sz="4" w:space="0" w:color="auto"/>
              <w:left w:val="nil"/>
              <w:bottom w:val="single" w:sz="4" w:space="0" w:color="auto"/>
              <w:right w:val="nil"/>
            </w:tcBorders>
            <w:shd w:val="clear" w:color="000000" w:fill="E6E6E6"/>
            <w:noWrap/>
            <w:vAlign w:val="center"/>
            <w:hideMark/>
          </w:tcPr>
          <w:p w14:paraId="76C17390"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2,481 </w:t>
            </w:r>
          </w:p>
        </w:tc>
        <w:tc>
          <w:tcPr>
            <w:tcW w:w="880" w:type="dxa"/>
            <w:tcBorders>
              <w:top w:val="single" w:sz="4" w:space="0" w:color="auto"/>
              <w:left w:val="nil"/>
              <w:bottom w:val="single" w:sz="4" w:space="0" w:color="auto"/>
              <w:right w:val="nil"/>
            </w:tcBorders>
            <w:shd w:val="clear" w:color="auto" w:fill="auto"/>
            <w:noWrap/>
            <w:vAlign w:val="center"/>
            <w:hideMark/>
          </w:tcPr>
          <w:p w14:paraId="76C17391"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2,358 </w:t>
            </w:r>
          </w:p>
        </w:tc>
        <w:tc>
          <w:tcPr>
            <w:tcW w:w="880" w:type="dxa"/>
            <w:tcBorders>
              <w:top w:val="single" w:sz="4" w:space="0" w:color="auto"/>
              <w:left w:val="nil"/>
              <w:bottom w:val="single" w:sz="4" w:space="0" w:color="auto"/>
              <w:right w:val="nil"/>
            </w:tcBorders>
            <w:shd w:val="clear" w:color="auto" w:fill="auto"/>
            <w:noWrap/>
            <w:vAlign w:val="center"/>
            <w:hideMark/>
          </w:tcPr>
          <w:p w14:paraId="76C17392"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2,235 </w:t>
            </w:r>
          </w:p>
        </w:tc>
        <w:tc>
          <w:tcPr>
            <w:tcW w:w="880" w:type="dxa"/>
            <w:tcBorders>
              <w:top w:val="single" w:sz="4" w:space="0" w:color="auto"/>
              <w:left w:val="nil"/>
              <w:bottom w:val="single" w:sz="4" w:space="0" w:color="auto"/>
              <w:right w:val="nil"/>
            </w:tcBorders>
            <w:shd w:val="clear" w:color="auto" w:fill="auto"/>
            <w:noWrap/>
            <w:vAlign w:val="center"/>
            <w:hideMark/>
          </w:tcPr>
          <w:p w14:paraId="76C17393"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2,112 </w:t>
            </w:r>
          </w:p>
        </w:tc>
      </w:tr>
      <w:tr w:rsidR="00D939C1" w:rsidRPr="00D939C1" w14:paraId="76C1739B" w14:textId="77777777" w:rsidTr="00D939C1">
        <w:trPr>
          <w:trHeight w:val="450"/>
        </w:trPr>
        <w:tc>
          <w:tcPr>
            <w:tcW w:w="3280" w:type="dxa"/>
            <w:tcBorders>
              <w:top w:val="nil"/>
              <w:left w:val="nil"/>
              <w:bottom w:val="nil"/>
              <w:right w:val="nil"/>
            </w:tcBorders>
            <w:shd w:val="clear" w:color="auto" w:fill="auto"/>
            <w:vAlign w:val="center"/>
            <w:hideMark/>
          </w:tcPr>
          <w:p w14:paraId="76C17395" w14:textId="7F53BBA5" w:rsidR="00D939C1" w:rsidRPr="00D939C1" w:rsidRDefault="00D939C1" w:rsidP="008425FD">
            <w:pPr>
              <w:spacing w:after="0" w:line="240" w:lineRule="auto"/>
              <w:ind w:left="175" w:hanging="175"/>
              <w:jc w:val="left"/>
              <w:rPr>
                <w:rFonts w:ascii="Arial" w:hAnsi="Arial" w:cs="Arial"/>
                <w:b/>
                <w:bCs/>
                <w:color w:val="000000"/>
                <w:sz w:val="16"/>
                <w:szCs w:val="16"/>
              </w:rPr>
            </w:pPr>
            <w:r w:rsidRPr="00D939C1">
              <w:rPr>
                <w:rFonts w:ascii="Arial" w:hAnsi="Arial" w:cs="Arial"/>
                <w:b/>
                <w:bCs/>
                <w:color w:val="000000"/>
                <w:sz w:val="16"/>
                <w:szCs w:val="16"/>
              </w:rPr>
              <w:t>Total liabilities administered on behalf of Government</w:t>
            </w:r>
          </w:p>
        </w:tc>
        <w:tc>
          <w:tcPr>
            <w:tcW w:w="880" w:type="dxa"/>
            <w:tcBorders>
              <w:top w:val="nil"/>
              <w:left w:val="nil"/>
              <w:bottom w:val="nil"/>
              <w:right w:val="nil"/>
            </w:tcBorders>
            <w:shd w:val="clear" w:color="auto" w:fill="auto"/>
            <w:noWrap/>
            <w:vAlign w:val="center"/>
            <w:hideMark/>
          </w:tcPr>
          <w:p w14:paraId="76C17396"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2,604 </w:t>
            </w:r>
          </w:p>
        </w:tc>
        <w:tc>
          <w:tcPr>
            <w:tcW w:w="880" w:type="dxa"/>
            <w:tcBorders>
              <w:top w:val="nil"/>
              <w:left w:val="nil"/>
              <w:bottom w:val="nil"/>
              <w:right w:val="nil"/>
            </w:tcBorders>
            <w:shd w:val="clear" w:color="000000" w:fill="E6E6E6"/>
            <w:noWrap/>
            <w:vAlign w:val="center"/>
            <w:hideMark/>
          </w:tcPr>
          <w:p w14:paraId="76C17397"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2,481 </w:t>
            </w:r>
          </w:p>
        </w:tc>
        <w:tc>
          <w:tcPr>
            <w:tcW w:w="880" w:type="dxa"/>
            <w:tcBorders>
              <w:top w:val="nil"/>
              <w:left w:val="nil"/>
              <w:bottom w:val="nil"/>
              <w:right w:val="nil"/>
            </w:tcBorders>
            <w:shd w:val="clear" w:color="auto" w:fill="auto"/>
            <w:noWrap/>
            <w:vAlign w:val="center"/>
            <w:hideMark/>
          </w:tcPr>
          <w:p w14:paraId="76C17398"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2,358 </w:t>
            </w:r>
          </w:p>
        </w:tc>
        <w:tc>
          <w:tcPr>
            <w:tcW w:w="880" w:type="dxa"/>
            <w:tcBorders>
              <w:top w:val="nil"/>
              <w:left w:val="nil"/>
              <w:bottom w:val="nil"/>
              <w:right w:val="nil"/>
            </w:tcBorders>
            <w:shd w:val="clear" w:color="auto" w:fill="auto"/>
            <w:noWrap/>
            <w:vAlign w:val="center"/>
            <w:hideMark/>
          </w:tcPr>
          <w:p w14:paraId="76C17399"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2,235 </w:t>
            </w:r>
          </w:p>
        </w:tc>
        <w:tc>
          <w:tcPr>
            <w:tcW w:w="880" w:type="dxa"/>
            <w:tcBorders>
              <w:top w:val="nil"/>
              <w:left w:val="nil"/>
              <w:bottom w:val="nil"/>
              <w:right w:val="nil"/>
            </w:tcBorders>
            <w:shd w:val="clear" w:color="auto" w:fill="auto"/>
            <w:noWrap/>
            <w:vAlign w:val="center"/>
            <w:hideMark/>
          </w:tcPr>
          <w:p w14:paraId="76C1739A"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2,112 </w:t>
            </w:r>
          </w:p>
        </w:tc>
      </w:tr>
      <w:tr w:rsidR="00D939C1" w:rsidRPr="00D939C1" w14:paraId="76C173A2" w14:textId="77777777" w:rsidTr="00D939C1">
        <w:trPr>
          <w:trHeight w:val="225"/>
        </w:trPr>
        <w:tc>
          <w:tcPr>
            <w:tcW w:w="3280" w:type="dxa"/>
            <w:tcBorders>
              <w:top w:val="nil"/>
              <w:left w:val="nil"/>
              <w:bottom w:val="single" w:sz="4" w:space="0" w:color="auto"/>
              <w:right w:val="nil"/>
            </w:tcBorders>
            <w:shd w:val="clear" w:color="auto" w:fill="auto"/>
            <w:noWrap/>
            <w:vAlign w:val="center"/>
            <w:hideMark/>
          </w:tcPr>
          <w:p w14:paraId="76C1739C" w14:textId="77777777" w:rsidR="00D939C1" w:rsidRPr="00D939C1" w:rsidRDefault="00D939C1" w:rsidP="00D939C1">
            <w:pPr>
              <w:spacing w:after="0" w:line="240" w:lineRule="auto"/>
              <w:jc w:val="left"/>
              <w:rPr>
                <w:rFonts w:ascii="Arial" w:hAnsi="Arial" w:cs="Arial"/>
                <w:b/>
                <w:bCs/>
                <w:color w:val="000000"/>
                <w:sz w:val="16"/>
                <w:szCs w:val="16"/>
              </w:rPr>
            </w:pPr>
            <w:r w:rsidRPr="00D939C1">
              <w:rPr>
                <w:rFonts w:ascii="Arial" w:hAnsi="Arial" w:cs="Arial"/>
                <w:b/>
                <w:bCs/>
                <w:color w:val="000000"/>
                <w:sz w:val="16"/>
                <w:szCs w:val="16"/>
              </w:rPr>
              <w:t>Net assets/(liabilities)</w:t>
            </w:r>
          </w:p>
        </w:tc>
        <w:tc>
          <w:tcPr>
            <w:tcW w:w="880" w:type="dxa"/>
            <w:tcBorders>
              <w:top w:val="single" w:sz="4" w:space="0" w:color="auto"/>
              <w:left w:val="nil"/>
              <w:bottom w:val="single" w:sz="4" w:space="0" w:color="auto"/>
              <w:right w:val="nil"/>
            </w:tcBorders>
            <w:shd w:val="clear" w:color="auto" w:fill="auto"/>
            <w:noWrap/>
            <w:vAlign w:val="center"/>
            <w:hideMark/>
          </w:tcPr>
          <w:p w14:paraId="76C1739D"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(235)</w:t>
            </w:r>
          </w:p>
        </w:tc>
        <w:tc>
          <w:tcPr>
            <w:tcW w:w="880" w:type="dxa"/>
            <w:tcBorders>
              <w:top w:val="single" w:sz="4" w:space="0" w:color="auto"/>
              <w:left w:val="nil"/>
              <w:bottom w:val="single" w:sz="4" w:space="0" w:color="auto"/>
              <w:right w:val="nil"/>
            </w:tcBorders>
            <w:shd w:val="clear" w:color="000000" w:fill="E6E6E6"/>
            <w:noWrap/>
            <w:vAlign w:val="center"/>
            <w:hideMark/>
          </w:tcPr>
          <w:p w14:paraId="76C1739E"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(199)</w:t>
            </w:r>
          </w:p>
        </w:tc>
        <w:tc>
          <w:tcPr>
            <w:tcW w:w="880" w:type="dxa"/>
            <w:tcBorders>
              <w:top w:val="single" w:sz="4" w:space="0" w:color="auto"/>
              <w:left w:val="nil"/>
              <w:bottom w:val="single" w:sz="4" w:space="0" w:color="auto"/>
              <w:right w:val="nil"/>
            </w:tcBorders>
            <w:shd w:val="clear" w:color="auto" w:fill="auto"/>
            <w:noWrap/>
            <w:vAlign w:val="center"/>
            <w:hideMark/>
          </w:tcPr>
          <w:p w14:paraId="76C1739F"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(189)</w:t>
            </w:r>
          </w:p>
        </w:tc>
        <w:tc>
          <w:tcPr>
            <w:tcW w:w="880" w:type="dxa"/>
            <w:tcBorders>
              <w:top w:val="single" w:sz="4" w:space="0" w:color="auto"/>
              <w:left w:val="nil"/>
              <w:bottom w:val="single" w:sz="4" w:space="0" w:color="auto"/>
              <w:right w:val="nil"/>
            </w:tcBorders>
            <w:shd w:val="clear" w:color="auto" w:fill="auto"/>
            <w:noWrap/>
            <w:vAlign w:val="center"/>
            <w:hideMark/>
          </w:tcPr>
          <w:p w14:paraId="76C173A0"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(161)</w:t>
            </w:r>
          </w:p>
        </w:tc>
        <w:tc>
          <w:tcPr>
            <w:tcW w:w="880" w:type="dxa"/>
            <w:tcBorders>
              <w:top w:val="single" w:sz="4" w:space="0" w:color="auto"/>
              <w:left w:val="nil"/>
              <w:bottom w:val="single" w:sz="4" w:space="0" w:color="auto"/>
              <w:right w:val="nil"/>
            </w:tcBorders>
            <w:shd w:val="clear" w:color="auto" w:fill="auto"/>
            <w:noWrap/>
            <w:vAlign w:val="center"/>
            <w:hideMark/>
          </w:tcPr>
          <w:p w14:paraId="76C173A1"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(159)</w:t>
            </w:r>
          </w:p>
        </w:tc>
      </w:tr>
    </w:tbl>
    <w:p w14:paraId="76C173A3" w14:textId="77777777" w:rsidR="00DF0134" w:rsidRPr="00B7521F" w:rsidRDefault="00DF0134" w:rsidP="003732E1">
      <w:pPr>
        <w:pStyle w:val="TableGraphic"/>
        <w:spacing w:before="120"/>
        <w:jc w:val="left"/>
        <w:rPr>
          <w:rFonts w:ascii="Arial" w:hAnsi="Arial" w:cs="Arial"/>
          <w:sz w:val="16"/>
          <w:szCs w:val="16"/>
        </w:rPr>
      </w:pPr>
      <w:r w:rsidRPr="00B7521F">
        <w:rPr>
          <w:rFonts w:ascii="Arial" w:hAnsi="Arial" w:cs="Arial"/>
          <w:sz w:val="16"/>
          <w:szCs w:val="16"/>
        </w:rPr>
        <w:t>Prepared on Austral</w:t>
      </w:r>
      <w:r w:rsidR="00D939C1">
        <w:rPr>
          <w:rFonts w:ascii="Arial" w:hAnsi="Arial" w:cs="Arial"/>
          <w:sz w:val="16"/>
          <w:szCs w:val="16"/>
        </w:rPr>
        <w:t>ian Accounting Standards basis.</w:t>
      </w:r>
    </w:p>
    <w:p w14:paraId="76C173A4" w14:textId="77777777" w:rsidR="00DF0134" w:rsidRDefault="00DF0134" w:rsidP="00DF0134">
      <w:pPr>
        <w:pStyle w:val="TableHeading"/>
      </w:pPr>
      <w:r>
        <w:lastRenderedPageBreak/>
        <w:t xml:space="preserve">Table 3.9: </w:t>
      </w:r>
      <w:r w:rsidRPr="00C41D55">
        <w:t xml:space="preserve">Schedule of </w:t>
      </w:r>
      <w:r>
        <w:t xml:space="preserve">budgeted administered cash flows </w:t>
      </w:r>
      <w:r w:rsidRPr="00C41D55">
        <w:t>(for</w:t>
      </w:r>
      <w:r>
        <w:t> the </w:t>
      </w:r>
      <w:r w:rsidRPr="00C41D55">
        <w:t>period ended 30 June)</w:t>
      </w:r>
    </w:p>
    <w:tbl>
      <w:tblPr>
        <w:tblW w:w="7723" w:type="dxa"/>
        <w:tblLayout w:type="fixed"/>
        <w:tblLook w:val="04A0" w:firstRow="1" w:lastRow="0" w:firstColumn="1" w:lastColumn="0" w:noHBand="0" w:noVBand="1"/>
      </w:tblPr>
      <w:tblGrid>
        <w:gridCol w:w="3261"/>
        <w:gridCol w:w="992"/>
        <w:gridCol w:w="950"/>
        <w:gridCol w:w="840"/>
        <w:gridCol w:w="840"/>
        <w:gridCol w:w="840"/>
      </w:tblGrid>
      <w:tr w:rsidR="00D939C1" w:rsidRPr="00D939C1" w14:paraId="76C173AB" w14:textId="77777777" w:rsidTr="00144C76">
        <w:trPr>
          <w:trHeight w:val="900"/>
        </w:trPr>
        <w:tc>
          <w:tcPr>
            <w:tcW w:w="3261" w:type="dxa"/>
            <w:tcBorders>
              <w:top w:val="single" w:sz="4" w:space="0" w:color="auto"/>
              <w:left w:val="nil"/>
              <w:bottom w:val="nil"/>
              <w:right w:val="nil"/>
            </w:tcBorders>
            <w:shd w:val="clear" w:color="auto" w:fill="auto"/>
            <w:noWrap/>
            <w:hideMark/>
          </w:tcPr>
          <w:p w14:paraId="76C173A5" w14:textId="77777777" w:rsidR="00D939C1" w:rsidRPr="00D939C1" w:rsidRDefault="00D939C1" w:rsidP="00D939C1">
            <w:pPr>
              <w:spacing w:after="0" w:line="240" w:lineRule="auto"/>
              <w:jc w:val="left"/>
              <w:rPr>
                <w:rFonts w:ascii="Arial" w:hAnsi="Arial" w:cs="Arial"/>
                <w:b/>
                <w:bCs/>
                <w:sz w:val="16"/>
                <w:szCs w:val="16"/>
              </w:rPr>
            </w:pPr>
            <w:r w:rsidRPr="00D939C1">
              <w:rPr>
                <w:rFonts w:ascii="Arial" w:hAnsi="Arial" w:cs="Arial"/>
                <w:b/>
                <w:bCs/>
                <w:sz w:val="16"/>
                <w:szCs w:val="16"/>
              </w:rPr>
              <w:t> </w:t>
            </w:r>
          </w:p>
        </w:tc>
        <w:tc>
          <w:tcPr>
            <w:tcW w:w="992" w:type="dxa"/>
            <w:tcBorders>
              <w:top w:val="single" w:sz="4" w:space="0" w:color="auto"/>
              <w:left w:val="nil"/>
              <w:bottom w:val="single" w:sz="4" w:space="0" w:color="auto"/>
              <w:right w:val="nil"/>
            </w:tcBorders>
            <w:shd w:val="clear" w:color="auto" w:fill="auto"/>
            <w:hideMark/>
          </w:tcPr>
          <w:p w14:paraId="76C173A6" w14:textId="77777777" w:rsidR="00D939C1" w:rsidRPr="00D939C1" w:rsidRDefault="009A4174" w:rsidP="00D939C1">
            <w:pPr>
              <w:spacing w:after="0" w:line="240" w:lineRule="auto"/>
              <w:jc w:val="right"/>
              <w:rPr>
                <w:rFonts w:ascii="Arial" w:hAnsi="Arial" w:cs="Arial"/>
                <w:sz w:val="16"/>
                <w:szCs w:val="16"/>
              </w:rPr>
            </w:pPr>
            <w:r>
              <w:rPr>
                <w:rFonts w:ascii="Arial" w:hAnsi="Arial" w:cs="Arial"/>
                <w:sz w:val="16"/>
                <w:szCs w:val="16"/>
              </w:rPr>
              <w:t xml:space="preserve">2018–19 </w:t>
            </w:r>
            <w:r w:rsidR="00D939C1" w:rsidRPr="00D939C1">
              <w:rPr>
                <w:rFonts w:ascii="Arial" w:hAnsi="Arial" w:cs="Arial"/>
                <w:sz w:val="16"/>
                <w:szCs w:val="16"/>
              </w:rPr>
              <w:t xml:space="preserve"> Estimated actual</w:t>
            </w:r>
            <w:r w:rsidR="00D939C1" w:rsidRPr="00D939C1">
              <w:rPr>
                <w:rFonts w:ascii="Arial" w:hAnsi="Arial" w:cs="Arial"/>
                <w:sz w:val="16"/>
                <w:szCs w:val="16"/>
              </w:rPr>
              <w:br/>
              <w:t>$'000</w:t>
            </w:r>
          </w:p>
        </w:tc>
        <w:tc>
          <w:tcPr>
            <w:tcW w:w="950" w:type="dxa"/>
            <w:tcBorders>
              <w:top w:val="single" w:sz="4" w:space="0" w:color="auto"/>
              <w:left w:val="nil"/>
              <w:bottom w:val="single" w:sz="4" w:space="0" w:color="auto"/>
              <w:right w:val="nil"/>
            </w:tcBorders>
            <w:shd w:val="clear" w:color="000000" w:fill="E6E6E6"/>
            <w:hideMark/>
          </w:tcPr>
          <w:p w14:paraId="76C173A7" w14:textId="77777777" w:rsidR="00D939C1" w:rsidRPr="00D939C1" w:rsidRDefault="009A4174" w:rsidP="00D939C1">
            <w:pPr>
              <w:spacing w:after="0" w:line="240" w:lineRule="auto"/>
              <w:jc w:val="right"/>
              <w:rPr>
                <w:rFonts w:ascii="Arial" w:hAnsi="Arial" w:cs="Arial"/>
                <w:sz w:val="16"/>
                <w:szCs w:val="16"/>
              </w:rPr>
            </w:pPr>
            <w:r>
              <w:rPr>
                <w:rFonts w:ascii="Arial" w:hAnsi="Arial" w:cs="Arial"/>
                <w:sz w:val="16"/>
                <w:szCs w:val="16"/>
              </w:rPr>
              <w:t>2019–20</w:t>
            </w:r>
            <w:r w:rsidR="00D939C1" w:rsidRPr="00D939C1">
              <w:rPr>
                <w:rFonts w:ascii="Arial" w:hAnsi="Arial" w:cs="Arial"/>
                <w:sz w:val="16"/>
                <w:szCs w:val="16"/>
              </w:rPr>
              <w:br/>
              <w:t>Budget</w:t>
            </w:r>
            <w:r w:rsidR="00D939C1" w:rsidRPr="00D939C1">
              <w:rPr>
                <w:rFonts w:ascii="Arial" w:hAnsi="Arial" w:cs="Arial"/>
                <w:sz w:val="16"/>
                <w:szCs w:val="16"/>
              </w:rPr>
              <w:br/>
            </w:r>
            <w:r w:rsidR="00D939C1" w:rsidRPr="00D939C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76C173A8" w14:textId="3B410F22" w:rsidR="00D939C1" w:rsidRPr="00D939C1" w:rsidRDefault="00014C66" w:rsidP="00D939C1">
            <w:pPr>
              <w:spacing w:after="0" w:line="240" w:lineRule="auto"/>
              <w:jc w:val="right"/>
              <w:rPr>
                <w:rFonts w:ascii="Arial" w:hAnsi="Arial" w:cs="Arial"/>
                <w:sz w:val="16"/>
                <w:szCs w:val="16"/>
              </w:rPr>
            </w:pPr>
            <w:r>
              <w:rPr>
                <w:rFonts w:ascii="Arial" w:hAnsi="Arial" w:cs="Arial"/>
                <w:sz w:val="16"/>
                <w:szCs w:val="16"/>
              </w:rPr>
              <w:t>2020–21</w:t>
            </w:r>
            <w:r w:rsidR="00D939C1" w:rsidRPr="00D939C1">
              <w:rPr>
                <w:rFonts w:ascii="Arial" w:hAnsi="Arial" w:cs="Arial"/>
                <w:sz w:val="16"/>
                <w:szCs w:val="16"/>
              </w:rPr>
              <w:t xml:space="preserve"> Forward estimate</w:t>
            </w:r>
            <w:r w:rsidR="00D939C1" w:rsidRPr="00D939C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76C173A9" w14:textId="77777777" w:rsidR="00D939C1" w:rsidRPr="00D939C1" w:rsidRDefault="009A4174" w:rsidP="00D939C1">
            <w:pPr>
              <w:spacing w:after="0" w:line="240" w:lineRule="auto"/>
              <w:jc w:val="right"/>
              <w:rPr>
                <w:rFonts w:ascii="Arial" w:hAnsi="Arial" w:cs="Arial"/>
                <w:sz w:val="16"/>
                <w:szCs w:val="16"/>
              </w:rPr>
            </w:pPr>
            <w:r>
              <w:rPr>
                <w:rFonts w:ascii="Arial" w:hAnsi="Arial" w:cs="Arial"/>
                <w:sz w:val="16"/>
                <w:szCs w:val="16"/>
              </w:rPr>
              <w:t>2021–22</w:t>
            </w:r>
            <w:r w:rsidR="00D939C1" w:rsidRPr="00D939C1">
              <w:rPr>
                <w:rFonts w:ascii="Arial" w:hAnsi="Arial" w:cs="Arial"/>
                <w:sz w:val="16"/>
                <w:szCs w:val="16"/>
              </w:rPr>
              <w:t xml:space="preserve"> Forward estimate</w:t>
            </w:r>
            <w:r w:rsidR="00D939C1" w:rsidRPr="00D939C1">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hideMark/>
          </w:tcPr>
          <w:p w14:paraId="76C173AA" w14:textId="77777777" w:rsidR="00D939C1" w:rsidRPr="00D939C1" w:rsidRDefault="009A4174" w:rsidP="00D939C1">
            <w:pPr>
              <w:spacing w:after="0" w:line="240" w:lineRule="auto"/>
              <w:jc w:val="right"/>
              <w:rPr>
                <w:rFonts w:ascii="Arial" w:hAnsi="Arial" w:cs="Arial"/>
                <w:sz w:val="16"/>
                <w:szCs w:val="16"/>
              </w:rPr>
            </w:pPr>
            <w:r>
              <w:rPr>
                <w:rFonts w:ascii="Arial" w:hAnsi="Arial" w:cs="Arial"/>
                <w:sz w:val="16"/>
                <w:szCs w:val="16"/>
              </w:rPr>
              <w:t>2022–23</w:t>
            </w:r>
            <w:r w:rsidR="00D939C1" w:rsidRPr="00D939C1">
              <w:rPr>
                <w:rFonts w:ascii="Arial" w:hAnsi="Arial" w:cs="Arial"/>
                <w:sz w:val="16"/>
                <w:szCs w:val="16"/>
              </w:rPr>
              <w:br/>
              <w:t>Forward estimate</w:t>
            </w:r>
            <w:r w:rsidR="00D939C1" w:rsidRPr="00D939C1">
              <w:rPr>
                <w:rFonts w:ascii="Arial" w:hAnsi="Arial" w:cs="Arial"/>
                <w:sz w:val="16"/>
                <w:szCs w:val="16"/>
              </w:rPr>
              <w:br/>
              <w:t>$'000</w:t>
            </w:r>
          </w:p>
        </w:tc>
      </w:tr>
      <w:tr w:rsidR="00D939C1" w:rsidRPr="00D939C1" w14:paraId="76C173B2" w14:textId="77777777" w:rsidTr="00144C76">
        <w:trPr>
          <w:trHeight w:val="225"/>
        </w:trPr>
        <w:tc>
          <w:tcPr>
            <w:tcW w:w="3261" w:type="dxa"/>
            <w:tcBorders>
              <w:top w:val="nil"/>
              <w:left w:val="nil"/>
              <w:bottom w:val="nil"/>
              <w:right w:val="nil"/>
            </w:tcBorders>
            <w:shd w:val="clear" w:color="auto" w:fill="auto"/>
            <w:noWrap/>
            <w:vAlign w:val="center"/>
            <w:hideMark/>
          </w:tcPr>
          <w:p w14:paraId="76C173AC" w14:textId="77777777" w:rsidR="00D939C1" w:rsidRPr="00617BF5" w:rsidRDefault="00D939C1" w:rsidP="00617BF5">
            <w:pPr>
              <w:spacing w:after="0" w:line="240" w:lineRule="auto"/>
              <w:ind w:left="180" w:hanging="180"/>
              <w:jc w:val="left"/>
              <w:rPr>
                <w:rFonts w:ascii="Arial" w:hAnsi="Arial" w:cs="Arial"/>
                <w:b/>
                <w:bCs/>
                <w:sz w:val="16"/>
                <w:szCs w:val="16"/>
              </w:rPr>
            </w:pPr>
            <w:r w:rsidRPr="00617BF5">
              <w:rPr>
                <w:rFonts w:ascii="Arial" w:hAnsi="Arial" w:cs="Arial"/>
                <w:b/>
                <w:bCs/>
                <w:sz w:val="16"/>
                <w:szCs w:val="16"/>
              </w:rPr>
              <w:t>OPERATING ACTIVITIES</w:t>
            </w:r>
          </w:p>
        </w:tc>
        <w:tc>
          <w:tcPr>
            <w:tcW w:w="992" w:type="dxa"/>
            <w:tcBorders>
              <w:top w:val="nil"/>
              <w:left w:val="nil"/>
              <w:bottom w:val="nil"/>
              <w:right w:val="nil"/>
            </w:tcBorders>
            <w:shd w:val="clear" w:color="auto" w:fill="auto"/>
            <w:noWrap/>
            <w:vAlign w:val="center"/>
            <w:hideMark/>
          </w:tcPr>
          <w:p w14:paraId="76C173AD" w14:textId="77777777" w:rsidR="00D939C1" w:rsidRPr="00D939C1" w:rsidRDefault="00D939C1" w:rsidP="00D939C1">
            <w:pPr>
              <w:spacing w:after="0" w:line="240" w:lineRule="auto"/>
              <w:jc w:val="left"/>
              <w:rPr>
                <w:rFonts w:ascii="Arial" w:hAnsi="Arial" w:cs="Arial"/>
                <w:b/>
                <w:bCs/>
                <w:color w:val="000000"/>
                <w:sz w:val="16"/>
                <w:szCs w:val="16"/>
              </w:rPr>
            </w:pPr>
          </w:p>
        </w:tc>
        <w:tc>
          <w:tcPr>
            <w:tcW w:w="950" w:type="dxa"/>
            <w:tcBorders>
              <w:top w:val="nil"/>
              <w:left w:val="nil"/>
              <w:bottom w:val="nil"/>
              <w:right w:val="nil"/>
            </w:tcBorders>
            <w:shd w:val="clear" w:color="000000" w:fill="E6E6E6"/>
            <w:noWrap/>
            <w:vAlign w:val="center"/>
            <w:hideMark/>
          </w:tcPr>
          <w:p w14:paraId="76C173AE" w14:textId="77777777" w:rsidR="00D939C1" w:rsidRPr="00D939C1" w:rsidRDefault="00D939C1" w:rsidP="00D939C1">
            <w:pPr>
              <w:spacing w:after="0" w:line="240" w:lineRule="auto"/>
              <w:jc w:val="left"/>
              <w:rPr>
                <w:rFonts w:ascii="Arial" w:hAnsi="Arial" w:cs="Arial"/>
                <w:color w:val="000000"/>
                <w:sz w:val="16"/>
                <w:szCs w:val="16"/>
              </w:rPr>
            </w:pPr>
            <w:r w:rsidRPr="00D939C1">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73AF" w14:textId="77777777" w:rsidR="00D939C1" w:rsidRPr="00D939C1" w:rsidRDefault="00D939C1" w:rsidP="00D939C1">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73B0" w14:textId="77777777" w:rsidR="00D939C1" w:rsidRPr="00D939C1" w:rsidRDefault="00D939C1" w:rsidP="00D939C1">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73B1" w14:textId="77777777" w:rsidR="00D939C1" w:rsidRPr="00D939C1" w:rsidRDefault="00D939C1" w:rsidP="00D939C1">
            <w:pPr>
              <w:spacing w:after="0" w:line="240" w:lineRule="auto"/>
              <w:jc w:val="left"/>
              <w:rPr>
                <w:rFonts w:ascii="Times New Roman" w:hAnsi="Times New Roman"/>
              </w:rPr>
            </w:pPr>
          </w:p>
        </w:tc>
      </w:tr>
      <w:tr w:rsidR="00D939C1" w:rsidRPr="00D939C1" w14:paraId="76C173B9" w14:textId="77777777" w:rsidTr="00144C76">
        <w:trPr>
          <w:trHeight w:val="225"/>
        </w:trPr>
        <w:tc>
          <w:tcPr>
            <w:tcW w:w="3261" w:type="dxa"/>
            <w:tcBorders>
              <w:top w:val="nil"/>
              <w:left w:val="nil"/>
              <w:bottom w:val="nil"/>
              <w:right w:val="nil"/>
            </w:tcBorders>
            <w:shd w:val="clear" w:color="auto" w:fill="auto"/>
            <w:noWrap/>
            <w:vAlign w:val="center"/>
            <w:hideMark/>
          </w:tcPr>
          <w:p w14:paraId="76C173B3" w14:textId="77777777" w:rsidR="00D939C1" w:rsidRPr="00617BF5" w:rsidRDefault="00D939C1" w:rsidP="00617BF5">
            <w:pPr>
              <w:spacing w:after="0" w:line="240" w:lineRule="auto"/>
              <w:ind w:left="180" w:hanging="180"/>
              <w:jc w:val="left"/>
              <w:rPr>
                <w:rFonts w:ascii="Arial" w:hAnsi="Arial" w:cs="Arial"/>
                <w:b/>
                <w:bCs/>
                <w:sz w:val="16"/>
                <w:szCs w:val="16"/>
              </w:rPr>
            </w:pPr>
            <w:r w:rsidRPr="00617BF5">
              <w:rPr>
                <w:rFonts w:ascii="Arial" w:hAnsi="Arial" w:cs="Arial"/>
                <w:b/>
                <w:bCs/>
                <w:sz w:val="16"/>
                <w:szCs w:val="16"/>
              </w:rPr>
              <w:t>Cash received</w:t>
            </w:r>
          </w:p>
        </w:tc>
        <w:tc>
          <w:tcPr>
            <w:tcW w:w="992" w:type="dxa"/>
            <w:tcBorders>
              <w:top w:val="nil"/>
              <w:left w:val="nil"/>
              <w:bottom w:val="nil"/>
              <w:right w:val="nil"/>
            </w:tcBorders>
            <w:shd w:val="clear" w:color="auto" w:fill="auto"/>
            <w:noWrap/>
            <w:vAlign w:val="center"/>
            <w:hideMark/>
          </w:tcPr>
          <w:p w14:paraId="76C173B4" w14:textId="77777777" w:rsidR="00D939C1" w:rsidRPr="00D939C1" w:rsidRDefault="00D939C1" w:rsidP="00D939C1">
            <w:pPr>
              <w:spacing w:after="0" w:line="240" w:lineRule="auto"/>
              <w:jc w:val="left"/>
              <w:rPr>
                <w:rFonts w:ascii="Arial" w:hAnsi="Arial" w:cs="Arial"/>
                <w:b/>
                <w:bCs/>
                <w:color w:val="000000"/>
                <w:sz w:val="16"/>
                <w:szCs w:val="16"/>
              </w:rPr>
            </w:pPr>
          </w:p>
        </w:tc>
        <w:tc>
          <w:tcPr>
            <w:tcW w:w="950" w:type="dxa"/>
            <w:tcBorders>
              <w:top w:val="nil"/>
              <w:left w:val="nil"/>
              <w:bottom w:val="nil"/>
              <w:right w:val="nil"/>
            </w:tcBorders>
            <w:shd w:val="clear" w:color="000000" w:fill="E6E6E6"/>
            <w:noWrap/>
            <w:vAlign w:val="center"/>
            <w:hideMark/>
          </w:tcPr>
          <w:p w14:paraId="76C173B5" w14:textId="77777777" w:rsidR="00D939C1" w:rsidRPr="00D939C1" w:rsidRDefault="00D939C1" w:rsidP="00D939C1">
            <w:pPr>
              <w:spacing w:after="0" w:line="240" w:lineRule="auto"/>
              <w:jc w:val="left"/>
              <w:rPr>
                <w:rFonts w:ascii="Arial" w:hAnsi="Arial" w:cs="Arial"/>
                <w:color w:val="000000"/>
                <w:sz w:val="16"/>
                <w:szCs w:val="16"/>
              </w:rPr>
            </w:pPr>
            <w:r w:rsidRPr="00D939C1">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73B6" w14:textId="77777777" w:rsidR="00D939C1" w:rsidRPr="00D939C1" w:rsidRDefault="00D939C1" w:rsidP="00D939C1">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73B7" w14:textId="77777777" w:rsidR="00D939C1" w:rsidRPr="00D939C1" w:rsidRDefault="00D939C1" w:rsidP="00D939C1">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73B8" w14:textId="77777777" w:rsidR="00D939C1" w:rsidRPr="00D939C1" w:rsidRDefault="00D939C1" w:rsidP="00D939C1">
            <w:pPr>
              <w:spacing w:after="0" w:line="240" w:lineRule="auto"/>
              <w:jc w:val="left"/>
              <w:rPr>
                <w:rFonts w:ascii="Times New Roman" w:hAnsi="Times New Roman"/>
              </w:rPr>
            </w:pPr>
          </w:p>
        </w:tc>
      </w:tr>
      <w:tr w:rsidR="00D939C1" w:rsidRPr="00D939C1" w14:paraId="76C173C0" w14:textId="77777777" w:rsidTr="00144C76">
        <w:trPr>
          <w:trHeight w:val="225"/>
        </w:trPr>
        <w:tc>
          <w:tcPr>
            <w:tcW w:w="3261" w:type="dxa"/>
            <w:tcBorders>
              <w:top w:val="nil"/>
              <w:left w:val="nil"/>
              <w:bottom w:val="nil"/>
              <w:right w:val="nil"/>
            </w:tcBorders>
            <w:shd w:val="clear" w:color="auto" w:fill="auto"/>
            <w:noWrap/>
            <w:vAlign w:val="center"/>
            <w:hideMark/>
          </w:tcPr>
          <w:p w14:paraId="76C173BA" w14:textId="77777777" w:rsidR="00D939C1" w:rsidRPr="00D939C1" w:rsidRDefault="00D939C1" w:rsidP="00617BF5">
            <w:pPr>
              <w:spacing w:after="0" w:line="240" w:lineRule="auto"/>
              <w:ind w:left="316" w:hanging="142"/>
              <w:jc w:val="left"/>
              <w:rPr>
                <w:rFonts w:ascii="Arial" w:hAnsi="Arial" w:cs="Arial"/>
                <w:color w:val="000000"/>
                <w:sz w:val="16"/>
                <w:szCs w:val="16"/>
              </w:rPr>
            </w:pPr>
            <w:r w:rsidRPr="00D939C1">
              <w:rPr>
                <w:rFonts w:ascii="Arial" w:hAnsi="Arial" w:cs="Arial"/>
                <w:color w:val="000000"/>
                <w:sz w:val="16"/>
                <w:szCs w:val="16"/>
              </w:rPr>
              <w:t>Other</w:t>
            </w:r>
          </w:p>
        </w:tc>
        <w:tc>
          <w:tcPr>
            <w:tcW w:w="992" w:type="dxa"/>
            <w:tcBorders>
              <w:top w:val="nil"/>
              <w:left w:val="nil"/>
              <w:bottom w:val="nil"/>
              <w:right w:val="nil"/>
            </w:tcBorders>
            <w:shd w:val="clear" w:color="auto" w:fill="auto"/>
            <w:noWrap/>
            <w:vAlign w:val="center"/>
            <w:hideMark/>
          </w:tcPr>
          <w:p w14:paraId="76C173BB"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188 </w:t>
            </w:r>
          </w:p>
        </w:tc>
        <w:tc>
          <w:tcPr>
            <w:tcW w:w="950" w:type="dxa"/>
            <w:tcBorders>
              <w:top w:val="nil"/>
              <w:left w:val="nil"/>
              <w:bottom w:val="nil"/>
              <w:right w:val="nil"/>
            </w:tcBorders>
            <w:shd w:val="clear" w:color="000000" w:fill="E6E6E6"/>
            <w:noWrap/>
            <w:vAlign w:val="center"/>
            <w:hideMark/>
          </w:tcPr>
          <w:p w14:paraId="76C173BC"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179 </w:t>
            </w:r>
          </w:p>
        </w:tc>
        <w:tc>
          <w:tcPr>
            <w:tcW w:w="840" w:type="dxa"/>
            <w:tcBorders>
              <w:top w:val="nil"/>
              <w:left w:val="nil"/>
              <w:bottom w:val="nil"/>
              <w:right w:val="nil"/>
            </w:tcBorders>
            <w:shd w:val="clear" w:color="auto" w:fill="auto"/>
            <w:noWrap/>
            <w:vAlign w:val="center"/>
            <w:hideMark/>
          </w:tcPr>
          <w:p w14:paraId="76C173BD"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179 </w:t>
            </w:r>
          </w:p>
        </w:tc>
        <w:tc>
          <w:tcPr>
            <w:tcW w:w="840" w:type="dxa"/>
            <w:tcBorders>
              <w:top w:val="nil"/>
              <w:left w:val="nil"/>
              <w:bottom w:val="nil"/>
              <w:right w:val="nil"/>
            </w:tcBorders>
            <w:shd w:val="clear" w:color="auto" w:fill="auto"/>
            <w:noWrap/>
            <w:vAlign w:val="center"/>
            <w:hideMark/>
          </w:tcPr>
          <w:p w14:paraId="76C173BE"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275 </w:t>
            </w:r>
          </w:p>
        </w:tc>
        <w:tc>
          <w:tcPr>
            <w:tcW w:w="840" w:type="dxa"/>
            <w:tcBorders>
              <w:top w:val="nil"/>
              <w:left w:val="nil"/>
              <w:bottom w:val="nil"/>
              <w:right w:val="nil"/>
            </w:tcBorders>
            <w:shd w:val="clear" w:color="auto" w:fill="auto"/>
            <w:noWrap/>
            <w:vAlign w:val="center"/>
            <w:hideMark/>
          </w:tcPr>
          <w:p w14:paraId="76C173BF"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302 </w:t>
            </w:r>
          </w:p>
        </w:tc>
      </w:tr>
      <w:tr w:rsidR="00D939C1" w:rsidRPr="00D939C1" w14:paraId="76C173C7" w14:textId="77777777" w:rsidTr="00144C76">
        <w:trPr>
          <w:trHeight w:val="210"/>
        </w:trPr>
        <w:tc>
          <w:tcPr>
            <w:tcW w:w="3261" w:type="dxa"/>
            <w:tcBorders>
              <w:top w:val="nil"/>
              <w:left w:val="nil"/>
              <w:bottom w:val="nil"/>
              <w:right w:val="nil"/>
            </w:tcBorders>
            <w:shd w:val="clear" w:color="auto" w:fill="auto"/>
            <w:noWrap/>
            <w:vAlign w:val="center"/>
            <w:hideMark/>
          </w:tcPr>
          <w:p w14:paraId="76C173C1" w14:textId="77777777" w:rsidR="00D939C1" w:rsidRPr="00D939C1" w:rsidRDefault="00D939C1" w:rsidP="00D939C1">
            <w:pPr>
              <w:spacing w:after="0" w:line="240" w:lineRule="auto"/>
              <w:jc w:val="left"/>
              <w:rPr>
                <w:rFonts w:ascii="Arial" w:hAnsi="Arial" w:cs="Arial"/>
                <w:b/>
                <w:bCs/>
                <w:i/>
                <w:iCs/>
                <w:color w:val="000000"/>
                <w:sz w:val="16"/>
                <w:szCs w:val="16"/>
              </w:rPr>
            </w:pPr>
            <w:r w:rsidRPr="00D939C1">
              <w:rPr>
                <w:rFonts w:ascii="Arial" w:hAnsi="Arial" w:cs="Arial"/>
                <w:b/>
                <w:bCs/>
                <w:i/>
                <w:iCs/>
                <w:color w:val="000000"/>
                <w:sz w:val="16"/>
                <w:szCs w:val="16"/>
              </w:rPr>
              <w:t>Total cash received</w:t>
            </w:r>
          </w:p>
        </w:tc>
        <w:tc>
          <w:tcPr>
            <w:tcW w:w="992" w:type="dxa"/>
            <w:tcBorders>
              <w:top w:val="single" w:sz="4" w:space="0" w:color="auto"/>
              <w:left w:val="nil"/>
              <w:bottom w:val="single" w:sz="4" w:space="0" w:color="auto"/>
              <w:right w:val="nil"/>
            </w:tcBorders>
            <w:shd w:val="clear" w:color="auto" w:fill="auto"/>
            <w:noWrap/>
            <w:vAlign w:val="center"/>
            <w:hideMark/>
          </w:tcPr>
          <w:p w14:paraId="76C173C2"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188 </w:t>
            </w:r>
          </w:p>
        </w:tc>
        <w:tc>
          <w:tcPr>
            <w:tcW w:w="950" w:type="dxa"/>
            <w:tcBorders>
              <w:top w:val="single" w:sz="4" w:space="0" w:color="auto"/>
              <w:left w:val="nil"/>
              <w:bottom w:val="single" w:sz="4" w:space="0" w:color="auto"/>
              <w:right w:val="nil"/>
            </w:tcBorders>
            <w:shd w:val="clear" w:color="000000" w:fill="E6E6E6"/>
            <w:noWrap/>
            <w:vAlign w:val="center"/>
            <w:hideMark/>
          </w:tcPr>
          <w:p w14:paraId="76C173C3"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179 </w:t>
            </w:r>
          </w:p>
        </w:tc>
        <w:tc>
          <w:tcPr>
            <w:tcW w:w="840" w:type="dxa"/>
            <w:tcBorders>
              <w:top w:val="single" w:sz="4" w:space="0" w:color="auto"/>
              <w:left w:val="nil"/>
              <w:bottom w:val="single" w:sz="4" w:space="0" w:color="auto"/>
              <w:right w:val="nil"/>
            </w:tcBorders>
            <w:shd w:val="clear" w:color="auto" w:fill="auto"/>
            <w:noWrap/>
            <w:vAlign w:val="center"/>
            <w:hideMark/>
          </w:tcPr>
          <w:p w14:paraId="76C173C4"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179 </w:t>
            </w:r>
          </w:p>
        </w:tc>
        <w:tc>
          <w:tcPr>
            <w:tcW w:w="840" w:type="dxa"/>
            <w:tcBorders>
              <w:top w:val="single" w:sz="4" w:space="0" w:color="auto"/>
              <w:left w:val="nil"/>
              <w:bottom w:val="single" w:sz="4" w:space="0" w:color="auto"/>
              <w:right w:val="nil"/>
            </w:tcBorders>
            <w:shd w:val="clear" w:color="auto" w:fill="auto"/>
            <w:noWrap/>
            <w:vAlign w:val="center"/>
            <w:hideMark/>
          </w:tcPr>
          <w:p w14:paraId="76C173C5"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275 </w:t>
            </w:r>
          </w:p>
        </w:tc>
        <w:tc>
          <w:tcPr>
            <w:tcW w:w="840" w:type="dxa"/>
            <w:tcBorders>
              <w:top w:val="single" w:sz="4" w:space="0" w:color="auto"/>
              <w:left w:val="nil"/>
              <w:bottom w:val="single" w:sz="4" w:space="0" w:color="auto"/>
              <w:right w:val="nil"/>
            </w:tcBorders>
            <w:shd w:val="clear" w:color="auto" w:fill="auto"/>
            <w:noWrap/>
            <w:vAlign w:val="center"/>
            <w:hideMark/>
          </w:tcPr>
          <w:p w14:paraId="76C173C6"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302 </w:t>
            </w:r>
          </w:p>
        </w:tc>
      </w:tr>
      <w:tr w:rsidR="00D939C1" w:rsidRPr="00D939C1" w14:paraId="76C173CE" w14:textId="77777777" w:rsidTr="00144C76">
        <w:trPr>
          <w:trHeight w:val="225"/>
        </w:trPr>
        <w:tc>
          <w:tcPr>
            <w:tcW w:w="3261" w:type="dxa"/>
            <w:tcBorders>
              <w:top w:val="nil"/>
              <w:left w:val="nil"/>
              <w:bottom w:val="nil"/>
              <w:right w:val="nil"/>
            </w:tcBorders>
            <w:shd w:val="clear" w:color="auto" w:fill="auto"/>
            <w:noWrap/>
            <w:vAlign w:val="center"/>
            <w:hideMark/>
          </w:tcPr>
          <w:p w14:paraId="76C173C8" w14:textId="77777777" w:rsidR="00D939C1" w:rsidRPr="00617BF5" w:rsidRDefault="00D939C1" w:rsidP="00617BF5">
            <w:pPr>
              <w:spacing w:after="0" w:line="240" w:lineRule="auto"/>
              <w:ind w:left="180" w:hanging="180"/>
              <w:jc w:val="left"/>
              <w:rPr>
                <w:rFonts w:ascii="Arial" w:hAnsi="Arial" w:cs="Arial"/>
                <w:b/>
                <w:bCs/>
                <w:sz w:val="16"/>
                <w:szCs w:val="16"/>
              </w:rPr>
            </w:pPr>
            <w:r w:rsidRPr="00617BF5">
              <w:rPr>
                <w:rFonts w:ascii="Arial" w:hAnsi="Arial" w:cs="Arial"/>
                <w:b/>
                <w:bCs/>
                <w:sz w:val="16"/>
                <w:szCs w:val="16"/>
              </w:rPr>
              <w:t>Cash used</w:t>
            </w:r>
          </w:p>
        </w:tc>
        <w:tc>
          <w:tcPr>
            <w:tcW w:w="992" w:type="dxa"/>
            <w:tcBorders>
              <w:top w:val="nil"/>
              <w:left w:val="nil"/>
              <w:bottom w:val="nil"/>
              <w:right w:val="nil"/>
            </w:tcBorders>
            <w:shd w:val="clear" w:color="auto" w:fill="auto"/>
            <w:noWrap/>
            <w:vAlign w:val="center"/>
            <w:hideMark/>
          </w:tcPr>
          <w:p w14:paraId="76C173C9" w14:textId="77777777" w:rsidR="00D939C1" w:rsidRPr="00E76B04" w:rsidRDefault="00D939C1" w:rsidP="00D939C1">
            <w:pPr>
              <w:spacing w:after="0" w:line="240" w:lineRule="auto"/>
              <w:jc w:val="left"/>
              <w:rPr>
                <w:rFonts w:ascii="Arial" w:hAnsi="Arial" w:cs="Arial"/>
                <w:b/>
                <w:bCs/>
                <w:color w:val="000000"/>
                <w:sz w:val="16"/>
                <w:szCs w:val="16"/>
              </w:rPr>
            </w:pPr>
          </w:p>
        </w:tc>
        <w:tc>
          <w:tcPr>
            <w:tcW w:w="950" w:type="dxa"/>
            <w:tcBorders>
              <w:top w:val="nil"/>
              <w:left w:val="nil"/>
              <w:bottom w:val="nil"/>
              <w:right w:val="nil"/>
            </w:tcBorders>
            <w:shd w:val="clear" w:color="000000" w:fill="E6E6E6"/>
            <w:noWrap/>
            <w:vAlign w:val="center"/>
            <w:hideMark/>
          </w:tcPr>
          <w:p w14:paraId="76C173CA" w14:textId="77777777" w:rsidR="00D939C1" w:rsidRPr="00E76B04" w:rsidRDefault="00D939C1" w:rsidP="00D939C1">
            <w:pPr>
              <w:spacing w:after="0" w:line="240" w:lineRule="auto"/>
              <w:jc w:val="left"/>
              <w:rPr>
                <w:rFonts w:ascii="Arial" w:hAnsi="Arial" w:cs="Arial"/>
                <w:color w:val="000000"/>
                <w:sz w:val="16"/>
                <w:szCs w:val="16"/>
              </w:rPr>
            </w:pPr>
            <w:r w:rsidRPr="00E76B04">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73CB" w14:textId="77777777" w:rsidR="00D939C1" w:rsidRPr="00E76B04" w:rsidRDefault="00D939C1" w:rsidP="00D939C1">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73CC" w14:textId="77777777" w:rsidR="00D939C1" w:rsidRPr="00E76B04" w:rsidRDefault="00D939C1" w:rsidP="00D939C1">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73CD" w14:textId="77777777" w:rsidR="00D939C1" w:rsidRPr="00E76B04" w:rsidRDefault="00D939C1" w:rsidP="00D939C1">
            <w:pPr>
              <w:spacing w:after="0" w:line="240" w:lineRule="auto"/>
              <w:jc w:val="left"/>
              <w:rPr>
                <w:rFonts w:ascii="Times New Roman" w:hAnsi="Times New Roman"/>
              </w:rPr>
            </w:pPr>
          </w:p>
        </w:tc>
      </w:tr>
      <w:tr w:rsidR="00D939C1" w:rsidRPr="00D939C1" w14:paraId="76C173D5" w14:textId="77777777" w:rsidTr="00144C76">
        <w:trPr>
          <w:trHeight w:val="225"/>
        </w:trPr>
        <w:tc>
          <w:tcPr>
            <w:tcW w:w="3261" w:type="dxa"/>
            <w:tcBorders>
              <w:top w:val="nil"/>
              <w:left w:val="nil"/>
              <w:bottom w:val="nil"/>
              <w:right w:val="nil"/>
            </w:tcBorders>
            <w:shd w:val="clear" w:color="auto" w:fill="auto"/>
            <w:noWrap/>
            <w:vAlign w:val="center"/>
            <w:hideMark/>
          </w:tcPr>
          <w:p w14:paraId="76C173CF" w14:textId="77777777" w:rsidR="00D939C1" w:rsidRPr="00D939C1" w:rsidRDefault="00D939C1" w:rsidP="00617BF5">
            <w:pPr>
              <w:spacing w:after="0" w:line="240" w:lineRule="auto"/>
              <w:ind w:left="316" w:hanging="142"/>
              <w:jc w:val="left"/>
              <w:rPr>
                <w:rFonts w:ascii="Arial" w:hAnsi="Arial" w:cs="Arial"/>
                <w:color w:val="000000"/>
                <w:sz w:val="16"/>
                <w:szCs w:val="16"/>
              </w:rPr>
            </w:pPr>
            <w:r w:rsidRPr="00D939C1">
              <w:rPr>
                <w:rFonts w:ascii="Arial" w:hAnsi="Arial" w:cs="Arial"/>
                <w:color w:val="000000"/>
                <w:sz w:val="16"/>
                <w:szCs w:val="16"/>
              </w:rPr>
              <w:t>Other</w:t>
            </w:r>
          </w:p>
        </w:tc>
        <w:tc>
          <w:tcPr>
            <w:tcW w:w="992" w:type="dxa"/>
            <w:tcBorders>
              <w:top w:val="nil"/>
              <w:left w:val="nil"/>
              <w:bottom w:val="nil"/>
              <w:right w:val="nil"/>
            </w:tcBorders>
            <w:shd w:val="clear" w:color="auto" w:fill="auto"/>
            <w:noWrap/>
            <w:vAlign w:val="center"/>
            <w:hideMark/>
          </w:tcPr>
          <w:p w14:paraId="76C173D0"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1,093 </w:t>
            </w:r>
          </w:p>
        </w:tc>
        <w:tc>
          <w:tcPr>
            <w:tcW w:w="950" w:type="dxa"/>
            <w:tcBorders>
              <w:top w:val="nil"/>
              <w:left w:val="nil"/>
              <w:bottom w:val="nil"/>
              <w:right w:val="nil"/>
            </w:tcBorders>
            <w:shd w:val="clear" w:color="000000" w:fill="E6E6E6"/>
            <w:noWrap/>
            <w:vAlign w:val="center"/>
            <w:hideMark/>
          </w:tcPr>
          <w:p w14:paraId="76C173D1"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266 </w:t>
            </w:r>
          </w:p>
        </w:tc>
        <w:tc>
          <w:tcPr>
            <w:tcW w:w="840" w:type="dxa"/>
            <w:tcBorders>
              <w:top w:val="nil"/>
              <w:left w:val="nil"/>
              <w:bottom w:val="nil"/>
              <w:right w:val="nil"/>
            </w:tcBorders>
            <w:shd w:val="clear" w:color="auto" w:fill="auto"/>
            <w:noWrap/>
            <w:vAlign w:val="center"/>
            <w:hideMark/>
          </w:tcPr>
          <w:p w14:paraId="76C173D2"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292 </w:t>
            </w:r>
          </w:p>
        </w:tc>
        <w:tc>
          <w:tcPr>
            <w:tcW w:w="840" w:type="dxa"/>
            <w:tcBorders>
              <w:top w:val="nil"/>
              <w:left w:val="nil"/>
              <w:bottom w:val="nil"/>
              <w:right w:val="nil"/>
            </w:tcBorders>
            <w:shd w:val="clear" w:color="auto" w:fill="auto"/>
            <w:noWrap/>
            <w:vAlign w:val="center"/>
            <w:hideMark/>
          </w:tcPr>
          <w:p w14:paraId="76C173D3"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274 </w:t>
            </w:r>
          </w:p>
        </w:tc>
        <w:tc>
          <w:tcPr>
            <w:tcW w:w="840" w:type="dxa"/>
            <w:tcBorders>
              <w:top w:val="nil"/>
              <w:left w:val="nil"/>
              <w:bottom w:val="nil"/>
              <w:right w:val="nil"/>
            </w:tcBorders>
            <w:shd w:val="clear" w:color="auto" w:fill="auto"/>
            <w:noWrap/>
            <w:vAlign w:val="center"/>
            <w:hideMark/>
          </w:tcPr>
          <w:p w14:paraId="76C173D4"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300 </w:t>
            </w:r>
          </w:p>
        </w:tc>
      </w:tr>
      <w:tr w:rsidR="00D939C1" w:rsidRPr="00D939C1" w14:paraId="76C173DC" w14:textId="77777777" w:rsidTr="00144C76">
        <w:trPr>
          <w:trHeight w:val="210"/>
        </w:trPr>
        <w:tc>
          <w:tcPr>
            <w:tcW w:w="3261" w:type="dxa"/>
            <w:tcBorders>
              <w:top w:val="nil"/>
              <w:left w:val="nil"/>
              <w:bottom w:val="nil"/>
              <w:right w:val="nil"/>
            </w:tcBorders>
            <w:shd w:val="clear" w:color="auto" w:fill="auto"/>
            <w:noWrap/>
            <w:vAlign w:val="center"/>
            <w:hideMark/>
          </w:tcPr>
          <w:p w14:paraId="76C173D6" w14:textId="77777777" w:rsidR="00D939C1" w:rsidRPr="00D939C1" w:rsidRDefault="00D939C1" w:rsidP="00D939C1">
            <w:pPr>
              <w:spacing w:after="0" w:line="240" w:lineRule="auto"/>
              <w:jc w:val="left"/>
              <w:rPr>
                <w:rFonts w:ascii="Arial" w:hAnsi="Arial" w:cs="Arial"/>
                <w:b/>
                <w:bCs/>
                <w:i/>
                <w:iCs/>
                <w:color w:val="000000"/>
                <w:sz w:val="16"/>
                <w:szCs w:val="16"/>
              </w:rPr>
            </w:pPr>
            <w:r w:rsidRPr="00D939C1">
              <w:rPr>
                <w:rFonts w:ascii="Arial" w:hAnsi="Arial" w:cs="Arial"/>
                <w:b/>
                <w:bCs/>
                <w:i/>
                <w:iCs/>
                <w:color w:val="000000"/>
                <w:sz w:val="16"/>
                <w:szCs w:val="16"/>
              </w:rPr>
              <w:t>Total cash used</w:t>
            </w:r>
          </w:p>
        </w:tc>
        <w:tc>
          <w:tcPr>
            <w:tcW w:w="992" w:type="dxa"/>
            <w:tcBorders>
              <w:top w:val="single" w:sz="4" w:space="0" w:color="auto"/>
              <w:left w:val="nil"/>
              <w:bottom w:val="single" w:sz="4" w:space="0" w:color="auto"/>
              <w:right w:val="nil"/>
            </w:tcBorders>
            <w:shd w:val="clear" w:color="auto" w:fill="auto"/>
            <w:noWrap/>
            <w:vAlign w:val="center"/>
            <w:hideMark/>
          </w:tcPr>
          <w:p w14:paraId="76C173D7"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1,093 </w:t>
            </w:r>
          </w:p>
        </w:tc>
        <w:tc>
          <w:tcPr>
            <w:tcW w:w="950" w:type="dxa"/>
            <w:tcBorders>
              <w:top w:val="single" w:sz="4" w:space="0" w:color="auto"/>
              <w:left w:val="nil"/>
              <w:bottom w:val="single" w:sz="4" w:space="0" w:color="auto"/>
              <w:right w:val="nil"/>
            </w:tcBorders>
            <w:shd w:val="clear" w:color="000000" w:fill="E6E6E6"/>
            <w:noWrap/>
            <w:vAlign w:val="center"/>
            <w:hideMark/>
          </w:tcPr>
          <w:p w14:paraId="76C173D8"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266 </w:t>
            </w:r>
          </w:p>
        </w:tc>
        <w:tc>
          <w:tcPr>
            <w:tcW w:w="840" w:type="dxa"/>
            <w:tcBorders>
              <w:top w:val="single" w:sz="4" w:space="0" w:color="auto"/>
              <w:left w:val="nil"/>
              <w:bottom w:val="single" w:sz="4" w:space="0" w:color="auto"/>
              <w:right w:val="nil"/>
            </w:tcBorders>
            <w:shd w:val="clear" w:color="auto" w:fill="auto"/>
            <w:noWrap/>
            <w:vAlign w:val="center"/>
            <w:hideMark/>
          </w:tcPr>
          <w:p w14:paraId="76C173D9"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292 </w:t>
            </w:r>
          </w:p>
        </w:tc>
        <w:tc>
          <w:tcPr>
            <w:tcW w:w="840" w:type="dxa"/>
            <w:tcBorders>
              <w:top w:val="single" w:sz="4" w:space="0" w:color="auto"/>
              <w:left w:val="nil"/>
              <w:bottom w:val="single" w:sz="4" w:space="0" w:color="auto"/>
              <w:right w:val="nil"/>
            </w:tcBorders>
            <w:shd w:val="clear" w:color="auto" w:fill="auto"/>
            <w:noWrap/>
            <w:vAlign w:val="center"/>
            <w:hideMark/>
          </w:tcPr>
          <w:p w14:paraId="76C173DA"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274 </w:t>
            </w:r>
          </w:p>
        </w:tc>
        <w:tc>
          <w:tcPr>
            <w:tcW w:w="840" w:type="dxa"/>
            <w:tcBorders>
              <w:top w:val="single" w:sz="4" w:space="0" w:color="auto"/>
              <w:left w:val="nil"/>
              <w:bottom w:val="single" w:sz="4" w:space="0" w:color="auto"/>
              <w:right w:val="nil"/>
            </w:tcBorders>
            <w:shd w:val="clear" w:color="auto" w:fill="auto"/>
            <w:noWrap/>
            <w:vAlign w:val="center"/>
            <w:hideMark/>
          </w:tcPr>
          <w:p w14:paraId="76C173DB"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300 </w:t>
            </w:r>
          </w:p>
        </w:tc>
      </w:tr>
      <w:tr w:rsidR="00D939C1" w:rsidRPr="00D939C1" w14:paraId="76C173E3" w14:textId="77777777" w:rsidTr="00144C76">
        <w:trPr>
          <w:trHeight w:val="450"/>
        </w:trPr>
        <w:tc>
          <w:tcPr>
            <w:tcW w:w="3261" w:type="dxa"/>
            <w:tcBorders>
              <w:top w:val="nil"/>
              <w:left w:val="nil"/>
              <w:bottom w:val="nil"/>
              <w:right w:val="nil"/>
            </w:tcBorders>
            <w:shd w:val="clear" w:color="auto" w:fill="auto"/>
            <w:vAlign w:val="center"/>
            <w:hideMark/>
          </w:tcPr>
          <w:p w14:paraId="76C173DD" w14:textId="77777777" w:rsidR="00D939C1" w:rsidRPr="00617BF5" w:rsidRDefault="00D939C1" w:rsidP="00617BF5">
            <w:pPr>
              <w:spacing w:after="0" w:line="240" w:lineRule="auto"/>
              <w:ind w:left="180" w:hanging="180"/>
              <w:jc w:val="left"/>
              <w:rPr>
                <w:rFonts w:ascii="Arial" w:hAnsi="Arial" w:cs="Arial"/>
                <w:b/>
                <w:bCs/>
                <w:sz w:val="16"/>
                <w:szCs w:val="16"/>
              </w:rPr>
            </w:pPr>
            <w:r w:rsidRPr="00617BF5">
              <w:rPr>
                <w:rFonts w:ascii="Arial" w:hAnsi="Arial" w:cs="Arial"/>
                <w:b/>
                <w:bCs/>
                <w:sz w:val="16"/>
                <w:szCs w:val="16"/>
              </w:rPr>
              <w:t>Net cash from/(used by) operating activities</w:t>
            </w:r>
          </w:p>
        </w:tc>
        <w:tc>
          <w:tcPr>
            <w:tcW w:w="992" w:type="dxa"/>
            <w:tcBorders>
              <w:top w:val="nil"/>
              <w:left w:val="nil"/>
              <w:bottom w:val="single" w:sz="4" w:space="0" w:color="000000"/>
              <w:right w:val="nil"/>
            </w:tcBorders>
            <w:shd w:val="clear" w:color="auto" w:fill="auto"/>
            <w:noWrap/>
            <w:vAlign w:val="center"/>
            <w:hideMark/>
          </w:tcPr>
          <w:p w14:paraId="76C173DE"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(905)</w:t>
            </w:r>
          </w:p>
        </w:tc>
        <w:tc>
          <w:tcPr>
            <w:tcW w:w="950" w:type="dxa"/>
            <w:tcBorders>
              <w:top w:val="nil"/>
              <w:left w:val="nil"/>
              <w:bottom w:val="single" w:sz="4" w:space="0" w:color="000000"/>
              <w:right w:val="nil"/>
            </w:tcBorders>
            <w:shd w:val="clear" w:color="000000" w:fill="E6E6E6"/>
            <w:noWrap/>
            <w:vAlign w:val="center"/>
            <w:hideMark/>
          </w:tcPr>
          <w:p w14:paraId="76C173DF"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(87)</w:t>
            </w:r>
          </w:p>
        </w:tc>
        <w:tc>
          <w:tcPr>
            <w:tcW w:w="840" w:type="dxa"/>
            <w:tcBorders>
              <w:top w:val="nil"/>
              <w:left w:val="nil"/>
              <w:bottom w:val="single" w:sz="4" w:space="0" w:color="000000"/>
              <w:right w:val="nil"/>
            </w:tcBorders>
            <w:shd w:val="clear" w:color="auto" w:fill="auto"/>
            <w:noWrap/>
            <w:vAlign w:val="center"/>
            <w:hideMark/>
          </w:tcPr>
          <w:p w14:paraId="76C173E0"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(113)</w:t>
            </w:r>
          </w:p>
        </w:tc>
        <w:tc>
          <w:tcPr>
            <w:tcW w:w="840" w:type="dxa"/>
            <w:tcBorders>
              <w:top w:val="nil"/>
              <w:left w:val="nil"/>
              <w:bottom w:val="single" w:sz="4" w:space="0" w:color="000000"/>
              <w:right w:val="nil"/>
            </w:tcBorders>
            <w:shd w:val="clear" w:color="auto" w:fill="auto"/>
            <w:noWrap/>
            <w:vAlign w:val="center"/>
            <w:hideMark/>
          </w:tcPr>
          <w:p w14:paraId="76C173E1"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1 </w:t>
            </w:r>
          </w:p>
        </w:tc>
        <w:tc>
          <w:tcPr>
            <w:tcW w:w="840" w:type="dxa"/>
            <w:tcBorders>
              <w:top w:val="nil"/>
              <w:left w:val="nil"/>
              <w:bottom w:val="single" w:sz="4" w:space="0" w:color="000000"/>
              <w:right w:val="nil"/>
            </w:tcBorders>
            <w:shd w:val="clear" w:color="auto" w:fill="auto"/>
            <w:noWrap/>
            <w:vAlign w:val="center"/>
            <w:hideMark/>
          </w:tcPr>
          <w:p w14:paraId="76C173E2"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2 </w:t>
            </w:r>
          </w:p>
        </w:tc>
      </w:tr>
      <w:tr w:rsidR="00D939C1" w:rsidRPr="00D939C1" w14:paraId="76C173EA" w14:textId="77777777" w:rsidTr="00144C76">
        <w:trPr>
          <w:trHeight w:val="420"/>
        </w:trPr>
        <w:tc>
          <w:tcPr>
            <w:tcW w:w="3261" w:type="dxa"/>
            <w:tcBorders>
              <w:top w:val="nil"/>
              <w:left w:val="nil"/>
              <w:bottom w:val="nil"/>
              <w:right w:val="nil"/>
            </w:tcBorders>
            <w:shd w:val="clear" w:color="auto" w:fill="auto"/>
            <w:vAlign w:val="center"/>
            <w:hideMark/>
          </w:tcPr>
          <w:p w14:paraId="76C173E4" w14:textId="77777777" w:rsidR="00D939C1" w:rsidRPr="00617BF5" w:rsidRDefault="00D939C1" w:rsidP="00617BF5">
            <w:pPr>
              <w:spacing w:after="0" w:line="240" w:lineRule="auto"/>
              <w:ind w:left="180" w:hanging="180"/>
              <w:jc w:val="left"/>
              <w:rPr>
                <w:rFonts w:ascii="Arial" w:hAnsi="Arial" w:cs="Arial"/>
                <w:b/>
                <w:bCs/>
                <w:sz w:val="16"/>
                <w:szCs w:val="16"/>
              </w:rPr>
            </w:pPr>
            <w:r w:rsidRPr="00617BF5">
              <w:rPr>
                <w:rFonts w:ascii="Arial" w:hAnsi="Arial" w:cs="Arial"/>
                <w:b/>
                <w:bCs/>
                <w:sz w:val="16"/>
                <w:szCs w:val="16"/>
              </w:rPr>
              <w:t>Net increase/(decrease) in cash held</w:t>
            </w:r>
          </w:p>
        </w:tc>
        <w:tc>
          <w:tcPr>
            <w:tcW w:w="992" w:type="dxa"/>
            <w:tcBorders>
              <w:top w:val="single" w:sz="4" w:space="0" w:color="auto"/>
              <w:left w:val="nil"/>
              <w:bottom w:val="single" w:sz="4" w:space="0" w:color="auto"/>
              <w:right w:val="nil"/>
            </w:tcBorders>
            <w:shd w:val="clear" w:color="auto" w:fill="auto"/>
            <w:noWrap/>
            <w:vAlign w:val="bottom"/>
            <w:hideMark/>
          </w:tcPr>
          <w:p w14:paraId="76C173E5"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(905)</w:t>
            </w:r>
          </w:p>
        </w:tc>
        <w:tc>
          <w:tcPr>
            <w:tcW w:w="950" w:type="dxa"/>
            <w:tcBorders>
              <w:top w:val="single" w:sz="4" w:space="0" w:color="auto"/>
              <w:left w:val="nil"/>
              <w:bottom w:val="single" w:sz="4" w:space="0" w:color="auto"/>
              <w:right w:val="nil"/>
            </w:tcBorders>
            <w:shd w:val="clear" w:color="000000" w:fill="E6E6E6"/>
            <w:noWrap/>
            <w:vAlign w:val="bottom"/>
            <w:hideMark/>
          </w:tcPr>
          <w:p w14:paraId="76C173E6"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(87)</w:t>
            </w:r>
          </w:p>
        </w:tc>
        <w:tc>
          <w:tcPr>
            <w:tcW w:w="840" w:type="dxa"/>
            <w:tcBorders>
              <w:top w:val="single" w:sz="4" w:space="0" w:color="auto"/>
              <w:left w:val="nil"/>
              <w:bottom w:val="single" w:sz="4" w:space="0" w:color="auto"/>
              <w:right w:val="nil"/>
            </w:tcBorders>
            <w:shd w:val="clear" w:color="auto" w:fill="auto"/>
            <w:noWrap/>
            <w:vAlign w:val="bottom"/>
            <w:hideMark/>
          </w:tcPr>
          <w:p w14:paraId="76C173E7"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(113)</w:t>
            </w:r>
          </w:p>
        </w:tc>
        <w:tc>
          <w:tcPr>
            <w:tcW w:w="840" w:type="dxa"/>
            <w:tcBorders>
              <w:top w:val="single" w:sz="4" w:space="0" w:color="auto"/>
              <w:left w:val="nil"/>
              <w:bottom w:val="single" w:sz="4" w:space="0" w:color="auto"/>
              <w:right w:val="nil"/>
            </w:tcBorders>
            <w:shd w:val="clear" w:color="auto" w:fill="auto"/>
            <w:noWrap/>
            <w:vAlign w:val="bottom"/>
            <w:hideMark/>
          </w:tcPr>
          <w:p w14:paraId="76C173E8"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1 </w:t>
            </w:r>
          </w:p>
        </w:tc>
        <w:tc>
          <w:tcPr>
            <w:tcW w:w="840" w:type="dxa"/>
            <w:tcBorders>
              <w:top w:val="single" w:sz="4" w:space="0" w:color="auto"/>
              <w:left w:val="nil"/>
              <w:bottom w:val="single" w:sz="4" w:space="0" w:color="auto"/>
              <w:right w:val="nil"/>
            </w:tcBorders>
            <w:shd w:val="clear" w:color="auto" w:fill="auto"/>
            <w:noWrap/>
            <w:vAlign w:val="bottom"/>
            <w:hideMark/>
          </w:tcPr>
          <w:p w14:paraId="76C173E9" w14:textId="77777777" w:rsidR="00D939C1" w:rsidRPr="00E76B04" w:rsidRDefault="00D939C1" w:rsidP="00D939C1">
            <w:pPr>
              <w:spacing w:after="0" w:line="240" w:lineRule="auto"/>
              <w:jc w:val="right"/>
              <w:rPr>
                <w:rFonts w:ascii="Arial" w:hAnsi="Arial" w:cs="Arial"/>
                <w:b/>
                <w:bCs/>
                <w:iCs/>
                <w:color w:val="000000"/>
                <w:sz w:val="16"/>
                <w:szCs w:val="16"/>
              </w:rPr>
            </w:pPr>
            <w:r w:rsidRPr="00E76B04">
              <w:rPr>
                <w:rFonts w:ascii="Arial" w:hAnsi="Arial" w:cs="Arial"/>
                <w:b/>
                <w:bCs/>
                <w:iCs/>
                <w:color w:val="000000"/>
                <w:sz w:val="16"/>
                <w:szCs w:val="16"/>
              </w:rPr>
              <w:t xml:space="preserve">2 </w:t>
            </w:r>
          </w:p>
        </w:tc>
      </w:tr>
      <w:tr w:rsidR="00D939C1" w:rsidRPr="00D939C1" w14:paraId="76C173F1" w14:textId="77777777" w:rsidTr="00144C76">
        <w:trPr>
          <w:trHeight w:val="450"/>
        </w:trPr>
        <w:tc>
          <w:tcPr>
            <w:tcW w:w="3261" w:type="dxa"/>
            <w:tcBorders>
              <w:top w:val="nil"/>
              <w:left w:val="nil"/>
              <w:bottom w:val="nil"/>
              <w:right w:val="nil"/>
            </w:tcBorders>
            <w:shd w:val="clear" w:color="auto" w:fill="auto"/>
            <w:vAlign w:val="center"/>
            <w:hideMark/>
          </w:tcPr>
          <w:p w14:paraId="76C173EB" w14:textId="77777777" w:rsidR="00D939C1" w:rsidRPr="00D939C1" w:rsidRDefault="00D939C1" w:rsidP="00617BF5">
            <w:pPr>
              <w:spacing w:after="0" w:line="240" w:lineRule="auto"/>
              <w:ind w:left="316" w:hanging="142"/>
              <w:jc w:val="left"/>
              <w:rPr>
                <w:rFonts w:ascii="Arial" w:hAnsi="Arial" w:cs="Arial"/>
                <w:color w:val="000000"/>
                <w:sz w:val="16"/>
                <w:szCs w:val="16"/>
              </w:rPr>
            </w:pPr>
            <w:r w:rsidRPr="00D939C1">
              <w:rPr>
                <w:rFonts w:ascii="Arial" w:hAnsi="Arial" w:cs="Arial"/>
                <w:color w:val="000000"/>
                <w:sz w:val="16"/>
                <w:szCs w:val="16"/>
              </w:rPr>
              <w:t>Cash and cash equivalents at</w:t>
            </w:r>
            <w:r w:rsidR="00617BF5">
              <w:rPr>
                <w:rFonts w:ascii="Arial" w:hAnsi="Arial" w:cs="Arial"/>
                <w:color w:val="000000"/>
                <w:sz w:val="16"/>
                <w:szCs w:val="16"/>
              </w:rPr>
              <w:t xml:space="preserve"> </w:t>
            </w:r>
            <w:r w:rsidRPr="00D939C1">
              <w:rPr>
                <w:rFonts w:ascii="Arial" w:hAnsi="Arial" w:cs="Arial"/>
                <w:color w:val="000000"/>
                <w:sz w:val="16"/>
                <w:szCs w:val="16"/>
              </w:rPr>
              <w:t>beginning of reporting period</w:t>
            </w:r>
          </w:p>
        </w:tc>
        <w:tc>
          <w:tcPr>
            <w:tcW w:w="992" w:type="dxa"/>
            <w:tcBorders>
              <w:top w:val="nil"/>
              <w:left w:val="nil"/>
              <w:bottom w:val="nil"/>
              <w:right w:val="nil"/>
            </w:tcBorders>
            <w:shd w:val="clear" w:color="auto" w:fill="auto"/>
            <w:noWrap/>
            <w:vAlign w:val="center"/>
            <w:hideMark/>
          </w:tcPr>
          <w:p w14:paraId="76C173EC"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 </w:t>
            </w:r>
          </w:p>
        </w:tc>
        <w:tc>
          <w:tcPr>
            <w:tcW w:w="950" w:type="dxa"/>
            <w:tcBorders>
              <w:top w:val="nil"/>
              <w:left w:val="nil"/>
              <w:bottom w:val="nil"/>
              <w:right w:val="nil"/>
            </w:tcBorders>
            <w:shd w:val="clear" w:color="000000" w:fill="E6E6E6"/>
            <w:noWrap/>
            <w:vAlign w:val="center"/>
            <w:hideMark/>
          </w:tcPr>
          <w:p w14:paraId="76C173ED"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76C173EE"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76C173EF"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center"/>
            <w:hideMark/>
          </w:tcPr>
          <w:p w14:paraId="76C173F0"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 </w:t>
            </w:r>
          </w:p>
        </w:tc>
      </w:tr>
      <w:tr w:rsidR="00D939C1" w:rsidRPr="00D939C1" w14:paraId="76C173F8" w14:textId="77777777" w:rsidTr="00144C76">
        <w:trPr>
          <w:trHeight w:val="225"/>
        </w:trPr>
        <w:tc>
          <w:tcPr>
            <w:tcW w:w="3261" w:type="dxa"/>
            <w:tcBorders>
              <w:top w:val="nil"/>
              <w:left w:val="nil"/>
              <w:bottom w:val="nil"/>
              <w:right w:val="nil"/>
            </w:tcBorders>
            <w:shd w:val="clear" w:color="auto" w:fill="auto"/>
            <w:vAlign w:val="center"/>
            <w:hideMark/>
          </w:tcPr>
          <w:p w14:paraId="76C173F2" w14:textId="77777777" w:rsidR="00D939C1" w:rsidRPr="00D939C1" w:rsidRDefault="00D939C1" w:rsidP="00617BF5">
            <w:pPr>
              <w:spacing w:after="0" w:line="240" w:lineRule="auto"/>
              <w:ind w:left="490" w:hanging="142"/>
              <w:jc w:val="left"/>
              <w:rPr>
                <w:rFonts w:ascii="Arial" w:hAnsi="Arial" w:cs="Arial"/>
                <w:color w:val="000000"/>
                <w:sz w:val="16"/>
                <w:szCs w:val="16"/>
              </w:rPr>
            </w:pPr>
            <w:r w:rsidRPr="00D939C1">
              <w:rPr>
                <w:rFonts w:ascii="Arial" w:hAnsi="Arial" w:cs="Arial"/>
                <w:color w:val="000000"/>
                <w:sz w:val="16"/>
                <w:szCs w:val="16"/>
              </w:rPr>
              <w:t>Cash from Official Public Account for:</w:t>
            </w:r>
          </w:p>
        </w:tc>
        <w:tc>
          <w:tcPr>
            <w:tcW w:w="992" w:type="dxa"/>
            <w:tcBorders>
              <w:top w:val="nil"/>
              <w:left w:val="nil"/>
              <w:bottom w:val="nil"/>
              <w:right w:val="nil"/>
            </w:tcBorders>
            <w:shd w:val="clear" w:color="auto" w:fill="auto"/>
            <w:noWrap/>
            <w:vAlign w:val="center"/>
            <w:hideMark/>
          </w:tcPr>
          <w:p w14:paraId="76C173F3" w14:textId="77777777" w:rsidR="00D939C1" w:rsidRPr="00E76B04" w:rsidRDefault="00D939C1" w:rsidP="00D939C1">
            <w:pPr>
              <w:spacing w:after="0" w:line="240" w:lineRule="auto"/>
              <w:ind w:firstLineChars="200" w:firstLine="320"/>
              <w:jc w:val="left"/>
              <w:rPr>
                <w:rFonts w:ascii="Arial" w:hAnsi="Arial" w:cs="Arial"/>
                <w:color w:val="000000"/>
                <w:sz w:val="16"/>
                <w:szCs w:val="16"/>
              </w:rPr>
            </w:pPr>
          </w:p>
        </w:tc>
        <w:tc>
          <w:tcPr>
            <w:tcW w:w="950" w:type="dxa"/>
            <w:tcBorders>
              <w:top w:val="nil"/>
              <w:left w:val="nil"/>
              <w:bottom w:val="nil"/>
              <w:right w:val="nil"/>
            </w:tcBorders>
            <w:shd w:val="clear" w:color="000000" w:fill="E6E6E6"/>
            <w:noWrap/>
            <w:vAlign w:val="center"/>
            <w:hideMark/>
          </w:tcPr>
          <w:p w14:paraId="76C173F4" w14:textId="77777777" w:rsidR="00D939C1" w:rsidRPr="00E76B04" w:rsidRDefault="00D939C1" w:rsidP="00D939C1">
            <w:pPr>
              <w:spacing w:after="0" w:line="240" w:lineRule="auto"/>
              <w:jc w:val="left"/>
              <w:rPr>
                <w:rFonts w:ascii="Arial" w:hAnsi="Arial" w:cs="Arial"/>
                <w:color w:val="000000"/>
                <w:sz w:val="16"/>
                <w:szCs w:val="16"/>
              </w:rPr>
            </w:pPr>
            <w:r w:rsidRPr="00E76B04">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76C173F5" w14:textId="77777777" w:rsidR="00D939C1" w:rsidRPr="00E76B04" w:rsidRDefault="00D939C1" w:rsidP="00D939C1">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76C173F6" w14:textId="77777777" w:rsidR="00D939C1" w:rsidRPr="00E76B04" w:rsidRDefault="00D939C1" w:rsidP="00D939C1">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6C173F7" w14:textId="77777777" w:rsidR="00D939C1" w:rsidRPr="00E76B04" w:rsidRDefault="00D939C1" w:rsidP="00D939C1">
            <w:pPr>
              <w:spacing w:after="0" w:line="240" w:lineRule="auto"/>
              <w:jc w:val="left"/>
              <w:rPr>
                <w:rFonts w:ascii="Times New Roman" w:hAnsi="Times New Roman"/>
              </w:rPr>
            </w:pPr>
          </w:p>
        </w:tc>
      </w:tr>
      <w:tr w:rsidR="00D939C1" w:rsidRPr="00D939C1" w14:paraId="76C173FF" w14:textId="77777777" w:rsidTr="00144C76">
        <w:trPr>
          <w:trHeight w:val="225"/>
        </w:trPr>
        <w:tc>
          <w:tcPr>
            <w:tcW w:w="3261" w:type="dxa"/>
            <w:tcBorders>
              <w:top w:val="nil"/>
              <w:left w:val="nil"/>
              <w:bottom w:val="nil"/>
              <w:right w:val="nil"/>
            </w:tcBorders>
            <w:shd w:val="clear" w:color="auto" w:fill="auto"/>
            <w:noWrap/>
            <w:vAlign w:val="center"/>
            <w:hideMark/>
          </w:tcPr>
          <w:p w14:paraId="76C173F9" w14:textId="0FBF74F8" w:rsidR="00D939C1" w:rsidRPr="00D939C1" w:rsidRDefault="00E35412" w:rsidP="00D939C1">
            <w:pPr>
              <w:spacing w:after="0" w:line="240" w:lineRule="auto"/>
              <w:ind w:firstLineChars="300" w:firstLine="480"/>
              <w:jc w:val="left"/>
              <w:rPr>
                <w:rFonts w:ascii="Arial" w:hAnsi="Arial" w:cs="Arial"/>
                <w:color w:val="000000"/>
                <w:sz w:val="16"/>
                <w:szCs w:val="16"/>
              </w:rPr>
            </w:pPr>
            <w:r>
              <w:rPr>
                <w:rFonts w:ascii="Arial" w:hAnsi="Arial" w:cs="Arial"/>
                <w:color w:val="000000"/>
                <w:sz w:val="16"/>
                <w:szCs w:val="16"/>
              </w:rPr>
              <w:t>—</w:t>
            </w:r>
            <w:r w:rsidR="00D939C1" w:rsidRPr="00D939C1">
              <w:rPr>
                <w:rFonts w:ascii="Arial" w:hAnsi="Arial" w:cs="Arial"/>
                <w:color w:val="000000"/>
                <w:sz w:val="16"/>
                <w:szCs w:val="16"/>
              </w:rPr>
              <w:t xml:space="preserve"> Special accounts</w:t>
            </w:r>
          </w:p>
        </w:tc>
        <w:tc>
          <w:tcPr>
            <w:tcW w:w="992" w:type="dxa"/>
            <w:tcBorders>
              <w:top w:val="nil"/>
              <w:left w:val="nil"/>
              <w:bottom w:val="nil"/>
              <w:right w:val="nil"/>
            </w:tcBorders>
            <w:shd w:val="clear" w:color="auto" w:fill="auto"/>
            <w:noWrap/>
            <w:vAlign w:val="center"/>
            <w:hideMark/>
          </w:tcPr>
          <w:p w14:paraId="76C173FA"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1,211 </w:t>
            </w:r>
          </w:p>
        </w:tc>
        <w:tc>
          <w:tcPr>
            <w:tcW w:w="950" w:type="dxa"/>
            <w:tcBorders>
              <w:top w:val="nil"/>
              <w:left w:val="nil"/>
              <w:bottom w:val="nil"/>
              <w:right w:val="nil"/>
            </w:tcBorders>
            <w:shd w:val="clear" w:color="000000" w:fill="E6E6E6"/>
            <w:noWrap/>
            <w:vAlign w:val="center"/>
            <w:hideMark/>
          </w:tcPr>
          <w:p w14:paraId="76C173FB"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306 </w:t>
            </w:r>
          </w:p>
        </w:tc>
        <w:tc>
          <w:tcPr>
            <w:tcW w:w="840" w:type="dxa"/>
            <w:tcBorders>
              <w:top w:val="nil"/>
              <w:left w:val="nil"/>
              <w:bottom w:val="nil"/>
              <w:right w:val="nil"/>
            </w:tcBorders>
            <w:shd w:val="clear" w:color="auto" w:fill="auto"/>
            <w:noWrap/>
            <w:vAlign w:val="center"/>
            <w:hideMark/>
          </w:tcPr>
          <w:p w14:paraId="76C173FC"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219 </w:t>
            </w:r>
          </w:p>
        </w:tc>
        <w:tc>
          <w:tcPr>
            <w:tcW w:w="840" w:type="dxa"/>
            <w:tcBorders>
              <w:top w:val="nil"/>
              <w:left w:val="nil"/>
              <w:bottom w:val="nil"/>
              <w:right w:val="nil"/>
            </w:tcBorders>
            <w:shd w:val="clear" w:color="auto" w:fill="auto"/>
            <w:noWrap/>
            <w:vAlign w:val="center"/>
            <w:hideMark/>
          </w:tcPr>
          <w:p w14:paraId="76C173FD"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106 </w:t>
            </w:r>
          </w:p>
        </w:tc>
        <w:tc>
          <w:tcPr>
            <w:tcW w:w="840" w:type="dxa"/>
            <w:tcBorders>
              <w:top w:val="nil"/>
              <w:left w:val="nil"/>
              <w:bottom w:val="nil"/>
              <w:right w:val="nil"/>
            </w:tcBorders>
            <w:shd w:val="clear" w:color="auto" w:fill="auto"/>
            <w:noWrap/>
            <w:vAlign w:val="center"/>
            <w:hideMark/>
          </w:tcPr>
          <w:p w14:paraId="76C173FE" w14:textId="77777777" w:rsidR="00D939C1" w:rsidRPr="00E76B04" w:rsidRDefault="00D939C1" w:rsidP="00D939C1">
            <w:pPr>
              <w:spacing w:after="0" w:line="240" w:lineRule="auto"/>
              <w:jc w:val="right"/>
              <w:rPr>
                <w:rFonts w:ascii="Arial" w:hAnsi="Arial" w:cs="Arial"/>
                <w:color w:val="000000"/>
                <w:sz w:val="16"/>
                <w:szCs w:val="16"/>
              </w:rPr>
            </w:pPr>
            <w:r w:rsidRPr="00E76B04">
              <w:rPr>
                <w:rFonts w:ascii="Arial" w:hAnsi="Arial" w:cs="Arial"/>
                <w:color w:val="000000"/>
                <w:sz w:val="16"/>
                <w:szCs w:val="16"/>
              </w:rPr>
              <w:t xml:space="preserve">107 </w:t>
            </w:r>
          </w:p>
        </w:tc>
      </w:tr>
      <w:tr w:rsidR="00D939C1" w:rsidRPr="00D939C1" w14:paraId="76C17406" w14:textId="77777777" w:rsidTr="00144C76">
        <w:trPr>
          <w:trHeight w:val="450"/>
        </w:trPr>
        <w:tc>
          <w:tcPr>
            <w:tcW w:w="3261" w:type="dxa"/>
            <w:tcBorders>
              <w:top w:val="nil"/>
              <w:left w:val="nil"/>
              <w:bottom w:val="single" w:sz="4" w:space="0" w:color="auto"/>
              <w:right w:val="nil"/>
            </w:tcBorders>
            <w:shd w:val="clear" w:color="auto" w:fill="auto"/>
            <w:vAlign w:val="center"/>
            <w:hideMark/>
          </w:tcPr>
          <w:p w14:paraId="76C17400" w14:textId="77777777" w:rsidR="00D939C1" w:rsidRPr="00617BF5" w:rsidRDefault="00D939C1" w:rsidP="00617BF5">
            <w:pPr>
              <w:spacing w:after="0" w:line="240" w:lineRule="auto"/>
              <w:ind w:left="180" w:hanging="180"/>
              <w:jc w:val="left"/>
              <w:rPr>
                <w:rFonts w:ascii="Arial" w:hAnsi="Arial" w:cs="Arial"/>
                <w:b/>
                <w:bCs/>
                <w:sz w:val="16"/>
                <w:szCs w:val="16"/>
              </w:rPr>
            </w:pPr>
            <w:r w:rsidRPr="00617BF5">
              <w:rPr>
                <w:rFonts w:ascii="Arial" w:hAnsi="Arial" w:cs="Arial"/>
                <w:b/>
                <w:bCs/>
                <w:sz w:val="16"/>
                <w:szCs w:val="16"/>
              </w:rPr>
              <w:t>Cash and cash equivalents at end of reporting period</w:t>
            </w:r>
          </w:p>
        </w:tc>
        <w:tc>
          <w:tcPr>
            <w:tcW w:w="992" w:type="dxa"/>
            <w:tcBorders>
              <w:top w:val="single" w:sz="4" w:space="0" w:color="auto"/>
              <w:left w:val="nil"/>
              <w:bottom w:val="single" w:sz="4" w:space="0" w:color="auto"/>
              <w:right w:val="nil"/>
            </w:tcBorders>
            <w:shd w:val="clear" w:color="auto" w:fill="auto"/>
            <w:noWrap/>
            <w:vAlign w:val="bottom"/>
            <w:hideMark/>
          </w:tcPr>
          <w:p w14:paraId="76C17401"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306 </w:t>
            </w:r>
          </w:p>
        </w:tc>
        <w:tc>
          <w:tcPr>
            <w:tcW w:w="950" w:type="dxa"/>
            <w:tcBorders>
              <w:top w:val="single" w:sz="4" w:space="0" w:color="auto"/>
              <w:left w:val="nil"/>
              <w:bottom w:val="single" w:sz="4" w:space="0" w:color="auto"/>
              <w:right w:val="nil"/>
            </w:tcBorders>
            <w:shd w:val="clear" w:color="000000" w:fill="E6E6E6"/>
            <w:noWrap/>
            <w:vAlign w:val="bottom"/>
            <w:hideMark/>
          </w:tcPr>
          <w:p w14:paraId="76C17402"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219 </w:t>
            </w:r>
          </w:p>
        </w:tc>
        <w:tc>
          <w:tcPr>
            <w:tcW w:w="840" w:type="dxa"/>
            <w:tcBorders>
              <w:top w:val="single" w:sz="4" w:space="0" w:color="auto"/>
              <w:left w:val="nil"/>
              <w:bottom w:val="single" w:sz="4" w:space="0" w:color="auto"/>
              <w:right w:val="nil"/>
            </w:tcBorders>
            <w:shd w:val="clear" w:color="auto" w:fill="auto"/>
            <w:noWrap/>
            <w:vAlign w:val="bottom"/>
            <w:hideMark/>
          </w:tcPr>
          <w:p w14:paraId="76C17403"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106 </w:t>
            </w:r>
          </w:p>
        </w:tc>
        <w:tc>
          <w:tcPr>
            <w:tcW w:w="840" w:type="dxa"/>
            <w:tcBorders>
              <w:top w:val="single" w:sz="4" w:space="0" w:color="auto"/>
              <w:left w:val="nil"/>
              <w:bottom w:val="single" w:sz="4" w:space="0" w:color="auto"/>
              <w:right w:val="nil"/>
            </w:tcBorders>
            <w:shd w:val="clear" w:color="auto" w:fill="auto"/>
            <w:noWrap/>
            <w:vAlign w:val="bottom"/>
            <w:hideMark/>
          </w:tcPr>
          <w:p w14:paraId="76C17404"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107 </w:t>
            </w:r>
          </w:p>
        </w:tc>
        <w:tc>
          <w:tcPr>
            <w:tcW w:w="840" w:type="dxa"/>
            <w:tcBorders>
              <w:top w:val="single" w:sz="4" w:space="0" w:color="auto"/>
              <w:left w:val="nil"/>
              <w:bottom w:val="single" w:sz="4" w:space="0" w:color="auto"/>
              <w:right w:val="nil"/>
            </w:tcBorders>
            <w:shd w:val="clear" w:color="auto" w:fill="auto"/>
            <w:noWrap/>
            <w:vAlign w:val="bottom"/>
            <w:hideMark/>
          </w:tcPr>
          <w:p w14:paraId="76C17405" w14:textId="77777777" w:rsidR="00D939C1" w:rsidRPr="00E76B04" w:rsidRDefault="00D939C1" w:rsidP="00D939C1">
            <w:pPr>
              <w:spacing w:after="0" w:line="240" w:lineRule="auto"/>
              <w:jc w:val="right"/>
              <w:rPr>
                <w:rFonts w:ascii="Arial" w:hAnsi="Arial" w:cs="Arial"/>
                <w:b/>
                <w:bCs/>
                <w:color w:val="000000"/>
                <w:sz w:val="16"/>
                <w:szCs w:val="16"/>
              </w:rPr>
            </w:pPr>
            <w:r w:rsidRPr="00E76B04">
              <w:rPr>
                <w:rFonts w:ascii="Arial" w:hAnsi="Arial" w:cs="Arial"/>
                <w:b/>
                <w:bCs/>
                <w:color w:val="000000"/>
                <w:sz w:val="16"/>
                <w:szCs w:val="16"/>
              </w:rPr>
              <w:t xml:space="preserve">109 </w:t>
            </w:r>
          </w:p>
        </w:tc>
      </w:tr>
    </w:tbl>
    <w:p w14:paraId="76C17407" w14:textId="77777777" w:rsidR="00DF0134" w:rsidRDefault="00DF0134" w:rsidP="003732E1">
      <w:pPr>
        <w:pStyle w:val="Source"/>
        <w:spacing w:before="120"/>
        <w:jc w:val="left"/>
      </w:pPr>
      <w:r>
        <w:t>Prepared on Australian Accounting Standards basis.</w:t>
      </w:r>
    </w:p>
    <w:p w14:paraId="76C17408" w14:textId="77777777" w:rsidR="00D939C1" w:rsidRDefault="00D939C1" w:rsidP="00DF0134">
      <w:pPr>
        <w:pStyle w:val="Source"/>
      </w:pPr>
    </w:p>
    <w:p w14:paraId="76C17409" w14:textId="77777777" w:rsidR="00D939C1" w:rsidRDefault="00D939C1" w:rsidP="00D939C1">
      <w:pPr>
        <w:pStyle w:val="TableHeading"/>
      </w:pPr>
      <w:r w:rsidRPr="00D30CBA">
        <w:t>Table</w:t>
      </w:r>
      <w:r>
        <w:t xml:space="preserve"> 3.10</w:t>
      </w:r>
      <w:r w:rsidRPr="00D30CBA">
        <w:t xml:space="preserve">: </w:t>
      </w:r>
      <w:r>
        <w:t>Administered capital budget statement (for the period ended 30 June)</w:t>
      </w:r>
    </w:p>
    <w:p w14:paraId="76C1740A" w14:textId="77777777" w:rsidR="00D939C1" w:rsidRPr="00D939C1" w:rsidRDefault="00D939C1" w:rsidP="00D939C1">
      <w:r>
        <w:t>Comcare has no administered capital purchases. For this reason, Table 3.10 is not presented.</w:t>
      </w:r>
    </w:p>
    <w:p w14:paraId="76C1740B" w14:textId="7CA91EEA" w:rsidR="00D939C1" w:rsidRPr="00273D98" w:rsidRDefault="00D939C1" w:rsidP="00D939C1">
      <w:pPr>
        <w:pStyle w:val="TableHeading"/>
        <w:spacing w:before="360" w:after="0"/>
        <w:rPr>
          <w:lang w:val="en-AU"/>
        </w:rPr>
      </w:pPr>
      <w:r>
        <w:t xml:space="preserve">Table 3.11: Statement of administered asset movements (Budget year </w:t>
      </w:r>
      <w:r w:rsidR="009A4174">
        <w:t>2018–19</w:t>
      </w:r>
      <w:r>
        <w:t>)</w:t>
      </w:r>
    </w:p>
    <w:p w14:paraId="76C1740C" w14:textId="77777777" w:rsidR="00D939C1" w:rsidRDefault="00D939C1" w:rsidP="00D939C1">
      <w:r>
        <w:t>Comcare has no administered non-financial assets. For this reason, Table 3.11 is not presented.</w:t>
      </w:r>
    </w:p>
    <w:p w14:paraId="76C1740D" w14:textId="77777777" w:rsidR="00D939C1" w:rsidRDefault="00D939C1" w:rsidP="00D939C1">
      <w:pPr>
        <w:pStyle w:val="Heading3"/>
        <w:spacing w:before="600"/>
      </w:pPr>
      <w:bookmarkStart w:id="6" w:name="_Toc511736985"/>
      <w:bookmarkStart w:id="7" w:name="_Toc511747247"/>
      <w:bookmarkStart w:id="8" w:name="_Toc511765650"/>
      <w:bookmarkStart w:id="9" w:name="_Toc511828706"/>
      <w:bookmarkStart w:id="10" w:name="_Toc511836845"/>
      <w:bookmarkStart w:id="11" w:name="_Toc511902551"/>
      <w:r>
        <w:t>3.3 Notes to the Financial Statements</w:t>
      </w:r>
      <w:bookmarkEnd w:id="6"/>
      <w:bookmarkEnd w:id="7"/>
      <w:bookmarkEnd w:id="8"/>
      <w:bookmarkEnd w:id="9"/>
      <w:bookmarkEnd w:id="10"/>
      <w:bookmarkEnd w:id="11"/>
    </w:p>
    <w:p w14:paraId="76C1740E" w14:textId="77777777" w:rsidR="00D939C1" w:rsidRDefault="00D939C1" w:rsidP="00D939C1">
      <w:pPr>
        <w:pStyle w:val="Heading4"/>
        <w:rPr>
          <w:snapToGrid w:val="0"/>
          <w:lang w:eastAsia="en-US"/>
        </w:rPr>
      </w:pPr>
      <w:r>
        <w:rPr>
          <w:snapToGrid w:val="0"/>
          <w:lang w:eastAsia="en-US"/>
        </w:rPr>
        <w:t>Accounting policy</w:t>
      </w:r>
    </w:p>
    <w:p w14:paraId="76C1740F" w14:textId="77777777" w:rsidR="00D939C1" w:rsidRPr="00E751A3" w:rsidRDefault="00D939C1" w:rsidP="00D939C1">
      <w:r>
        <w:t xml:space="preserve">The budgeted financial statements have been prepared in accordance with the </w:t>
      </w:r>
      <w:r w:rsidRPr="00E751A3">
        <w:t xml:space="preserve">requirements of the </w:t>
      </w:r>
      <w:r w:rsidRPr="00E751A3">
        <w:rPr>
          <w:i/>
        </w:rPr>
        <w:t>Public Governance, Performanc</w:t>
      </w:r>
      <w:r w:rsidR="00617BF5">
        <w:rPr>
          <w:i/>
        </w:rPr>
        <w:t>e and Accountability (Financial </w:t>
      </w:r>
      <w:r w:rsidRPr="00E751A3">
        <w:rPr>
          <w:i/>
        </w:rPr>
        <w:t>Reporting) Rule 2015</w:t>
      </w:r>
      <w:r w:rsidRPr="00E751A3">
        <w:t xml:space="preserve">, and the </w:t>
      </w:r>
      <w:r w:rsidRPr="00E751A3">
        <w:rPr>
          <w:i/>
        </w:rPr>
        <w:t>Commonwealth Entities Financial Statement Preparation Guide</w:t>
      </w:r>
      <w:r w:rsidRPr="00E751A3">
        <w:t>.</w:t>
      </w:r>
    </w:p>
    <w:p w14:paraId="76C17410" w14:textId="77777777" w:rsidR="00D939C1" w:rsidRDefault="00D939C1" w:rsidP="00D939C1">
      <w:pPr>
        <w:pStyle w:val="Heading4"/>
        <w:rPr>
          <w:snapToGrid w:val="0"/>
          <w:lang w:eastAsia="en-US"/>
        </w:rPr>
      </w:pPr>
      <w:r>
        <w:rPr>
          <w:snapToGrid w:val="0"/>
          <w:lang w:eastAsia="en-US"/>
        </w:rPr>
        <w:t>Entity items</w:t>
      </w:r>
    </w:p>
    <w:p w14:paraId="76C17411" w14:textId="77777777" w:rsidR="00D939C1" w:rsidRDefault="00D939C1" w:rsidP="00D939C1">
      <w:r>
        <w:t>Entity assets, liabilities, revenues and expenses are those items that are controlled by Comcare.</w:t>
      </w:r>
    </w:p>
    <w:p w14:paraId="76C17412" w14:textId="77777777" w:rsidR="00D939C1" w:rsidRDefault="00D939C1" w:rsidP="00D939C1">
      <w:r>
        <w:lastRenderedPageBreak/>
        <w:t xml:space="preserve">Administered assets, liabilities, revenues and expenses relate to the Seafarers Safety, Rehabilitation and Compensation Authority (Seafarers Authority) which collects levies under the </w:t>
      </w:r>
      <w:r>
        <w:rPr>
          <w:i/>
        </w:rPr>
        <w:t>Seafarers Rehabilitation and Compensation Levy Collection Act 1992</w:t>
      </w:r>
      <w:r>
        <w:t xml:space="preserve">. The Seafarers Authority is controlled by the Government and managed by Comcare. </w:t>
      </w:r>
    </w:p>
    <w:p w14:paraId="76C17413" w14:textId="77777777" w:rsidR="00D939C1" w:rsidRDefault="00D939C1" w:rsidP="00D939C1">
      <w:pPr>
        <w:pStyle w:val="Heading4"/>
        <w:rPr>
          <w:rFonts w:cs="Arial"/>
          <w:snapToGrid w:val="0"/>
          <w:lang w:eastAsia="en-US"/>
        </w:rPr>
      </w:pPr>
      <w:r>
        <w:rPr>
          <w:rFonts w:cs="Arial"/>
          <w:snapToGrid w:val="0"/>
          <w:lang w:eastAsia="en-US"/>
        </w:rPr>
        <w:t>Comprehensive Income Statement</w:t>
      </w:r>
    </w:p>
    <w:p w14:paraId="76C17414" w14:textId="77777777" w:rsidR="00D939C1" w:rsidRDefault="00D939C1" w:rsidP="00D939C1">
      <w:pPr>
        <w:pStyle w:val="Heading5"/>
        <w:rPr>
          <w:rFonts w:cs="Arial"/>
          <w:snapToGrid w:val="0"/>
          <w:lang w:eastAsia="en-US"/>
        </w:rPr>
      </w:pPr>
      <w:r>
        <w:rPr>
          <w:rFonts w:cs="Arial"/>
          <w:snapToGrid w:val="0"/>
          <w:lang w:eastAsia="en-US"/>
        </w:rPr>
        <w:t>Revenue from government</w:t>
      </w:r>
    </w:p>
    <w:p w14:paraId="76C17415" w14:textId="77777777" w:rsidR="00D939C1" w:rsidRDefault="00D939C1" w:rsidP="00D939C1">
      <w:r>
        <w:t xml:space="preserve">Comcare receives an annual appropriation for the management of asbestos-related claims, the administration of the Parliamentary </w:t>
      </w:r>
      <w:r w:rsidR="00617BF5">
        <w:t>Injury Compensation Scheme, the </w:t>
      </w:r>
      <w:r>
        <w:t>Seacare Authority, and some of Comcare’s regulatory activities.</w:t>
      </w:r>
    </w:p>
    <w:p w14:paraId="76C17416" w14:textId="77777777" w:rsidR="00D939C1" w:rsidRPr="00E56F48" w:rsidRDefault="00D939C1" w:rsidP="00D939C1">
      <w:pPr>
        <w:pStyle w:val="Heading5"/>
      </w:pPr>
      <w:r w:rsidRPr="00E56F48">
        <w:t>Own source revenue</w:t>
      </w:r>
    </w:p>
    <w:p w14:paraId="76C17417" w14:textId="77777777" w:rsidR="00D939C1" w:rsidRDefault="00D939C1" w:rsidP="00D939C1">
      <w:pPr>
        <w:spacing w:after="60"/>
      </w:pPr>
      <w:r>
        <w:t>Comcare receives the following own-source revenue:</w:t>
      </w:r>
    </w:p>
    <w:p w14:paraId="76C17418" w14:textId="77777777" w:rsidR="00D939C1" w:rsidRPr="00E80D04" w:rsidRDefault="00D939C1" w:rsidP="00E80D04">
      <w:pPr>
        <w:pStyle w:val="Bullet"/>
        <w:spacing w:after="160"/>
        <w:ind w:left="284" w:hanging="284"/>
        <w:jc w:val="left"/>
        <w:rPr>
          <w:rFonts w:cstheme="minorHAnsi"/>
        </w:rPr>
      </w:pPr>
      <w:r w:rsidRPr="00E80D04">
        <w:rPr>
          <w:rFonts w:cstheme="minorHAnsi"/>
        </w:rPr>
        <w:t>workers’ compensation premiums</w:t>
      </w:r>
    </w:p>
    <w:p w14:paraId="76C17419" w14:textId="77777777" w:rsidR="00D939C1" w:rsidRPr="00E80D04" w:rsidRDefault="00D939C1" w:rsidP="00E80D04">
      <w:pPr>
        <w:pStyle w:val="Bullet"/>
        <w:spacing w:after="160"/>
        <w:ind w:left="284" w:hanging="284"/>
        <w:jc w:val="left"/>
        <w:rPr>
          <w:rFonts w:cstheme="minorHAnsi"/>
        </w:rPr>
      </w:pPr>
      <w:r w:rsidRPr="00E80D04">
        <w:rPr>
          <w:rFonts w:cstheme="minorHAnsi"/>
        </w:rPr>
        <w:t>grants received from portfolio department</w:t>
      </w:r>
    </w:p>
    <w:p w14:paraId="76C1741A" w14:textId="77777777" w:rsidR="00D939C1" w:rsidRPr="00E80D04" w:rsidRDefault="00D939C1" w:rsidP="00E80D04">
      <w:pPr>
        <w:pStyle w:val="Bullet"/>
        <w:spacing w:after="160"/>
        <w:ind w:left="284" w:hanging="284"/>
        <w:jc w:val="left"/>
        <w:rPr>
          <w:rFonts w:cstheme="minorHAnsi"/>
        </w:rPr>
      </w:pPr>
      <w:r w:rsidRPr="00E80D04">
        <w:rPr>
          <w:rFonts w:cstheme="minorHAnsi"/>
        </w:rPr>
        <w:t>other non-tax revenue</w:t>
      </w:r>
    </w:p>
    <w:p w14:paraId="76C1741B" w14:textId="77777777" w:rsidR="00D939C1" w:rsidRPr="00E80D04" w:rsidRDefault="00D939C1" w:rsidP="00E80D04">
      <w:pPr>
        <w:pStyle w:val="Bullet"/>
        <w:spacing w:after="160"/>
        <w:ind w:left="284" w:hanging="284"/>
        <w:jc w:val="left"/>
        <w:rPr>
          <w:rFonts w:cstheme="minorHAnsi"/>
        </w:rPr>
      </w:pPr>
      <w:r w:rsidRPr="00E80D04">
        <w:rPr>
          <w:rFonts w:cstheme="minorHAnsi"/>
        </w:rPr>
        <w:t>licence fees</w:t>
      </w:r>
    </w:p>
    <w:p w14:paraId="76C1741C" w14:textId="77777777" w:rsidR="00D939C1" w:rsidRPr="00E80D04" w:rsidRDefault="00D939C1" w:rsidP="00E80D04">
      <w:pPr>
        <w:pStyle w:val="Bullet"/>
        <w:spacing w:after="160"/>
        <w:ind w:left="284" w:hanging="284"/>
        <w:jc w:val="left"/>
        <w:rPr>
          <w:rFonts w:cstheme="minorHAnsi"/>
        </w:rPr>
      </w:pPr>
      <w:r w:rsidRPr="00E80D04">
        <w:rPr>
          <w:rFonts w:cstheme="minorHAnsi"/>
        </w:rPr>
        <w:t>regulatory contributions</w:t>
      </w:r>
    </w:p>
    <w:p w14:paraId="76C1741D" w14:textId="77777777" w:rsidR="00D939C1" w:rsidRPr="00E80D04" w:rsidRDefault="00D939C1" w:rsidP="00E80D04">
      <w:pPr>
        <w:pStyle w:val="Bullet"/>
        <w:spacing w:after="160"/>
        <w:ind w:left="284" w:hanging="284"/>
        <w:jc w:val="left"/>
        <w:rPr>
          <w:rFonts w:cstheme="minorHAnsi"/>
        </w:rPr>
      </w:pPr>
      <w:r w:rsidRPr="00E80D04">
        <w:rPr>
          <w:rFonts w:cstheme="minorHAnsi"/>
        </w:rPr>
        <w:t>interest, and</w:t>
      </w:r>
    </w:p>
    <w:p w14:paraId="76C1741E" w14:textId="77777777" w:rsidR="00D939C1" w:rsidRPr="00E80D04" w:rsidRDefault="00D939C1" w:rsidP="00E80D04">
      <w:pPr>
        <w:pStyle w:val="Bullet"/>
        <w:spacing w:after="160"/>
        <w:ind w:left="284" w:hanging="284"/>
        <w:jc w:val="left"/>
        <w:rPr>
          <w:rFonts w:cstheme="minorHAnsi"/>
        </w:rPr>
      </w:pPr>
      <w:r w:rsidRPr="00E80D04">
        <w:rPr>
          <w:rFonts w:cstheme="minorHAnsi"/>
        </w:rPr>
        <w:t>sale of goods and rendering of services.</w:t>
      </w:r>
    </w:p>
    <w:p w14:paraId="76C1741F" w14:textId="77777777" w:rsidR="00D939C1" w:rsidRPr="006B0B53" w:rsidRDefault="00D939C1" w:rsidP="00D939C1">
      <w:pPr>
        <w:pStyle w:val="Heading5"/>
        <w:rPr>
          <w:rFonts w:cs="Arial"/>
          <w:snapToGrid w:val="0"/>
          <w:lang w:eastAsia="en-US"/>
        </w:rPr>
      </w:pPr>
      <w:r w:rsidRPr="006B0B53">
        <w:rPr>
          <w:rFonts w:cs="Arial"/>
          <w:snapToGrid w:val="0"/>
          <w:lang w:eastAsia="en-US"/>
        </w:rPr>
        <w:t>Workers’ compensation premiums</w:t>
      </w:r>
    </w:p>
    <w:p w14:paraId="76C17420" w14:textId="77777777" w:rsidR="00D939C1" w:rsidRPr="006B0B53" w:rsidRDefault="00D939C1" w:rsidP="00D939C1">
      <w:pPr>
        <w:rPr>
          <w:i/>
        </w:rPr>
      </w:pPr>
      <w:r w:rsidRPr="006B0B53">
        <w:t>The premium scheme covers employees of Commonwealth Government agencies covered by the SRC Act for injuries and illnesses sustained on or after 1 July 1989. Premiums are determined to fully fund the expected scheme liabilities as advised by independent actuaries</w:t>
      </w:r>
      <w:r w:rsidRPr="006B0B53">
        <w:rPr>
          <w:i/>
        </w:rPr>
        <w:t>.</w:t>
      </w:r>
    </w:p>
    <w:p w14:paraId="76C17421" w14:textId="77777777" w:rsidR="00D939C1" w:rsidRPr="006B0B53" w:rsidRDefault="00D939C1" w:rsidP="00D939C1">
      <w:r w:rsidRPr="006B0B53">
        <w:t xml:space="preserve">In </w:t>
      </w:r>
      <w:r w:rsidR="009A4174">
        <w:t>2018–19</w:t>
      </w:r>
      <w:r w:rsidR="00F95FC9">
        <w:t>,</w:t>
      </w:r>
      <w:r w:rsidRPr="006B0B53">
        <w:t xml:space="preserve"> the A</w:t>
      </w:r>
      <w:r w:rsidR="00F95FC9">
        <w:t>CT</w:t>
      </w:r>
      <w:r w:rsidRPr="006B0B53">
        <w:t xml:space="preserve"> Government exited the premium scheme and was granted a licence to become a self-insured </w:t>
      </w:r>
      <w:r w:rsidR="006663F6" w:rsidRPr="006B0B53">
        <w:t>licensee</w:t>
      </w:r>
      <w:r w:rsidRPr="006B0B53">
        <w:t xml:space="preserve"> under the SRC Act.</w:t>
      </w:r>
    </w:p>
    <w:p w14:paraId="76C17422" w14:textId="77777777" w:rsidR="00D939C1" w:rsidRPr="009831FB" w:rsidRDefault="00D939C1" w:rsidP="00D939C1">
      <w:r w:rsidRPr="009831FB">
        <w:t xml:space="preserve">Premiums do not cover liabilities for injuries or illness sustained prior to 1 July 1989. These liabilities are funded by Parliamentary appropriation and are referred to as </w:t>
      </w:r>
      <w:r w:rsidRPr="009831FB">
        <w:br/>
        <w:t>‘pre-premium’ liabilities.</w:t>
      </w:r>
    </w:p>
    <w:p w14:paraId="76C17423" w14:textId="77777777" w:rsidR="00D939C1" w:rsidRDefault="00D939C1" w:rsidP="00D939C1">
      <w:pPr>
        <w:pStyle w:val="Heading5"/>
        <w:rPr>
          <w:rFonts w:cs="Arial"/>
          <w:snapToGrid w:val="0"/>
          <w:lang w:eastAsia="en-US"/>
        </w:rPr>
      </w:pPr>
      <w:r w:rsidRPr="009831FB">
        <w:rPr>
          <w:rFonts w:cs="Arial"/>
          <w:snapToGrid w:val="0"/>
          <w:lang w:eastAsia="en-US"/>
        </w:rPr>
        <w:t>Grants received from portfolio</w:t>
      </w:r>
      <w:r>
        <w:rPr>
          <w:rFonts w:cs="Arial"/>
          <w:snapToGrid w:val="0"/>
          <w:lang w:eastAsia="en-US"/>
        </w:rPr>
        <w:t xml:space="preserve"> department</w:t>
      </w:r>
    </w:p>
    <w:p w14:paraId="76C17424" w14:textId="77777777" w:rsidR="00D939C1" w:rsidRDefault="00D939C1" w:rsidP="00D939C1">
      <w:r>
        <w:t>Grants received from the portfolio department represent cash appropriation for the payment of pre-premium claims and administration costs, and asbestos claims costs.</w:t>
      </w:r>
    </w:p>
    <w:p w14:paraId="35E1809E" w14:textId="77777777" w:rsidR="00C14720" w:rsidRPr="00C14720" w:rsidRDefault="00C14720" w:rsidP="00C14720"/>
    <w:p w14:paraId="76C17425" w14:textId="073C7858" w:rsidR="00D939C1" w:rsidRDefault="00D939C1" w:rsidP="00D939C1">
      <w:pPr>
        <w:pStyle w:val="Heading5"/>
        <w:rPr>
          <w:rFonts w:cs="Arial"/>
          <w:snapToGrid w:val="0"/>
          <w:lang w:eastAsia="en-US"/>
        </w:rPr>
      </w:pPr>
      <w:r>
        <w:rPr>
          <w:rFonts w:cs="Arial"/>
          <w:snapToGrid w:val="0"/>
          <w:lang w:eastAsia="en-US"/>
        </w:rPr>
        <w:lastRenderedPageBreak/>
        <w:t>Other non-tax revenue</w:t>
      </w:r>
    </w:p>
    <w:p w14:paraId="76C17426" w14:textId="77777777" w:rsidR="00D939C1" w:rsidRDefault="00D939C1" w:rsidP="00D939C1">
      <w:pPr>
        <w:spacing w:after="120"/>
      </w:pPr>
      <w:r>
        <w:t>‘Other non-tax revenue’ is a non-cash appropriation representing:</w:t>
      </w:r>
    </w:p>
    <w:p w14:paraId="76C17427" w14:textId="77777777" w:rsidR="00D939C1" w:rsidRPr="00E80D04" w:rsidRDefault="00D939C1" w:rsidP="00E80D04">
      <w:pPr>
        <w:pStyle w:val="Bullet"/>
        <w:spacing w:after="160"/>
        <w:ind w:left="284" w:hanging="284"/>
        <w:jc w:val="left"/>
        <w:rPr>
          <w:rFonts w:cstheme="minorHAnsi"/>
        </w:rPr>
      </w:pPr>
      <w:r w:rsidRPr="00E80D04">
        <w:rPr>
          <w:rFonts w:cstheme="minorHAnsi"/>
        </w:rPr>
        <w:t>the notional interest on retained premium funds held with the Australian Government, and</w:t>
      </w:r>
    </w:p>
    <w:p w14:paraId="76C17428" w14:textId="77777777" w:rsidR="00D939C1" w:rsidRPr="00E80D04" w:rsidRDefault="00D939C1" w:rsidP="00E80D04">
      <w:pPr>
        <w:pStyle w:val="Bullet"/>
        <w:spacing w:after="160"/>
        <w:ind w:left="284" w:hanging="284"/>
        <w:jc w:val="left"/>
        <w:rPr>
          <w:rFonts w:cstheme="minorHAnsi"/>
        </w:rPr>
      </w:pPr>
      <w:r w:rsidRPr="00E80D04">
        <w:rPr>
          <w:rFonts w:cstheme="minorHAnsi"/>
        </w:rPr>
        <w:t>the movement in claims liabilities payable in future years based on independent actuarial assessment.</w:t>
      </w:r>
    </w:p>
    <w:p w14:paraId="76C17429" w14:textId="77777777" w:rsidR="00D939C1" w:rsidRDefault="00D939C1" w:rsidP="00D939C1">
      <w:pPr>
        <w:pStyle w:val="Heading5"/>
        <w:rPr>
          <w:rFonts w:cs="Arial"/>
          <w:snapToGrid w:val="0"/>
          <w:lang w:eastAsia="en-US"/>
        </w:rPr>
      </w:pPr>
      <w:r>
        <w:rPr>
          <w:rFonts w:cs="Arial"/>
          <w:snapToGrid w:val="0"/>
          <w:lang w:eastAsia="en-US"/>
        </w:rPr>
        <w:t>Administration expenses</w:t>
      </w:r>
    </w:p>
    <w:p w14:paraId="76C1742A" w14:textId="77777777" w:rsidR="00D939C1" w:rsidRDefault="00D939C1" w:rsidP="00D939C1">
      <w:pPr>
        <w:spacing w:after="120"/>
      </w:pPr>
      <w:r>
        <w:t>Comcare administration expenses include:</w:t>
      </w:r>
    </w:p>
    <w:p w14:paraId="76C1742B" w14:textId="77777777" w:rsidR="00D939C1" w:rsidRPr="00E80D04" w:rsidRDefault="00D939C1" w:rsidP="00E80D04">
      <w:pPr>
        <w:pStyle w:val="Bullet"/>
        <w:spacing w:after="160"/>
        <w:ind w:left="284" w:hanging="284"/>
        <w:jc w:val="left"/>
        <w:rPr>
          <w:rFonts w:cstheme="minorHAnsi"/>
        </w:rPr>
      </w:pPr>
      <w:r w:rsidRPr="00E80D04">
        <w:rPr>
          <w:rFonts w:cstheme="minorHAnsi"/>
        </w:rPr>
        <w:t>employee expenses—includes salaries, superannuation and the net increase in employee entitlements</w:t>
      </w:r>
    </w:p>
    <w:p w14:paraId="76C1742C" w14:textId="77777777" w:rsidR="00D939C1" w:rsidRPr="00E80D04" w:rsidRDefault="00D939C1" w:rsidP="00E80D04">
      <w:pPr>
        <w:pStyle w:val="Bullet"/>
        <w:spacing w:after="160"/>
        <w:ind w:left="284" w:hanging="284"/>
        <w:jc w:val="left"/>
        <w:rPr>
          <w:rFonts w:cstheme="minorHAnsi"/>
        </w:rPr>
      </w:pPr>
      <w:r w:rsidRPr="00E80D04">
        <w:rPr>
          <w:rFonts w:cstheme="minorHAnsi"/>
        </w:rPr>
        <w:t>suppliers—includes goods and services procured from suppliers, and</w:t>
      </w:r>
    </w:p>
    <w:p w14:paraId="76C1742D" w14:textId="77777777" w:rsidR="00D939C1" w:rsidRPr="00E80D04" w:rsidRDefault="00D939C1" w:rsidP="00E80D04">
      <w:pPr>
        <w:pStyle w:val="Bullet"/>
        <w:spacing w:after="160"/>
        <w:ind w:left="284" w:hanging="284"/>
        <w:jc w:val="left"/>
        <w:rPr>
          <w:rFonts w:cstheme="minorHAnsi"/>
        </w:rPr>
      </w:pPr>
      <w:r w:rsidRPr="00E80D04">
        <w:rPr>
          <w:rFonts w:cstheme="minorHAnsi"/>
        </w:rPr>
        <w:t>depreciation and amortisation—property, plant and equipment and intangible assets are depreciated over their useful lives. Leasehold improvements are amortised over the lesser of the estimated useful life of the improvement or the unexpired period of the lease. In all cases, assets are depreciated using the straight line method.</w:t>
      </w:r>
    </w:p>
    <w:p w14:paraId="76C1742E" w14:textId="77777777" w:rsidR="00D939C1" w:rsidRDefault="00D939C1" w:rsidP="00D939C1">
      <w:pPr>
        <w:pStyle w:val="Heading5"/>
        <w:rPr>
          <w:snapToGrid w:val="0"/>
          <w:lang w:eastAsia="en-US"/>
        </w:rPr>
      </w:pPr>
      <w:r>
        <w:rPr>
          <w:rFonts w:cs="Arial"/>
          <w:bCs w:val="0"/>
        </w:rPr>
        <w:t>Claims expenses</w:t>
      </w:r>
    </w:p>
    <w:p w14:paraId="76C1742F" w14:textId="77777777" w:rsidR="00D939C1" w:rsidRDefault="00D939C1" w:rsidP="00D939C1">
      <w:pPr>
        <w:spacing w:after="120"/>
      </w:pPr>
      <w:r>
        <w:t>Comcare recognises two types of claims expenses:</w:t>
      </w:r>
    </w:p>
    <w:p w14:paraId="76C17430" w14:textId="77777777" w:rsidR="00D939C1" w:rsidRPr="00E56F48" w:rsidRDefault="00D939C1" w:rsidP="00DB03C6">
      <w:pPr>
        <w:pStyle w:val="Bullet"/>
        <w:numPr>
          <w:ilvl w:val="0"/>
          <w:numId w:val="25"/>
        </w:numPr>
        <w:spacing w:after="120"/>
        <w:ind w:left="284" w:hanging="284"/>
        <w:jc w:val="left"/>
      </w:pPr>
      <w:r w:rsidRPr="00E56F48">
        <w:t>Claims payments—includes workers’ compensation claims payments (premium and pre-premium) and common law settlements for asbestos-related compensation cases.</w:t>
      </w:r>
    </w:p>
    <w:p w14:paraId="76C17431" w14:textId="77777777" w:rsidR="00D939C1" w:rsidRPr="00E56F48" w:rsidRDefault="00D939C1" w:rsidP="00DB03C6">
      <w:pPr>
        <w:pStyle w:val="Bullet"/>
        <w:numPr>
          <w:ilvl w:val="0"/>
          <w:numId w:val="25"/>
        </w:numPr>
        <w:jc w:val="left"/>
      </w:pPr>
      <w:r>
        <w:t>Movement in liabilities—net movements in outstanding workers’ compensation claims liabilities are recognised as expenses.</w:t>
      </w:r>
    </w:p>
    <w:p w14:paraId="76C17432" w14:textId="77777777" w:rsidR="00D939C1" w:rsidRDefault="00D939C1" w:rsidP="00D939C1">
      <w:pPr>
        <w:pStyle w:val="Heading4"/>
        <w:rPr>
          <w:rFonts w:cs="Arial"/>
          <w:snapToGrid w:val="0"/>
          <w:lang w:eastAsia="en-US"/>
        </w:rPr>
      </w:pPr>
      <w:r>
        <w:rPr>
          <w:rFonts w:cs="Arial"/>
          <w:snapToGrid w:val="0"/>
          <w:lang w:eastAsia="en-US"/>
        </w:rPr>
        <w:t>Departmental Balance Sheet</w:t>
      </w:r>
    </w:p>
    <w:p w14:paraId="76C17433" w14:textId="77777777" w:rsidR="00D939C1" w:rsidRDefault="00D939C1" w:rsidP="00D939C1">
      <w:pPr>
        <w:pStyle w:val="Heading5"/>
        <w:rPr>
          <w:rFonts w:cs="Arial"/>
          <w:snapToGrid w:val="0"/>
          <w:lang w:eastAsia="en-US"/>
        </w:rPr>
      </w:pPr>
      <w:r>
        <w:rPr>
          <w:rFonts w:cs="Arial"/>
          <w:snapToGrid w:val="0"/>
          <w:lang w:eastAsia="en-US"/>
        </w:rPr>
        <w:t>Cash and cash equivalents</w:t>
      </w:r>
    </w:p>
    <w:p w14:paraId="76C17434" w14:textId="77777777" w:rsidR="00D939C1" w:rsidRDefault="00D939C1" w:rsidP="00D939C1">
      <w:r>
        <w:t>Cash and cash equivalents include deposits at call and term deposits with a bank or financial institution.</w:t>
      </w:r>
    </w:p>
    <w:p w14:paraId="76C17435" w14:textId="77777777" w:rsidR="00D939C1" w:rsidRDefault="00D939C1" w:rsidP="00D939C1">
      <w:pPr>
        <w:pStyle w:val="Heading5"/>
        <w:rPr>
          <w:rFonts w:cs="Arial"/>
          <w:snapToGrid w:val="0"/>
          <w:lang w:eastAsia="en-US"/>
        </w:rPr>
      </w:pPr>
      <w:r>
        <w:rPr>
          <w:rFonts w:cs="Arial"/>
          <w:snapToGrid w:val="0"/>
          <w:lang w:eastAsia="en-US"/>
        </w:rPr>
        <w:t>Trade and other receivables</w:t>
      </w:r>
    </w:p>
    <w:p w14:paraId="76C17436" w14:textId="77777777" w:rsidR="00D939C1" w:rsidRDefault="00D939C1" w:rsidP="00D939C1">
      <w:pPr>
        <w:spacing w:after="120"/>
      </w:pPr>
      <w:r>
        <w:t>Other receivables are the combined value of:</w:t>
      </w:r>
    </w:p>
    <w:p w14:paraId="76C17437" w14:textId="77777777" w:rsidR="00D939C1" w:rsidRPr="00E80D04" w:rsidRDefault="00D939C1" w:rsidP="00E80D04">
      <w:pPr>
        <w:pStyle w:val="Bullet"/>
        <w:spacing w:after="160"/>
        <w:ind w:left="284" w:hanging="284"/>
        <w:jc w:val="left"/>
        <w:rPr>
          <w:rFonts w:cstheme="minorHAnsi"/>
        </w:rPr>
      </w:pPr>
      <w:r w:rsidRPr="00E80D04">
        <w:rPr>
          <w:rFonts w:cstheme="minorHAnsi"/>
        </w:rPr>
        <w:t>pre-premium and asbestos special appropriation receivable, and</w:t>
      </w:r>
    </w:p>
    <w:p w14:paraId="76C17438" w14:textId="77777777" w:rsidR="00D939C1" w:rsidRPr="00E80D04" w:rsidRDefault="00D939C1" w:rsidP="00E80D04">
      <w:pPr>
        <w:pStyle w:val="Bullet"/>
        <w:spacing w:after="160"/>
        <w:ind w:left="284" w:hanging="284"/>
        <w:jc w:val="left"/>
        <w:rPr>
          <w:rFonts w:cstheme="minorHAnsi"/>
        </w:rPr>
      </w:pPr>
      <w:r w:rsidRPr="00E80D04">
        <w:rPr>
          <w:rFonts w:cstheme="minorHAnsi"/>
        </w:rPr>
        <w:t>premiums collected by Comcare prior to 1 July 2002 held by the Australian Government plus earned notional interest, in accordance with Section 90C of the SRC Act.</w:t>
      </w:r>
    </w:p>
    <w:p w14:paraId="76C17439" w14:textId="77777777" w:rsidR="00D939C1" w:rsidRDefault="00D939C1" w:rsidP="00D939C1">
      <w:pPr>
        <w:pStyle w:val="Heading5"/>
        <w:rPr>
          <w:rFonts w:cs="Arial"/>
          <w:snapToGrid w:val="0"/>
          <w:lang w:eastAsia="en-US"/>
        </w:rPr>
      </w:pPr>
      <w:r>
        <w:rPr>
          <w:rFonts w:cs="Arial"/>
          <w:snapToGrid w:val="0"/>
          <w:lang w:eastAsia="en-US"/>
        </w:rPr>
        <w:lastRenderedPageBreak/>
        <w:t>Employee provisions</w:t>
      </w:r>
    </w:p>
    <w:p w14:paraId="76C1743A" w14:textId="77777777" w:rsidR="00D939C1" w:rsidRDefault="00D939C1" w:rsidP="00D939C1">
      <w:r>
        <w:t xml:space="preserve">The provision for employee entitlements encompasses unpaid annual and long service leave. No provision is made for sick leave. </w:t>
      </w:r>
    </w:p>
    <w:p w14:paraId="76C1743B" w14:textId="77777777" w:rsidR="00D939C1" w:rsidRDefault="00D939C1" w:rsidP="00D939C1">
      <w:pPr>
        <w:pStyle w:val="Heading5"/>
        <w:rPr>
          <w:rFonts w:cs="Arial"/>
          <w:snapToGrid w:val="0"/>
          <w:lang w:eastAsia="en-US"/>
        </w:rPr>
      </w:pPr>
      <w:r>
        <w:rPr>
          <w:rFonts w:cs="Arial"/>
          <w:snapToGrid w:val="0"/>
          <w:lang w:eastAsia="en-US"/>
        </w:rPr>
        <w:t>Other provisions</w:t>
      </w:r>
    </w:p>
    <w:p w14:paraId="76C1743C" w14:textId="77777777" w:rsidR="00D939C1" w:rsidRDefault="00D939C1" w:rsidP="00D939C1">
      <w:pPr>
        <w:spacing w:after="120"/>
      </w:pPr>
      <w:r>
        <w:t>Provision is made for:</w:t>
      </w:r>
    </w:p>
    <w:p w14:paraId="76C1743D" w14:textId="77777777" w:rsidR="00D939C1" w:rsidRPr="00E80D04" w:rsidRDefault="00D939C1" w:rsidP="00E80D04">
      <w:pPr>
        <w:pStyle w:val="Bullet"/>
        <w:spacing w:after="160"/>
        <w:ind w:left="284" w:hanging="284"/>
        <w:jc w:val="left"/>
        <w:rPr>
          <w:rFonts w:cstheme="minorHAnsi"/>
        </w:rPr>
      </w:pPr>
      <w:r w:rsidRPr="00E80D04">
        <w:rPr>
          <w:rFonts w:cstheme="minorHAnsi"/>
        </w:rPr>
        <w:t>outstanding workers’ compensation claims liabilities, and</w:t>
      </w:r>
    </w:p>
    <w:p w14:paraId="76C1743E" w14:textId="77777777" w:rsidR="00D939C1" w:rsidRPr="00E80D04" w:rsidRDefault="00D939C1" w:rsidP="00E80D04">
      <w:pPr>
        <w:pStyle w:val="Bullet"/>
        <w:spacing w:after="160"/>
        <w:ind w:left="284" w:hanging="284"/>
        <w:jc w:val="left"/>
        <w:rPr>
          <w:rFonts w:cstheme="minorHAnsi"/>
        </w:rPr>
      </w:pPr>
      <w:r w:rsidRPr="00E80D04">
        <w:rPr>
          <w:rFonts w:cstheme="minorHAnsi"/>
        </w:rPr>
        <w:t>asbestos-related common law liabilities.</w:t>
      </w:r>
    </w:p>
    <w:p w14:paraId="76C1743F" w14:textId="77777777" w:rsidR="00D939C1" w:rsidRDefault="00D939C1" w:rsidP="00D939C1">
      <w:r>
        <w:t xml:space="preserve">These estimates have been prepared by independent actuaries. They are based on analysis of the historical development of the relevant claims experience, with allowances for future claim escalation and administration expenses, and are discounted to a present value to allow for the time value of money. </w:t>
      </w:r>
    </w:p>
    <w:p w14:paraId="76C17440" w14:textId="77777777" w:rsidR="0058710C" w:rsidRDefault="00D939C1" w:rsidP="00D939C1">
      <w:r>
        <w:t>The estimates of outstanding liabilities have been based on independent actuarial valuations on the basis of the central estimate plus the risk margin that would achieve a 75 per cent probability of sufficiency.</w:t>
      </w:r>
    </w:p>
    <w:p w14:paraId="76C17441" w14:textId="77777777" w:rsidR="0058710C" w:rsidRDefault="0058710C" w:rsidP="00D939C1">
      <w:pPr>
        <w:sectPr w:rsidR="0058710C" w:rsidSect="0058710C">
          <w:footerReference w:type="first" r:id="rId24"/>
          <w:type w:val="oddPage"/>
          <w:pgSz w:w="11906" w:h="16838" w:code="9"/>
          <w:pgMar w:top="2466" w:right="2098" w:bottom="2466" w:left="2098" w:header="1899" w:footer="1899" w:gutter="0"/>
          <w:cols w:space="708"/>
          <w:titlePg/>
          <w:docGrid w:linePitch="360"/>
        </w:sectPr>
      </w:pPr>
    </w:p>
    <w:p w14:paraId="76C18803" w14:textId="77777777" w:rsidR="0061075E" w:rsidRPr="00C17B32" w:rsidRDefault="0061075E" w:rsidP="006C5A6D">
      <w:pPr>
        <w:pStyle w:val="TableGraphic"/>
      </w:pPr>
    </w:p>
    <w:p w14:paraId="76C18804" w14:textId="77777777" w:rsidR="00DF0134" w:rsidRDefault="00DF0134" w:rsidP="00DF0134">
      <w:pPr>
        <w:pStyle w:val="Heading1"/>
      </w:pPr>
      <w:bookmarkStart w:id="12" w:name="_Toc3373947"/>
      <w:r w:rsidRPr="00834F9A">
        <w:t>Portfolio glossary</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5661"/>
      </w:tblGrid>
      <w:tr w:rsidR="006C5A6D" w14:paraId="76C18807"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Additional Estimates </w:t>
            </w:r>
          </w:p>
        </w:tc>
        <w:tc>
          <w:tcPr>
            <w:tcW w:w="5850" w:type="dxa"/>
            <w:tcBorders>
              <w:top w:val="single" w:sz="4" w:space="0" w:color="auto"/>
              <w:left w:val="single" w:sz="4" w:space="0" w:color="auto"/>
              <w:bottom w:val="single" w:sz="4" w:space="0" w:color="auto"/>
              <w:right w:val="single" w:sz="4" w:space="0" w:color="auto"/>
            </w:tcBorders>
            <w:hideMark/>
          </w:tcPr>
          <w:p w14:paraId="76C1880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Where amounts appropriated at Budget time are insufficient, Parliament may appropriate more funds to portfolios through the Additional Estimates Acts. </w:t>
            </w:r>
          </w:p>
        </w:tc>
      </w:tr>
      <w:tr w:rsidR="006C5A6D" w14:paraId="76C1880A"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Additional Estimates Bills or Acts</w:t>
            </w:r>
          </w:p>
        </w:tc>
        <w:tc>
          <w:tcPr>
            <w:tcW w:w="5850" w:type="dxa"/>
            <w:tcBorders>
              <w:top w:val="single" w:sz="4" w:space="0" w:color="auto"/>
              <w:left w:val="single" w:sz="4" w:space="0" w:color="auto"/>
              <w:bottom w:val="single" w:sz="4" w:space="0" w:color="auto"/>
              <w:right w:val="single" w:sz="4" w:space="0" w:color="auto"/>
            </w:tcBorders>
            <w:hideMark/>
          </w:tcPr>
          <w:p w14:paraId="76C1880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These are Appropriation Bills 3 and 4, and a separate Bill for the Parliamentary Departments [Appropriations (Parliamentary Departments) Bill (No. 2)]. These Bills are introduced into Parliament sometime after the Budget Bills.</w:t>
            </w:r>
          </w:p>
        </w:tc>
      </w:tr>
      <w:tr w:rsidR="006C5A6D" w14:paraId="76C1880D"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Administered Items</w:t>
            </w:r>
          </w:p>
        </w:tc>
        <w:tc>
          <w:tcPr>
            <w:tcW w:w="5850" w:type="dxa"/>
            <w:tcBorders>
              <w:top w:val="single" w:sz="4" w:space="0" w:color="auto"/>
              <w:left w:val="single" w:sz="4" w:space="0" w:color="auto"/>
              <w:bottom w:val="single" w:sz="4" w:space="0" w:color="auto"/>
              <w:right w:val="single" w:sz="4" w:space="0" w:color="auto"/>
            </w:tcBorders>
            <w:hideMark/>
          </w:tcPr>
          <w:p w14:paraId="76C1880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6C5A6D" w14:paraId="76C18810"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Appropriation</w:t>
            </w:r>
          </w:p>
        </w:tc>
        <w:tc>
          <w:tcPr>
            <w:tcW w:w="5850" w:type="dxa"/>
            <w:tcBorders>
              <w:top w:val="single" w:sz="4" w:space="0" w:color="auto"/>
              <w:left w:val="single" w:sz="4" w:space="0" w:color="auto"/>
              <w:bottom w:val="single" w:sz="4" w:space="0" w:color="auto"/>
              <w:right w:val="single" w:sz="4" w:space="0" w:color="auto"/>
            </w:tcBorders>
            <w:hideMark/>
          </w:tcPr>
          <w:p w14:paraId="76C1880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 authorisation by Parliament to spend monies from the Consolidated Revenue Fund for a particular purpose.</w:t>
            </w:r>
          </w:p>
        </w:tc>
      </w:tr>
      <w:tr w:rsidR="006C5A6D" w14:paraId="76C18813"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Annual Appropriation</w:t>
            </w:r>
          </w:p>
        </w:tc>
        <w:tc>
          <w:tcPr>
            <w:tcW w:w="5850" w:type="dxa"/>
            <w:tcBorders>
              <w:top w:val="single" w:sz="4" w:space="0" w:color="auto"/>
              <w:left w:val="single" w:sz="4" w:space="0" w:color="auto"/>
              <w:bottom w:val="single" w:sz="4" w:space="0" w:color="auto"/>
              <w:right w:val="single" w:sz="4" w:space="0" w:color="auto"/>
            </w:tcBorders>
            <w:hideMark/>
          </w:tcPr>
          <w:p w14:paraId="76C1881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6C5A6D" w14:paraId="76C18816"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Assets</w:t>
            </w:r>
          </w:p>
        </w:tc>
        <w:tc>
          <w:tcPr>
            <w:tcW w:w="5850" w:type="dxa"/>
            <w:tcBorders>
              <w:top w:val="single" w:sz="4" w:space="0" w:color="auto"/>
              <w:left w:val="single" w:sz="4" w:space="0" w:color="auto"/>
              <w:bottom w:val="single" w:sz="4" w:space="0" w:color="auto"/>
              <w:right w:val="single" w:sz="4" w:space="0" w:color="auto"/>
            </w:tcBorders>
            <w:hideMark/>
          </w:tcPr>
          <w:p w14:paraId="76C1881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Assets are physical objects and legal rights expected to provide benefits in the future, or alternatively items of value owned by an Agency. </w:t>
            </w:r>
          </w:p>
        </w:tc>
      </w:tr>
      <w:tr w:rsidR="006C5A6D" w14:paraId="76C18819"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Capital expenditure</w:t>
            </w:r>
          </w:p>
        </w:tc>
        <w:tc>
          <w:tcPr>
            <w:tcW w:w="5850" w:type="dxa"/>
            <w:tcBorders>
              <w:top w:val="single" w:sz="4" w:space="0" w:color="auto"/>
              <w:left w:val="single" w:sz="4" w:space="0" w:color="auto"/>
              <w:bottom w:val="single" w:sz="4" w:space="0" w:color="auto"/>
              <w:right w:val="single" w:sz="4" w:space="0" w:color="auto"/>
            </w:tcBorders>
            <w:hideMark/>
          </w:tcPr>
          <w:p w14:paraId="76C1881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Expenditure by an agency on capital projects, for example purchasing a building.</w:t>
            </w:r>
          </w:p>
        </w:tc>
      </w:tr>
      <w:tr w:rsidR="006C5A6D" w14:paraId="76C1881C"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Consolidated Revenue Fund</w:t>
            </w:r>
          </w:p>
        </w:tc>
        <w:tc>
          <w:tcPr>
            <w:tcW w:w="5850" w:type="dxa"/>
            <w:tcBorders>
              <w:top w:val="single" w:sz="4" w:space="0" w:color="auto"/>
              <w:left w:val="single" w:sz="4" w:space="0" w:color="auto"/>
              <w:bottom w:val="single" w:sz="4" w:space="0" w:color="auto"/>
              <w:right w:val="single" w:sz="4" w:space="0" w:color="auto"/>
            </w:tcBorders>
            <w:hideMark/>
          </w:tcPr>
          <w:p w14:paraId="76C1881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6C5A6D" w14:paraId="76C1881F"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D"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Departmental items</w:t>
            </w:r>
          </w:p>
        </w:tc>
        <w:tc>
          <w:tcPr>
            <w:tcW w:w="5850" w:type="dxa"/>
            <w:tcBorders>
              <w:top w:val="single" w:sz="4" w:space="0" w:color="auto"/>
              <w:left w:val="single" w:sz="4" w:space="0" w:color="auto"/>
              <w:bottom w:val="single" w:sz="4" w:space="0" w:color="auto"/>
              <w:right w:val="single" w:sz="4" w:space="0" w:color="auto"/>
            </w:tcBorders>
            <w:hideMark/>
          </w:tcPr>
          <w:p w14:paraId="76C1881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6C5A6D" w14:paraId="76C18822"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0"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Depreciation</w:t>
            </w:r>
          </w:p>
        </w:tc>
        <w:tc>
          <w:tcPr>
            <w:tcW w:w="5850" w:type="dxa"/>
            <w:tcBorders>
              <w:top w:val="single" w:sz="4" w:space="0" w:color="auto"/>
              <w:left w:val="single" w:sz="4" w:space="0" w:color="auto"/>
              <w:bottom w:val="single" w:sz="4" w:space="0" w:color="auto"/>
              <w:right w:val="single" w:sz="4" w:space="0" w:color="auto"/>
            </w:tcBorders>
            <w:hideMark/>
          </w:tcPr>
          <w:p w14:paraId="76C1882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Apportionment of an asset’s capital value as an expense over its estimated useful life to take account of normal usage, obsolescence, or the passage of time.</w:t>
            </w:r>
          </w:p>
        </w:tc>
      </w:tr>
      <w:tr w:rsidR="006C5A6D" w14:paraId="76C18825"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3"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Equity or net assets</w:t>
            </w:r>
          </w:p>
        </w:tc>
        <w:tc>
          <w:tcPr>
            <w:tcW w:w="5850" w:type="dxa"/>
            <w:tcBorders>
              <w:top w:val="single" w:sz="4" w:space="0" w:color="auto"/>
              <w:left w:val="single" w:sz="4" w:space="0" w:color="auto"/>
              <w:bottom w:val="single" w:sz="4" w:space="0" w:color="auto"/>
              <w:right w:val="single" w:sz="4" w:space="0" w:color="auto"/>
            </w:tcBorders>
            <w:hideMark/>
          </w:tcPr>
          <w:p w14:paraId="76C1882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Residual interest in the assets of an entity after deduction of its liabilities.</w:t>
            </w:r>
          </w:p>
        </w:tc>
      </w:tr>
      <w:tr w:rsidR="006C5A6D" w14:paraId="76C18828"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Expenses</w:t>
            </w:r>
          </w:p>
        </w:tc>
        <w:tc>
          <w:tcPr>
            <w:tcW w:w="5850" w:type="dxa"/>
            <w:tcBorders>
              <w:top w:val="single" w:sz="4" w:space="0" w:color="auto"/>
              <w:left w:val="single" w:sz="4" w:space="0" w:color="auto"/>
              <w:bottom w:val="single" w:sz="4" w:space="0" w:color="auto"/>
              <w:right w:val="single" w:sz="4" w:space="0" w:color="auto"/>
            </w:tcBorders>
            <w:hideMark/>
          </w:tcPr>
          <w:p w14:paraId="76C1882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Total value of all of the resources consumed in producing goods and services or the loss of future economic benefits in the form of reductions in assets or increases in liabilities of a</w:t>
            </w:r>
            <w:bookmarkStart w:id="13" w:name="_GoBack"/>
            <w:bookmarkEnd w:id="13"/>
            <w:r w:rsidRPr="006C5A6D">
              <w:rPr>
                <w:sz w:val="17"/>
                <w:szCs w:val="17"/>
                <w:lang w:eastAsia="en-US"/>
              </w:rPr>
              <w:t>n entity.</w:t>
            </w:r>
          </w:p>
        </w:tc>
      </w:tr>
      <w:tr w:rsidR="006C5A6D" w14:paraId="76C1882B" w14:textId="77777777" w:rsidTr="00665B04">
        <w:trPr>
          <w:trHeight w:val="1057"/>
        </w:trPr>
        <w:tc>
          <w:tcPr>
            <w:tcW w:w="2069" w:type="dxa"/>
            <w:tcBorders>
              <w:top w:val="single" w:sz="4" w:space="0" w:color="auto"/>
              <w:left w:val="single" w:sz="4" w:space="0" w:color="auto"/>
              <w:bottom w:val="single" w:sz="4" w:space="0" w:color="auto"/>
              <w:right w:val="single" w:sz="4" w:space="0" w:color="auto"/>
            </w:tcBorders>
            <w:hideMark/>
          </w:tcPr>
          <w:p w14:paraId="76C1882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lastRenderedPageBreak/>
              <w:t>Forward estimates</w:t>
            </w:r>
          </w:p>
        </w:tc>
        <w:tc>
          <w:tcPr>
            <w:tcW w:w="5850" w:type="dxa"/>
            <w:tcBorders>
              <w:top w:val="single" w:sz="4" w:space="0" w:color="auto"/>
              <w:left w:val="single" w:sz="4" w:space="0" w:color="auto"/>
              <w:bottom w:val="single" w:sz="4" w:space="0" w:color="auto"/>
              <w:right w:val="single" w:sz="4" w:space="0" w:color="auto"/>
            </w:tcBorders>
            <w:hideMark/>
          </w:tcPr>
          <w:p w14:paraId="76C1882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 system of rolling three year financial estimates. After the budget is passed, the first year of the forward estimates becomes the base for the next year’s budget bid, and another out-year is added to the forward estimates. </w:t>
            </w:r>
          </w:p>
        </w:tc>
      </w:tr>
      <w:tr w:rsidR="006C5A6D" w14:paraId="76C1882E" w14:textId="77777777" w:rsidTr="00665B04">
        <w:trPr>
          <w:trHeight w:val="827"/>
        </w:trPr>
        <w:tc>
          <w:tcPr>
            <w:tcW w:w="2069" w:type="dxa"/>
            <w:tcBorders>
              <w:top w:val="single" w:sz="4" w:space="0" w:color="auto"/>
              <w:left w:val="single" w:sz="4" w:space="0" w:color="auto"/>
              <w:bottom w:val="single" w:sz="4" w:space="0" w:color="auto"/>
              <w:right w:val="single" w:sz="4" w:space="0" w:color="auto"/>
            </w:tcBorders>
            <w:hideMark/>
          </w:tcPr>
          <w:p w14:paraId="76C1882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Liabilities</w:t>
            </w:r>
          </w:p>
        </w:tc>
        <w:tc>
          <w:tcPr>
            <w:tcW w:w="5850" w:type="dxa"/>
            <w:tcBorders>
              <w:top w:val="single" w:sz="4" w:space="0" w:color="auto"/>
              <w:left w:val="single" w:sz="4" w:space="0" w:color="auto"/>
              <w:bottom w:val="single" w:sz="4" w:space="0" w:color="auto"/>
              <w:right w:val="single" w:sz="4" w:space="0" w:color="auto"/>
            </w:tcBorders>
            <w:hideMark/>
          </w:tcPr>
          <w:p w14:paraId="76C1882D"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Liabilities represent amounts owing on goods or services that have been received but not yet paid for. A liability shows the future commitment of the Agency’s assets.</w:t>
            </w:r>
          </w:p>
        </w:tc>
      </w:tr>
      <w:tr w:rsidR="006C5A6D" w14:paraId="76C18831" w14:textId="77777777" w:rsidTr="00665B04">
        <w:trPr>
          <w:trHeight w:val="352"/>
        </w:trPr>
        <w:tc>
          <w:tcPr>
            <w:tcW w:w="2069" w:type="dxa"/>
            <w:tcBorders>
              <w:top w:val="single" w:sz="4" w:space="0" w:color="auto"/>
              <w:left w:val="single" w:sz="4" w:space="0" w:color="auto"/>
              <w:bottom w:val="single" w:sz="4" w:space="0" w:color="auto"/>
              <w:right w:val="single" w:sz="4" w:space="0" w:color="auto"/>
            </w:tcBorders>
            <w:hideMark/>
          </w:tcPr>
          <w:p w14:paraId="76C1882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Measure</w:t>
            </w:r>
          </w:p>
        </w:tc>
        <w:tc>
          <w:tcPr>
            <w:tcW w:w="5850" w:type="dxa"/>
            <w:tcBorders>
              <w:top w:val="single" w:sz="4" w:space="0" w:color="auto"/>
              <w:left w:val="single" w:sz="4" w:space="0" w:color="auto"/>
              <w:bottom w:val="single" w:sz="4" w:space="0" w:color="auto"/>
              <w:right w:val="single" w:sz="4" w:space="0" w:color="auto"/>
            </w:tcBorders>
            <w:hideMark/>
          </w:tcPr>
          <w:p w14:paraId="76C18830"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 new Government policy or savings decision with financial impacts. </w:t>
            </w:r>
          </w:p>
        </w:tc>
      </w:tr>
      <w:tr w:rsidR="006C5A6D" w14:paraId="76C18834" w14:textId="77777777" w:rsidTr="00665B04">
        <w:trPr>
          <w:trHeight w:val="995"/>
        </w:trPr>
        <w:tc>
          <w:tcPr>
            <w:tcW w:w="2069" w:type="dxa"/>
            <w:tcBorders>
              <w:top w:val="single" w:sz="4" w:space="0" w:color="auto"/>
              <w:left w:val="single" w:sz="4" w:space="0" w:color="auto"/>
              <w:bottom w:val="single" w:sz="4" w:space="0" w:color="auto"/>
              <w:right w:val="single" w:sz="4" w:space="0" w:color="auto"/>
            </w:tcBorders>
            <w:hideMark/>
          </w:tcPr>
          <w:p w14:paraId="76C1883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Net annotated appropriation (Section 74 Receipts)</w:t>
            </w:r>
          </w:p>
        </w:tc>
        <w:tc>
          <w:tcPr>
            <w:tcW w:w="5850" w:type="dxa"/>
            <w:tcBorders>
              <w:top w:val="single" w:sz="4" w:space="0" w:color="auto"/>
              <w:left w:val="single" w:sz="4" w:space="0" w:color="auto"/>
              <w:bottom w:val="single" w:sz="4" w:space="0" w:color="auto"/>
              <w:right w:val="single" w:sz="4" w:space="0" w:color="auto"/>
            </w:tcBorders>
            <w:hideMark/>
          </w:tcPr>
          <w:p w14:paraId="76C18833"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6C5A6D" w14:paraId="76C18837" w14:textId="77777777" w:rsidTr="00665B04">
        <w:trPr>
          <w:trHeight w:val="352"/>
        </w:trPr>
        <w:tc>
          <w:tcPr>
            <w:tcW w:w="2069" w:type="dxa"/>
            <w:tcBorders>
              <w:top w:val="single" w:sz="4" w:space="0" w:color="auto"/>
              <w:left w:val="single" w:sz="4" w:space="0" w:color="auto"/>
              <w:bottom w:val="single" w:sz="4" w:space="0" w:color="auto"/>
              <w:right w:val="single" w:sz="4" w:space="0" w:color="auto"/>
            </w:tcBorders>
            <w:hideMark/>
          </w:tcPr>
          <w:p w14:paraId="76C1883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Operating result</w:t>
            </w:r>
          </w:p>
        </w:tc>
        <w:tc>
          <w:tcPr>
            <w:tcW w:w="5850" w:type="dxa"/>
            <w:tcBorders>
              <w:top w:val="single" w:sz="4" w:space="0" w:color="auto"/>
              <w:left w:val="single" w:sz="4" w:space="0" w:color="auto"/>
              <w:bottom w:val="single" w:sz="4" w:space="0" w:color="auto"/>
              <w:right w:val="single" w:sz="4" w:space="0" w:color="auto"/>
            </w:tcBorders>
            <w:hideMark/>
          </w:tcPr>
          <w:p w14:paraId="76C1883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Equals revenue less expenses. </w:t>
            </w:r>
          </w:p>
        </w:tc>
      </w:tr>
      <w:tr w:rsidR="006C5A6D" w14:paraId="76C1883A" w14:textId="77777777" w:rsidTr="00665B04">
        <w:trPr>
          <w:cantSplit/>
          <w:trHeight w:val="1014"/>
        </w:trPr>
        <w:tc>
          <w:tcPr>
            <w:tcW w:w="2069" w:type="dxa"/>
            <w:tcBorders>
              <w:top w:val="single" w:sz="4" w:space="0" w:color="auto"/>
              <w:left w:val="single" w:sz="4" w:space="0" w:color="auto"/>
              <w:bottom w:val="single" w:sz="4" w:space="0" w:color="auto"/>
              <w:right w:val="single" w:sz="4" w:space="0" w:color="auto"/>
            </w:tcBorders>
            <w:hideMark/>
          </w:tcPr>
          <w:p w14:paraId="76C1883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Outcomes</w:t>
            </w:r>
          </w:p>
        </w:tc>
        <w:tc>
          <w:tcPr>
            <w:tcW w:w="5850" w:type="dxa"/>
            <w:tcBorders>
              <w:top w:val="single" w:sz="4" w:space="0" w:color="auto"/>
              <w:left w:val="single" w:sz="4" w:space="0" w:color="auto"/>
              <w:bottom w:val="single" w:sz="4" w:space="0" w:color="auto"/>
              <w:right w:val="single" w:sz="4" w:space="0" w:color="auto"/>
            </w:tcBorders>
            <w:hideMark/>
          </w:tcPr>
          <w:p w14:paraId="76C1883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 government's objectives in each portfolio area. Outcomes are desired results, impacts or consequences for the Australian community as influenced by the actions of the Australian Government. Actual outcomes are assessments of the end-results or impacts actually achieved.</w:t>
            </w:r>
          </w:p>
        </w:tc>
      </w:tr>
      <w:tr w:rsidR="006C5A6D" w14:paraId="76C1883D" w14:textId="77777777" w:rsidTr="00665B04">
        <w:trPr>
          <w:trHeight w:val="583"/>
        </w:trPr>
        <w:tc>
          <w:tcPr>
            <w:tcW w:w="2069" w:type="dxa"/>
            <w:tcBorders>
              <w:top w:val="single" w:sz="4" w:space="0" w:color="auto"/>
              <w:left w:val="single" w:sz="4" w:space="0" w:color="auto"/>
              <w:bottom w:val="single" w:sz="4" w:space="0" w:color="auto"/>
              <w:right w:val="single" w:sz="4" w:space="0" w:color="auto"/>
            </w:tcBorders>
            <w:hideMark/>
          </w:tcPr>
          <w:p w14:paraId="76C1883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Performance measure</w:t>
            </w:r>
          </w:p>
        </w:tc>
        <w:tc>
          <w:tcPr>
            <w:tcW w:w="5850" w:type="dxa"/>
            <w:tcBorders>
              <w:top w:val="single" w:sz="4" w:space="0" w:color="auto"/>
              <w:left w:val="single" w:sz="4" w:space="0" w:color="auto"/>
              <w:bottom w:val="single" w:sz="4" w:space="0" w:color="auto"/>
              <w:right w:val="single" w:sz="4" w:space="0" w:color="auto"/>
            </w:tcBorders>
            <w:hideMark/>
          </w:tcPr>
          <w:p w14:paraId="76C1883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Measures the joint or independent contribution of outputs and administered items to the achievement of their specified outcome.</w:t>
            </w:r>
          </w:p>
        </w:tc>
      </w:tr>
      <w:tr w:rsidR="006C5A6D" w14:paraId="76C18840" w14:textId="77777777" w:rsidTr="00665B04">
        <w:trPr>
          <w:trHeight w:val="952"/>
        </w:trPr>
        <w:tc>
          <w:tcPr>
            <w:tcW w:w="2069" w:type="dxa"/>
            <w:tcBorders>
              <w:top w:val="single" w:sz="4" w:space="0" w:color="auto"/>
              <w:left w:val="single" w:sz="4" w:space="0" w:color="auto"/>
              <w:bottom w:val="single" w:sz="4" w:space="0" w:color="auto"/>
              <w:right w:val="single" w:sz="4" w:space="0" w:color="auto"/>
            </w:tcBorders>
            <w:hideMark/>
          </w:tcPr>
          <w:p w14:paraId="76C1883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Portfolio</w:t>
            </w:r>
          </w:p>
        </w:tc>
        <w:tc>
          <w:tcPr>
            <w:tcW w:w="5850" w:type="dxa"/>
            <w:tcBorders>
              <w:top w:val="single" w:sz="4" w:space="0" w:color="auto"/>
              <w:left w:val="single" w:sz="4" w:space="0" w:color="auto"/>
              <w:bottom w:val="single" w:sz="4" w:space="0" w:color="auto"/>
              <w:right w:val="single" w:sz="4" w:space="0" w:color="auto"/>
            </w:tcBorders>
            <w:hideMark/>
          </w:tcPr>
          <w:p w14:paraId="76C1883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 Minister’s area of responsibility as a member of Cabinet. A portfolio consists of one or more Departments of State (ie the portfolio departments) and a number of entities with similar general objectives and outcomes.</w:t>
            </w:r>
          </w:p>
        </w:tc>
      </w:tr>
      <w:tr w:rsidR="006C5A6D" w14:paraId="76C18843" w14:textId="77777777" w:rsidTr="00665B04">
        <w:trPr>
          <w:trHeight w:val="768"/>
        </w:trPr>
        <w:tc>
          <w:tcPr>
            <w:tcW w:w="2069" w:type="dxa"/>
            <w:tcBorders>
              <w:top w:val="single" w:sz="4" w:space="0" w:color="auto"/>
              <w:left w:val="single" w:sz="4" w:space="0" w:color="auto"/>
              <w:bottom w:val="single" w:sz="4" w:space="0" w:color="auto"/>
              <w:right w:val="single" w:sz="4" w:space="0" w:color="auto"/>
            </w:tcBorders>
            <w:hideMark/>
          </w:tcPr>
          <w:p w14:paraId="76C1884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Program</w:t>
            </w:r>
          </w:p>
        </w:tc>
        <w:tc>
          <w:tcPr>
            <w:tcW w:w="5850" w:type="dxa"/>
            <w:tcBorders>
              <w:top w:val="single" w:sz="4" w:space="0" w:color="auto"/>
              <w:left w:val="single" w:sz="4" w:space="0" w:color="auto"/>
              <w:bottom w:val="single" w:sz="4" w:space="0" w:color="auto"/>
              <w:right w:val="single" w:sz="4" w:space="0" w:color="auto"/>
            </w:tcBorders>
            <w:hideMark/>
          </w:tcPr>
          <w:p w14:paraId="76C1884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Entities deliver programs, which are government actions taken to deliver the stated outcomes. Entities are required to identify the programs which contribute to government outcomes over the Budget and forward years.</w:t>
            </w:r>
          </w:p>
        </w:tc>
      </w:tr>
      <w:tr w:rsidR="006C5A6D" w14:paraId="76C18846" w14:textId="77777777" w:rsidTr="00665B04">
        <w:trPr>
          <w:trHeight w:val="1301"/>
        </w:trPr>
        <w:tc>
          <w:tcPr>
            <w:tcW w:w="2069" w:type="dxa"/>
            <w:tcBorders>
              <w:top w:val="single" w:sz="4" w:space="0" w:color="auto"/>
              <w:left w:val="single" w:sz="4" w:space="0" w:color="auto"/>
              <w:bottom w:val="single" w:sz="4" w:space="0" w:color="auto"/>
              <w:right w:val="single" w:sz="4" w:space="0" w:color="auto"/>
            </w:tcBorders>
            <w:hideMark/>
          </w:tcPr>
          <w:p w14:paraId="76C1884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Receipts</w:t>
            </w:r>
          </w:p>
        </w:tc>
        <w:tc>
          <w:tcPr>
            <w:tcW w:w="5850" w:type="dxa"/>
            <w:tcBorders>
              <w:top w:val="single" w:sz="4" w:space="0" w:color="auto"/>
              <w:left w:val="single" w:sz="4" w:space="0" w:color="auto"/>
              <w:bottom w:val="single" w:sz="4" w:space="0" w:color="auto"/>
              <w:right w:val="single" w:sz="4" w:space="0" w:color="auto"/>
            </w:tcBorders>
            <w:hideMark/>
          </w:tcPr>
          <w:p w14:paraId="76C1884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6C5A6D" w14:paraId="76C18849" w14:textId="77777777" w:rsidTr="00665B04">
        <w:trPr>
          <w:trHeight w:val="597"/>
        </w:trPr>
        <w:tc>
          <w:tcPr>
            <w:tcW w:w="2069" w:type="dxa"/>
            <w:tcBorders>
              <w:top w:val="single" w:sz="4" w:space="0" w:color="auto"/>
              <w:left w:val="single" w:sz="4" w:space="0" w:color="auto"/>
              <w:bottom w:val="single" w:sz="4" w:space="0" w:color="auto"/>
              <w:right w:val="single" w:sz="4" w:space="0" w:color="auto"/>
            </w:tcBorders>
            <w:hideMark/>
          </w:tcPr>
          <w:p w14:paraId="76C1884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Revenue</w:t>
            </w:r>
          </w:p>
        </w:tc>
        <w:tc>
          <w:tcPr>
            <w:tcW w:w="5850" w:type="dxa"/>
            <w:tcBorders>
              <w:top w:val="single" w:sz="4" w:space="0" w:color="auto"/>
              <w:left w:val="single" w:sz="4" w:space="0" w:color="auto"/>
              <w:bottom w:val="single" w:sz="4" w:space="0" w:color="auto"/>
              <w:right w:val="single" w:sz="4" w:space="0" w:color="auto"/>
            </w:tcBorders>
            <w:hideMark/>
          </w:tcPr>
          <w:p w14:paraId="76C1884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Total value of resources earned or received to cover the production of goods and services.</w:t>
            </w:r>
          </w:p>
        </w:tc>
      </w:tr>
      <w:tr w:rsidR="006C5A6D" w14:paraId="76C1884C" w14:textId="77777777" w:rsidTr="00665B04">
        <w:trPr>
          <w:trHeight w:val="1615"/>
        </w:trPr>
        <w:tc>
          <w:tcPr>
            <w:tcW w:w="2069" w:type="dxa"/>
            <w:tcBorders>
              <w:top w:val="single" w:sz="4" w:space="0" w:color="auto"/>
              <w:left w:val="single" w:sz="4" w:space="0" w:color="auto"/>
              <w:bottom w:val="single" w:sz="4" w:space="0" w:color="auto"/>
              <w:right w:val="single" w:sz="4" w:space="0" w:color="auto"/>
            </w:tcBorders>
            <w:hideMark/>
          </w:tcPr>
          <w:p w14:paraId="76C1884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Special Appropriations (including Standing Appropriations)</w:t>
            </w:r>
          </w:p>
        </w:tc>
        <w:tc>
          <w:tcPr>
            <w:tcW w:w="5850" w:type="dxa"/>
            <w:tcBorders>
              <w:top w:val="single" w:sz="4" w:space="0" w:color="auto"/>
              <w:left w:val="single" w:sz="4" w:space="0" w:color="auto"/>
              <w:bottom w:val="single" w:sz="4" w:space="0" w:color="auto"/>
              <w:right w:val="single" w:sz="4" w:space="0" w:color="auto"/>
            </w:tcBorders>
            <w:hideMark/>
          </w:tcPr>
          <w:p w14:paraId="76C1884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sub-category consisting of ongoing special appropriations—the amount appropriated will depend on circumstances specified in the legislation.</w:t>
            </w:r>
          </w:p>
        </w:tc>
      </w:tr>
      <w:bookmarkEnd w:id="0"/>
    </w:tbl>
    <w:p w14:paraId="76C1884D" w14:textId="77777777" w:rsidR="006C5A6D" w:rsidRPr="006C5A6D" w:rsidRDefault="006C5A6D" w:rsidP="006C5A6D"/>
    <w:sectPr w:rsidR="006C5A6D" w:rsidRPr="006C5A6D" w:rsidSect="009363E4">
      <w:headerReference w:type="even" r:id="rId25"/>
      <w:headerReference w:type="default" r:id="rId26"/>
      <w:headerReference w:type="first" r:id="rId27"/>
      <w:type w:val="oddPage"/>
      <w:pgSz w:w="11906" w:h="16838" w:code="9"/>
      <w:pgMar w:top="2466" w:right="2098" w:bottom="2466" w:left="2098" w:header="1899" w:footer="1899" w:gutter="0"/>
      <w:pgNumType w:start="1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19E01" w14:textId="77777777" w:rsidR="002C52D5" w:rsidRDefault="002C52D5" w:rsidP="00C07DEC">
      <w:r>
        <w:separator/>
      </w:r>
    </w:p>
  </w:endnote>
  <w:endnote w:type="continuationSeparator" w:id="0">
    <w:p w14:paraId="5E0E3A8A" w14:textId="77777777" w:rsidR="002C52D5" w:rsidRDefault="002C52D5" w:rsidP="00C07DEC">
      <w:r>
        <w:continuationSeparator/>
      </w:r>
    </w:p>
  </w:endnote>
  <w:endnote w:type="continuationNotice" w:id="1">
    <w:p w14:paraId="153E9F64" w14:textId="77777777" w:rsidR="002C52D5" w:rsidRDefault="002C5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190474"/>
      <w:docPartObj>
        <w:docPartGallery w:val="Page Numbers (Bottom of Page)"/>
        <w:docPartUnique/>
      </w:docPartObj>
    </w:sdtPr>
    <w:sdtEndPr>
      <w:rPr>
        <w:noProof/>
      </w:rPr>
    </w:sdtEndPr>
    <w:sdtContent>
      <w:p w14:paraId="1B6AC154" w14:textId="3BE30911" w:rsidR="00A4181B" w:rsidRDefault="00A4181B" w:rsidP="00A4181B">
        <w:pPr>
          <w:pStyle w:val="Footer"/>
        </w:pPr>
        <w:r>
          <w:fldChar w:fldCharType="begin"/>
        </w:r>
        <w:r>
          <w:instrText xml:space="preserve"> PAGE   \* MERGEFORMAT </w:instrText>
        </w:r>
        <w:r>
          <w:fldChar w:fldCharType="separate"/>
        </w:r>
        <w:r w:rsidR="009363E4">
          <w:rPr>
            <w:noProof/>
          </w:rPr>
          <w:t>184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717085"/>
      <w:docPartObj>
        <w:docPartGallery w:val="Page Numbers (Bottom of Page)"/>
        <w:docPartUnique/>
      </w:docPartObj>
    </w:sdtPr>
    <w:sdtEndPr>
      <w:rPr>
        <w:noProof/>
      </w:rPr>
    </w:sdtEndPr>
    <w:sdtContent>
      <w:p w14:paraId="09EE0038" w14:textId="5222C6ED" w:rsidR="00A4181B" w:rsidRDefault="00A4181B">
        <w:pPr>
          <w:pStyle w:val="Footer"/>
        </w:pPr>
        <w:r>
          <w:fldChar w:fldCharType="begin"/>
        </w:r>
        <w:r>
          <w:instrText xml:space="preserve"> PAGE   \* MERGEFORMAT </w:instrText>
        </w:r>
        <w:r>
          <w:fldChar w:fldCharType="separate"/>
        </w:r>
        <w:r w:rsidR="009363E4">
          <w:rPr>
            <w:noProof/>
          </w:rPr>
          <w:t>93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CB" w14:textId="77777777" w:rsidR="002C52D5" w:rsidRDefault="002C52D5">
    <w:pPr>
      <w:pStyle w:val="Footer"/>
    </w:pPr>
  </w:p>
  <w:p w14:paraId="76C188CC" w14:textId="77777777" w:rsidR="002C52D5" w:rsidRPr="001808A4" w:rsidRDefault="002C52D5" w:rsidP="0049200C">
    <w:pPr>
      <w:pStyle w:val="FooterBas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133273"/>
      <w:docPartObj>
        <w:docPartGallery w:val="Page Numbers (Bottom of Page)"/>
        <w:docPartUnique/>
      </w:docPartObj>
    </w:sdtPr>
    <w:sdtEndPr>
      <w:rPr>
        <w:noProof/>
      </w:rPr>
    </w:sdtEndPr>
    <w:sdtContent>
      <w:p w14:paraId="76C188CE" w14:textId="4CE07F99" w:rsidR="002C52D5" w:rsidRPr="001808A4" w:rsidRDefault="002C52D5" w:rsidP="00515CCC">
        <w:pPr>
          <w:pStyle w:val="Footer"/>
        </w:pPr>
        <w:r>
          <w:fldChar w:fldCharType="begin"/>
        </w:r>
        <w:r>
          <w:instrText xml:space="preserve"> PAGE   \* MERGEFORMAT </w:instrText>
        </w:r>
        <w:r>
          <w:fldChar w:fldCharType="separate"/>
        </w:r>
        <w:r w:rsidR="009363E4">
          <w:rPr>
            <w:noProof/>
          </w:rPr>
          <w:t>89</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D2" w14:textId="2E927D11" w:rsidR="002C52D5" w:rsidRDefault="002C52D5" w:rsidP="001808A4">
    <w:pPr>
      <w:pStyle w:val="Footer"/>
      <w:rPr>
        <w:noProof/>
      </w:rPr>
    </w:pPr>
    <w:r>
      <w:fldChar w:fldCharType="begin"/>
    </w:r>
    <w:r>
      <w:instrText xml:space="preserve"> PAGE   \* MERGEFORMAT </w:instrText>
    </w:r>
    <w:r>
      <w:fldChar w:fldCharType="separate"/>
    </w:r>
    <w:r w:rsidR="009363E4">
      <w:rPr>
        <w:noProof/>
      </w:rPr>
      <w:t>95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D3" w14:textId="65C9C7F1" w:rsidR="002C52D5" w:rsidRPr="00724257" w:rsidRDefault="002C52D5" w:rsidP="00724257">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9363E4">
      <w:rPr>
        <w:rStyle w:val="PageNumber"/>
        <w:noProof/>
      </w:rPr>
      <w:t>115</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331674"/>
      <w:docPartObj>
        <w:docPartGallery w:val="Page Numbers (Bottom of Page)"/>
        <w:docPartUnique/>
      </w:docPartObj>
    </w:sdtPr>
    <w:sdtEndPr>
      <w:rPr>
        <w:noProof/>
      </w:rPr>
    </w:sdtEndPr>
    <w:sdtContent>
      <w:p w14:paraId="76C188D5" w14:textId="1977950A" w:rsidR="002C52D5" w:rsidRPr="001808A4" w:rsidRDefault="002C52D5" w:rsidP="00142797">
        <w:pPr>
          <w:pStyle w:val="Footer"/>
        </w:pPr>
        <w:r>
          <w:fldChar w:fldCharType="begin"/>
        </w:r>
        <w:r>
          <w:instrText xml:space="preserve"> PAGE   \* MERGEFORMAT </w:instrText>
        </w:r>
        <w:r>
          <w:fldChar w:fldCharType="separate"/>
        </w:r>
        <w:r w:rsidR="009363E4">
          <w:rPr>
            <w:noProof/>
          </w:rPr>
          <w:t>183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3902" w14:textId="77777777" w:rsidR="002C52D5" w:rsidRDefault="002C52D5" w:rsidP="00C07DEC">
      <w:r>
        <w:separator/>
      </w:r>
    </w:p>
  </w:footnote>
  <w:footnote w:type="continuationSeparator" w:id="0">
    <w:p w14:paraId="114FA770" w14:textId="77777777" w:rsidR="002C52D5" w:rsidRDefault="002C52D5" w:rsidP="00C07DEC">
      <w:r>
        <w:continuationSeparator/>
      </w:r>
    </w:p>
  </w:footnote>
  <w:footnote w:type="continuationNotice" w:id="1">
    <w:p w14:paraId="53F228D6" w14:textId="77777777" w:rsidR="002C52D5" w:rsidRDefault="002C52D5">
      <w:pPr>
        <w:spacing w:after="0" w:line="240" w:lineRule="auto"/>
      </w:pPr>
    </w:p>
  </w:footnote>
  <w:footnote w:id="2">
    <w:p w14:paraId="76C189C4" w14:textId="6189ABD1" w:rsidR="002C52D5" w:rsidRPr="005A0812" w:rsidRDefault="002C52D5" w:rsidP="007C05BB">
      <w:pPr>
        <w:pStyle w:val="FootnoteText"/>
        <w:jc w:val="left"/>
        <w:rPr>
          <w:rFonts w:ascii="Arial" w:hAnsi="Arial" w:cs="Arial"/>
          <w:sz w:val="16"/>
          <w:szCs w:val="16"/>
        </w:rPr>
      </w:pPr>
      <w:r w:rsidRPr="005A0812">
        <w:rPr>
          <w:rStyle w:val="FootnoteReference"/>
          <w:rFonts w:ascii="Arial" w:hAnsi="Arial" w:cs="Arial"/>
          <w:sz w:val="16"/>
          <w:szCs w:val="16"/>
        </w:rPr>
        <w:footnoteRef/>
      </w:r>
      <w:r w:rsidRPr="005A0812">
        <w:rPr>
          <w:rFonts w:ascii="Arial" w:hAnsi="Arial" w:cs="Arial"/>
          <w:sz w:val="16"/>
          <w:szCs w:val="16"/>
        </w:rPr>
        <w:t xml:space="preserve"> Comcare is working with rehabilitation authorities on strategies to improve return to work rates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C9" w14:textId="77777777" w:rsidR="002C52D5" w:rsidRDefault="002C52D5">
    <w:pPr>
      <w:pStyle w:val="Header"/>
      <w:jc w:val="center"/>
    </w:pPr>
  </w:p>
  <w:p w14:paraId="76C188CA" w14:textId="77777777" w:rsidR="002C52D5" w:rsidRPr="0049200C" w:rsidRDefault="002C52D5" w:rsidP="0049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CF" w14:textId="77777777" w:rsidR="002C52D5" w:rsidRPr="005E3CAE" w:rsidRDefault="002C52D5" w:rsidP="005E3CAE">
    <w:pPr>
      <w:pStyle w:val="HeaderOdd"/>
      <w:jc w:val="left"/>
    </w:pPr>
    <w:r>
      <w:rPr>
        <w:noProof/>
      </w:rPr>
      <mc:AlternateContent>
        <mc:Choice Requires="wps">
          <w:drawing>
            <wp:anchor distT="0" distB="0" distL="0" distR="0" simplePos="0" relativeHeight="251692032" behindDoc="0" locked="1" layoutInCell="0" allowOverlap="1" wp14:anchorId="76C18970" wp14:editId="76C18971">
              <wp:simplePos x="0" y="0"/>
              <wp:positionH relativeFrom="margin">
                <wp:align>center</wp:align>
              </wp:positionH>
              <wp:positionV relativeFrom="page">
                <wp:posOffset>512445</wp:posOffset>
              </wp:positionV>
              <wp:extent cx="4910455" cy="615315"/>
              <wp:effectExtent l="0" t="0" r="4445" b="0"/>
              <wp:wrapSquare wrapText="bothSides"/>
              <wp:docPr id="256"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05" w14:textId="77777777" w:rsidR="002C52D5" w:rsidRDefault="002C52D5" w:rsidP="005E3CA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70" id="_x0000_t202" coordsize="21600,21600" o:spt="202" path="m,l,21600r21600,l21600,xe">
              <v:stroke joinstyle="miter"/>
              <v:path gradientshapeok="t" o:connecttype="rect"/>
            </v:shapetype>
            <v:shape id="Text Box 18" o:spid="_x0000_s1026" type="#_x0000_t202" alt="Portrait Classification Header" style="position:absolute;margin-left:0;margin-top:40.35pt;width:386.65pt;height:48.45pt;z-index:25169203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JeyhHswCAADbBQAADgAAAAAAAAAAAAAAAAAuAgAAZHJzL2Uyb0RvYy54bWxQ&#10;SwECLQAUAAYACAAAACEAj1v8W90AAAAHAQAADwAAAAAAAAAAAAAAAAAmBQAAZHJzL2Rvd25yZXYu&#10;eG1sUEsFBgAAAAAEAAQA8wAAADAGAAAAAA==&#10;" o:allowincell="f" filled="f" stroked="f">
              <v:textbox inset="0,0,0,0">
                <w:txbxContent>
                  <w:p w14:paraId="76C18A05" w14:textId="77777777" w:rsidR="002C52D5" w:rsidRDefault="002C52D5" w:rsidP="005E3CAE">
                    <w:pPr>
                      <w:pStyle w:val="Classification"/>
                    </w:pPr>
                  </w:p>
                </w:txbxContent>
              </v:textbox>
              <w10:wrap type="square" anchorx="margin" anchory="page"/>
              <w10:anchorlock/>
            </v:shape>
          </w:pict>
        </mc:Fallback>
      </mc:AlternateContent>
    </w:r>
    <w:r>
      <w:t>Comcare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D0" w14:textId="77777777" w:rsidR="002C52D5" w:rsidRPr="005E3CAE" w:rsidRDefault="002C52D5" w:rsidP="005E3CAE">
    <w:pPr>
      <w:pStyle w:val="HeaderOdd"/>
    </w:pPr>
    <w:r>
      <w:rPr>
        <w:noProof/>
      </w:rPr>
      <mc:AlternateContent>
        <mc:Choice Requires="wps">
          <w:drawing>
            <wp:anchor distT="0" distB="0" distL="0" distR="0" simplePos="0" relativeHeight="251693056" behindDoc="0" locked="1" layoutInCell="0" allowOverlap="1" wp14:anchorId="76C18972" wp14:editId="76C18973">
              <wp:simplePos x="0" y="0"/>
              <wp:positionH relativeFrom="margin">
                <wp:align>center</wp:align>
              </wp:positionH>
              <wp:positionV relativeFrom="page">
                <wp:posOffset>512445</wp:posOffset>
              </wp:positionV>
              <wp:extent cx="4910455" cy="615315"/>
              <wp:effectExtent l="0" t="0" r="4445" b="0"/>
              <wp:wrapSquare wrapText="bothSides"/>
              <wp:docPr id="257"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06" w14:textId="77777777" w:rsidR="002C52D5" w:rsidRDefault="002C52D5" w:rsidP="005E3CA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72" id="_x0000_t202" coordsize="21600,21600" o:spt="202" path="m,l,21600r21600,l21600,xe">
              <v:stroke joinstyle="miter"/>
              <v:path gradientshapeok="t" o:connecttype="rect"/>
            </v:shapetype>
            <v:shape id="_x0000_s1027" type="#_x0000_t202" alt="Portrait Classification Header" style="position:absolute;left:0;text-align:left;margin-left:0;margin-top:40.35pt;width:386.65pt;height:48.45pt;z-index:25169305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AXtMJLNAgAA2wUAAA4AAAAAAAAAAAAAAAAALgIAAGRycy9lMm9Eb2MueG1s&#10;UEsBAi0AFAAGAAgAAAAhAI9b/FvdAAAABwEAAA8AAAAAAAAAAAAAAAAAJwUAAGRycy9kb3ducmV2&#10;LnhtbFBLBQYAAAAABAAEAPMAAAAxBgAAAAA=&#10;" o:allowincell="f" filled="f" stroked="f">
              <v:textbox inset="0,0,0,0">
                <w:txbxContent>
                  <w:p w14:paraId="76C18A06" w14:textId="77777777" w:rsidR="002C52D5" w:rsidRDefault="002C52D5" w:rsidP="005E3CAE">
                    <w:pPr>
                      <w:pStyle w:val="Classification"/>
                    </w:pPr>
                  </w:p>
                </w:txbxContent>
              </v:textbox>
              <w10:wrap type="square" anchorx="margin" anchory="page"/>
              <w10:anchorlock/>
            </v:shape>
          </w:pict>
        </mc:Fallback>
      </mc:AlternateContent>
    </w:r>
    <w:r>
      <w:t>Comcare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D1" w14:textId="77777777" w:rsidR="002C52D5" w:rsidRPr="00B4084B" w:rsidRDefault="002C52D5" w:rsidP="0049200C">
    <w:pPr>
      <w:pStyle w:val="HeaderOdd"/>
    </w:pPr>
    <w:r>
      <w:rPr>
        <w:noProof/>
      </w:rPr>
      <mc:AlternateContent>
        <mc:Choice Requires="wps">
          <w:drawing>
            <wp:anchor distT="0" distB="0" distL="0" distR="0" simplePos="0" relativeHeight="251640832" behindDoc="0" locked="1" layoutInCell="0" allowOverlap="1" wp14:anchorId="76C18974" wp14:editId="76C18975">
              <wp:simplePos x="0" y="0"/>
              <wp:positionH relativeFrom="margin">
                <wp:align>center</wp:align>
              </wp:positionH>
              <wp:positionV relativeFrom="page">
                <wp:posOffset>512445</wp:posOffset>
              </wp:positionV>
              <wp:extent cx="4910455" cy="615315"/>
              <wp:effectExtent l="0" t="0" r="4445" b="0"/>
              <wp:wrapSquare wrapText="bothSides"/>
              <wp:docPr id="165"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07"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74" id="_x0000_t202" coordsize="21600,21600" o:spt="202" path="m,l,21600r21600,l21600,xe">
              <v:stroke joinstyle="miter"/>
              <v:path gradientshapeok="t" o:connecttype="rect"/>
            </v:shapetype>
            <v:shape id="_x0000_s1028" type="#_x0000_t202" alt="Portrait Classification Header" style="position:absolute;left:0;text-align:left;margin-left:0;margin-top:40.35pt;width:386.65pt;height:48.45pt;z-index:25164083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4TkascwCAADbBQAADgAAAAAAAAAAAAAAAAAuAgAAZHJzL2Uyb0RvYy54bWxQ&#10;SwECLQAUAAYACAAAACEAj1v8W90AAAAHAQAADwAAAAAAAAAAAAAAAAAmBQAAZHJzL2Rvd25yZXYu&#10;eG1sUEsFBgAAAAAEAAQA8wAAADAGAAAAAA==&#10;" o:allowincell="f" filled="f" stroked="f">
              <v:textbox inset="0,0,0,0">
                <w:txbxContent>
                  <w:p w14:paraId="76C18A07" w14:textId="77777777" w:rsidR="002C52D5" w:rsidRDefault="002C52D5" w:rsidP="0049200C">
                    <w:pPr>
                      <w:pStyle w:val="Classification"/>
                    </w:pPr>
                  </w:p>
                </w:txbxContent>
              </v:textbox>
              <w10:wrap type="square" anchorx="margin" anchory="page"/>
              <w10:anchorlock/>
            </v:shape>
          </w:pict>
        </mc:Fallback>
      </mc:AlternateContent>
    </w:r>
    <w:r>
      <w:t>Comcare Budget Statements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7" w14:textId="77777777" w:rsidR="002C52D5" w:rsidRPr="00316DB9" w:rsidRDefault="002C52D5" w:rsidP="00316DB9">
    <w:pPr>
      <w:pStyle w:val="Header"/>
      <w:rPr>
        <w:lang w:val="en-AU"/>
      </w:rPr>
    </w:pPr>
    <w:r>
      <w:rPr>
        <w:lang w:val="en-AU"/>
      </w:rPr>
      <w:t>Glossary</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8" w14:textId="77777777" w:rsidR="002C52D5" w:rsidRPr="00316DB9" w:rsidRDefault="002C52D5" w:rsidP="00316D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9" w14:textId="77777777" w:rsidR="002C52D5" w:rsidRPr="00970E65" w:rsidRDefault="002C52D5" w:rsidP="004461A4">
    <w:pPr>
      <w:pStyle w:val="HeaderOdd"/>
    </w:pPr>
    <w:r>
      <w:rPr>
        <w:noProof/>
      </w:rPr>
      <mc:AlternateContent>
        <mc:Choice Requires="wps">
          <w:drawing>
            <wp:anchor distT="0" distB="0" distL="0" distR="0" simplePos="0" relativeHeight="251630080" behindDoc="0" locked="1" layoutInCell="0" allowOverlap="1" wp14:anchorId="76C189BA" wp14:editId="76C189BB">
              <wp:simplePos x="0" y="0"/>
              <wp:positionH relativeFrom="margin">
                <wp:align>center</wp:align>
              </wp:positionH>
              <wp:positionV relativeFrom="page">
                <wp:posOffset>512445</wp:posOffset>
              </wp:positionV>
              <wp:extent cx="4910455" cy="615315"/>
              <wp:effectExtent l="0" t="0" r="4445" b="0"/>
              <wp:wrapSquare wrapText="bothSides"/>
              <wp:docPr id="1"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C" w14:textId="77777777" w:rsidR="002C52D5" w:rsidRDefault="002C52D5"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BA" id="_x0000_t202" coordsize="21600,21600" o:spt="202" path="m,l,21600r21600,l21600,xe">
              <v:stroke joinstyle="miter"/>
              <v:path gradientshapeok="t" o:connecttype="rect"/>
            </v:shapetype>
            <v:shape id="Text Box 28" o:spid="_x0000_s1062" type="#_x0000_t202" alt="Portrait Classification Header" style="position:absolute;left:0;text-align:left;margin-left:0;margin-top:40.35pt;width:386.65pt;height:48.45pt;z-index:25163008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LG4wW/KAgAA2QUAAA4AAAAAAAAAAAAAAAAALgIAAGRycy9lMm9Eb2MueG1sUEsB&#10;Ai0AFAAGAAgAAAAhAI9b/FvdAAAABwEAAA8AAAAAAAAAAAAAAAAAJAUAAGRycy9kb3ducmV2Lnht&#10;bFBLBQYAAAAABAAEAPMAAAAuBgAAAAA=&#10;" o:allowincell="f" filled="f" stroked="f">
              <v:textbox inset="0,0,0,0">
                <w:txbxContent>
                  <w:p w14:paraId="76C18A2C" w14:textId="77777777" w:rsidR="002C52D5" w:rsidRDefault="002C52D5" w:rsidP="004461A4">
                    <w:pPr>
                      <w:pStyle w:val="Classification"/>
                    </w:pPr>
                  </w:p>
                </w:txbxContent>
              </v:textbox>
              <w10:wrap type="square" anchorx="margin" anchory="page"/>
              <w10:anchorlock/>
            </v:shape>
          </w:pict>
        </mc:Fallback>
      </mc:AlternateContent>
    </w:r>
    <w:r>
      <w:t>Glossary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19EC"/>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07C3C33"/>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496AAD"/>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3493B48"/>
    <w:multiLevelType w:val="hybridMultilevel"/>
    <w:tmpl w:val="8B965EAA"/>
    <w:lvl w:ilvl="0" w:tplc="F26EE6BA">
      <w:start w:val="1"/>
      <w:numFmt w:val="lowerLetter"/>
      <w:lvlText w:val="(%1)"/>
      <w:lvlJc w:val="left"/>
      <w:pPr>
        <w:ind w:left="360" w:hanging="360"/>
      </w:pPr>
      <w:rPr>
        <w:rFonts w:ascii="Arial" w:eastAsia="Times New Roman" w:hAnsi="Arial" w:cs="Times New Roman"/>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8D74A84"/>
    <w:multiLevelType w:val="hybridMultilevel"/>
    <w:tmpl w:val="18689122"/>
    <w:lvl w:ilvl="0" w:tplc="2402DE6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360"/>
        </w:tabs>
        <w:ind w:left="36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0EDD6B64"/>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0" w15:restartNumberingAfterBreak="0">
    <w:nsid w:val="15076EF6"/>
    <w:multiLevelType w:val="multilevel"/>
    <w:tmpl w:val="492A3C0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36E48"/>
    <w:multiLevelType w:val="hybridMultilevel"/>
    <w:tmpl w:val="0D5A86BC"/>
    <w:lvl w:ilvl="0" w:tplc="A4FA7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2C0C8A"/>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8DF6705"/>
    <w:multiLevelType w:val="hybridMultilevel"/>
    <w:tmpl w:val="E3329342"/>
    <w:lvl w:ilvl="0" w:tplc="E952A4FC">
      <w:start w:val="1"/>
      <w:numFmt w:val="lowerLetter"/>
      <w:lvlText w:val="(%1)"/>
      <w:lvlJc w:val="left"/>
      <w:pPr>
        <w:ind w:left="360" w:hanging="360"/>
      </w:pPr>
      <w:rPr>
        <w:rFonts w:ascii="Arial" w:hAnsi="Arial" w:cs="Arial" w:hint="default"/>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BDC76DB"/>
    <w:multiLevelType w:val="hybridMultilevel"/>
    <w:tmpl w:val="0D5A86BC"/>
    <w:lvl w:ilvl="0" w:tplc="A4FA73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D8C31D5"/>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01B5287"/>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58706B"/>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541789B"/>
    <w:multiLevelType w:val="multilevel"/>
    <w:tmpl w:val="49C09A1E"/>
    <w:lvl w:ilvl="0">
      <w:start w:val="1"/>
      <w:numFmt w:val="decimal"/>
      <w:lvlText w:val="%1."/>
      <w:lvlJc w:val="left"/>
      <w:pPr>
        <w:tabs>
          <w:tab w:val="num" w:pos="283"/>
        </w:tabs>
        <w:ind w:left="283"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25915668"/>
    <w:multiLevelType w:val="hybridMultilevel"/>
    <w:tmpl w:val="BEB247B6"/>
    <w:lvl w:ilvl="0" w:tplc="55F8A0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277745F9"/>
    <w:multiLevelType w:val="hybridMultilevel"/>
    <w:tmpl w:val="9D6EFF6E"/>
    <w:lvl w:ilvl="0" w:tplc="8AFC62CC">
      <w:start w:val="1"/>
      <w:numFmt w:val="lowerLetter"/>
      <w:lvlText w:val="(%1)"/>
      <w:lvlJc w:val="left"/>
      <w:pPr>
        <w:ind w:left="360" w:hanging="360"/>
      </w:pPr>
      <w:rPr>
        <w:rFonts w:ascii="Arial" w:hAnsi="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98502C5"/>
    <w:multiLevelType w:val="multilevel"/>
    <w:tmpl w:val="FF1C6784"/>
    <w:lvl w:ilvl="0">
      <w:start w:val="1"/>
      <w:numFmt w:val="lowerLetter"/>
      <w:lvlText w:val="(%1)"/>
      <w:lvlJc w:val="left"/>
      <w:pPr>
        <w:tabs>
          <w:tab w:val="num" w:pos="283"/>
        </w:tabs>
        <w:ind w:left="283" w:hanging="283"/>
      </w:pPr>
      <w:rPr>
        <w:rFonts w:hint="default"/>
        <w:b w:val="0"/>
        <w:i w:val="0"/>
        <w:color w:val="auto"/>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15:restartNumberingAfterBreak="0">
    <w:nsid w:val="2A000E70"/>
    <w:multiLevelType w:val="hybridMultilevel"/>
    <w:tmpl w:val="A6C8C1B4"/>
    <w:lvl w:ilvl="0" w:tplc="8326B13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A07064A"/>
    <w:multiLevelType w:val="multilevel"/>
    <w:tmpl w:val="FF1C6784"/>
    <w:lvl w:ilvl="0">
      <w:start w:val="1"/>
      <w:numFmt w:val="lowerLetter"/>
      <w:lvlText w:val="(%1)"/>
      <w:lvlJc w:val="left"/>
      <w:pPr>
        <w:tabs>
          <w:tab w:val="num" w:pos="283"/>
        </w:tabs>
        <w:ind w:left="283" w:hanging="283"/>
      </w:pPr>
      <w:rPr>
        <w:rFonts w:hint="default"/>
        <w:b w:val="0"/>
        <w:i w:val="0"/>
        <w:color w:val="auto"/>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96C1289"/>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9" w15:restartNumberingAfterBreak="0">
    <w:nsid w:val="3C9E3971"/>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31" w15:restartNumberingAfterBreak="0">
    <w:nsid w:val="45952CD4"/>
    <w:multiLevelType w:val="hybridMultilevel"/>
    <w:tmpl w:val="C664A1DC"/>
    <w:lvl w:ilvl="0" w:tplc="906AA3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78A4304"/>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E892490"/>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ED92BD0"/>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4B6034B"/>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6F9662F"/>
    <w:multiLevelType w:val="hybridMultilevel"/>
    <w:tmpl w:val="857A3080"/>
    <w:lvl w:ilvl="0" w:tplc="7DB4CE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9"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9BE110F"/>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9D74B44"/>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D00023D"/>
    <w:multiLevelType w:val="hybridMultilevel"/>
    <w:tmpl w:val="088056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F0D42BE"/>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F81137C"/>
    <w:multiLevelType w:val="hybridMultilevel"/>
    <w:tmpl w:val="857A3080"/>
    <w:lvl w:ilvl="0" w:tplc="7DB4CE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25B0631"/>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7" w15:restartNumberingAfterBreak="0">
    <w:nsid w:val="69257198"/>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FF1390E"/>
    <w:multiLevelType w:val="hybridMultilevel"/>
    <w:tmpl w:val="F0940C62"/>
    <w:lvl w:ilvl="0" w:tplc="7A8CECDE">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31D6F83"/>
    <w:multiLevelType w:val="hybridMultilevel"/>
    <w:tmpl w:val="6CF6A1C0"/>
    <w:lvl w:ilvl="0" w:tplc="9FD6461E">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4865A3"/>
    <w:multiLevelType w:val="hybridMultilevel"/>
    <w:tmpl w:val="2EEEC2E8"/>
    <w:lvl w:ilvl="0" w:tplc="94506386">
      <w:start w:val="1"/>
      <w:numFmt w:val="bullet"/>
      <w:pStyle w:val="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2" w15:restartNumberingAfterBreak="0">
    <w:nsid w:val="7E3B6E2B"/>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7"/>
  </w:num>
  <w:num w:numId="3">
    <w:abstractNumId w:val="46"/>
  </w:num>
  <w:num w:numId="4">
    <w:abstractNumId w:val="28"/>
  </w:num>
  <w:num w:numId="5">
    <w:abstractNumId w:val="51"/>
  </w:num>
  <w:num w:numId="6">
    <w:abstractNumId w:val="25"/>
  </w:num>
  <w:num w:numId="7">
    <w:abstractNumId w:val="38"/>
  </w:num>
  <w:num w:numId="8">
    <w:abstractNumId w:val="28"/>
    <w:lvlOverride w:ilvl="0">
      <w:startOverride w:val="1"/>
    </w:lvlOverride>
  </w:num>
  <w:num w:numId="9">
    <w:abstractNumId w:val="28"/>
    <w:lvlOverride w:ilvl="0">
      <w:startOverride w:val="1"/>
    </w:lvlOverride>
  </w:num>
  <w:num w:numId="10">
    <w:abstractNumId w:val="6"/>
  </w:num>
  <w:num w:numId="11">
    <w:abstractNumId w:val="53"/>
  </w:num>
  <w:num w:numId="12">
    <w:abstractNumId w:val="2"/>
  </w:num>
  <w:num w:numId="13">
    <w:abstractNumId w:val="36"/>
  </w:num>
  <w:num w:numId="14">
    <w:abstractNumId w:val="20"/>
  </w:num>
  <w:num w:numId="15">
    <w:abstractNumId w:val="4"/>
  </w:num>
  <w:num w:numId="16">
    <w:abstractNumId w:val="10"/>
  </w:num>
  <w:num w:numId="17">
    <w:abstractNumId w:val="31"/>
  </w:num>
  <w:num w:numId="18">
    <w:abstractNumId w:val="19"/>
  </w:num>
  <w:num w:numId="19">
    <w:abstractNumId w:val="23"/>
  </w:num>
  <w:num w:numId="20">
    <w:abstractNumId w:val="37"/>
  </w:num>
  <w:num w:numId="21">
    <w:abstractNumId w:val="50"/>
  </w:num>
  <w:num w:numId="22">
    <w:abstractNumId w:val="5"/>
  </w:num>
  <w:num w:numId="23">
    <w:abstractNumId w:val="21"/>
  </w:num>
  <w:num w:numId="24">
    <w:abstractNumId w:val="42"/>
  </w:num>
  <w:num w:numId="25">
    <w:abstractNumId w:val="18"/>
  </w:num>
  <w:num w:numId="2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1"/>
  </w:num>
  <w:num w:numId="29">
    <w:abstractNumId w:val="39"/>
  </w:num>
  <w:num w:numId="30">
    <w:abstractNumId w:val="49"/>
  </w:num>
  <w:num w:numId="31">
    <w:abstractNumId w:val="41"/>
  </w:num>
  <w:num w:numId="32">
    <w:abstractNumId w:val="12"/>
  </w:num>
  <w:num w:numId="33">
    <w:abstractNumId w:val="1"/>
  </w:num>
  <w:num w:numId="34">
    <w:abstractNumId w:val="35"/>
  </w:num>
  <w:num w:numId="35">
    <w:abstractNumId w:val="16"/>
  </w:num>
  <w:num w:numId="36">
    <w:abstractNumId w:val="40"/>
  </w:num>
  <w:num w:numId="37">
    <w:abstractNumId w:val="14"/>
  </w:num>
  <w:num w:numId="38">
    <w:abstractNumId w:val="8"/>
  </w:num>
  <w:num w:numId="39">
    <w:abstractNumId w:val="3"/>
  </w:num>
  <w:num w:numId="40">
    <w:abstractNumId w:val="43"/>
  </w:num>
  <w:num w:numId="41">
    <w:abstractNumId w:val="27"/>
  </w:num>
  <w:num w:numId="42">
    <w:abstractNumId w:val="34"/>
  </w:num>
  <w:num w:numId="43">
    <w:abstractNumId w:val="0"/>
  </w:num>
  <w:num w:numId="44">
    <w:abstractNumId w:val="29"/>
  </w:num>
  <w:num w:numId="45">
    <w:abstractNumId w:val="13"/>
  </w:num>
  <w:num w:numId="46">
    <w:abstractNumId w:val="32"/>
  </w:num>
  <w:num w:numId="47">
    <w:abstractNumId w:val="17"/>
  </w:num>
  <w:num w:numId="48">
    <w:abstractNumId w:val="15"/>
  </w:num>
  <w:num w:numId="49">
    <w:abstractNumId w:val="47"/>
  </w:num>
  <w:num w:numId="50">
    <w:abstractNumId w:val="45"/>
  </w:num>
  <w:num w:numId="51">
    <w:abstractNumId w:val="52"/>
  </w:num>
  <w:num w:numId="52">
    <w:abstractNumId w:val="22"/>
  </w:num>
  <w:num w:numId="53">
    <w:abstractNumId w:val="44"/>
  </w:num>
  <w:num w:numId="54">
    <w:abstractNumId w:val="25"/>
  </w:num>
  <w:num w:numId="55">
    <w:abstractNumId w:val="25"/>
  </w:num>
  <w:num w:numId="56">
    <w:abstractNumId w:val="25"/>
  </w:num>
  <w:num w:numId="57">
    <w:abstractNumId w:val="28"/>
    <w:lvlOverride w:ilvl="0">
      <w:startOverride w:val="1"/>
    </w:lvlOverride>
  </w:num>
  <w:num w:numId="58">
    <w:abstractNumId w:val="48"/>
  </w:num>
  <w:num w:numId="59">
    <w:abstractNumId w:val="7"/>
  </w:num>
  <w:num w:numId="60">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10657F"/>
    <w:rsid w:val="000000C3"/>
    <w:rsid w:val="00000A31"/>
    <w:rsid w:val="0000358C"/>
    <w:rsid w:val="00003AC4"/>
    <w:rsid w:val="00006AE4"/>
    <w:rsid w:val="0000711B"/>
    <w:rsid w:val="000071A3"/>
    <w:rsid w:val="00007283"/>
    <w:rsid w:val="000076A1"/>
    <w:rsid w:val="00007D3E"/>
    <w:rsid w:val="00010084"/>
    <w:rsid w:val="00010BAF"/>
    <w:rsid w:val="00012341"/>
    <w:rsid w:val="0001294C"/>
    <w:rsid w:val="00012BB0"/>
    <w:rsid w:val="00013D25"/>
    <w:rsid w:val="0001438C"/>
    <w:rsid w:val="00014C66"/>
    <w:rsid w:val="00015324"/>
    <w:rsid w:val="00016D95"/>
    <w:rsid w:val="00017619"/>
    <w:rsid w:val="00020573"/>
    <w:rsid w:val="00020E65"/>
    <w:rsid w:val="00021100"/>
    <w:rsid w:val="000216BF"/>
    <w:rsid w:val="00021CD0"/>
    <w:rsid w:val="00021DA6"/>
    <w:rsid w:val="000220B0"/>
    <w:rsid w:val="000223E5"/>
    <w:rsid w:val="00023CED"/>
    <w:rsid w:val="000300D7"/>
    <w:rsid w:val="000304FC"/>
    <w:rsid w:val="00030E77"/>
    <w:rsid w:val="00030FDA"/>
    <w:rsid w:val="0003226D"/>
    <w:rsid w:val="0003384E"/>
    <w:rsid w:val="00033DE0"/>
    <w:rsid w:val="0003503B"/>
    <w:rsid w:val="00036095"/>
    <w:rsid w:val="000364F3"/>
    <w:rsid w:val="000366AE"/>
    <w:rsid w:val="000369AC"/>
    <w:rsid w:val="0003724F"/>
    <w:rsid w:val="00037BA1"/>
    <w:rsid w:val="000413D4"/>
    <w:rsid w:val="00042FDD"/>
    <w:rsid w:val="00044CF1"/>
    <w:rsid w:val="0004509D"/>
    <w:rsid w:val="00045667"/>
    <w:rsid w:val="00047918"/>
    <w:rsid w:val="00053DB9"/>
    <w:rsid w:val="00054A04"/>
    <w:rsid w:val="00054CC3"/>
    <w:rsid w:val="0005600E"/>
    <w:rsid w:val="00056260"/>
    <w:rsid w:val="0005722F"/>
    <w:rsid w:val="000606CB"/>
    <w:rsid w:val="00060890"/>
    <w:rsid w:val="00061FD8"/>
    <w:rsid w:val="00062532"/>
    <w:rsid w:val="00063C44"/>
    <w:rsid w:val="00063CE1"/>
    <w:rsid w:val="000641DA"/>
    <w:rsid w:val="00065053"/>
    <w:rsid w:val="000655E4"/>
    <w:rsid w:val="000656AD"/>
    <w:rsid w:val="00065C71"/>
    <w:rsid w:val="000668B2"/>
    <w:rsid w:val="00066BBA"/>
    <w:rsid w:val="000671B7"/>
    <w:rsid w:val="00067B6F"/>
    <w:rsid w:val="00067E1D"/>
    <w:rsid w:val="0007064C"/>
    <w:rsid w:val="000706C9"/>
    <w:rsid w:val="00070DEB"/>
    <w:rsid w:val="000712EE"/>
    <w:rsid w:val="00071B80"/>
    <w:rsid w:val="000725C0"/>
    <w:rsid w:val="00074CE6"/>
    <w:rsid w:val="00075121"/>
    <w:rsid w:val="0007628C"/>
    <w:rsid w:val="000768A5"/>
    <w:rsid w:val="00076BF7"/>
    <w:rsid w:val="00077277"/>
    <w:rsid w:val="0007743A"/>
    <w:rsid w:val="00080069"/>
    <w:rsid w:val="00080180"/>
    <w:rsid w:val="00080F4F"/>
    <w:rsid w:val="00082159"/>
    <w:rsid w:val="0008219B"/>
    <w:rsid w:val="0008449F"/>
    <w:rsid w:val="000846ED"/>
    <w:rsid w:val="000851D3"/>
    <w:rsid w:val="000924A7"/>
    <w:rsid w:val="00094B28"/>
    <w:rsid w:val="00094B9A"/>
    <w:rsid w:val="00096568"/>
    <w:rsid w:val="00096A67"/>
    <w:rsid w:val="00096DEE"/>
    <w:rsid w:val="00097063"/>
    <w:rsid w:val="00097336"/>
    <w:rsid w:val="000975DA"/>
    <w:rsid w:val="0009769D"/>
    <w:rsid w:val="00097938"/>
    <w:rsid w:val="000A18A7"/>
    <w:rsid w:val="000A1920"/>
    <w:rsid w:val="000A1A89"/>
    <w:rsid w:val="000A1C91"/>
    <w:rsid w:val="000A24C4"/>
    <w:rsid w:val="000A345B"/>
    <w:rsid w:val="000A372A"/>
    <w:rsid w:val="000A395D"/>
    <w:rsid w:val="000A3BC4"/>
    <w:rsid w:val="000A532C"/>
    <w:rsid w:val="000A56A5"/>
    <w:rsid w:val="000A5C86"/>
    <w:rsid w:val="000A5F6C"/>
    <w:rsid w:val="000A646A"/>
    <w:rsid w:val="000A6897"/>
    <w:rsid w:val="000A6DBE"/>
    <w:rsid w:val="000A7E1F"/>
    <w:rsid w:val="000B0F9F"/>
    <w:rsid w:val="000B1FC4"/>
    <w:rsid w:val="000B21D6"/>
    <w:rsid w:val="000B2404"/>
    <w:rsid w:val="000B36D8"/>
    <w:rsid w:val="000B3B7D"/>
    <w:rsid w:val="000B5087"/>
    <w:rsid w:val="000B6E38"/>
    <w:rsid w:val="000B706A"/>
    <w:rsid w:val="000C03DF"/>
    <w:rsid w:val="000C056F"/>
    <w:rsid w:val="000C1442"/>
    <w:rsid w:val="000C1928"/>
    <w:rsid w:val="000C19B3"/>
    <w:rsid w:val="000C19EF"/>
    <w:rsid w:val="000C2D7D"/>
    <w:rsid w:val="000C33D4"/>
    <w:rsid w:val="000C39F3"/>
    <w:rsid w:val="000C3B86"/>
    <w:rsid w:val="000C4A46"/>
    <w:rsid w:val="000C55A6"/>
    <w:rsid w:val="000C6A39"/>
    <w:rsid w:val="000C6F0F"/>
    <w:rsid w:val="000C6FB8"/>
    <w:rsid w:val="000D13E5"/>
    <w:rsid w:val="000D4262"/>
    <w:rsid w:val="000D43DE"/>
    <w:rsid w:val="000D4487"/>
    <w:rsid w:val="000D49E8"/>
    <w:rsid w:val="000D55B5"/>
    <w:rsid w:val="000D58A1"/>
    <w:rsid w:val="000D7E54"/>
    <w:rsid w:val="000D7ECB"/>
    <w:rsid w:val="000E04C6"/>
    <w:rsid w:val="000E0940"/>
    <w:rsid w:val="000E0A4D"/>
    <w:rsid w:val="000E0A5A"/>
    <w:rsid w:val="000E0A85"/>
    <w:rsid w:val="000E1DAC"/>
    <w:rsid w:val="000E2F5F"/>
    <w:rsid w:val="000E323C"/>
    <w:rsid w:val="000E68E3"/>
    <w:rsid w:val="000E6DDB"/>
    <w:rsid w:val="000E74A6"/>
    <w:rsid w:val="000E775E"/>
    <w:rsid w:val="000F02C2"/>
    <w:rsid w:val="000F03B1"/>
    <w:rsid w:val="000F08AE"/>
    <w:rsid w:val="000F2D33"/>
    <w:rsid w:val="000F31D0"/>
    <w:rsid w:val="000F43F4"/>
    <w:rsid w:val="000F440E"/>
    <w:rsid w:val="000F473E"/>
    <w:rsid w:val="000F4FD4"/>
    <w:rsid w:val="000F5B68"/>
    <w:rsid w:val="000F6647"/>
    <w:rsid w:val="000F73B7"/>
    <w:rsid w:val="000F794F"/>
    <w:rsid w:val="000F7E7B"/>
    <w:rsid w:val="001002F8"/>
    <w:rsid w:val="00102654"/>
    <w:rsid w:val="001028CC"/>
    <w:rsid w:val="001045F9"/>
    <w:rsid w:val="0010472B"/>
    <w:rsid w:val="00104C36"/>
    <w:rsid w:val="00104F95"/>
    <w:rsid w:val="0010657F"/>
    <w:rsid w:val="00111159"/>
    <w:rsid w:val="00112863"/>
    <w:rsid w:val="00112D0F"/>
    <w:rsid w:val="001133E0"/>
    <w:rsid w:val="00114554"/>
    <w:rsid w:val="00115DE5"/>
    <w:rsid w:val="001163D6"/>
    <w:rsid w:val="0011726A"/>
    <w:rsid w:val="0012022D"/>
    <w:rsid w:val="00120B5E"/>
    <w:rsid w:val="0012108F"/>
    <w:rsid w:val="00121EB0"/>
    <w:rsid w:val="0012228D"/>
    <w:rsid w:val="00123218"/>
    <w:rsid w:val="0012371D"/>
    <w:rsid w:val="001237BA"/>
    <w:rsid w:val="00123925"/>
    <w:rsid w:val="00123C91"/>
    <w:rsid w:val="00126641"/>
    <w:rsid w:val="00132F9E"/>
    <w:rsid w:val="00133D3A"/>
    <w:rsid w:val="001352EE"/>
    <w:rsid w:val="00135505"/>
    <w:rsid w:val="00135FDA"/>
    <w:rsid w:val="001364A7"/>
    <w:rsid w:val="00136827"/>
    <w:rsid w:val="00136CCE"/>
    <w:rsid w:val="001375D4"/>
    <w:rsid w:val="00142797"/>
    <w:rsid w:val="00143750"/>
    <w:rsid w:val="00143E88"/>
    <w:rsid w:val="00144C76"/>
    <w:rsid w:val="001455D8"/>
    <w:rsid w:val="00146212"/>
    <w:rsid w:val="001463A0"/>
    <w:rsid w:val="00146B5E"/>
    <w:rsid w:val="00146E2E"/>
    <w:rsid w:val="001470DA"/>
    <w:rsid w:val="0014790A"/>
    <w:rsid w:val="00151ABB"/>
    <w:rsid w:val="00151D27"/>
    <w:rsid w:val="00151D56"/>
    <w:rsid w:val="00152B2B"/>
    <w:rsid w:val="0015376C"/>
    <w:rsid w:val="00154447"/>
    <w:rsid w:val="001549BE"/>
    <w:rsid w:val="00154CDE"/>
    <w:rsid w:val="00154F5B"/>
    <w:rsid w:val="00157613"/>
    <w:rsid w:val="00161947"/>
    <w:rsid w:val="00161DAC"/>
    <w:rsid w:val="0016268E"/>
    <w:rsid w:val="00162B55"/>
    <w:rsid w:val="00162D8B"/>
    <w:rsid w:val="00163101"/>
    <w:rsid w:val="001638E9"/>
    <w:rsid w:val="00163BF1"/>
    <w:rsid w:val="00165824"/>
    <w:rsid w:val="0016646F"/>
    <w:rsid w:val="001666EA"/>
    <w:rsid w:val="00167154"/>
    <w:rsid w:val="0017111A"/>
    <w:rsid w:val="00171A85"/>
    <w:rsid w:val="00173F5C"/>
    <w:rsid w:val="00174186"/>
    <w:rsid w:val="00174565"/>
    <w:rsid w:val="00174EC9"/>
    <w:rsid w:val="0017548F"/>
    <w:rsid w:val="00175BB3"/>
    <w:rsid w:val="00177A9A"/>
    <w:rsid w:val="00177DFB"/>
    <w:rsid w:val="001808A4"/>
    <w:rsid w:val="00180FF3"/>
    <w:rsid w:val="001815A5"/>
    <w:rsid w:val="0018186C"/>
    <w:rsid w:val="00181F30"/>
    <w:rsid w:val="00182740"/>
    <w:rsid w:val="00182FD8"/>
    <w:rsid w:val="00184071"/>
    <w:rsid w:val="001852C5"/>
    <w:rsid w:val="00185A3B"/>
    <w:rsid w:val="00186850"/>
    <w:rsid w:val="00186C64"/>
    <w:rsid w:val="001904A5"/>
    <w:rsid w:val="001923C8"/>
    <w:rsid w:val="00192AD7"/>
    <w:rsid w:val="00192B17"/>
    <w:rsid w:val="00193161"/>
    <w:rsid w:val="001939FF"/>
    <w:rsid w:val="00194684"/>
    <w:rsid w:val="00194DE8"/>
    <w:rsid w:val="00197990"/>
    <w:rsid w:val="001A0106"/>
    <w:rsid w:val="001A02CB"/>
    <w:rsid w:val="001A0BB8"/>
    <w:rsid w:val="001A11DB"/>
    <w:rsid w:val="001A152A"/>
    <w:rsid w:val="001A17DE"/>
    <w:rsid w:val="001A3056"/>
    <w:rsid w:val="001A33F4"/>
    <w:rsid w:val="001A35DC"/>
    <w:rsid w:val="001A53AE"/>
    <w:rsid w:val="001A6256"/>
    <w:rsid w:val="001A6F29"/>
    <w:rsid w:val="001A789B"/>
    <w:rsid w:val="001B037D"/>
    <w:rsid w:val="001B03CC"/>
    <w:rsid w:val="001B03F3"/>
    <w:rsid w:val="001B0C75"/>
    <w:rsid w:val="001B2A29"/>
    <w:rsid w:val="001B368E"/>
    <w:rsid w:val="001B44C2"/>
    <w:rsid w:val="001B4EC1"/>
    <w:rsid w:val="001B659F"/>
    <w:rsid w:val="001B7399"/>
    <w:rsid w:val="001B7655"/>
    <w:rsid w:val="001B7BAD"/>
    <w:rsid w:val="001B7F09"/>
    <w:rsid w:val="001C1166"/>
    <w:rsid w:val="001C1B0B"/>
    <w:rsid w:val="001C261E"/>
    <w:rsid w:val="001C3AC7"/>
    <w:rsid w:val="001C42D0"/>
    <w:rsid w:val="001C5D7E"/>
    <w:rsid w:val="001C7051"/>
    <w:rsid w:val="001C7B78"/>
    <w:rsid w:val="001C7FB4"/>
    <w:rsid w:val="001D0BA6"/>
    <w:rsid w:val="001D1903"/>
    <w:rsid w:val="001D1942"/>
    <w:rsid w:val="001D1DDB"/>
    <w:rsid w:val="001D3483"/>
    <w:rsid w:val="001D4A6B"/>
    <w:rsid w:val="001D53EA"/>
    <w:rsid w:val="001D6B4D"/>
    <w:rsid w:val="001D6D1B"/>
    <w:rsid w:val="001D6F7C"/>
    <w:rsid w:val="001D7C38"/>
    <w:rsid w:val="001D7E9A"/>
    <w:rsid w:val="001E0156"/>
    <w:rsid w:val="001E12A5"/>
    <w:rsid w:val="001E1BF9"/>
    <w:rsid w:val="001E1EDB"/>
    <w:rsid w:val="001E3A18"/>
    <w:rsid w:val="001E5884"/>
    <w:rsid w:val="001E7093"/>
    <w:rsid w:val="001E717D"/>
    <w:rsid w:val="001E71F5"/>
    <w:rsid w:val="001E7D86"/>
    <w:rsid w:val="001F3682"/>
    <w:rsid w:val="001F377B"/>
    <w:rsid w:val="001F3CF9"/>
    <w:rsid w:val="001F55E5"/>
    <w:rsid w:val="001F5CB9"/>
    <w:rsid w:val="001F6C07"/>
    <w:rsid w:val="002003A1"/>
    <w:rsid w:val="00200554"/>
    <w:rsid w:val="00200DC3"/>
    <w:rsid w:val="002011E2"/>
    <w:rsid w:val="00201BB9"/>
    <w:rsid w:val="00202925"/>
    <w:rsid w:val="00202C70"/>
    <w:rsid w:val="0020359C"/>
    <w:rsid w:val="002036F6"/>
    <w:rsid w:val="002050B0"/>
    <w:rsid w:val="00205D80"/>
    <w:rsid w:val="002077E2"/>
    <w:rsid w:val="00210874"/>
    <w:rsid w:val="0021093F"/>
    <w:rsid w:val="00211747"/>
    <w:rsid w:val="002133CA"/>
    <w:rsid w:val="0021409F"/>
    <w:rsid w:val="002146B5"/>
    <w:rsid w:val="00215783"/>
    <w:rsid w:val="0021644B"/>
    <w:rsid w:val="00216489"/>
    <w:rsid w:val="00216908"/>
    <w:rsid w:val="00216DC9"/>
    <w:rsid w:val="00217CA0"/>
    <w:rsid w:val="002202EB"/>
    <w:rsid w:val="00220500"/>
    <w:rsid w:val="00220FCF"/>
    <w:rsid w:val="00221705"/>
    <w:rsid w:val="0022184B"/>
    <w:rsid w:val="00221972"/>
    <w:rsid w:val="00222AED"/>
    <w:rsid w:val="002231C8"/>
    <w:rsid w:val="002234AB"/>
    <w:rsid w:val="00223F9A"/>
    <w:rsid w:val="00224154"/>
    <w:rsid w:val="00224D13"/>
    <w:rsid w:val="00225032"/>
    <w:rsid w:val="00230194"/>
    <w:rsid w:val="00231923"/>
    <w:rsid w:val="00231E3F"/>
    <w:rsid w:val="002329C3"/>
    <w:rsid w:val="002332AE"/>
    <w:rsid w:val="002333C2"/>
    <w:rsid w:val="00233F2D"/>
    <w:rsid w:val="00234040"/>
    <w:rsid w:val="00235D67"/>
    <w:rsid w:val="0023626B"/>
    <w:rsid w:val="002370F4"/>
    <w:rsid w:val="00242F07"/>
    <w:rsid w:val="00243020"/>
    <w:rsid w:val="00244D22"/>
    <w:rsid w:val="00246C09"/>
    <w:rsid w:val="00246EF2"/>
    <w:rsid w:val="002470E4"/>
    <w:rsid w:val="00247132"/>
    <w:rsid w:val="00247262"/>
    <w:rsid w:val="00247EF8"/>
    <w:rsid w:val="00254964"/>
    <w:rsid w:val="00255EBC"/>
    <w:rsid w:val="0025616B"/>
    <w:rsid w:val="00257285"/>
    <w:rsid w:val="002573A6"/>
    <w:rsid w:val="00257FF4"/>
    <w:rsid w:val="002608CE"/>
    <w:rsid w:val="00261660"/>
    <w:rsid w:val="0026279C"/>
    <w:rsid w:val="00262CD3"/>
    <w:rsid w:val="00264181"/>
    <w:rsid w:val="00265289"/>
    <w:rsid w:val="00266613"/>
    <w:rsid w:val="00266FE9"/>
    <w:rsid w:val="00272396"/>
    <w:rsid w:val="00273B43"/>
    <w:rsid w:val="00273D98"/>
    <w:rsid w:val="00275A4E"/>
    <w:rsid w:val="0027614D"/>
    <w:rsid w:val="0027651A"/>
    <w:rsid w:val="002770A1"/>
    <w:rsid w:val="0028001E"/>
    <w:rsid w:val="00281CF6"/>
    <w:rsid w:val="002823A8"/>
    <w:rsid w:val="00282A0F"/>
    <w:rsid w:val="0028359B"/>
    <w:rsid w:val="00284441"/>
    <w:rsid w:val="002857FE"/>
    <w:rsid w:val="00287420"/>
    <w:rsid w:val="00290933"/>
    <w:rsid w:val="002918DF"/>
    <w:rsid w:val="00291E57"/>
    <w:rsid w:val="00292D6A"/>
    <w:rsid w:val="0029312A"/>
    <w:rsid w:val="0029325C"/>
    <w:rsid w:val="00293B2D"/>
    <w:rsid w:val="00293B46"/>
    <w:rsid w:val="00294E5F"/>
    <w:rsid w:val="002960B7"/>
    <w:rsid w:val="00297643"/>
    <w:rsid w:val="00297824"/>
    <w:rsid w:val="002A107C"/>
    <w:rsid w:val="002A153F"/>
    <w:rsid w:val="002A32FD"/>
    <w:rsid w:val="002A40DC"/>
    <w:rsid w:val="002A4534"/>
    <w:rsid w:val="002A51EA"/>
    <w:rsid w:val="002A5329"/>
    <w:rsid w:val="002A5C2D"/>
    <w:rsid w:val="002A61E5"/>
    <w:rsid w:val="002A74DD"/>
    <w:rsid w:val="002A7AB2"/>
    <w:rsid w:val="002A7FC8"/>
    <w:rsid w:val="002B0A81"/>
    <w:rsid w:val="002B1CE7"/>
    <w:rsid w:val="002B208B"/>
    <w:rsid w:val="002B2F0F"/>
    <w:rsid w:val="002B595D"/>
    <w:rsid w:val="002B5BC2"/>
    <w:rsid w:val="002B5F5F"/>
    <w:rsid w:val="002B5F6A"/>
    <w:rsid w:val="002B70DA"/>
    <w:rsid w:val="002B779E"/>
    <w:rsid w:val="002B7D6F"/>
    <w:rsid w:val="002B7D78"/>
    <w:rsid w:val="002C0552"/>
    <w:rsid w:val="002C0961"/>
    <w:rsid w:val="002C1CF7"/>
    <w:rsid w:val="002C1D11"/>
    <w:rsid w:val="002C25D0"/>
    <w:rsid w:val="002C280B"/>
    <w:rsid w:val="002C2C71"/>
    <w:rsid w:val="002C2DB0"/>
    <w:rsid w:val="002C42D7"/>
    <w:rsid w:val="002C4336"/>
    <w:rsid w:val="002C4D41"/>
    <w:rsid w:val="002C52D5"/>
    <w:rsid w:val="002C614F"/>
    <w:rsid w:val="002C75B0"/>
    <w:rsid w:val="002C7703"/>
    <w:rsid w:val="002C7A63"/>
    <w:rsid w:val="002D0153"/>
    <w:rsid w:val="002D2983"/>
    <w:rsid w:val="002D403A"/>
    <w:rsid w:val="002D4262"/>
    <w:rsid w:val="002D46B7"/>
    <w:rsid w:val="002D693D"/>
    <w:rsid w:val="002E1064"/>
    <w:rsid w:val="002E2551"/>
    <w:rsid w:val="002E323F"/>
    <w:rsid w:val="002E4ED8"/>
    <w:rsid w:val="002E5554"/>
    <w:rsid w:val="002E5D24"/>
    <w:rsid w:val="002E6A7D"/>
    <w:rsid w:val="002E77EA"/>
    <w:rsid w:val="002F07BF"/>
    <w:rsid w:val="002F1B12"/>
    <w:rsid w:val="002F530C"/>
    <w:rsid w:val="002F591B"/>
    <w:rsid w:val="002F7B47"/>
    <w:rsid w:val="00300013"/>
    <w:rsid w:val="00300243"/>
    <w:rsid w:val="0030032D"/>
    <w:rsid w:val="003006F8"/>
    <w:rsid w:val="00300784"/>
    <w:rsid w:val="00300BF2"/>
    <w:rsid w:val="003027C1"/>
    <w:rsid w:val="00302A25"/>
    <w:rsid w:val="00303247"/>
    <w:rsid w:val="00304900"/>
    <w:rsid w:val="00304C13"/>
    <w:rsid w:val="00305718"/>
    <w:rsid w:val="00305EC5"/>
    <w:rsid w:val="00306107"/>
    <w:rsid w:val="003077B8"/>
    <w:rsid w:val="003111F8"/>
    <w:rsid w:val="0031204A"/>
    <w:rsid w:val="0031272B"/>
    <w:rsid w:val="00315435"/>
    <w:rsid w:val="003160C7"/>
    <w:rsid w:val="00316DB9"/>
    <w:rsid w:val="0032038C"/>
    <w:rsid w:val="00321889"/>
    <w:rsid w:val="003229A2"/>
    <w:rsid w:val="00325BD9"/>
    <w:rsid w:val="00325C5E"/>
    <w:rsid w:val="00325D80"/>
    <w:rsid w:val="0032738E"/>
    <w:rsid w:val="00331B40"/>
    <w:rsid w:val="00331C5F"/>
    <w:rsid w:val="00332E95"/>
    <w:rsid w:val="00333065"/>
    <w:rsid w:val="00333074"/>
    <w:rsid w:val="00333223"/>
    <w:rsid w:val="00333A43"/>
    <w:rsid w:val="003340BF"/>
    <w:rsid w:val="00334F7E"/>
    <w:rsid w:val="003364C1"/>
    <w:rsid w:val="00337F82"/>
    <w:rsid w:val="00340640"/>
    <w:rsid w:val="00340810"/>
    <w:rsid w:val="00340E7B"/>
    <w:rsid w:val="00341D0A"/>
    <w:rsid w:val="00342B17"/>
    <w:rsid w:val="003435D6"/>
    <w:rsid w:val="0034568B"/>
    <w:rsid w:val="003458E0"/>
    <w:rsid w:val="00345CCD"/>
    <w:rsid w:val="0034623E"/>
    <w:rsid w:val="003511CE"/>
    <w:rsid w:val="00351909"/>
    <w:rsid w:val="00352BE0"/>
    <w:rsid w:val="00352F09"/>
    <w:rsid w:val="0035333E"/>
    <w:rsid w:val="003538F0"/>
    <w:rsid w:val="00357DAE"/>
    <w:rsid w:val="003602A5"/>
    <w:rsid w:val="0036089D"/>
    <w:rsid w:val="00360C06"/>
    <w:rsid w:val="00361259"/>
    <w:rsid w:val="00361429"/>
    <w:rsid w:val="00362AA7"/>
    <w:rsid w:val="00363B11"/>
    <w:rsid w:val="003653B7"/>
    <w:rsid w:val="003672D6"/>
    <w:rsid w:val="003705BF"/>
    <w:rsid w:val="00370935"/>
    <w:rsid w:val="00371C1A"/>
    <w:rsid w:val="003732E1"/>
    <w:rsid w:val="00375E52"/>
    <w:rsid w:val="003805D0"/>
    <w:rsid w:val="00380888"/>
    <w:rsid w:val="00380D9F"/>
    <w:rsid w:val="0038110C"/>
    <w:rsid w:val="003819E1"/>
    <w:rsid w:val="00382234"/>
    <w:rsid w:val="00385A6A"/>
    <w:rsid w:val="0038672F"/>
    <w:rsid w:val="00386BC9"/>
    <w:rsid w:val="00386F24"/>
    <w:rsid w:val="003876AB"/>
    <w:rsid w:val="00387957"/>
    <w:rsid w:val="0039053D"/>
    <w:rsid w:val="00392DD1"/>
    <w:rsid w:val="0039449C"/>
    <w:rsid w:val="00395E02"/>
    <w:rsid w:val="0039684C"/>
    <w:rsid w:val="003A0290"/>
    <w:rsid w:val="003A25BB"/>
    <w:rsid w:val="003A300D"/>
    <w:rsid w:val="003A3E7B"/>
    <w:rsid w:val="003A4566"/>
    <w:rsid w:val="003A5076"/>
    <w:rsid w:val="003A5B84"/>
    <w:rsid w:val="003A6ACE"/>
    <w:rsid w:val="003A7067"/>
    <w:rsid w:val="003B09F6"/>
    <w:rsid w:val="003B0D03"/>
    <w:rsid w:val="003B1F0A"/>
    <w:rsid w:val="003B1F24"/>
    <w:rsid w:val="003B2C1F"/>
    <w:rsid w:val="003B329D"/>
    <w:rsid w:val="003B3684"/>
    <w:rsid w:val="003B5533"/>
    <w:rsid w:val="003B5A85"/>
    <w:rsid w:val="003B71EE"/>
    <w:rsid w:val="003B7621"/>
    <w:rsid w:val="003B7C64"/>
    <w:rsid w:val="003C0593"/>
    <w:rsid w:val="003C0B97"/>
    <w:rsid w:val="003C13A6"/>
    <w:rsid w:val="003C1EB4"/>
    <w:rsid w:val="003C4E3A"/>
    <w:rsid w:val="003D0E1C"/>
    <w:rsid w:val="003D15A3"/>
    <w:rsid w:val="003D1E47"/>
    <w:rsid w:val="003D35F0"/>
    <w:rsid w:val="003D3662"/>
    <w:rsid w:val="003D3C14"/>
    <w:rsid w:val="003D4188"/>
    <w:rsid w:val="003D4557"/>
    <w:rsid w:val="003D543D"/>
    <w:rsid w:val="003D59FD"/>
    <w:rsid w:val="003D6BE4"/>
    <w:rsid w:val="003E10B8"/>
    <w:rsid w:val="003E1107"/>
    <w:rsid w:val="003E122D"/>
    <w:rsid w:val="003E13F5"/>
    <w:rsid w:val="003E1978"/>
    <w:rsid w:val="003E1DA7"/>
    <w:rsid w:val="003E2B5E"/>
    <w:rsid w:val="003E349E"/>
    <w:rsid w:val="003E3FF4"/>
    <w:rsid w:val="003E4E15"/>
    <w:rsid w:val="003E5912"/>
    <w:rsid w:val="003E5AE8"/>
    <w:rsid w:val="003E67C0"/>
    <w:rsid w:val="003E68C4"/>
    <w:rsid w:val="003F07EE"/>
    <w:rsid w:val="003F0B11"/>
    <w:rsid w:val="003F0D4A"/>
    <w:rsid w:val="003F1406"/>
    <w:rsid w:val="003F1AEE"/>
    <w:rsid w:val="003F29F2"/>
    <w:rsid w:val="003F3C77"/>
    <w:rsid w:val="003F47DF"/>
    <w:rsid w:val="003F6209"/>
    <w:rsid w:val="003F7762"/>
    <w:rsid w:val="003F79CB"/>
    <w:rsid w:val="0040314A"/>
    <w:rsid w:val="00404DC8"/>
    <w:rsid w:val="00405165"/>
    <w:rsid w:val="00405DAB"/>
    <w:rsid w:val="00405E90"/>
    <w:rsid w:val="0040629D"/>
    <w:rsid w:val="004065CE"/>
    <w:rsid w:val="00406802"/>
    <w:rsid w:val="0040700B"/>
    <w:rsid w:val="00407349"/>
    <w:rsid w:val="00407A61"/>
    <w:rsid w:val="004105DD"/>
    <w:rsid w:val="00410DCE"/>
    <w:rsid w:val="00412C0B"/>
    <w:rsid w:val="0041404E"/>
    <w:rsid w:val="0041429D"/>
    <w:rsid w:val="004147D0"/>
    <w:rsid w:val="00414E1F"/>
    <w:rsid w:val="0041581E"/>
    <w:rsid w:val="004161E5"/>
    <w:rsid w:val="00416B1B"/>
    <w:rsid w:val="0041765C"/>
    <w:rsid w:val="00420837"/>
    <w:rsid w:val="00420DD3"/>
    <w:rsid w:val="00421EEC"/>
    <w:rsid w:val="00422933"/>
    <w:rsid w:val="00422F4B"/>
    <w:rsid w:val="00423003"/>
    <w:rsid w:val="00423446"/>
    <w:rsid w:val="004248B4"/>
    <w:rsid w:val="00424C66"/>
    <w:rsid w:val="0042526D"/>
    <w:rsid w:val="004254A2"/>
    <w:rsid w:val="00425621"/>
    <w:rsid w:val="00426077"/>
    <w:rsid w:val="00426D71"/>
    <w:rsid w:val="00430256"/>
    <w:rsid w:val="00430E3D"/>
    <w:rsid w:val="0043194D"/>
    <w:rsid w:val="00431BF1"/>
    <w:rsid w:val="00433D22"/>
    <w:rsid w:val="004342F8"/>
    <w:rsid w:val="00434A2F"/>
    <w:rsid w:val="0044083A"/>
    <w:rsid w:val="004408FA"/>
    <w:rsid w:val="004429FC"/>
    <w:rsid w:val="0044378F"/>
    <w:rsid w:val="0044552A"/>
    <w:rsid w:val="00445663"/>
    <w:rsid w:val="004461A4"/>
    <w:rsid w:val="00446612"/>
    <w:rsid w:val="00450980"/>
    <w:rsid w:val="00450E44"/>
    <w:rsid w:val="00451501"/>
    <w:rsid w:val="004527E7"/>
    <w:rsid w:val="004528D0"/>
    <w:rsid w:val="00453C86"/>
    <w:rsid w:val="00454520"/>
    <w:rsid w:val="00454564"/>
    <w:rsid w:val="004562E5"/>
    <w:rsid w:val="00457BC3"/>
    <w:rsid w:val="00457D16"/>
    <w:rsid w:val="0046034D"/>
    <w:rsid w:val="00461801"/>
    <w:rsid w:val="00462272"/>
    <w:rsid w:val="0046390C"/>
    <w:rsid w:val="00464569"/>
    <w:rsid w:val="00465995"/>
    <w:rsid w:val="00465D4E"/>
    <w:rsid w:val="00466381"/>
    <w:rsid w:val="004672CD"/>
    <w:rsid w:val="00467393"/>
    <w:rsid w:val="00467BDD"/>
    <w:rsid w:val="004717F6"/>
    <w:rsid w:val="0047364D"/>
    <w:rsid w:val="0047481E"/>
    <w:rsid w:val="00474918"/>
    <w:rsid w:val="00475EAF"/>
    <w:rsid w:val="00476781"/>
    <w:rsid w:val="0047681C"/>
    <w:rsid w:val="0047719F"/>
    <w:rsid w:val="004812A0"/>
    <w:rsid w:val="004815F8"/>
    <w:rsid w:val="00481E32"/>
    <w:rsid w:val="004831ED"/>
    <w:rsid w:val="004831FC"/>
    <w:rsid w:val="004836A7"/>
    <w:rsid w:val="004847B4"/>
    <w:rsid w:val="00484921"/>
    <w:rsid w:val="00486614"/>
    <w:rsid w:val="0048741A"/>
    <w:rsid w:val="004877E9"/>
    <w:rsid w:val="00487E11"/>
    <w:rsid w:val="00487FB8"/>
    <w:rsid w:val="004900FE"/>
    <w:rsid w:val="004919D4"/>
    <w:rsid w:val="00491D7A"/>
    <w:rsid w:val="00491FB2"/>
    <w:rsid w:val="0049200C"/>
    <w:rsid w:val="0049212C"/>
    <w:rsid w:val="004929C5"/>
    <w:rsid w:val="00495C39"/>
    <w:rsid w:val="0049759A"/>
    <w:rsid w:val="004A1224"/>
    <w:rsid w:val="004A2037"/>
    <w:rsid w:val="004A247B"/>
    <w:rsid w:val="004A2750"/>
    <w:rsid w:val="004A28C5"/>
    <w:rsid w:val="004A2F59"/>
    <w:rsid w:val="004A3AA0"/>
    <w:rsid w:val="004A5E53"/>
    <w:rsid w:val="004A64B4"/>
    <w:rsid w:val="004A660C"/>
    <w:rsid w:val="004A6B44"/>
    <w:rsid w:val="004A6E0E"/>
    <w:rsid w:val="004A7281"/>
    <w:rsid w:val="004B0B19"/>
    <w:rsid w:val="004B1B06"/>
    <w:rsid w:val="004B1E81"/>
    <w:rsid w:val="004B35F0"/>
    <w:rsid w:val="004B37A7"/>
    <w:rsid w:val="004B4426"/>
    <w:rsid w:val="004B44E1"/>
    <w:rsid w:val="004B500F"/>
    <w:rsid w:val="004B5F2A"/>
    <w:rsid w:val="004B74B2"/>
    <w:rsid w:val="004C103D"/>
    <w:rsid w:val="004C1303"/>
    <w:rsid w:val="004C1399"/>
    <w:rsid w:val="004C1806"/>
    <w:rsid w:val="004C1C09"/>
    <w:rsid w:val="004C2A17"/>
    <w:rsid w:val="004C2B0E"/>
    <w:rsid w:val="004C30F5"/>
    <w:rsid w:val="004C5507"/>
    <w:rsid w:val="004C5A7E"/>
    <w:rsid w:val="004C7C00"/>
    <w:rsid w:val="004D1E1A"/>
    <w:rsid w:val="004D1EFF"/>
    <w:rsid w:val="004D23A9"/>
    <w:rsid w:val="004D2683"/>
    <w:rsid w:val="004D29F5"/>
    <w:rsid w:val="004D2F90"/>
    <w:rsid w:val="004D3A90"/>
    <w:rsid w:val="004D7804"/>
    <w:rsid w:val="004E0308"/>
    <w:rsid w:val="004E2825"/>
    <w:rsid w:val="004E3079"/>
    <w:rsid w:val="004E3276"/>
    <w:rsid w:val="004E370B"/>
    <w:rsid w:val="004E3836"/>
    <w:rsid w:val="004E62E4"/>
    <w:rsid w:val="004E7C41"/>
    <w:rsid w:val="004F0E90"/>
    <w:rsid w:val="004F0F5B"/>
    <w:rsid w:val="004F1212"/>
    <w:rsid w:val="004F22B8"/>
    <w:rsid w:val="004F2437"/>
    <w:rsid w:val="004F2D35"/>
    <w:rsid w:val="004F3F02"/>
    <w:rsid w:val="004F4624"/>
    <w:rsid w:val="004F5573"/>
    <w:rsid w:val="004F5D8B"/>
    <w:rsid w:val="004F634F"/>
    <w:rsid w:val="004F64CF"/>
    <w:rsid w:val="004F7556"/>
    <w:rsid w:val="004F78BF"/>
    <w:rsid w:val="00500700"/>
    <w:rsid w:val="0050141B"/>
    <w:rsid w:val="0050239D"/>
    <w:rsid w:val="00502638"/>
    <w:rsid w:val="005027FB"/>
    <w:rsid w:val="005029BC"/>
    <w:rsid w:val="00502B87"/>
    <w:rsid w:val="0050346A"/>
    <w:rsid w:val="00504472"/>
    <w:rsid w:val="005048E3"/>
    <w:rsid w:val="00505A77"/>
    <w:rsid w:val="00505CB3"/>
    <w:rsid w:val="005067C7"/>
    <w:rsid w:val="00506EB0"/>
    <w:rsid w:val="0050798C"/>
    <w:rsid w:val="00507C8C"/>
    <w:rsid w:val="0051207B"/>
    <w:rsid w:val="005136CD"/>
    <w:rsid w:val="00513B38"/>
    <w:rsid w:val="00514B1A"/>
    <w:rsid w:val="00514E2B"/>
    <w:rsid w:val="005150C5"/>
    <w:rsid w:val="00515CCC"/>
    <w:rsid w:val="0051600C"/>
    <w:rsid w:val="00517351"/>
    <w:rsid w:val="00517D71"/>
    <w:rsid w:val="00520DB6"/>
    <w:rsid w:val="00521860"/>
    <w:rsid w:val="00521D74"/>
    <w:rsid w:val="005222CC"/>
    <w:rsid w:val="00522622"/>
    <w:rsid w:val="00523B5E"/>
    <w:rsid w:val="005250EE"/>
    <w:rsid w:val="00525AB1"/>
    <w:rsid w:val="00526B01"/>
    <w:rsid w:val="00526C61"/>
    <w:rsid w:val="00527492"/>
    <w:rsid w:val="005277F5"/>
    <w:rsid w:val="00527A5A"/>
    <w:rsid w:val="005310C1"/>
    <w:rsid w:val="00531934"/>
    <w:rsid w:val="00532994"/>
    <w:rsid w:val="005329BE"/>
    <w:rsid w:val="00533515"/>
    <w:rsid w:val="005342DE"/>
    <w:rsid w:val="00534AC0"/>
    <w:rsid w:val="00535557"/>
    <w:rsid w:val="005357B1"/>
    <w:rsid w:val="0053606A"/>
    <w:rsid w:val="005369C0"/>
    <w:rsid w:val="00536B92"/>
    <w:rsid w:val="005405D6"/>
    <w:rsid w:val="00540B25"/>
    <w:rsid w:val="00540D82"/>
    <w:rsid w:val="00541254"/>
    <w:rsid w:val="005421CC"/>
    <w:rsid w:val="00542BA5"/>
    <w:rsid w:val="0054379B"/>
    <w:rsid w:val="00544841"/>
    <w:rsid w:val="00546BCE"/>
    <w:rsid w:val="00547058"/>
    <w:rsid w:val="00547CD4"/>
    <w:rsid w:val="00547EB8"/>
    <w:rsid w:val="005518C6"/>
    <w:rsid w:val="00552905"/>
    <w:rsid w:val="00552A96"/>
    <w:rsid w:val="00552FC2"/>
    <w:rsid w:val="00553797"/>
    <w:rsid w:val="00553DA2"/>
    <w:rsid w:val="00554083"/>
    <w:rsid w:val="005543FB"/>
    <w:rsid w:val="00555623"/>
    <w:rsid w:val="005562DC"/>
    <w:rsid w:val="00556725"/>
    <w:rsid w:val="00557A85"/>
    <w:rsid w:val="005606B5"/>
    <w:rsid w:val="00560E2D"/>
    <w:rsid w:val="00561457"/>
    <w:rsid w:val="005618A5"/>
    <w:rsid w:val="00562BAD"/>
    <w:rsid w:val="0056365E"/>
    <w:rsid w:val="00565C77"/>
    <w:rsid w:val="00566181"/>
    <w:rsid w:val="00566BF8"/>
    <w:rsid w:val="005708BD"/>
    <w:rsid w:val="0057317E"/>
    <w:rsid w:val="005731D3"/>
    <w:rsid w:val="00573C7D"/>
    <w:rsid w:val="00574906"/>
    <w:rsid w:val="00574E9E"/>
    <w:rsid w:val="005752BC"/>
    <w:rsid w:val="0057622F"/>
    <w:rsid w:val="00577977"/>
    <w:rsid w:val="005810FA"/>
    <w:rsid w:val="00581719"/>
    <w:rsid w:val="00581D30"/>
    <w:rsid w:val="00583362"/>
    <w:rsid w:val="005834D8"/>
    <w:rsid w:val="00584245"/>
    <w:rsid w:val="00584C2D"/>
    <w:rsid w:val="00584D80"/>
    <w:rsid w:val="00586535"/>
    <w:rsid w:val="00586BB5"/>
    <w:rsid w:val="00586DFB"/>
    <w:rsid w:val="0058710C"/>
    <w:rsid w:val="00587C83"/>
    <w:rsid w:val="005905BC"/>
    <w:rsid w:val="00590B75"/>
    <w:rsid w:val="00590DAA"/>
    <w:rsid w:val="00591AC3"/>
    <w:rsid w:val="0059205C"/>
    <w:rsid w:val="00592349"/>
    <w:rsid w:val="0059372C"/>
    <w:rsid w:val="00594352"/>
    <w:rsid w:val="00596F3F"/>
    <w:rsid w:val="00597EEF"/>
    <w:rsid w:val="005A0812"/>
    <w:rsid w:val="005A1AF8"/>
    <w:rsid w:val="005A1C4E"/>
    <w:rsid w:val="005A1EE5"/>
    <w:rsid w:val="005A3678"/>
    <w:rsid w:val="005A3DAF"/>
    <w:rsid w:val="005A4A1A"/>
    <w:rsid w:val="005A61D3"/>
    <w:rsid w:val="005A7C0B"/>
    <w:rsid w:val="005A7D13"/>
    <w:rsid w:val="005A7E70"/>
    <w:rsid w:val="005B170C"/>
    <w:rsid w:val="005B1A53"/>
    <w:rsid w:val="005B276F"/>
    <w:rsid w:val="005B2AF7"/>
    <w:rsid w:val="005B40E8"/>
    <w:rsid w:val="005B4CD4"/>
    <w:rsid w:val="005B6DAA"/>
    <w:rsid w:val="005B7314"/>
    <w:rsid w:val="005B7C27"/>
    <w:rsid w:val="005B7D8B"/>
    <w:rsid w:val="005C03F6"/>
    <w:rsid w:val="005C0475"/>
    <w:rsid w:val="005C1569"/>
    <w:rsid w:val="005C348A"/>
    <w:rsid w:val="005C3555"/>
    <w:rsid w:val="005C3C1A"/>
    <w:rsid w:val="005C4604"/>
    <w:rsid w:val="005C46D8"/>
    <w:rsid w:val="005C4BEE"/>
    <w:rsid w:val="005C6E74"/>
    <w:rsid w:val="005C732E"/>
    <w:rsid w:val="005C781C"/>
    <w:rsid w:val="005C79C6"/>
    <w:rsid w:val="005D13ED"/>
    <w:rsid w:val="005D181E"/>
    <w:rsid w:val="005D330E"/>
    <w:rsid w:val="005D788D"/>
    <w:rsid w:val="005D7A35"/>
    <w:rsid w:val="005E034F"/>
    <w:rsid w:val="005E09A7"/>
    <w:rsid w:val="005E198B"/>
    <w:rsid w:val="005E19D9"/>
    <w:rsid w:val="005E1D35"/>
    <w:rsid w:val="005E2A31"/>
    <w:rsid w:val="005E3CAE"/>
    <w:rsid w:val="005E3D2F"/>
    <w:rsid w:val="005E442F"/>
    <w:rsid w:val="005E54A3"/>
    <w:rsid w:val="005E5625"/>
    <w:rsid w:val="005E5E0C"/>
    <w:rsid w:val="005E61D8"/>
    <w:rsid w:val="005E6F2B"/>
    <w:rsid w:val="005E7E2B"/>
    <w:rsid w:val="005E7E2C"/>
    <w:rsid w:val="005F1ADE"/>
    <w:rsid w:val="005F29CD"/>
    <w:rsid w:val="005F3175"/>
    <w:rsid w:val="005F3436"/>
    <w:rsid w:val="005F3506"/>
    <w:rsid w:val="005F41D8"/>
    <w:rsid w:val="005F4739"/>
    <w:rsid w:val="005F6228"/>
    <w:rsid w:val="005F642B"/>
    <w:rsid w:val="005F67FC"/>
    <w:rsid w:val="00601630"/>
    <w:rsid w:val="006026E1"/>
    <w:rsid w:val="00603A90"/>
    <w:rsid w:val="00605163"/>
    <w:rsid w:val="006065BF"/>
    <w:rsid w:val="00606B95"/>
    <w:rsid w:val="006070EA"/>
    <w:rsid w:val="00607922"/>
    <w:rsid w:val="00607956"/>
    <w:rsid w:val="00607ABE"/>
    <w:rsid w:val="00607F53"/>
    <w:rsid w:val="006103D0"/>
    <w:rsid w:val="0061075E"/>
    <w:rsid w:val="0061103A"/>
    <w:rsid w:val="00611EAE"/>
    <w:rsid w:val="0061364A"/>
    <w:rsid w:val="00613BEA"/>
    <w:rsid w:val="0061402C"/>
    <w:rsid w:val="006148C7"/>
    <w:rsid w:val="0061595F"/>
    <w:rsid w:val="00615A79"/>
    <w:rsid w:val="00616179"/>
    <w:rsid w:val="0061675B"/>
    <w:rsid w:val="00617BF5"/>
    <w:rsid w:val="0062052B"/>
    <w:rsid w:val="00620F8F"/>
    <w:rsid w:val="00621A86"/>
    <w:rsid w:val="00623401"/>
    <w:rsid w:val="00623DFD"/>
    <w:rsid w:val="00625C40"/>
    <w:rsid w:val="00627E7C"/>
    <w:rsid w:val="00630CFF"/>
    <w:rsid w:val="00631369"/>
    <w:rsid w:val="00632481"/>
    <w:rsid w:val="0063262D"/>
    <w:rsid w:val="0063268B"/>
    <w:rsid w:val="00633310"/>
    <w:rsid w:val="0063390E"/>
    <w:rsid w:val="00633E6F"/>
    <w:rsid w:val="00634673"/>
    <w:rsid w:val="00636F91"/>
    <w:rsid w:val="00637754"/>
    <w:rsid w:val="00637BBD"/>
    <w:rsid w:val="00640761"/>
    <w:rsid w:val="00640D17"/>
    <w:rsid w:val="00641177"/>
    <w:rsid w:val="00641A99"/>
    <w:rsid w:val="00642768"/>
    <w:rsid w:val="00642A84"/>
    <w:rsid w:val="00645753"/>
    <w:rsid w:val="00645E69"/>
    <w:rsid w:val="00646130"/>
    <w:rsid w:val="00646ACE"/>
    <w:rsid w:val="00647211"/>
    <w:rsid w:val="006474C0"/>
    <w:rsid w:val="00647927"/>
    <w:rsid w:val="00650B2D"/>
    <w:rsid w:val="00650FC2"/>
    <w:rsid w:val="00651EB1"/>
    <w:rsid w:val="00652B9B"/>
    <w:rsid w:val="00652F78"/>
    <w:rsid w:val="00653743"/>
    <w:rsid w:val="00653DD9"/>
    <w:rsid w:val="00654119"/>
    <w:rsid w:val="0065416D"/>
    <w:rsid w:val="00654E6A"/>
    <w:rsid w:val="00655112"/>
    <w:rsid w:val="006551FC"/>
    <w:rsid w:val="006575F3"/>
    <w:rsid w:val="00660871"/>
    <w:rsid w:val="006614DC"/>
    <w:rsid w:val="00662809"/>
    <w:rsid w:val="00662911"/>
    <w:rsid w:val="00663823"/>
    <w:rsid w:val="0066478E"/>
    <w:rsid w:val="00664CDF"/>
    <w:rsid w:val="00664E08"/>
    <w:rsid w:val="00664E67"/>
    <w:rsid w:val="006650D0"/>
    <w:rsid w:val="00665B04"/>
    <w:rsid w:val="006663F6"/>
    <w:rsid w:val="00666541"/>
    <w:rsid w:val="006666A5"/>
    <w:rsid w:val="00666754"/>
    <w:rsid w:val="0066774D"/>
    <w:rsid w:val="00667F42"/>
    <w:rsid w:val="00671284"/>
    <w:rsid w:val="006727FC"/>
    <w:rsid w:val="00673906"/>
    <w:rsid w:val="00674747"/>
    <w:rsid w:val="00674CD9"/>
    <w:rsid w:val="006756CD"/>
    <w:rsid w:val="00676E5B"/>
    <w:rsid w:val="00677D6B"/>
    <w:rsid w:val="00680795"/>
    <w:rsid w:val="00682713"/>
    <w:rsid w:val="00683451"/>
    <w:rsid w:val="00683579"/>
    <w:rsid w:val="006843F4"/>
    <w:rsid w:val="006846E9"/>
    <w:rsid w:val="00684D34"/>
    <w:rsid w:val="00685261"/>
    <w:rsid w:val="006854CE"/>
    <w:rsid w:val="00685EB0"/>
    <w:rsid w:val="00686B47"/>
    <w:rsid w:val="0068790B"/>
    <w:rsid w:val="006906E4"/>
    <w:rsid w:val="00691C54"/>
    <w:rsid w:val="00691E49"/>
    <w:rsid w:val="006922DC"/>
    <w:rsid w:val="00692EC0"/>
    <w:rsid w:val="00693447"/>
    <w:rsid w:val="00693FFB"/>
    <w:rsid w:val="006941DD"/>
    <w:rsid w:val="0069466B"/>
    <w:rsid w:val="00694795"/>
    <w:rsid w:val="00695014"/>
    <w:rsid w:val="006967DF"/>
    <w:rsid w:val="00696AA8"/>
    <w:rsid w:val="006A07FF"/>
    <w:rsid w:val="006A24B3"/>
    <w:rsid w:val="006A257C"/>
    <w:rsid w:val="006A2615"/>
    <w:rsid w:val="006A4158"/>
    <w:rsid w:val="006A4AA7"/>
    <w:rsid w:val="006A4E15"/>
    <w:rsid w:val="006A5866"/>
    <w:rsid w:val="006A5E4F"/>
    <w:rsid w:val="006A643C"/>
    <w:rsid w:val="006B08DD"/>
    <w:rsid w:val="006B0F54"/>
    <w:rsid w:val="006B415B"/>
    <w:rsid w:val="006B4C95"/>
    <w:rsid w:val="006B4CBA"/>
    <w:rsid w:val="006B5B8A"/>
    <w:rsid w:val="006B6A20"/>
    <w:rsid w:val="006B7542"/>
    <w:rsid w:val="006B7EB6"/>
    <w:rsid w:val="006C0900"/>
    <w:rsid w:val="006C0A59"/>
    <w:rsid w:val="006C19EE"/>
    <w:rsid w:val="006C2E46"/>
    <w:rsid w:val="006C3B05"/>
    <w:rsid w:val="006C4E45"/>
    <w:rsid w:val="006C514A"/>
    <w:rsid w:val="006C5A6D"/>
    <w:rsid w:val="006C5EE1"/>
    <w:rsid w:val="006C61B1"/>
    <w:rsid w:val="006C6DB8"/>
    <w:rsid w:val="006C74F4"/>
    <w:rsid w:val="006D0669"/>
    <w:rsid w:val="006D1D4E"/>
    <w:rsid w:val="006D2151"/>
    <w:rsid w:val="006D3622"/>
    <w:rsid w:val="006D3771"/>
    <w:rsid w:val="006D440A"/>
    <w:rsid w:val="006D481F"/>
    <w:rsid w:val="006D5599"/>
    <w:rsid w:val="006D592F"/>
    <w:rsid w:val="006D60EF"/>
    <w:rsid w:val="006D62BE"/>
    <w:rsid w:val="006D7B71"/>
    <w:rsid w:val="006E0006"/>
    <w:rsid w:val="006E01BB"/>
    <w:rsid w:val="006E0DF6"/>
    <w:rsid w:val="006E1BDE"/>
    <w:rsid w:val="006E336C"/>
    <w:rsid w:val="006E35A9"/>
    <w:rsid w:val="006E3B9E"/>
    <w:rsid w:val="006E4A27"/>
    <w:rsid w:val="006E4A48"/>
    <w:rsid w:val="006E5550"/>
    <w:rsid w:val="006E5828"/>
    <w:rsid w:val="006E6BB9"/>
    <w:rsid w:val="006E719C"/>
    <w:rsid w:val="006E784F"/>
    <w:rsid w:val="006F0B4F"/>
    <w:rsid w:val="006F0E97"/>
    <w:rsid w:val="006F2DF3"/>
    <w:rsid w:val="006F2DF9"/>
    <w:rsid w:val="006F3C6F"/>
    <w:rsid w:val="006F41C6"/>
    <w:rsid w:val="006F44C7"/>
    <w:rsid w:val="006F5DD9"/>
    <w:rsid w:val="006F6FA2"/>
    <w:rsid w:val="007001D0"/>
    <w:rsid w:val="00700CE3"/>
    <w:rsid w:val="00701498"/>
    <w:rsid w:val="00701E70"/>
    <w:rsid w:val="00704F47"/>
    <w:rsid w:val="00705BC0"/>
    <w:rsid w:val="007060E9"/>
    <w:rsid w:val="00706223"/>
    <w:rsid w:val="00706EFA"/>
    <w:rsid w:val="007072C2"/>
    <w:rsid w:val="0070746B"/>
    <w:rsid w:val="0070748A"/>
    <w:rsid w:val="007075CA"/>
    <w:rsid w:val="00710C02"/>
    <w:rsid w:val="00710E67"/>
    <w:rsid w:val="0071151E"/>
    <w:rsid w:val="007118AC"/>
    <w:rsid w:val="00711FC7"/>
    <w:rsid w:val="0071482B"/>
    <w:rsid w:val="00714C8F"/>
    <w:rsid w:val="00715A32"/>
    <w:rsid w:val="00716F57"/>
    <w:rsid w:val="00717A74"/>
    <w:rsid w:val="00720A6F"/>
    <w:rsid w:val="00720EA2"/>
    <w:rsid w:val="00721409"/>
    <w:rsid w:val="00721CE0"/>
    <w:rsid w:val="007221A2"/>
    <w:rsid w:val="0072265D"/>
    <w:rsid w:val="00722742"/>
    <w:rsid w:val="00722935"/>
    <w:rsid w:val="007231B8"/>
    <w:rsid w:val="00723BA8"/>
    <w:rsid w:val="00724257"/>
    <w:rsid w:val="00727815"/>
    <w:rsid w:val="007301A7"/>
    <w:rsid w:val="00730E31"/>
    <w:rsid w:val="0073128C"/>
    <w:rsid w:val="007319C8"/>
    <w:rsid w:val="0073225D"/>
    <w:rsid w:val="00734033"/>
    <w:rsid w:val="00734421"/>
    <w:rsid w:val="007346F8"/>
    <w:rsid w:val="00734D66"/>
    <w:rsid w:val="00734E06"/>
    <w:rsid w:val="007357B2"/>
    <w:rsid w:val="00736E9D"/>
    <w:rsid w:val="007373FA"/>
    <w:rsid w:val="00737E7D"/>
    <w:rsid w:val="0074063F"/>
    <w:rsid w:val="00740E97"/>
    <w:rsid w:val="00740EF1"/>
    <w:rsid w:val="0074250E"/>
    <w:rsid w:val="0074305F"/>
    <w:rsid w:val="007437BA"/>
    <w:rsid w:val="007444E7"/>
    <w:rsid w:val="00744DBD"/>
    <w:rsid w:val="00745398"/>
    <w:rsid w:val="00745F95"/>
    <w:rsid w:val="00746FC3"/>
    <w:rsid w:val="007477E8"/>
    <w:rsid w:val="00747B90"/>
    <w:rsid w:val="00754870"/>
    <w:rsid w:val="00754AB0"/>
    <w:rsid w:val="00756055"/>
    <w:rsid w:val="007561F0"/>
    <w:rsid w:val="00756632"/>
    <w:rsid w:val="0075754A"/>
    <w:rsid w:val="00760554"/>
    <w:rsid w:val="0076083D"/>
    <w:rsid w:val="00761DC2"/>
    <w:rsid w:val="00762B1E"/>
    <w:rsid w:val="00764B94"/>
    <w:rsid w:val="007652E2"/>
    <w:rsid w:val="007653DA"/>
    <w:rsid w:val="00765A82"/>
    <w:rsid w:val="00766434"/>
    <w:rsid w:val="0076704F"/>
    <w:rsid w:val="00770E10"/>
    <w:rsid w:val="00771E5C"/>
    <w:rsid w:val="00772107"/>
    <w:rsid w:val="00772BCB"/>
    <w:rsid w:val="00772DF8"/>
    <w:rsid w:val="00772FF3"/>
    <w:rsid w:val="00773E30"/>
    <w:rsid w:val="00774053"/>
    <w:rsid w:val="007742FF"/>
    <w:rsid w:val="00774A83"/>
    <w:rsid w:val="00775146"/>
    <w:rsid w:val="0077566D"/>
    <w:rsid w:val="00776097"/>
    <w:rsid w:val="007766A5"/>
    <w:rsid w:val="007766C5"/>
    <w:rsid w:val="00776E39"/>
    <w:rsid w:val="0078016D"/>
    <w:rsid w:val="0078069E"/>
    <w:rsid w:val="00781778"/>
    <w:rsid w:val="00782098"/>
    <w:rsid w:val="0078254C"/>
    <w:rsid w:val="00782ACA"/>
    <w:rsid w:val="00786231"/>
    <w:rsid w:val="00790066"/>
    <w:rsid w:val="007900CB"/>
    <w:rsid w:val="007905B2"/>
    <w:rsid w:val="00790619"/>
    <w:rsid w:val="00790D70"/>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364"/>
    <w:rsid w:val="007B347F"/>
    <w:rsid w:val="007B34BD"/>
    <w:rsid w:val="007B39F6"/>
    <w:rsid w:val="007B4481"/>
    <w:rsid w:val="007B5A25"/>
    <w:rsid w:val="007B5A98"/>
    <w:rsid w:val="007B5E30"/>
    <w:rsid w:val="007B7B1A"/>
    <w:rsid w:val="007C035F"/>
    <w:rsid w:val="007C05BB"/>
    <w:rsid w:val="007C1DB0"/>
    <w:rsid w:val="007C2270"/>
    <w:rsid w:val="007C27D4"/>
    <w:rsid w:val="007C3E8E"/>
    <w:rsid w:val="007C4CCE"/>
    <w:rsid w:val="007C570A"/>
    <w:rsid w:val="007C7D49"/>
    <w:rsid w:val="007C7DE5"/>
    <w:rsid w:val="007D0EEB"/>
    <w:rsid w:val="007D1666"/>
    <w:rsid w:val="007D1D99"/>
    <w:rsid w:val="007D207A"/>
    <w:rsid w:val="007D4D2A"/>
    <w:rsid w:val="007D550C"/>
    <w:rsid w:val="007D763D"/>
    <w:rsid w:val="007D77A3"/>
    <w:rsid w:val="007E00B1"/>
    <w:rsid w:val="007E0749"/>
    <w:rsid w:val="007E0AD2"/>
    <w:rsid w:val="007E2F87"/>
    <w:rsid w:val="007E334F"/>
    <w:rsid w:val="007E372F"/>
    <w:rsid w:val="007E4155"/>
    <w:rsid w:val="007E57B5"/>
    <w:rsid w:val="007E5D39"/>
    <w:rsid w:val="007E66C8"/>
    <w:rsid w:val="007E67BD"/>
    <w:rsid w:val="007E6BBD"/>
    <w:rsid w:val="007F06E1"/>
    <w:rsid w:val="007F0C09"/>
    <w:rsid w:val="007F3E75"/>
    <w:rsid w:val="007F517F"/>
    <w:rsid w:val="007F5773"/>
    <w:rsid w:val="007F6391"/>
    <w:rsid w:val="007F6D82"/>
    <w:rsid w:val="007F6FB8"/>
    <w:rsid w:val="007F7481"/>
    <w:rsid w:val="007F76FF"/>
    <w:rsid w:val="007F7E83"/>
    <w:rsid w:val="00801491"/>
    <w:rsid w:val="008015A7"/>
    <w:rsid w:val="00801B79"/>
    <w:rsid w:val="00801EF6"/>
    <w:rsid w:val="008024FB"/>
    <w:rsid w:val="00802AEC"/>
    <w:rsid w:val="00803099"/>
    <w:rsid w:val="00803AC9"/>
    <w:rsid w:val="0080406C"/>
    <w:rsid w:val="0080562C"/>
    <w:rsid w:val="008071D0"/>
    <w:rsid w:val="0081066B"/>
    <w:rsid w:val="00810809"/>
    <w:rsid w:val="00810C6A"/>
    <w:rsid w:val="00810C86"/>
    <w:rsid w:val="0081141A"/>
    <w:rsid w:val="008121F6"/>
    <w:rsid w:val="00812350"/>
    <w:rsid w:val="00812369"/>
    <w:rsid w:val="00812741"/>
    <w:rsid w:val="008128E3"/>
    <w:rsid w:val="00812B12"/>
    <w:rsid w:val="00813900"/>
    <w:rsid w:val="008139BC"/>
    <w:rsid w:val="00815871"/>
    <w:rsid w:val="00820286"/>
    <w:rsid w:val="00821789"/>
    <w:rsid w:val="0082180B"/>
    <w:rsid w:val="00821BC9"/>
    <w:rsid w:val="00822356"/>
    <w:rsid w:val="00823848"/>
    <w:rsid w:val="00825147"/>
    <w:rsid w:val="00825D4F"/>
    <w:rsid w:val="00830017"/>
    <w:rsid w:val="00830787"/>
    <w:rsid w:val="00830DC9"/>
    <w:rsid w:val="00831489"/>
    <w:rsid w:val="008314C1"/>
    <w:rsid w:val="008315E3"/>
    <w:rsid w:val="00833A6A"/>
    <w:rsid w:val="00833E2F"/>
    <w:rsid w:val="00834F9A"/>
    <w:rsid w:val="008368F3"/>
    <w:rsid w:val="00837560"/>
    <w:rsid w:val="008400A8"/>
    <w:rsid w:val="0084087A"/>
    <w:rsid w:val="00840A5E"/>
    <w:rsid w:val="0084156A"/>
    <w:rsid w:val="008425FD"/>
    <w:rsid w:val="008427B1"/>
    <w:rsid w:val="008439C8"/>
    <w:rsid w:val="008449FF"/>
    <w:rsid w:val="0084601D"/>
    <w:rsid w:val="008462FB"/>
    <w:rsid w:val="00846780"/>
    <w:rsid w:val="00846C73"/>
    <w:rsid w:val="008472BF"/>
    <w:rsid w:val="00850462"/>
    <w:rsid w:val="0085161D"/>
    <w:rsid w:val="00854E02"/>
    <w:rsid w:val="00855597"/>
    <w:rsid w:val="00855780"/>
    <w:rsid w:val="00856178"/>
    <w:rsid w:val="008567C0"/>
    <w:rsid w:val="00856C69"/>
    <w:rsid w:val="008570AB"/>
    <w:rsid w:val="00861FBF"/>
    <w:rsid w:val="00862545"/>
    <w:rsid w:val="00862D62"/>
    <w:rsid w:val="008633EE"/>
    <w:rsid w:val="00864441"/>
    <w:rsid w:val="008653B5"/>
    <w:rsid w:val="008656CE"/>
    <w:rsid w:val="00865A76"/>
    <w:rsid w:val="008663D7"/>
    <w:rsid w:val="00866843"/>
    <w:rsid w:val="0086730B"/>
    <w:rsid w:val="008679E6"/>
    <w:rsid w:val="00867A0F"/>
    <w:rsid w:val="00870279"/>
    <w:rsid w:val="00871811"/>
    <w:rsid w:val="00872E1F"/>
    <w:rsid w:val="00873942"/>
    <w:rsid w:val="00873D27"/>
    <w:rsid w:val="0087400E"/>
    <w:rsid w:val="00874397"/>
    <w:rsid w:val="00880558"/>
    <w:rsid w:val="00883894"/>
    <w:rsid w:val="0088444F"/>
    <w:rsid w:val="00885DA2"/>
    <w:rsid w:val="00885E17"/>
    <w:rsid w:val="00886342"/>
    <w:rsid w:val="008875DE"/>
    <w:rsid w:val="0089092F"/>
    <w:rsid w:val="00893491"/>
    <w:rsid w:val="00893594"/>
    <w:rsid w:val="008947EA"/>
    <w:rsid w:val="00894ABF"/>
    <w:rsid w:val="00894CF6"/>
    <w:rsid w:val="00896FF4"/>
    <w:rsid w:val="008A0E85"/>
    <w:rsid w:val="008A15CB"/>
    <w:rsid w:val="008A1A3F"/>
    <w:rsid w:val="008A1DDE"/>
    <w:rsid w:val="008A2544"/>
    <w:rsid w:val="008A371D"/>
    <w:rsid w:val="008A3DB4"/>
    <w:rsid w:val="008A5443"/>
    <w:rsid w:val="008A55A8"/>
    <w:rsid w:val="008A5F01"/>
    <w:rsid w:val="008A6071"/>
    <w:rsid w:val="008A6214"/>
    <w:rsid w:val="008A6B66"/>
    <w:rsid w:val="008A7078"/>
    <w:rsid w:val="008B0969"/>
    <w:rsid w:val="008B11D0"/>
    <w:rsid w:val="008B1954"/>
    <w:rsid w:val="008B32B6"/>
    <w:rsid w:val="008B4464"/>
    <w:rsid w:val="008B4BF2"/>
    <w:rsid w:val="008B56E5"/>
    <w:rsid w:val="008B5AFD"/>
    <w:rsid w:val="008B6650"/>
    <w:rsid w:val="008B729C"/>
    <w:rsid w:val="008B7A4E"/>
    <w:rsid w:val="008C1506"/>
    <w:rsid w:val="008C19F6"/>
    <w:rsid w:val="008C2D30"/>
    <w:rsid w:val="008C33F2"/>
    <w:rsid w:val="008C3E08"/>
    <w:rsid w:val="008C4B1C"/>
    <w:rsid w:val="008C6C92"/>
    <w:rsid w:val="008C77F7"/>
    <w:rsid w:val="008D0262"/>
    <w:rsid w:val="008D0AE4"/>
    <w:rsid w:val="008D1B0D"/>
    <w:rsid w:val="008D20E6"/>
    <w:rsid w:val="008D2F52"/>
    <w:rsid w:val="008D3E19"/>
    <w:rsid w:val="008D5777"/>
    <w:rsid w:val="008D57A4"/>
    <w:rsid w:val="008D5F06"/>
    <w:rsid w:val="008D6B57"/>
    <w:rsid w:val="008D74C3"/>
    <w:rsid w:val="008D770C"/>
    <w:rsid w:val="008D7DFC"/>
    <w:rsid w:val="008E00FD"/>
    <w:rsid w:val="008E07C6"/>
    <w:rsid w:val="008E144C"/>
    <w:rsid w:val="008E33EA"/>
    <w:rsid w:val="008E4180"/>
    <w:rsid w:val="008E4ECE"/>
    <w:rsid w:val="008E5129"/>
    <w:rsid w:val="008E5BB7"/>
    <w:rsid w:val="008E5F84"/>
    <w:rsid w:val="008E657C"/>
    <w:rsid w:val="008E6A1B"/>
    <w:rsid w:val="008E6EA2"/>
    <w:rsid w:val="008E6FF6"/>
    <w:rsid w:val="008E72E5"/>
    <w:rsid w:val="008E79F9"/>
    <w:rsid w:val="008E7DCC"/>
    <w:rsid w:val="008F0EA9"/>
    <w:rsid w:val="008F167D"/>
    <w:rsid w:val="008F1A42"/>
    <w:rsid w:val="008F1B1E"/>
    <w:rsid w:val="008F2B7E"/>
    <w:rsid w:val="008F31DF"/>
    <w:rsid w:val="008F38F6"/>
    <w:rsid w:val="008F411D"/>
    <w:rsid w:val="008F47D1"/>
    <w:rsid w:val="008F4D31"/>
    <w:rsid w:val="008F5246"/>
    <w:rsid w:val="008F53F5"/>
    <w:rsid w:val="008F56A2"/>
    <w:rsid w:val="008F5FF0"/>
    <w:rsid w:val="008F61F2"/>
    <w:rsid w:val="008F63BC"/>
    <w:rsid w:val="008F6447"/>
    <w:rsid w:val="008F6485"/>
    <w:rsid w:val="008F710C"/>
    <w:rsid w:val="008F743D"/>
    <w:rsid w:val="008F7B17"/>
    <w:rsid w:val="008F7F78"/>
    <w:rsid w:val="00900316"/>
    <w:rsid w:val="009010D0"/>
    <w:rsid w:val="0090122A"/>
    <w:rsid w:val="00901F73"/>
    <w:rsid w:val="00902798"/>
    <w:rsid w:val="0090394F"/>
    <w:rsid w:val="009054D3"/>
    <w:rsid w:val="00905587"/>
    <w:rsid w:val="009057D3"/>
    <w:rsid w:val="00907912"/>
    <w:rsid w:val="00907B9D"/>
    <w:rsid w:val="00910CBD"/>
    <w:rsid w:val="00910CFA"/>
    <w:rsid w:val="00911FE7"/>
    <w:rsid w:val="009125D2"/>
    <w:rsid w:val="00914007"/>
    <w:rsid w:val="009152C2"/>
    <w:rsid w:val="00915E3F"/>
    <w:rsid w:val="00915F49"/>
    <w:rsid w:val="00915F97"/>
    <w:rsid w:val="00916DFE"/>
    <w:rsid w:val="00916EB8"/>
    <w:rsid w:val="0092273F"/>
    <w:rsid w:val="009238F1"/>
    <w:rsid w:val="009249B4"/>
    <w:rsid w:val="00926716"/>
    <w:rsid w:val="009270DB"/>
    <w:rsid w:val="00927214"/>
    <w:rsid w:val="00930BEB"/>
    <w:rsid w:val="009323DF"/>
    <w:rsid w:val="00932A7F"/>
    <w:rsid w:val="00932AFC"/>
    <w:rsid w:val="0093389C"/>
    <w:rsid w:val="00933A7D"/>
    <w:rsid w:val="00933DA9"/>
    <w:rsid w:val="0093452F"/>
    <w:rsid w:val="0093491F"/>
    <w:rsid w:val="00935E14"/>
    <w:rsid w:val="009363E4"/>
    <w:rsid w:val="00941E4F"/>
    <w:rsid w:val="009423EA"/>
    <w:rsid w:val="00942454"/>
    <w:rsid w:val="0094480E"/>
    <w:rsid w:val="00945548"/>
    <w:rsid w:val="00945A90"/>
    <w:rsid w:val="00945A98"/>
    <w:rsid w:val="00946D33"/>
    <w:rsid w:val="0094717B"/>
    <w:rsid w:val="00947B5B"/>
    <w:rsid w:val="00950281"/>
    <w:rsid w:val="00951BD3"/>
    <w:rsid w:val="00951CD0"/>
    <w:rsid w:val="009529FD"/>
    <w:rsid w:val="00952B8F"/>
    <w:rsid w:val="0095500B"/>
    <w:rsid w:val="0095569B"/>
    <w:rsid w:val="009559F2"/>
    <w:rsid w:val="009562CC"/>
    <w:rsid w:val="0095695E"/>
    <w:rsid w:val="00957310"/>
    <w:rsid w:val="0095750D"/>
    <w:rsid w:val="00962B8F"/>
    <w:rsid w:val="009637E4"/>
    <w:rsid w:val="00964464"/>
    <w:rsid w:val="00965665"/>
    <w:rsid w:val="00965DE7"/>
    <w:rsid w:val="0096632E"/>
    <w:rsid w:val="00966D4F"/>
    <w:rsid w:val="00970E65"/>
    <w:rsid w:val="0097102C"/>
    <w:rsid w:val="00971A0C"/>
    <w:rsid w:val="00971CBF"/>
    <w:rsid w:val="00971F52"/>
    <w:rsid w:val="0097202E"/>
    <w:rsid w:val="00972E0B"/>
    <w:rsid w:val="0097462D"/>
    <w:rsid w:val="009748F0"/>
    <w:rsid w:val="00974A7C"/>
    <w:rsid w:val="0097587B"/>
    <w:rsid w:val="009766FE"/>
    <w:rsid w:val="009770D6"/>
    <w:rsid w:val="00977715"/>
    <w:rsid w:val="00980439"/>
    <w:rsid w:val="009804D6"/>
    <w:rsid w:val="00982444"/>
    <w:rsid w:val="00982BA7"/>
    <w:rsid w:val="00982D92"/>
    <w:rsid w:val="00982F10"/>
    <w:rsid w:val="009834A0"/>
    <w:rsid w:val="009843A8"/>
    <w:rsid w:val="00984993"/>
    <w:rsid w:val="00984CA2"/>
    <w:rsid w:val="009854F1"/>
    <w:rsid w:val="009864A0"/>
    <w:rsid w:val="00986BE2"/>
    <w:rsid w:val="0098714A"/>
    <w:rsid w:val="00991C53"/>
    <w:rsid w:val="00993190"/>
    <w:rsid w:val="00993208"/>
    <w:rsid w:val="00993EA1"/>
    <w:rsid w:val="0099496C"/>
    <w:rsid w:val="00996569"/>
    <w:rsid w:val="009A057B"/>
    <w:rsid w:val="009A06F0"/>
    <w:rsid w:val="009A14DE"/>
    <w:rsid w:val="009A2294"/>
    <w:rsid w:val="009A40DD"/>
    <w:rsid w:val="009A4174"/>
    <w:rsid w:val="009A5F36"/>
    <w:rsid w:val="009A72B5"/>
    <w:rsid w:val="009A7BC2"/>
    <w:rsid w:val="009B011E"/>
    <w:rsid w:val="009B180F"/>
    <w:rsid w:val="009B1897"/>
    <w:rsid w:val="009B1BB7"/>
    <w:rsid w:val="009B1C51"/>
    <w:rsid w:val="009B48D4"/>
    <w:rsid w:val="009B49C6"/>
    <w:rsid w:val="009B751B"/>
    <w:rsid w:val="009C0992"/>
    <w:rsid w:val="009C0C48"/>
    <w:rsid w:val="009C1814"/>
    <w:rsid w:val="009C1830"/>
    <w:rsid w:val="009C23DA"/>
    <w:rsid w:val="009C24B3"/>
    <w:rsid w:val="009C2C09"/>
    <w:rsid w:val="009C2E5A"/>
    <w:rsid w:val="009C508F"/>
    <w:rsid w:val="009C5E9E"/>
    <w:rsid w:val="009C6214"/>
    <w:rsid w:val="009C672A"/>
    <w:rsid w:val="009C7B18"/>
    <w:rsid w:val="009C7D55"/>
    <w:rsid w:val="009C7DEA"/>
    <w:rsid w:val="009C7F52"/>
    <w:rsid w:val="009D07F2"/>
    <w:rsid w:val="009D0E37"/>
    <w:rsid w:val="009D1884"/>
    <w:rsid w:val="009D24A3"/>
    <w:rsid w:val="009D2FD6"/>
    <w:rsid w:val="009D3295"/>
    <w:rsid w:val="009D3665"/>
    <w:rsid w:val="009D3C84"/>
    <w:rsid w:val="009D40C6"/>
    <w:rsid w:val="009D54F3"/>
    <w:rsid w:val="009D6969"/>
    <w:rsid w:val="009D7470"/>
    <w:rsid w:val="009D7A58"/>
    <w:rsid w:val="009E0828"/>
    <w:rsid w:val="009E0CED"/>
    <w:rsid w:val="009E15A7"/>
    <w:rsid w:val="009E1744"/>
    <w:rsid w:val="009E17A2"/>
    <w:rsid w:val="009E2D23"/>
    <w:rsid w:val="009E4043"/>
    <w:rsid w:val="009E43C1"/>
    <w:rsid w:val="009E4F92"/>
    <w:rsid w:val="009E65C0"/>
    <w:rsid w:val="009E6DF1"/>
    <w:rsid w:val="009E7024"/>
    <w:rsid w:val="009F1313"/>
    <w:rsid w:val="009F1602"/>
    <w:rsid w:val="009F3BA0"/>
    <w:rsid w:val="009F3F5D"/>
    <w:rsid w:val="009F43CB"/>
    <w:rsid w:val="009F4C6F"/>
    <w:rsid w:val="009F4CB9"/>
    <w:rsid w:val="009F4DBA"/>
    <w:rsid w:val="009F521E"/>
    <w:rsid w:val="009F7F97"/>
    <w:rsid w:val="00A01C02"/>
    <w:rsid w:val="00A02D24"/>
    <w:rsid w:val="00A05113"/>
    <w:rsid w:val="00A054DC"/>
    <w:rsid w:val="00A069AE"/>
    <w:rsid w:val="00A0756B"/>
    <w:rsid w:val="00A0767B"/>
    <w:rsid w:val="00A10389"/>
    <w:rsid w:val="00A10AAD"/>
    <w:rsid w:val="00A1133E"/>
    <w:rsid w:val="00A11888"/>
    <w:rsid w:val="00A11E62"/>
    <w:rsid w:val="00A11E8F"/>
    <w:rsid w:val="00A12369"/>
    <w:rsid w:val="00A13522"/>
    <w:rsid w:val="00A13EE9"/>
    <w:rsid w:val="00A14357"/>
    <w:rsid w:val="00A1524F"/>
    <w:rsid w:val="00A15E63"/>
    <w:rsid w:val="00A167D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5FAA"/>
    <w:rsid w:val="00A36B42"/>
    <w:rsid w:val="00A40163"/>
    <w:rsid w:val="00A409BC"/>
    <w:rsid w:val="00A40BDC"/>
    <w:rsid w:val="00A4181B"/>
    <w:rsid w:val="00A4250B"/>
    <w:rsid w:val="00A42F6D"/>
    <w:rsid w:val="00A44612"/>
    <w:rsid w:val="00A44720"/>
    <w:rsid w:val="00A44A44"/>
    <w:rsid w:val="00A46164"/>
    <w:rsid w:val="00A46A8E"/>
    <w:rsid w:val="00A51337"/>
    <w:rsid w:val="00A52C53"/>
    <w:rsid w:val="00A537E5"/>
    <w:rsid w:val="00A540A5"/>
    <w:rsid w:val="00A54248"/>
    <w:rsid w:val="00A55B6F"/>
    <w:rsid w:val="00A61BD0"/>
    <w:rsid w:val="00A61E55"/>
    <w:rsid w:val="00A6388E"/>
    <w:rsid w:val="00A64BC6"/>
    <w:rsid w:val="00A64FD7"/>
    <w:rsid w:val="00A659CB"/>
    <w:rsid w:val="00A701DC"/>
    <w:rsid w:val="00A70398"/>
    <w:rsid w:val="00A709AD"/>
    <w:rsid w:val="00A71441"/>
    <w:rsid w:val="00A71B1B"/>
    <w:rsid w:val="00A71B5C"/>
    <w:rsid w:val="00A72DA9"/>
    <w:rsid w:val="00A733CB"/>
    <w:rsid w:val="00A739DF"/>
    <w:rsid w:val="00A740A0"/>
    <w:rsid w:val="00A751AD"/>
    <w:rsid w:val="00A75225"/>
    <w:rsid w:val="00A76045"/>
    <w:rsid w:val="00A773CD"/>
    <w:rsid w:val="00A775CF"/>
    <w:rsid w:val="00A77853"/>
    <w:rsid w:val="00A77FAF"/>
    <w:rsid w:val="00A805EB"/>
    <w:rsid w:val="00A80C87"/>
    <w:rsid w:val="00A8178E"/>
    <w:rsid w:val="00A81EED"/>
    <w:rsid w:val="00A84503"/>
    <w:rsid w:val="00A84C48"/>
    <w:rsid w:val="00A867DA"/>
    <w:rsid w:val="00A875D0"/>
    <w:rsid w:val="00A8782F"/>
    <w:rsid w:val="00A9143B"/>
    <w:rsid w:val="00A9167D"/>
    <w:rsid w:val="00A92D25"/>
    <w:rsid w:val="00A9401F"/>
    <w:rsid w:val="00A94689"/>
    <w:rsid w:val="00A94DDB"/>
    <w:rsid w:val="00A94F82"/>
    <w:rsid w:val="00A950A1"/>
    <w:rsid w:val="00A965CD"/>
    <w:rsid w:val="00AA1BEC"/>
    <w:rsid w:val="00AA27AA"/>
    <w:rsid w:val="00AA2DF3"/>
    <w:rsid w:val="00AA35A5"/>
    <w:rsid w:val="00AA3606"/>
    <w:rsid w:val="00AA4761"/>
    <w:rsid w:val="00AA50BC"/>
    <w:rsid w:val="00AA5E3A"/>
    <w:rsid w:val="00AA65AD"/>
    <w:rsid w:val="00AA6AE4"/>
    <w:rsid w:val="00AA766C"/>
    <w:rsid w:val="00AB24E7"/>
    <w:rsid w:val="00AB3237"/>
    <w:rsid w:val="00AB3917"/>
    <w:rsid w:val="00AB3A2D"/>
    <w:rsid w:val="00AB4AC8"/>
    <w:rsid w:val="00AB50AC"/>
    <w:rsid w:val="00AB5E21"/>
    <w:rsid w:val="00AB7337"/>
    <w:rsid w:val="00AB75AE"/>
    <w:rsid w:val="00AB76EC"/>
    <w:rsid w:val="00AB7933"/>
    <w:rsid w:val="00AC13C9"/>
    <w:rsid w:val="00AC3071"/>
    <w:rsid w:val="00AC3A08"/>
    <w:rsid w:val="00AC3D18"/>
    <w:rsid w:val="00AC6332"/>
    <w:rsid w:val="00AC7FAF"/>
    <w:rsid w:val="00AD0843"/>
    <w:rsid w:val="00AD10CF"/>
    <w:rsid w:val="00AD2FC0"/>
    <w:rsid w:val="00AD3581"/>
    <w:rsid w:val="00AD35EA"/>
    <w:rsid w:val="00AD3BC7"/>
    <w:rsid w:val="00AD42E2"/>
    <w:rsid w:val="00AD4967"/>
    <w:rsid w:val="00AD562E"/>
    <w:rsid w:val="00AD5B1B"/>
    <w:rsid w:val="00AD66BE"/>
    <w:rsid w:val="00AD6DB9"/>
    <w:rsid w:val="00AD7630"/>
    <w:rsid w:val="00AD7798"/>
    <w:rsid w:val="00AE0D13"/>
    <w:rsid w:val="00AE2459"/>
    <w:rsid w:val="00AE29C2"/>
    <w:rsid w:val="00AE375B"/>
    <w:rsid w:val="00AE3D23"/>
    <w:rsid w:val="00AE4EC8"/>
    <w:rsid w:val="00AE517C"/>
    <w:rsid w:val="00AE599E"/>
    <w:rsid w:val="00AE5D9F"/>
    <w:rsid w:val="00AE5F15"/>
    <w:rsid w:val="00AE61C0"/>
    <w:rsid w:val="00AE680F"/>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11F6"/>
    <w:rsid w:val="00B0207F"/>
    <w:rsid w:val="00B03F4D"/>
    <w:rsid w:val="00B04550"/>
    <w:rsid w:val="00B04964"/>
    <w:rsid w:val="00B04CBD"/>
    <w:rsid w:val="00B0590B"/>
    <w:rsid w:val="00B104AE"/>
    <w:rsid w:val="00B10605"/>
    <w:rsid w:val="00B10F95"/>
    <w:rsid w:val="00B11B0A"/>
    <w:rsid w:val="00B12331"/>
    <w:rsid w:val="00B124AD"/>
    <w:rsid w:val="00B13EE3"/>
    <w:rsid w:val="00B15B71"/>
    <w:rsid w:val="00B166C6"/>
    <w:rsid w:val="00B17CD1"/>
    <w:rsid w:val="00B21342"/>
    <w:rsid w:val="00B216F7"/>
    <w:rsid w:val="00B21941"/>
    <w:rsid w:val="00B21EB4"/>
    <w:rsid w:val="00B22A5B"/>
    <w:rsid w:val="00B22E40"/>
    <w:rsid w:val="00B23F4C"/>
    <w:rsid w:val="00B2691D"/>
    <w:rsid w:val="00B26C44"/>
    <w:rsid w:val="00B27820"/>
    <w:rsid w:val="00B30944"/>
    <w:rsid w:val="00B30ABA"/>
    <w:rsid w:val="00B30D88"/>
    <w:rsid w:val="00B3104B"/>
    <w:rsid w:val="00B32AAC"/>
    <w:rsid w:val="00B33C3B"/>
    <w:rsid w:val="00B33F4D"/>
    <w:rsid w:val="00B363A8"/>
    <w:rsid w:val="00B36CFC"/>
    <w:rsid w:val="00B37148"/>
    <w:rsid w:val="00B37AFC"/>
    <w:rsid w:val="00B403B5"/>
    <w:rsid w:val="00B4084B"/>
    <w:rsid w:val="00B41972"/>
    <w:rsid w:val="00B42B56"/>
    <w:rsid w:val="00B45864"/>
    <w:rsid w:val="00B460B5"/>
    <w:rsid w:val="00B47F4C"/>
    <w:rsid w:val="00B50958"/>
    <w:rsid w:val="00B51526"/>
    <w:rsid w:val="00B5213E"/>
    <w:rsid w:val="00B52E8F"/>
    <w:rsid w:val="00B539C6"/>
    <w:rsid w:val="00B53B6C"/>
    <w:rsid w:val="00B567D8"/>
    <w:rsid w:val="00B60F6F"/>
    <w:rsid w:val="00B61A52"/>
    <w:rsid w:val="00B6230B"/>
    <w:rsid w:val="00B63ABE"/>
    <w:rsid w:val="00B63C3C"/>
    <w:rsid w:val="00B64DE4"/>
    <w:rsid w:val="00B65561"/>
    <w:rsid w:val="00B676B8"/>
    <w:rsid w:val="00B70250"/>
    <w:rsid w:val="00B70387"/>
    <w:rsid w:val="00B70C9E"/>
    <w:rsid w:val="00B71222"/>
    <w:rsid w:val="00B71494"/>
    <w:rsid w:val="00B7174A"/>
    <w:rsid w:val="00B72A1E"/>
    <w:rsid w:val="00B7358B"/>
    <w:rsid w:val="00B7388C"/>
    <w:rsid w:val="00B73E0D"/>
    <w:rsid w:val="00B7521F"/>
    <w:rsid w:val="00B75805"/>
    <w:rsid w:val="00B81747"/>
    <w:rsid w:val="00B830A1"/>
    <w:rsid w:val="00B83160"/>
    <w:rsid w:val="00B8365B"/>
    <w:rsid w:val="00B83705"/>
    <w:rsid w:val="00B83CA0"/>
    <w:rsid w:val="00B84155"/>
    <w:rsid w:val="00B84243"/>
    <w:rsid w:val="00B84D44"/>
    <w:rsid w:val="00B85C34"/>
    <w:rsid w:val="00B86CCD"/>
    <w:rsid w:val="00B86D9C"/>
    <w:rsid w:val="00B876C0"/>
    <w:rsid w:val="00B87806"/>
    <w:rsid w:val="00B917A0"/>
    <w:rsid w:val="00B92B09"/>
    <w:rsid w:val="00B93884"/>
    <w:rsid w:val="00B94405"/>
    <w:rsid w:val="00B94A65"/>
    <w:rsid w:val="00B94ADF"/>
    <w:rsid w:val="00B94FB4"/>
    <w:rsid w:val="00B95D2D"/>
    <w:rsid w:val="00B9607C"/>
    <w:rsid w:val="00B9676C"/>
    <w:rsid w:val="00BA0966"/>
    <w:rsid w:val="00BA0F2F"/>
    <w:rsid w:val="00BA379F"/>
    <w:rsid w:val="00BA4391"/>
    <w:rsid w:val="00BA44CC"/>
    <w:rsid w:val="00BA6777"/>
    <w:rsid w:val="00BB26DC"/>
    <w:rsid w:val="00BB2A98"/>
    <w:rsid w:val="00BB2FD5"/>
    <w:rsid w:val="00BB3AB5"/>
    <w:rsid w:val="00BB3DA8"/>
    <w:rsid w:val="00BB498B"/>
    <w:rsid w:val="00BB699D"/>
    <w:rsid w:val="00BB6D23"/>
    <w:rsid w:val="00BB6E74"/>
    <w:rsid w:val="00BB6E7A"/>
    <w:rsid w:val="00BB71AC"/>
    <w:rsid w:val="00BB721D"/>
    <w:rsid w:val="00BB7363"/>
    <w:rsid w:val="00BB7455"/>
    <w:rsid w:val="00BC1D7E"/>
    <w:rsid w:val="00BC2C65"/>
    <w:rsid w:val="00BC3472"/>
    <w:rsid w:val="00BC3C87"/>
    <w:rsid w:val="00BC3CAB"/>
    <w:rsid w:val="00BC42CE"/>
    <w:rsid w:val="00BC5093"/>
    <w:rsid w:val="00BC6702"/>
    <w:rsid w:val="00BD210E"/>
    <w:rsid w:val="00BD2CB2"/>
    <w:rsid w:val="00BD34C3"/>
    <w:rsid w:val="00BD40CB"/>
    <w:rsid w:val="00BD4954"/>
    <w:rsid w:val="00BD50FA"/>
    <w:rsid w:val="00BD78D5"/>
    <w:rsid w:val="00BE0A68"/>
    <w:rsid w:val="00BE31FB"/>
    <w:rsid w:val="00BE537C"/>
    <w:rsid w:val="00BE6AA2"/>
    <w:rsid w:val="00BE6D85"/>
    <w:rsid w:val="00BE70B3"/>
    <w:rsid w:val="00BE72FD"/>
    <w:rsid w:val="00BE7D03"/>
    <w:rsid w:val="00BE7D58"/>
    <w:rsid w:val="00BF0270"/>
    <w:rsid w:val="00BF0E14"/>
    <w:rsid w:val="00BF164E"/>
    <w:rsid w:val="00BF17FD"/>
    <w:rsid w:val="00BF1A33"/>
    <w:rsid w:val="00BF23C3"/>
    <w:rsid w:val="00BF3D35"/>
    <w:rsid w:val="00BF67E6"/>
    <w:rsid w:val="00BF6D42"/>
    <w:rsid w:val="00BF7ED9"/>
    <w:rsid w:val="00C00AA5"/>
    <w:rsid w:val="00C00B3B"/>
    <w:rsid w:val="00C02450"/>
    <w:rsid w:val="00C03193"/>
    <w:rsid w:val="00C038D0"/>
    <w:rsid w:val="00C04F94"/>
    <w:rsid w:val="00C066AF"/>
    <w:rsid w:val="00C07DEC"/>
    <w:rsid w:val="00C1005F"/>
    <w:rsid w:val="00C10081"/>
    <w:rsid w:val="00C107D2"/>
    <w:rsid w:val="00C11F05"/>
    <w:rsid w:val="00C11F2F"/>
    <w:rsid w:val="00C12D0A"/>
    <w:rsid w:val="00C13681"/>
    <w:rsid w:val="00C13DA0"/>
    <w:rsid w:val="00C14720"/>
    <w:rsid w:val="00C15DEF"/>
    <w:rsid w:val="00C17B32"/>
    <w:rsid w:val="00C20E76"/>
    <w:rsid w:val="00C23647"/>
    <w:rsid w:val="00C2476F"/>
    <w:rsid w:val="00C249B7"/>
    <w:rsid w:val="00C2641F"/>
    <w:rsid w:val="00C276B1"/>
    <w:rsid w:val="00C3009E"/>
    <w:rsid w:val="00C31E81"/>
    <w:rsid w:val="00C3239B"/>
    <w:rsid w:val="00C3249E"/>
    <w:rsid w:val="00C32F37"/>
    <w:rsid w:val="00C3303C"/>
    <w:rsid w:val="00C3324A"/>
    <w:rsid w:val="00C33361"/>
    <w:rsid w:val="00C33CC3"/>
    <w:rsid w:val="00C342CD"/>
    <w:rsid w:val="00C34390"/>
    <w:rsid w:val="00C34C59"/>
    <w:rsid w:val="00C359BA"/>
    <w:rsid w:val="00C3650D"/>
    <w:rsid w:val="00C36775"/>
    <w:rsid w:val="00C402AD"/>
    <w:rsid w:val="00C40689"/>
    <w:rsid w:val="00C41D55"/>
    <w:rsid w:val="00C428E6"/>
    <w:rsid w:val="00C42D37"/>
    <w:rsid w:val="00C431A3"/>
    <w:rsid w:val="00C43DF8"/>
    <w:rsid w:val="00C44BE3"/>
    <w:rsid w:val="00C44C1D"/>
    <w:rsid w:val="00C450A9"/>
    <w:rsid w:val="00C45903"/>
    <w:rsid w:val="00C46D0E"/>
    <w:rsid w:val="00C47C8E"/>
    <w:rsid w:val="00C52D9D"/>
    <w:rsid w:val="00C532F1"/>
    <w:rsid w:val="00C53EF2"/>
    <w:rsid w:val="00C54223"/>
    <w:rsid w:val="00C55846"/>
    <w:rsid w:val="00C57706"/>
    <w:rsid w:val="00C628BE"/>
    <w:rsid w:val="00C6305B"/>
    <w:rsid w:val="00C63109"/>
    <w:rsid w:val="00C63C1F"/>
    <w:rsid w:val="00C63ED7"/>
    <w:rsid w:val="00C67C8A"/>
    <w:rsid w:val="00C705DA"/>
    <w:rsid w:val="00C7356F"/>
    <w:rsid w:val="00C74126"/>
    <w:rsid w:val="00C74C39"/>
    <w:rsid w:val="00C74DA9"/>
    <w:rsid w:val="00C74E8D"/>
    <w:rsid w:val="00C753BA"/>
    <w:rsid w:val="00C75874"/>
    <w:rsid w:val="00C7638D"/>
    <w:rsid w:val="00C763EA"/>
    <w:rsid w:val="00C76DA8"/>
    <w:rsid w:val="00C77417"/>
    <w:rsid w:val="00C8049D"/>
    <w:rsid w:val="00C854F5"/>
    <w:rsid w:val="00C85E77"/>
    <w:rsid w:val="00C866FD"/>
    <w:rsid w:val="00C86D90"/>
    <w:rsid w:val="00C872C5"/>
    <w:rsid w:val="00C8748F"/>
    <w:rsid w:val="00C87FB8"/>
    <w:rsid w:val="00C900DA"/>
    <w:rsid w:val="00C91347"/>
    <w:rsid w:val="00C91A52"/>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3875"/>
    <w:rsid w:val="00CA43EB"/>
    <w:rsid w:val="00CA450E"/>
    <w:rsid w:val="00CA475B"/>
    <w:rsid w:val="00CA4819"/>
    <w:rsid w:val="00CA49A3"/>
    <w:rsid w:val="00CA600B"/>
    <w:rsid w:val="00CA6C41"/>
    <w:rsid w:val="00CA709C"/>
    <w:rsid w:val="00CB12FB"/>
    <w:rsid w:val="00CB15FE"/>
    <w:rsid w:val="00CB1F59"/>
    <w:rsid w:val="00CB4589"/>
    <w:rsid w:val="00CB54F0"/>
    <w:rsid w:val="00CB60C9"/>
    <w:rsid w:val="00CB62C0"/>
    <w:rsid w:val="00CB6D24"/>
    <w:rsid w:val="00CB6F39"/>
    <w:rsid w:val="00CB795F"/>
    <w:rsid w:val="00CC01ED"/>
    <w:rsid w:val="00CC0486"/>
    <w:rsid w:val="00CC0B67"/>
    <w:rsid w:val="00CC2A06"/>
    <w:rsid w:val="00CC2C3A"/>
    <w:rsid w:val="00CC36A5"/>
    <w:rsid w:val="00CC4867"/>
    <w:rsid w:val="00CC5AB0"/>
    <w:rsid w:val="00CC6371"/>
    <w:rsid w:val="00CC6AFF"/>
    <w:rsid w:val="00CC6B19"/>
    <w:rsid w:val="00CC7810"/>
    <w:rsid w:val="00CC7ED8"/>
    <w:rsid w:val="00CC7F08"/>
    <w:rsid w:val="00CD1BF3"/>
    <w:rsid w:val="00CD3382"/>
    <w:rsid w:val="00CD4E67"/>
    <w:rsid w:val="00CD65DB"/>
    <w:rsid w:val="00CD6D33"/>
    <w:rsid w:val="00CE0085"/>
    <w:rsid w:val="00CE0472"/>
    <w:rsid w:val="00CE132D"/>
    <w:rsid w:val="00CE179F"/>
    <w:rsid w:val="00CE2193"/>
    <w:rsid w:val="00CE2B6C"/>
    <w:rsid w:val="00CE2C1A"/>
    <w:rsid w:val="00CE3F53"/>
    <w:rsid w:val="00CE4134"/>
    <w:rsid w:val="00CE4AD0"/>
    <w:rsid w:val="00CE558E"/>
    <w:rsid w:val="00CE5774"/>
    <w:rsid w:val="00CE69FA"/>
    <w:rsid w:val="00CE7933"/>
    <w:rsid w:val="00CF164C"/>
    <w:rsid w:val="00CF2C6F"/>
    <w:rsid w:val="00CF4131"/>
    <w:rsid w:val="00CF5085"/>
    <w:rsid w:val="00CF5FDC"/>
    <w:rsid w:val="00CF6DB4"/>
    <w:rsid w:val="00CF7058"/>
    <w:rsid w:val="00D00382"/>
    <w:rsid w:val="00D0086A"/>
    <w:rsid w:val="00D02EF1"/>
    <w:rsid w:val="00D05719"/>
    <w:rsid w:val="00D07A8D"/>
    <w:rsid w:val="00D1024D"/>
    <w:rsid w:val="00D106CD"/>
    <w:rsid w:val="00D11F5B"/>
    <w:rsid w:val="00D120BF"/>
    <w:rsid w:val="00D126BC"/>
    <w:rsid w:val="00D143EC"/>
    <w:rsid w:val="00D1469B"/>
    <w:rsid w:val="00D14D9E"/>
    <w:rsid w:val="00D15792"/>
    <w:rsid w:val="00D1741D"/>
    <w:rsid w:val="00D174C3"/>
    <w:rsid w:val="00D17D15"/>
    <w:rsid w:val="00D17E55"/>
    <w:rsid w:val="00D20CE7"/>
    <w:rsid w:val="00D20E25"/>
    <w:rsid w:val="00D2179B"/>
    <w:rsid w:val="00D22699"/>
    <w:rsid w:val="00D2316C"/>
    <w:rsid w:val="00D23531"/>
    <w:rsid w:val="00D24D0C"/>
    <w:rsid w:val="00D24FF4"/>
    <w:rsid w:val="00D30A84"/>
    <w:rsid w:val="00D30CBA"/>
    <w:rsid w:val="00D322BC"/>
    <w:rsid w:val="00D323B5"/>
    <w:rsid w:val="00D327B7"/>
    <w:rsid w:val="00D33ED1"/>
    <w:rsid w:val="00D3564F"/>
    <w:rsid w:val="00D36298"/>
    <w:rsid w:val="00D36333"/>
    <w:rsid w:val="00D364CF"/>
    <w:rsid w:val="00D37C36"/>
    <w:rsid w:val="00D4187B"/>
    <w:rsid w:val="00D42256"/>
    <w:rsid w:val="00D428B3"/>
    <w:rsid w:val="00D42993"/>
    <w:rsid w:val="00D42D32"/>
    <w:rsid w:val="00D43AEF"/>
    <w:rsid w:val="00D43E58"/>
    <w:rsid w:val="00D44839"/>
    <w:rsid w:val="00D44D21"/>
    <w:rsid w:val="00D456C4"/>
    <w:rsid w:val="00D459CF"/>
    <w:rsid w:val="00D45C29"/>
    <w:rsid w:val="00D46A7B"/>
    <w:rsid w:val="00D47F72"/>
    <w:rsid w:val="00D50C9B"/>
    <w:rsid w:val="00D52C68"/>
    <w:rsid w:val="00D549BF"/>
    <w:rsid w:val="00D551E1"/>
    <w:rsid w:val="00D55368"/>
    <w:rsid w:val="00D55763"/>
    <w:rsid w:val="00D5708A"/>
    <w:rsid w:val="00D576B5"/>
    <w:rsid w:val="00D57849"/>
    <w:rsid w:val="00D579C5"/>
    <w:rsid w:val="00D57C87"/>
    <w:rsid w:val="00D60439"/>
    <w:rsid w:val="00D606C2"/>
    <w:rsid w:val="00D6199A"/>
    <w:rsid w:val="00D62AB4"/>
    <w:rsid w:val="00D63346"/>
    <w:rsid w:val="00D634BA"/>
    <w:rsid w:val="00D64036"/>
    <w:rsid w:val="00D6661E"/>
    <w:rsid w:val="00D6714F"/>
    <w:rsid w:val="00D70BF5"/>
    <w:rsid w:val="00D70EB2"/>
    <w:rsid w:val="00D7134E"/>
    <w:rsid w:val="00D715EF"/>
    <w:rsid w:val="00D720BB"/>
    <w:rsid w:val="00D729FE"/>
    <w:rsid w:val="00D75924"/>
    <w:rsid w:val="00D75B1D"/>
    <w:rsid w:val="00D75DD0"/>
    <w:rsid w:val="00D7602E"/>
    <w:rsid w:val="00D76996"/>
    <w:rsid w:val="00D76A6D"/>
    <w:rsid w:val="00D77A0B"/>
    <w:rsid w:val="00D77C45"/>
    <w:rsid w:val="00D81071"/>
    <w:rsid w:val="00D81ED6"/>
    <w:rsid w:val="00D82879"/>
    <w:rsid w:val="00D83B82"/>
    <w:rsid w:val="00D85562"/>
    <w:rsid w:val="00D85D3F"/>
    <w:rsid w:val="00D87479"/>
    <w:rsid w:val="00D90A20"/>
    <w:rsid w:val="00D9150D"/>
    <w:rsid w:val="00D91727"/>
    <w:rsid w:val="00D92B39"/>
    <w:rsid w:val="00D92B42"/>
    <w:rsid w:val="00D939C1"/>
    <w:rsid w:val="00D961F2"/>
    <w:rsid w:val="00D964B6"/>
    <w:rsid w:val="00D97687"/>
    <w:rsid w:val="00D9775E"/>
    <w:rsid w:val="00DA0638"/>
    <w:rsid w:val="00DA1610"/>
    <w:rsid w:val="00DA1A11"/>
    <w:rsid w:val="00DA1BEF"/>
    <w:rsid w:val="00DA25AA"/>
    <w:rsid w:val="00DA28A8"/>
    <w:rsid w:val="00DA2D67"/>
    <w:rsid w:val="00DA3143"/>
    <w:rsid w:val="00DA4EAE"/>
    <w:rsid w:val="00DA6683"/>
    <w:rsid w:val="00DA6854"/>
    <w:rsid w:val="00DA6D4F"/>
    <w:rsid w:val="00DA6FB4"/>
    <w:rsid w:val="00DA7AC3"/>
    <w:rsid w:val="00DA7B65"/>
    <w:rsid w:val="00DB03C6"/>
    <w:rsid w:val="00DB10A8"/>
    <w:rsid w:val="00DB22B0"/>
    <w:rsid w:val="00DB4961"/>
    <w:rsid w:val="00DB4C98"/>
    <w:rsid w:val="00DB54D0"/>
    <w:rsid w:val="00DB584E"/>
    <w:rsid w:val="00DB69D9"/>
    <w:rsid w:val="00DC16AF"/>
    <w:rsid w:val="00DC32EC"/>
    <w:rsid w:val="00DC4099"/>
    <w:rsid w:val="00DC4790"/>
    <w:rsid w:val="00DC6737"/>
    <w:rsid w:val="00DC6923"/>
    <w:rsid w:val="00DC71D5"/>
    <w:rsid w:val="00DC7A49"/>
    <w:rsid w:val="00DD051E"/>
    <w:rsid w:val="00DD05B3"/>
    <w:rsid w:val="00DD0BA0"/>
    <w:rsid w:val="00DD0D2C"/>
    <w:rsid w:val="00DD0F20"/>
    <w:rsid w:val="00DD1046"/>
    <w:rsid w:val="00DD12A1"/>
    <w:rsid w:val="00DD3B26"/>
    <w:rsid w:val="00DD53A9"/>
    <w:rsid w:val="00DD7B40"/>
    <w:rsid w:val="00DE117E"/>
    <w:rsid w:val="00DE1987"/>
    <w:rsid w:val="00DE1EF9"/>
    <w:rsid w:val="00DE2A71"/>
    <w:rsid w:val="00DE3294"/>
    <w:rsid w:val="00DE36CF"/>
    <w:rsid w:val="00DE42BA"/>
    <w:rsid w:val="00DE50C2"/>
    <w:rsid w:val="00DE566F"/>
    <w:rsid w:val="00DE5DF9"/>
    <w:rsid w:val="00DE5E0C"/>
    <w:rsid w:val="00DF0134"/>
    <w:rsid w:val="00DF0728"/>
    <w:rsid w:val="00DF1ADC"/>
    <w:rsid w:val="00DF20CF"/>
    <w:rsid w:val="00DF2249"/>
    <w:rsid w:val="00DF2347"/>
    <w:rsid w:val="00DF2C5D"/>
    <w:rsid w:val="00DF30D5"/>
    <w:rsid w:val="00DF363A"/>
    <w:rsid w:val="00DF4173"/>
    <w:rsid w:val="00DF4488"/>
    <w:rsid w:val="00DF53E8"/>
    <w:rsid w:val="00DF61C8"/>
    <w:rsid w:val="00DF6323"/>
    <w:rsid w:val="00DF6B26"/>
    <w:rsid w:val="00DF744E"/>
    <w:rsid w:val="00E00258"/>
    <w:rsid w:val="00E005BD"/>
    <w:rsid w:val="00E0068F"/>
    <w:rsid w:val="00E01B7C"/>
    <w:rsid w:val="00E039DE"/>
    <w:rsid w:val="00E054BA"/>
    <w:rsid w:val="00E05967"/>
    <w:rsid w:val="00E06F9F"/>
    <w:rsid w:val="00E1099E"/>
    <w:rsid w:val="00E10D03"/>
    <w:rsid w:val="00E10D3F"/>
    <w:rsid w:val="00E1129E"/>
    <w:rsid w:val="00E120DB"/>
    <w:rsid w:val="00E121DD"/>
    <w:rsid w:val="00E14015"/>
    <w:rsid w:val="00E15A7E"/>
    <w:rsid w:val="00E160CA"/>
    <w:rsid w:val="00E1675C"/>
    <w:rsid w:val="00E16977"/>
    <w:rsid w:val="00E16BE1"/>
    <w:rsid w:val="00E16C05"/>
    <w:rsid w:val="00E17DAB"/>
    <w:rsid w:val="00E20209"/>
    <w:rsid w:val="00E20628"/>
    <w:rsid w:val="00E2103B"/>
    <w:rsid w:val="00E223BE"/>
    <w:rsid w:val="00E22A07"/>
    <w:rsid w:val="00E235C3"/>
    <w:rsid w:val="00E253F7"/>
    <w:rsid w:val="00E26003"/>
    <w:rsid w:val="00E26712"/>
    <w:rsid w:val="00E273FF"/>
    <w:rsid w:val="00E27B91"/>
    <w:rsid w:val="00E306E7"/>
    <w:rsid w:val="00E3087C"/>
    <w:rsid w:val="00E30E1D"/>
    <w:rsid w:val="00E30FE2"/>
    <w:rsid w:val="00E335C8"/>
    <w:rsid w:val="00E341F0"/>
    <w:rsid w:val="00E35412"/>
    <w:rsid w:val="00E373F4"/>
    <w:rsid w:val="00E37BA9"/>
    <w:rsid w:val="00E37F9B"/>
    <w:rsid w:val="00E4032A"/>
    <w:rsid w:val="00E40E10"/>
    <w:rsid w:val="00E41684"/>
    <w:rsid w:val="00E42411"/>
    <w:rsid w:val="00E42C8A"/>
    <w:rsid w:val="00E436F2"/>
    <w:rsid w:val="00E43965"/>
    <w:rsid w:val="00E43E3B"/>
    <w:rsid w:val="00E43FC3"/>
    <w:rsid w:val="00E4452C"/>
    <w:rsid w:val="00E450D5"/>
    <w:rsid w:val="00E4582E"/>
    <w:rsid w:val="00E46611"/>
    <w:rsid w:val="00E46AB8"/>
    <w:rsid w:val="00E473B3"/>
    <w:rsid w:val="00E50E8D"/>
    <w:rsid w:val="00E51CC8"/>
    <w:rsid w:val="00E51F1C"/>
    <w:rsid w:val="00E53F1A"/>
    <w:rsid w:val="00E54185"/>
    <w:rsid w:val="00E5444F"/>
    <w:rsid w:val="00E54EA2"/>
    <w:rsid w:val="00E55ABA"/>
    <w:rsid w:val="00E57CA7"/>
    <w:rsid w:val="00E61C5E"/>
    <w:rsid w:val="00E61EC0"/>
    <w:rsid w:val="00E62415"/>
    <w:rsid w:val="00E62B36"/>
    <w:rsid w:val="00E62DF5"/>
    <w:rsid w:val="00E63BDC"/>
    <w:rsid w:val="00E647C8"/>
    <w:rsid w:val="00E6612E"/>
    <w:rsid w:val="00E66A96"/>
    <w:rsid w:val="00E67497"/>
    <w:rsid w:val="00E67C82"/>
    <w:rsid w:val="00E702CE"/>
    <w:rsid w:val="00E70F0A"/>
    <w:rsid w:val="00E71844"/>
    <w:rsid w:val="00E731D7"/>
    <w:rsid w:val="00E7371B"/>
    <w:rsid w:val="00E73765"/>
    <w:rsid w:val="00E74350"/>
    <w:rsid w:val="00E74385"/>
    <w:rsid w:val="00E74ACE"/>
    <w:rsid w:val="00E7677D"/>
    <w:rsid w:val="00E76B04"/>
    <w:rsid w:val="00E77539"/>
    <w:rsid w:val="00E77C06"/>
    <w:rsid w:val="00E80D04"/>
    <w:rsid w:val="00E831F7"/>
    <w:rsid w:val="00E835D7"/>
    <w:rsid w:val="00E855E0"/>
    <w:rsid w:val="00E860B7"/>
    <w:rsid w:val="00E8780D"/>
    <w:rsid w:val="00E91C55"/>
    <w:rsid w:val="00E9221F"/>
    <w:rsid w:val="00E92644"/>
    <w:rsid w:val="00E94499"/>
    <w:rsid w:val="00E947B8"/>
    <w:rsid w:val="00E95959"/>
    <w:rsid w:val="00E95DB8"/>
    <w:rsid w:val="00E95E3B"/>
    <w:rsid w:val="00E97527"/>
    <w:rsid w:val="00EA0536"/>
    <w:rsid w:val="00EA186C"/>
    <w:rsid w:val="00EA1A58"/>
    <w:rsid w:val="00EA1BC5"/>
    <w:rsid w:val="00EA46A8"/>
    <w:rsid w:val="00EA5A9E"/>
    <w:rsid w:val="00EA6556"/>
    <w:rsid w:val="00EA6842"/>
    <w:rsid w:val="00EA6D25"/>
    <w:rsid w:val="00EA7737"/>
    <w:rsid w:val="00EA7E9B"/>
    <w:rsid w:val="00EB1B80"/>
    <w:rsid w:val="00EB4C26"/>
    <w:rsid w:val="00EB5127"/>
    <w:rsid w:val="00EB53F2"/>
    <w:rsid w:val="00EB7803"/>
    <w:rsid w:val="00EC0295"/>
    <w:rsid w:val="00EC0454"/>
    <w:rsid w:val="00EC19FA"/>
    <w:rsid w:val="00EC1F39"/>
    <w:rsid w:val="00EC2948"/>
    <w:rsid w:val="00EC50CD"/>
    <w:rsid w:val="00EC5F86"/>
    <w:rsid w:val="00ED0940"/>
    <w:rsid w:val="00ED16A4"/>
    <w:rsid w:val="00ED25CE"/>
    <w:rsid w:val="00ED2FF6"/>
    <w:rsid w:val="00ED3A55"/>
    <w:rsid w:val="00ED402C"/>
    <w:rsid w:val="00ED511B"/>
    <w:rsid w:val="00ED7DD7"/>
    <w:rsid w:val="00EE0ACF"/>
    <w:rsid w:val="00EE1418"/>
    <w:rsid w:val="00EE14BE"/>
    <w:rsid w:val="00EE22E3"/>
    <w:rsid w:val="00EE2ED0"/>
    <w:rsid w:val="00EE37DE"/>
    <w:rsid w:val="00EE526C"/>
    <w:rsid w:val="00EE67C5"/>
    <w:rsid w:val="00EF18EF"/>
    <w:rsid w:val="00EF2631"/>
    <w:rsid w:val="00EF4031"/>
    <w:rsid w:val="00EF45CE"/>
    <w:rsid w:val="00EF4C71"/>
    <w:rsid w:val="00EF695C"/>
    <w:rsid w:val="00EF6BB7"/>
    <w:rsid w:val="00EF7B6B"/>
    <w:rsid w:val="00F00984"/>
    <w:rsid w:val="00F01FF7"/>
    <w:rsid w:val="00F05908"/>
    <w:rsid w:val="00F10305"/>
    <w:rsid w:val="00F1076B"/>
    <w:rsid w:val="00F10D71"/>
    <w:rsid w:val="00F11B9B"/>
    <w:rsid w:val="00F11D20"/>
    <w:rsid w:val="00F120D0"/>
    <w:rsid w:val="00F1363A"/>
    <w:rsid w:val="00F13E0D"/>
    <w:rsid w:val="00F1556E"/>
    <w:rsid w:val="00F15DFF"/>
    <w:rsid w:val="00F17404"/>
    <w:rsid w:val="00F20538"/>
    <w:rsid w:val="00F20B6E"/>
    <w:rsid w:val="00F20FF5"/>
    <w:rsid w:val="00F22611"/>
    <w:rsid w:val="00F22A93"/>
    <w:rsid w:val="00F2377C"/>
    <w:rsid w:val="00F248EC"/>
    <w:rsid w:val="00F24962"/>
    <w:rsid w:val="00F24BCF"/>
    <w:rsid w:val="00F24C64"/>
    <w:rsid w:val="00F2639B"/>
    <w:rsid w:val="00F271F4"/>
    <w:rsid w:val="00F276EE"/>
    <w:rsid w:val="00F31569"/>
    <w:rsid w:val="00F3255F"/>
    <w:rsid w:val="00F33271"/>
    <w:rsid w:val="00F3510E"/>
    <w:rsid w:val="00F35B8D"/>
    <w:rsid w:val="00F35C4E"/>
    <w:rsid w:val="00F37106"/>
    <w:rsid w:val="00F37176"/>
    <w:rsid w:val="00F373DC"/>
    <w:rsid w:val="00F37EF3"/>
    <w:rsid w:val="00F403D6"/>
    <w:rsid w:val="00F40782"/>
    <w:rsid w:val="00F422EF"/>
    <w:rsid w:val="00F42894"/>
    <w:rsid w:val="00F43E26"/>
    <w:rsid w:val="00F4532B"/>
    <w:rsid w:val="00F45CF2"/>
    <w:rsid w:val="00F470EA"/>
    <w:rsid w:val="00F47B25"/>
    <w:rsid w:val="00F47FE0"/>
    <w:rsid w:val="00F506AE"/>
    <w:rsid w:val="00F51346"/>
    <w:rsid w:val="00F5235B"/>
    <w:rsid w:val="00F533DD"/>
    <w:rsid w:val="00F54947"/>
    <w:rsid w:val="00F54E80"/>
    <w:rsid w:val="00F54F7B"/>
    <w:rsid w:val="00F55CD7"/>
    <w:rsid w:val="00F55FB0"/>
    <w:rsid w:val="00F560DC"/>
    <w:rsid w:val="00F56916"/>
    <w:rsid w:val="00F56925"/>
    <w:rsid w:val="00F56AD0"/>
    <w:rsid w:val="00F56CB1"/>
    <w:rsid w:val="00F6037F"/>
    <w:rsid w:val="00F626C2"/>
    <w:rsid w:val="00F630EF"/>
    <w:rsid w:val="00F63F85"/>
    <w:rsid w:val="00F65819"/>
    <w:rsid w:val="00F66865"/>
    <w:rsid w:val="00F67003"/>
    <w:rsid w:val="00F67A6B"/>
    <w:rsid w:val="00F71634"/>
    <w:rsid w:val="00F7244F"/>
    <w:rsid w:val="00F72962"/>
    <w:rsid w:val="00F72D23"/>
    <w:rsid w:val="00F73423"/>
    <w:rsid w:val="00F743D8"/>
    <w:rsid w:val="00F74560"/>
    <w:rsid w:val="00F74CB0"/>
    <w:rsid w:val="00F75495"/>
    <w:rsid w:val="00F7639C"/>
    <w:rsid w:val="00F765EB"/>
    <w:rsid w:val="00F767E2"/>
    <w:rsid w:val="00F773A0"/>
    <w:rsid w:val="00F77884"/>
    <w:rsid w:val="00F81AC0"/>
    <w:rsid w:val="00F81CE4"/>
    <w:rsid w:val="00F822BA"/>
    <w:rsid w:val="00F85A04"/>
    <w:rsid w:val="00F85DD2"/>
    <w:rsid w:val="00F8673B"/>
    <w:rsid w:val="00F901AD"/>
    <w:rsid w:val="00F908F8"/>
    <w:rsid w:val="00F92442"/>
    <w:rsid w:val="00F92574"/>
    <w:rsid w:val="00F926C8"/>
    <w:rsid w:val="00F939DB"/>
    <w:rsid w:val="00F9463A"/>
    <w:rsid w:val="00F95301"/>
    <w:rsid w:val="00F95FC9"/>
    <w:rsid w:val="00F964B0"/>
    <w:rsid w:val="00F973F0"/>
    <w:rsid w:val="00F97B52"/>
    <w:rsid w:val="00F97D2D"/>
    <w:rsid w:val="00FA0248"/>
    <w:rsid w:val="00FA05A4"/>
    <w:rsid w:val="00FA151E"/>
    <w:rsid w:val="00FA2F87"/>
    <w:rsid w:val="00FA308C"/>
    <w:rsid w:val="00FA30C2"/>
    <w:rsid w:val="00FA31D8"/>
    <w:rsid w:val="00FA5EA3"/>
    <w:rsid w:val="00FA63B6"/>
    <w:rsid w:val="00FA662C"/>
    <w:rsid w:val="00FA6958"/>
    <w:rsid w:val="00FA7135"/>
    <w:rsid w:val="00FA784C"/>
    <w:rsid w:val="00FB0079"/>
    <w:rsid w:val="00FB06E1"/>
    <w:rsid w:val="00FB0CA2"/>
    <w:rsid w:val="00FB127B"/>
    <w:rsid w:val="00FB1A25"/>
    <w:rsid w:val="00FB341B"/>
    <w:rsid w:val="00FB410E"/>
    <w:rsid w:val="00FB4A9E"/>
    <w:rsid w:val="00FB543A"/>
    <w:rsid w:val="00FB5976"/>
    <w:rsid w:val="00FB66AB"/>
    <w:rsid w:val="00FB6912"/>
    <w:rsid w:val="00FC00DD"/>
    <w:rsid w:val="00FC0A72"/>
    <w:rsid w:val="00FC1247"/>
    <w:rsid w:val="00FC13E2"/>
    <w:rsid w:val="00FC14D9"/>
    <w:rsid w:val="00FC1C66"/>
    <w:rsid w:val="00FC27D4"/>
    <w:rsid w:val="00FC3CD4"/>
    <w:rsid w:val="00FC4E2A"/>
    <w:rsid w:val="00FC6822"/>
    <w:rsid w:val="00FC6E2F"/>
    <w:rsid w:val="00FC6F4F"/>
    <w:rsid w:val="00FD0604"/>
    <w:rsid w:val="00FD1B30"/>
    <w:rsid w:val="00FD3D3E"/>
    <w:rsid w:val="00FD4787"/>
    <w:rsid w:val="00FD4975"/>
    <w:rsid w:val="00FD5051"/>
    <w:rsid w:val="00FD522D"/>
    <w:rsid w:val="00FD5958"/>
    <w:rsid w:val="00FD5A0F"/>
    <w:rsid w:val="00FD756D"/>
    <w:rsid w:val="00FD7972"/>
    <w:rsid w:val="00FD79EA"/>
    <w:rsid w:val="00FE059A"/>
    <w:rsid w:val="00FE0781"/>
    <w:rsid w:val="00FE2022"/>
    <w:rsid w:val="00FE29AF"/>
    <w:rsid w:val="00FE36B7"/>
    <w:rsid w:val="00FE395C"/>
    <w:rsid w:val="00FE3DE9"/>
    <w:rsid w:val="00FE54AE"/>
    <w:rsid w:val="00FF1061"/>
    <w:rsid w:val="00FF1E56"/>
    <w:rsid w:val="00FF2122"/>
    <w:rsid w:val="00FF2339"/>
    <w:rsid w:val="00FF2430"/>
    <w:rsid w:val="00FF26B9"/>
    <w:rsid w:val="00FF33AA"/>
    <w:rsid w:val="00FF371D"/>
    <w:rsid w:val="00FF49E0"/>
    <w:rsid w:val="00FF4A81"/>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C154EB"/>
  <w15:docId w15:val="{468E130D-0B8C-4229-87F5-AF2CA728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List Paragraph1,List Paragraph11,List Paragraph2,AR bullet 1,Bullet Point,L,Bullet points,Content descriptions,Bullet Points,bullet point list,NFP GP Bulleted List,FooterText,numbered,Paragraphe de liste1,列出段落,列出段落1,リスト段落1"/>
    <w:basedOn w:val="Normal"/>
    <w:link w:val="ListParagraphChar"/>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14"/>
      </w:numPr>
      <w:tabs>
        <w:tab w:val="left" w:pos="454"/>
      </w:tabs>
      <w:ind w:left="454" w:hanging="170"/>
    </w:pPr>
    <w:rPr>
      <w:rFonts w:cs="Arial"/>
      <w:szCs w:val="16"/>
    </w:rPr>
  </w:style>
  <w:style w:type="paragraph" w:customStyle="1" w:styleId="Tabletextjustified0">
    <w:name w:val="Table text justified"/>
    <w:basedOn w:val="Normal"/>
    <w:semiHidden/>
    <w:rsid w:val="005E5E0C"/>
    <w:pPr>
      <w:spacing w:before="100" w:after="100" w:line="250" w:lineRule="exact"/>
      <w:jc w:val="left"/>
    </w:pPr>
    <w:rPr>
      <w:rFonts w:ascii="Arial" w:hAnsi="Arial" w:cs="Arial"/>
      <w:sz w:val="18"/>
    </w:rPr>
  </w:style>
  <w:style w:type="character" w:customStyle="1" w:styleId="Heading1Char">
    <w:name w:val="Heading 1 Char"/>
    <w:link w:val="Heading1"/>
    <w:rsid w:val="0074305F"/>
    <w:rPr>
      <w:rFonts w:ascii="Arial" w:hAnsi="Arial"/>
      <w:b/>
      <w:smallCaps/>
      <w:kern w:val="28"/>
      <w:sz w:val="34"/>
    </w:rPr>
  </w:style>
  <w:style w:type="paragraph" w:customStyle="1" w:styleId="ASEANormaltext">
    <w:name w:val="ASEA Normal text"/>
    <w:basedOn w:val="Normal"/>
    <w:link w:val="ASEANormaltextChar"/>
    <w:qFormat/>
    <w:rsid w:val="0074305F"/>
    <w:pPr>
      <w:spacing w:before="120" w:line="276" w:lineRule="auto"/>
      <w:jc w:val="left"/>
    </w:pPr>
    <w:rPr>
      <w:rFonts w:ascii="Arial" w:eastAsiaTheme="minorHAnsi" w:hAnsi="Arial" w:cstheme="minorHAnsi"/>
      <w:szCs w:val="22"/>
    </w:rPr>
  </w:style>
  <w:style w:type="character" w:customStyle="1" w:styleId="ASEANormaltextChar">
    <w:name w:val="ASEA Normal text Char"/>
    <w:basedOn w:val="DefaultParagraphFont"/>
    <w:link w:val="ASEANormaltext"/>
    <w:rsid w:val="0074305F"/>
    <w:rPr>
      <w:rFonts w:ascii="Arial" w:eastAsiaTheme="minorHAnsi" w:hAnsi="Arial" w:cstheme="minorHAnsi"/>
      <w:szCs w:val="22"/>
    </w:rPr>
  </w:style>
  <w:style w:type="paragraph" w:customStyle="1" w:styleId="Default">
    <w:name w:val="Default"/>
    <w:rsid w:val="003E1107"/>
    <w:pPr>
      <w:autoSpaceDE w:val="0"/>
      <w:autoSpaceDN w:val="0"/>
      <w:adjustRightInd w:val="0"/>
    </w:pPr>
    <w:rPr>
      <w:rFonts w:ascii="Arial" w:hAnsi="Arial" w:cs="Arial"/>
      <w:color w:val="000000"/>
      <w:sz w:val="24"/>
      <w:szCs w:val="24"/>
    </w:rPr>
  </w:style>
  <w:style w:type="paragraph" w:customStyle="1" w:styleId="Bullet1">
    <w:name w:val="Bullet 1"/>
    <w:basedOn w:val="Normal"/>
    <w:qFormat/>
    <w:rsid w:val="00DC71D5"/>
    <w:pPr>
      <w:numPr>
        <w:numId w:val="21"/>
      </w:numPr>
      <w:spacing w:after="120" w:line="240" w:lineRule="auto"/>
      <w:jc w:val="left"/>
    </w:pPr>
    <w:rPr>
      <w:rFonts w:ascii="Calibri" w:eastAsia="Calibri" w:hAnsi="Calibri"/>
      <w:iCs/>
      <w:sz w:val="22"/>
      <w:lang w:eastAsia="en-US"/>
    </w:rPr>
  </w:style>
  <w:style w:type="paragraph" w:customStyle="1" w:styleId="Tabletext">
    <w:name w:val="Table text"/>
    <w:basedOn w:val="Normal"/>
    <w:qFormat/>
    <w:rsid w:val="002234AB"/>
    <w:pPr>
      <w:spacing w:before="60" w:after="60" w:line="240" w:lineRule="auto"/>
      <w:jc w:val="left"/>
    </w:pPr>
    <w:rPr>
      <w:rFonts w:ascii="Calibri" w:eastAsia="Cambria" w:hAnsi="Calibri"/>
      <w:color w:val="4A4848"/>
      <w:sz w:val="22"/>
      <w:szCs w:val="22"/>
      <w:lang w:eastAsia="en-US"/>
    </w:rPr>
  </w:style>
  <w:style w:type="character" w:customStyle="1" w:styleId="FootnoteTextChar">
    <w:name w:val="Footnote Text Char"/>
    <w:link w:val="FootnoteText"/>
    <w:rsid w:val="00946D33"/>
    <w:rPr>
      <w:rFonts w:ascii="Book Antiqua" w:hAnsi="Book Antiqua"/>
      <w:sz w:val="18"/>
    </w:rPr>
  </w:style>
  <w:style w:type="character" w:customStyle="1" w:styleId="Heading5Char">
    <w:name w:val="Heading 5 Char"/>
    <w:link w:val="Heading5"/>
    <w:rsid w:val="00946D33"/>
    <w:rPr>
      <w:rFonts w:ascii="Arial" w:hAnsi="Arial"/>
      <w:b/>
      <w:bCs/>
      <w:iCs/>
      <w:szCs w:val="26"/>
    </w:rPr>
  </w:style>
  <w:style w:type="character" w:customStyle="1" w:styleId="Heading4Char">
    <w:name w:val="Heading 4 Char"/>
    <w:link w:val="Heading4"/>
    <w:rsid w:val="00D939C1"/>
    <w:rPr>
      <w:rFonts w:ascii="Arial" w:hAnsi="Arial"/>
      <w:b/>
      <w:sz w:val="22"/>
    </w:rPr>
  </w:style>
  <w:style w:type="paragraph" w:styleId="NormalWeb">
    <w:name w:val="Normal (Web)"/>
    <w:basedOn w:val="Normal"/>
    <w:uiPriority w:val="99"/>
    <w:semiHidden/>
    <w:unhideWhenUsed/>
    <w:rsid w:val="00D77A0B"/>
    <w:pPr>
      <w:spacing w:before="100" w:beforeAutospacing="1" w:after="100" w:afterAutospacing="1" w:line="240" w:lineRule="auto"/>
      <w:jc w:val="left"/>
    </w:pPr>
    <w:rPr>
      <w:rFonts w:ascii="Times New Roman" w:hAnsi="Times New Roman"/>
      <w:sz w:val="24"/>
      <w:szCs w:val="24"/>
    </w:rPr>
  </w:style>
  <w:style w:type="paragraph" w:styleId="TOCHeading">
    <w:name w:val="TOC Heading"/>
    <w:basedOn w:val="Heading1"/>
    <w:next w:val="Normal"/>
    <w:uiPriority w:val="39"/>
    <w:unhideWhenUsed/>
    <w:qFormat/>
    <w:rsid w:val="00665B04"/>
    <w:pPr>
      <w:keepLines/>
      <w:spacing w:before="240" w:after="0" w:line="259" w:lineRule="auto"/>
      <w:jc w:val="left"/>
      <w:outlineLvl w:val="9"/>
    </w:pPr>
    <w:rPr>
      <w:rFonts w:asciiTheme="majorHAnsi" w:eastAsiaTheme="majorEastAsia" w:hAnsiTheme="majorHAnsi" w:cstheme="majorBidi"/>
      <w:b w:val="0"/>
      <w:smallCaps w:val="0"/>
      <w:color w:val="2E74B5" w:themeColor="accent1" w:themeShade="BF"/>
      <w:kern w:val="0"/>
      <w:sz w:val="32"/>
      <w:szCs w:val="32"/>
      <w:lang w:val="en-US" w:eastAsia="en-US"/>
    </w:rPr>
  </w:style>
  <w:style w:type="character" w:customStyle="1" w:styleId="ListParagraphChar">
    <w:name w:val="List Paragraph Char"/>
    <w:aliases w:val="Recommendation Char,List Paragraph1 Char,List Paragraph11 Char,List Paragraph2 Char,AR bullet 1 Char,Bullet Point Char,L Char,Bullet points Char,Content descriptions Char,Bullet Points Char,bullet point list Char,FooterText Char"/>
    <w:link w:val="ListParagraph"/>
    <w:uiPriority w:val="1"/>
    <w:rsid w:val="00A84C48"/>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6366">
      <w:bodyDiv w:val="1"/>
      <w:marLeft w:val="0"/>
      <w:marRight w:val="0"/>
      <w:marTop w:val="0"/>
      <w:marBottom w:val="0"/>
      <w:divBdr>
        <w:top w:val="none" w:sz="0" w:space="0" w:color="auto"/>
        <w:left w:val="none" w:sz="0" w:space="0" w:color="auto"/>
        <w:bottom w:val="none" w:sz="0" w:space="0" w:color="auto"/>
        <w:right w:val="none" w:sz="0" w:space="0" w:color="auto"/>
      </w:divBdr>
    </w:div>
    <w:div w:id="17123057">
      <w:bodyDiv w:val="1"/>
      <w:marLeft w:val="0"/>
      <w:marRight w:val="0"/>
      <w:marTop w:val="0"/>
      <w:marBottom w:val="0"/>
      <w:divBdr>
        <w:top w:val="none" w:sz="0" w:space="0" w:color="auto"/>
        <w:left w:val="none" w:sz="0" w:space="0" w:color="auto"/>
        <w:bottom w:val="none" w:sz="0" w:space="0" w:color="auto"/>
        <w:right w:val="none" w:sz="0" w:space="0" w:color="auto"/>
      </w:divBdr>
    </w:div>
    <w:div w:id="23752825">
      <w:bodyDiv w:val="1"/>
      <w:marLeft w:val="0"/>
      <w:marRight w:val="0"/>
      <w:marTop w:val="0"/>
      <w:marBottom w:val="0"/>
      <w:divBdr>
        <w:top w:val="none" w:sz="0" w:space="0" w:color="auto"/>
        <w:left w:val="none" w:sz="0" w:space="0" w:color="auto"/>
        <w:bottom w:val="none" w:sz="0" w:space="0" w:color="auto"/>
        <w:right w:val="none" w:sz="0" w:space="0" w:color="auto"/>
      </w:divBdr>
    </w:div>
    <w:div w:id="29574022">
      <w:bodyDiv w:val="1"/>
      <w:marLeft w:val="0"/>
      <w:marRight w:val="0"/>
      <w:marTop w:val="0"/>
      <w:marBottom w:val="0"/>
      <w:divBdr>
        <w:top w:val="none" w:sz="0" w:space="0" w:color="auto"/>
        <w:left w:val="none" w:sz="0" w:space="0" w:color="auto"/>
        <w:bottom w:val="none" w:sz="0" w:space="0" w:color="auto"/>
        <w:right w:val="none" w:sz="0" w:space="0" w:color="auto"/>
      </w:divBdr>
    </w:div>
    <w:div w:id="29772206">
      <w:bodyDiv w:val="1"/>
      <w:marLeft w:val="0"/>
      <w:marRight w:val="0"/>
      <w:marTop w:val="0"/>
      <w:marBottom w:val="0"/>
      <w:divBdr>
        <w:top w:val="none" w:sz="0" w:space="0" w:color="auto"/>
        <w:left w:val="none" w:sz="0" w:space="0" w:color="auto"/>
        <w:bottom w:val="none" w:sz="0" w:space="0" w:color="auto"/>
        <w:right w:val="none" w:sz="0" w:space="0" w:color="auto"/>
      </w:divBdr>
    </w:div>
    <w:div w:id="55864969">
      <w:bodyDiv w:val="1"/>
      <w:marLeft w:val="0"/>
      <w:marRight w:val="0"/>
      <w:marTop w:val="0"/>
      <w:marBottom w:val="0"/>
      <w:divBdr>
        <w:top w:val="none" w:sz="0" w:space="0" w:color="auto"/>
        <w:left w:val="none" w:sz="0" w:space="0" w:color="auto"/>
        <w:bottom w:val="none" w:sz="0" w:space="0" w:color="auto"/>
        <w:right w:val="none" w:sz="0" w:space="0" w:color="auto"/>
      </w:divBdr>
    </w:div>
    <w:div w:id="60715351">
      <w:bodyDiv w:val="1"/>
      <w:marLeft w:val="0"/>
      <w:marRight w:val="0"/>
      <w:marTop w:val="0"/>
      <w:marBottom w:val="0"/>
      <w:divBdr>
        <w:top w:val="none" w:sz="0" w:space="0" w:color="auto"/>
        <w:left w:val="none" w:sz="0" w:space="0" w:color="auto"/>
        <w:bottom w:val="none" w:sz="0" w:space="0" w:color="auto"/>
        <w:right w:val="none" w:sz="0" w:space="0" w:color="auto"/>
      </w:divBdr>
    </w:div>
    <w:div w:id="61022934">
      <w:bodyDiv w:val="1"/>
      <w:marLeft w:val="0"/>
      <w:marRight w:val="0"/>
      <w:marTop w:val="0"/>
      <w:marBottom w:val="0"/>
      <w:divBdr>
        <w:top w:val="none" w:sz="0" w:space="0" w:color="auto"/>
        <w:left w:val="none" w:sz="0" w:space="0" w:color="auto"/>
        <w:bottom w:val="none" w:sz="0" w:space="0" w:color="auto"/>
        <w:right w:val="none" w:sz="0" w:space="0" w:color="auto"/>
      </w:divBdr>
    </w:div>
    <w:div w:id="64107526">
      <w:bodyDiv w:val="1"/>
      <w:marLeft w:val="0"/>
      <w:marRight w:val="0"/>
      <w:marTop w:val="0"/>
      <w:marBottom w:val="0"/>
      <w:divBdr>
        <w:top w:val="none" w:sz="0" w:space="0" w:color="auto"/>
        <w:left w:val="none" w:sz="0" w:space="0" w:color="auto"/>
        <w:bottom w:val="none" w:sz="0" w:space="0" w:color="auto"/>
        <w:right w:val="none" w:sz="0" w:space="0" w:color="auto"/>
      </w:divBdr>
    </w:div>
    <w:div w:id="76750648">
      <w:bodyDiv w:val="1"/>
      <w:marLeft w:val="0"/>
      <w:marRight w:val="0"/>
      <w:marTop w:val="0"/>
      <w:marBottom w:val="0"/>
      <w:divBdr>
        <w:top w:val="none" w:sz="0" w:space="0" w:color="auto"/>
        <w:left w:val="none" w:sz="0" w:space="0" w:color="auto"/>
        <w:bottom w:val="none" w:sz="0" w:space="0" w:color="auto"/>
        <w:right w:val="none" w:sz="0" w:space="0" w:color="auto"/>
      </w:divBdr>
    </w:div>
    <w:div w:id="8068066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94909123">
      <w:bodyDiv w:val="1"/>
      <w:marLeft w:val="0"/>
      <w:marRight w:val="0"/>
      <w:marTop w:val="0"/>
      <w:marBottom w:val="0"/>
      <w:divBdr>
        <w:top w:val="none" w:sz="0" w:space="0" w:color="auto"/>
        <w:left w:val="none" w:sz="0" w:space="0" w:color="auto"/>
        <w:bottom w:val="none" w:sz="0" w:space="0" w:color="auto"/>
        <w:right w:val="none" w:sz="0" w:space="0" w:color="auto"/>
      </w:divBdr>
    </w:div>
    <w:div w:id="95836206">
      <w:bodyDiv w:val="1"/>
      <w:marLeft w:val="0"/>
      <w:marRight w:val="0"/>
      <w:marTop w:val="0"/>
      <w:marBottom w:val="0"/>
      <w:divBdr>
        <w:top w:val="none" w:sz="0" w:space="0" w:color="auto"/>
        <w:left w:val="none" w:sz="0" w:space="0" w:color="auto"/>
        <w:bottom w:val="none" w:sz="0" w:space="0" w:color="auto"/>
        <w:right w:val="none" w:sz="0" w:space="0" w:color="auto"/>
      </w:divBdr>
    </w:div>
    <w:div w:id="100346068">
      <w:bodyDiv w:val="1"/>
      <w:marLeft w:val="0"/>
      <w:marRight w:val="0"/>
      <w:marTop w:val="0"/>
      <w:marBottom w:val="0"/>
      <w:divBdr>
        <w:top w:val="none" w:sz="0" w:space="0" w:color="auto"/>
        <w:left w:val="none" w:sz="0" w:space="0" w:color="auto"/>
        <w:bottom w:val="none" w:sz="0" w:space="0" w:color="auto"/>
        <w:right w:val="none" w:sz="0" w:space="0" w:color="auto"/>
      </w:divBdr>
    </w:div>
    <w:div w:id="111949489">
      <w:bodyDiv w:val="1"/>
      <w:marLeft w:val="0"/>
      <w:marRight w:val="0"/>
      <w:marTop w:val="0"/>
      <w:marBottom w:val="0"/>
      <w:divBdr>
        <w:top w:val="none" w:sz="0" w:space="0" w:color="auto"/>
        <w:left w:val="none" w:sz="0" w:space="0" w:color="auto"/>
        <w:bottom w:val="none" w:sz="0" w:space="0" w:color="auto"/>
        <w:right w:val="none" w:sz="0" w:space="0" w:color="auto"/>
      </w:divBdr>
    </w:div>
    <w:div w:id="127431999">
      <w:bodyDiv w:val="1"/>
      <w:marLeft w:val="0"/>
      <w:marRight w:val="0"/>
      <w:marTop w:val="0"/>
      <w:marBottom w:val="0"/>
      <w:divBdr>
        <w:top w:val="none" w:sz="0" w:space="0" w:color="auto"/>
        <w:left w:val="none" w:sz="0" w:space="0" w:color="auto"/>
        <w:bottom w:val="none" w:sz="0" w:space="0" w:color="auto"/>
        <w:right w:val="none" w:sz="0" w:space="0" w:color="auto"/>
      </w:divBdr>
    </w:div>
    <w:div w:id="128478927">
      <w:bodyDiv w:val="1"/>
      <w:marLeft w:val="0"/>
      <w:marRight w:val="0"/>
      <w:marTop w:val="0"/>
      <w:marBottom w:val="0"/>
      <w:divBdr>
        <w:top w:val="none" w:sz="0" w:space="0" w:color="auto"/>
        <w:left w:val="none" w:sz="0" w:space="0" w:color="auto"/>
        <w:bottom w:val="none" w:sz="0" w:space="0" w:color="auto"/>
        <w:right w:val="none" w:sz="0" w:space="0" w:color="auto"/>
      </w:divBdr>
    </w:div>
    <w:div w:id="13522163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71726086">
      <w:bodyDiv w:val="1"/>
      <w:marLeft w:val="0"/>
      <w:marRight w:val="0"/>
      <w:marTop w:val="0"/>
      <w:marBottom w:val="0"/>
      <w:divBdr>
        <w:top w:val="none" w:sz="0" w:space="0" w:color="auto"/>
        <w:left w:val="none" w:sz="0" w:space="0" w:color="auto"/>
        <w:bottom w:val="none" w:sz="0" w:space="0" w:color="auto"/>
        <w:right w:val="none" w:sz="0" w:space="0" w:color="auto"/>
      </w:divBdr>
    </w:div>
    <w:div w:id="176386380">
      <w:bodyDiv w:val="1"/>
      <w:marLeft w:val="0"/>
      <w:marRight w:val="0"/>
      <w:marTop w:val="0"/>
      <w:marBottom w:val="0"/>
      <w:divBdr>
        <w:top w:val="none" w:sz="0" w:space="0" w:color="auto"/>
        <w:left w:val="none" w:sz="0" w:space="0" w:color="auto"/>
        <w:bottom w:val="none" w:sz="0" w:space="0" w:color="auto"/>
        <w:right w:val="none" w:sz="0" w:space="0" w:color="auto"/>
      </w:divBdr>
    </w:div>
    <w:div w:id="207570007">
      <w:bodyDiv w:val="1"/>
      <w:marLeft w:val="0"/>
      <w:marRight w:val="0"/>
      <w:marTop w:val="0"/>
      <w:marBottom w:val="0"/>
      <w:divBdr>
        <w:top w:val="none" w:sz="0" w:space="0" w:color="auto"/>
        <w:left w:val="none" w:sz="0" w:space="0" w:color="auto"/>
        <w:bottom w:val="none" w:sz="0" w:space="0" w:color="auto"/>
        <w:right w:val="none" w:sz="0" w:space="0" w:color="auto"/>
      </w:divBdr>
    </w:div>
    <w:div w:id="213277985">
      <w:bodyDiv w:val="1"/>
      <w:marLeft w:val="0"/>
      <w:marRight w:val="0"/>
      <w:marTop w:val="0"/>
      <w:marBottom w:val="0"/>
      <w:divBdr>
        <w:top w:val="none" w:sz="0" w:space="0" w:color="auto"/>
        <w:left w:val="none" w:sz="0" w:space="0" w:color="auto"/>
        <w:bottom w:val="none" w:sz="0" w:space="0" w:color="auto"/>
        <w:right w:val="none" w:sz="0" w:space="0" w:color="auto"/>
      </w:divBdr>
    </w:div>
    <w:div w:id="215163604">
      <w:bodyDiv w:val="1"/>
      <w:marLeft w:val="0"/>
      <w:marRight w:val="0"/>
      <w:marTop w:val="0"/>
      <w:marBottom w:val="0"/>
      <w:divBdr>
        <w:top w:val="none" w:sz="0" w:space="0" w:color="auto"/>
        <w:left w:val="none" w:sz="0" w:space="0" w:color="auto"/>
        <w:bottom w:val="none" w:sz="0" w:space="0" w:color="auto"/>
        <w:right w:val="none" w:sz="0" w:space="0" w:color="auto"/>
      </w:divBdr>
    </w:div>
    <w:div w:id="22696332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55942170">
      <w:bodyDiv w:val="1"/>
      <w:marLeft w:val="0"/>
      <w:marRight w:val="0"/>
      <w:marTop w:val="0"/>
      <w:marBottom w:val="0"/>
      <w:divBdr>
        <w:top w:val="none" w:sz="0" w:space="0" w:color="auto"/>
        <w:left w:val="none" w:sz="0" w:space="0" w:color="auto"/>
        <w:bottom w:val="none" w:sz="0" w:space="0" w:color="auto"/>
        <w:right w:val="none" w:sz="0" w:space="0" w:color="auto"/>
      </w:divBdr>
    </w:div>
    <w:div w:id="268464608">
      <w:bodyDiv w:val="1"/>
      <w:marLeft w:val="0"/>
      <w:marRight w:val="0"/>
      <w:marTop w:val="0"/>
      <w:marBottom w:val="0"/>
      <w:divBdr>
        <w:top w:val="none" w:sz="0" w:space="0" w:color="auto"/>
        <w:left w:val="none" w:sz="0" w:space="0" w:color="auto"/>
        <w:bottom w:val="none" w:sz="0" w:space="0" w:color="auto"/>
        <w:right w:val="none" w:sz="0" w:space="0" w:color="auto"/>
      </w:divBdr>
    </w:div>
    <w:div w:id="270361244">
      <w:bodyDiv w:val="1"/>
      <w:marLeft w:val="0"/>
      <w:marRight w:val="0"/>
      <w:marTop w:val="0"/>
      <w:marBottom w:val="0"/>
      <w:divBdr>
        <w:top w:val="none" w:sz="0" w:space="0" w:color="auto"/>
        <w:left w:val="none" w:sz="0" w:space="0" w:color="auto"/>
        <w:bottom w:val="none" w:sz="0" w:space="0" w:color="auto"/>
        <w:right w:val="none" w:sz="0" w:space="0" w:color="auto"/>
      </w:divBdr>
    </w:div>
    <w:div w:id="275018077">
      <w:bodyDiv w:val="1"/>
      <w:marLeft w:val="0"/>
      <w:marRight w:val="0"/>
      <w:marTop w:val="0"/>
      <w:marBottom w:val="0"/>
      <w:divBdr>
        <w:top w:val="none" w:sz="0" w:space="0" w:color="auto"/>
        <w:left w:val="none" w:sz="0" w:space="0" w:color="auto"/>
        <w:bottom w:val="none" w:sz="0" w:space="0" w:color="auto"/>
        <w:right w:val="none" w:sz="0" w:space="0" w:color="auto"/>
      </w:divBdr>
    </w:div>
    <w:div w:id="277102714">
      <w:bodyDiv w:val="1"/>
      <w:marLeft w:val="0"/>
      <w:marRight w:val="0"/>
      <w:marTop w:val="0"/>
      <w:marBottom w:val="0"/>
      <w:divBdr>
        <w:top w:val="none" w:sz="0" w:space="0" w:color="auto"/>
        <w:left w:val="none" w:sz="0" w:space="0" w:color="auto"/>
        <w:bottom w:val="none" w:sz="0" w:space="0" w:color="auto"/>
        <w:right w:val="none" w:sz="0" w:space="0" w:color="auto"/>
      </w:divBdr>
    </w:div>
    <w:div w:id="288903091">
      <w:bodyDiv w:val="1"/>
      <w:marLeft w:val="0"/>
      <w:marRight w:val="0"/>
      <w:marTop w:val="0"/>
      <w:marBottom w:val="0"/>
      <w:divBdr>
        <w:top w:val="none" w:sz="0" w:space="0" w:color="auto"/>
        <w:left w:val="none" w:sz="0" w:space="0" w:color="auto"/>
        <w:bottom w:val="none" w:sz="0" w:space="0" w:color="auto"/>
        <w:right w:val="none" w:sz="0" w:space="0" w:color="auto"/>
      </w:divBdr>
    </w:div>
    <w:div w:id="291251590">
      <w:bodyDiv w:val="1"/>
      <w:marLeft w:val="0"/>
      <w:marRight w:val="0"/>
      <w:marTop w:val="0"/>
      <w:marBottom w:val="0"/>
      <w:divBdr>
        <w:top w:val="none" w:sz="0" w:space="0" w:color="auto"/>
        <w:left w:val="none" w:sz="0" w:space="0" w:color="auto"/>
        <w:bottom w:val="none" w:sz="0" w:space="0" w:color="auto"/>
        <w:right w:val="none" w:sz="0" w:space="0" w:color="auto"/>
      </w:divBdr>
    </w:div>
    <w:div w:id="294991173">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8903270">
      <w:bodyDiv w:val="1"/>
      <w:marLeft w:val="0"/>
      <w:marRight w:val="0"/>
      <w:marTop w:val="0"/>
      <w:marBottom w:val="0"/>
      <w:divBdr>
        <w:top w:val="none" w:sz="0" w:space="0" w:color="auto"/>
        <w:left w:val="none" w:sz="0" w:space="0" w:color="auto"/>
        <w:bottom w:val="none" w:sz="0" w:space="0" w:color="auto"/>
        <w:right w:val="none" w:sz="0" w:space="0" w:color="auto"/>
      </w:divBdr>
    </w:div>
    <w:div w:id="309213003">
      <w:bodyDiv w:val="1"/>
      <w:marLeft w:val="0"/>
      <w:marRight w:val="0"/>
      <w:marTop w:val="0"/>
      <w:marBottom w:val="0"/>
      <w:divBdr>
        <w:top w:val="none" w:sz="0" w:space="0" w:color="auto"/>
        <w:left w:val="none" w:sz="0" w:space="0" w:color="auto"/>
        <w:bottom w:val="none" w:sz="0" w:space="0" w:color="auto"/>
        <w:right w:val="none" w:sz="0" w:space="0" w:color="auto"/>
      </w:divBdr>
    </w:div>
    <w:div w:id="310596055">
      <w:bodyDiv w:val="1"/>
      <w:marLeft w:val="0"/>
      <w:marRight w:val="0"/>
      <w:marTop w:val="0"/>
      <w:marBottom w:val="0"/>
      <w:divBdr>
        <w:top w:val="none" w:sz="0" w:space="0" w:color="auto"/>
        <w:left w:val="none" w:sz="0" w:space="0" w:color="auto"/>
        <w:bottom w:val="none" w:sz="0" w:space="0" w:color="auto"/>
        <w:right w:val="none" w:sz="0" w:space="0" w:color="auto"/>
      </w:divBdr>
    </w:div>
    <w:div w:id="310793909">
      <w:bodyDiv w:val="1"/>
      <w:marLeft w:val="0"/>
      <w:marRight w:val="0"/>
      <w:marTop w:val="0"/>
      <w:marBottom w:val="0"/>
      <w:divBdr>
        <w:top w:val="none" w:sz="0" w:space="0" w:color="auto"/>
        <w:left w:val="none" w:sz="0" w:space="0" w:color="auto"/>
        <w:bottom w:val="none" w:sz="0" w:space="0" w:color="auto"/>
        <w:right w:val="none" w:sz="0" w:space="0" w:color="auto"/>
      </w:divBdr>
    </w:div>
    <w:div w:id="315959848">
      <w:bodyDiv w:val="1"/>
      <w:marLeft w:val="0"/>
      <w:marRight w:val="0"/>
      <w:marTop w:val="0"/>
      <w:marBottom w:val="0"/>
      <w:divBdr>
        <w:top w:val="none" w:sz="0" w:space="0" w:color="auto"/>
        <w:left w:val="none" w:sz="0" w:space="0" w:color="auto"/>
        <w:bottom w:val="none" w:sz="0" w:space="0" w:color="auto"/>
        <w:right w:val="none" w:sz="0" w:space="0" w:color="auto"/>
      </w:divBdr>
    </w:div>
    <w:div w:id="316691552">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0400625">
      <w:bodyDiv w:val="1"/>
      <w:marLeft w:val="0"/>
      <w:marRight w:val="0"/>
      <w:marTop w:val="0"/>
      <w:marBottom w:val="0"/>
      <w:divBdr>
        <w:top w:val="none" w:sz="0" w:space="0" w:color="auto"/>
        <w:left w:val="none" w:sz="0" w:space="0" w:color="auto"/>
        <w:bottom w:val="none" w:sz="0" w:space="0" w:color="auto"/>
        <w:right w:val="none" w:sz="0" w:space="0" w:color="auto"/>
      </w:divBdr>
    </w:div>
    <w:div w:id="342434527">
      <w:bodyDiv w:val="1"/>
      <w:marLeft w:val="0"/>
      <w:marRight w:val="0"/>
      <w:marTop w:val="0"/>
      <w:marBottom w:val="0"/>
      <w:divBdr>
        <w:top w:val="none" w:sz="0" w:space="0" w:color="auto"/>
        <w:left w:val="none" w:sz="0" w:space="0" w:color="auto"/>
        <w:bottom w:val="none" w:sz="0" w:space="0" w:color="auto"/>
        <w:right w:val="none" w:sz="0" w:space="0" w:color="auto"/>
      </w:divBdr>
    </w:div>
    <w:div w:id="344136406">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0518769">
      <w:bodyDiv w:val="1"/>
      <w:marLeft w:val="0"/>
      <w:marRight w:val="0"/>
      <w:marTop w:val="0"/>
      <w:marBottom w:val="0"/>
      <w:divBdr>
        <w:top w:val="none" w:sz="0" w:space="0" w:color="auto"/>
        <w:left w:val="none" w:sz="0" w:space="0" w:color="auto"/>
        <w:bottom w:val="none" w:sz="0" w:space="0" w:color="auto"/>
        <w:right w:val="none" w:sz="0" w:space="0" w:color="auto"/>
      </w:divBdr>
    </w:div>
    <w:div w:id="362638363">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3042937">
      <w:bodyDiv w:val="1"/>
      <w:marLeft w:val="0"/>
      <w:marRight w:val="0"/>
      <w:marTop w:val="0"/>
      <w:marBottom w:val="0"/>
      <w:divBdr>
        <w:top w:val="none" w:sz="0" w:space="0" w:color="auto"/>
        <w:left w:val="none" w:sz="0" w:space="0" w:color="auto"/>
        <w:bottom w:val="none" w:sz="0" w:space="0" w:color="auto"/>
        <w:right w:val="none" w:sz="0" w:space="0" w:color="auto"/>
      </w:divBdr>
    </w:div>
    <w:div w:id="404762331">
      <w:bodyDiv w:val="1"/>
      <w:marLeft w:val="0"/>
      <w:marRight w:val="0"/>
      <w:marTop w:val="0"/>
      <w:marBottom w:val="0"/>
      <w:divBdr>
        <w:top w:val="none" w:sz="0" w:space="0" w:color="auto"/>
        <w:left w:val="none" w:sz="0" w:space="0" w:color="auto"/>
        <w:bottom w:val="none" w:sz="0" w:space="0" w:color="auto"/>
        <w:right w:val="none" w:sz="0" w:space="0" w:color="auto"/>
      </w:divBdr>
    </w:div>
    <w:div w:id="412550373">
      <w:bodyDiv w:val="1"/>
      <w:marLeft w:val="0"/>
      <w:marRight w:val="0"/>
      <w:marTop w:val="0"/>
      <w:marBottom w:val="0"/>
      <w:divBdr>
        <w:top w:val="none" w:sz="0" w:space="0" w:color="auto"/>
        <w:left w:val="none" w:sz="0" w:space="0" w:color="auto"/>
        <w:bottom w:val="none" w:sz="0" w:space="0" w:color="auto"/>
        <w:right w:val="none" w:sz="0" w:space="0" w:color="auto"/>
      </w:divBdr>
    </w:div>
    <w:div w:id="446242098">
      <w:bodyDiv w:val="1"/>
      <w:marLeft w:val="0"/>
      <w:marRight w:val="0"/>
      <w:marTop w:val="0"/>
      <w:marBottom w:val="0"/>
      <w:divBdr>
        <w:top w:val="none" w:sz="0" w:space="0" w:color="auto"/>
        <w:left w:val="none" w:sz="0" w:space="0" w:color="auto"/>
        <w:bottom w:val="none" w:sz="0" w:space="0" w:color="auto"/>
        <w:right w:val="none" w:sz="0" w:space="0" w:color="auto"/>
      </w:divBdr>
    </w:div>
    <w:div w:id="446512710">
      <w:bodyDiv w:val="1"/>
      <w:marLeft w:val="0"/>
      <w:marRight w:val="0"/>
      <w:marTop w:val="0"/>
      <w:marBottom w:val="0"/>
      <w:divBdr>
        <w:top w:val="none" w:sz="0" w:space="0" w:color="auto"/>
        <w:left w:val="none" w:sz="0" w:space="0" w:color="auto"/>
        <w:bottom w:val="none" w:sz="0" w:space="0" w:color="auto"/>
        <w:right w:val="none" w:sz="0" w:space="0" w:color="auto"/>
      </w:divBdr>
    </w:div>
    <w:div w:id="448471161">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73765268">
      <w:bodyDiv w:val="1"/>
      <w:marLeft w:val="0"/>
      <w:marRight w:val="0"/>
      <w:marTop w:val="0"/>
      <w:marBottom w:val="0"/>
      <w:divBdr>
        <w:top w:val="none" w:sz="0" w:space="0" w:color="auto"/>
        <w:left w:val="none" w:sz="0" w:space="0" w:color="auto"/>
        <w:bottom w:val="none" w:sz="0" w:space="0" w:color="auto"/>
        <w:right w:val="none" w:sz="0" w:space="0" w:color="auto"/>
      </w:divBdr>
    </w:div>
    <w:div w:id="481503853">
      <w:bodyDiv w:val="1"/>
      <w:marLeft w:val="0"/>
      <w:marRight w:val="0"/>
      <w:marTop w:val="0"/>
      <w:marBottom w:val="0"/>
      <w:divBdr>
        <w:top w:val="none" w:sz="0" w:space="0" w:color="auto"/>
        <w:left w:val="none" w:sz="0" w:space="0" w:color="auto"/>
        <w:bottom w:val="none" w:sz="0" w:space="0" w:color="auto"/>
        <w:right w:val="none" w:sz="0" w:space="0" w:color="auto"/>
      </w:divBdr>
    </w:div>
    <w:div w:id="482697524">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83554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4272031">
      <w:bodyDiv w:val="1"/>
      <w:marLeft w:val="0"/>
      <w:marRight w:val="0"/>
      <w:marTop w:val="0"/>
      <w:marBottom w:val="0"/>
      <w:divBdr>
        <w:top w:val="none" w:sz="0" w:space="0" w:color="auto"/>
        <w:left w:val="none" w:sz="0" w:space="0" w:color="auto"/>
        <w:bottom w:val="none" w:sz="0" w:space="0" w:color="auto"/>
        <w:right w:val="none" w:sz="0" w:space="0" w:color="auto"/>
      </w:divBdr>
    </w:div>
    <w:div w:id="519045595">
      <w:bodyDiv w:val="1"/>
      <w:marLeft w:val="0"/>
      <w:marRight w:val="0"/>
      <w:marTop w:val="0"/>
      <w:marBottom w:val="0"/>
      <w:divBdr>
        <w:top w:val="none" w:sz="0" w:space="0" w:color="auto"/>
        <w:left w:val="none" w:sz="0" w:space="0" w:color="auto"/>
        <w:bottom w:val="none" w:sz="0" w:space="0" w:color="auto"/>
        <w:right w:val="none" w:sz="0" w:space="0" w:color="auto"/>
      </w:divBdr>
    </w:div>
    <w:div w:id="541750779">
      <w:bodyDiv w:val="1"/>
      <w:marLeft w:val="0"/>
      <w:marRight w:val="0"/>
      <w:marTop w:val="0"/>
      <w:marBottom w:val="0"/>
      <w:divBdr>
        <w:top w:val="none" w:sz="0" w:space="0" w:color="auto"/>
        <w:left w:val="none" w:sz="0" w:space="0" w:color="auto"/>
        <w:bottom w:val="none" w:sz="0" w:space="0" w:color="auto"/>
        <w:right w:val="none" w:sz="0" w:space="0" w:color="auto"/>
      </w:divBdr>
    </w:div>
    <w:div w:id="543031544">
      <w:bodyDiv w:val="1"/>
      <w:marLeft w:val="0"/>
      <w:marRight w:val="0"/>
      <w:marTop w:val="0"/>
      <w:marBottom w:val="0"/>
      <w:divBdr>
        <w:top w:val="none" w:sz="0" w:space="0" w:color="auto"/>
        <w:left w:val="none" w:sz="0" w:space="0" w:color="auto"/>
        <w:bottom w:val="none" w:sz="0" w:space="0" w:color="auto"/>
        <w:right w:val="none" w:sz="0" w:space="0" w:color="auto"/>
      </w:divBdr>
    </w:div>
    <w:div w:id="543444156">
      <w:bodyDiv w:val="1"/>
      <w:marLeft w:val="0"/>
      <w:marRight w:val="0"/>
      <w:marTop w:val="0"/>
      <w:marBottom w:val="0"/>
      <w:divBdr>
        <w:top w:val="none" w:sz="0" w:space="0" w:color="auto"/>
        <w:left w:val="none" w:sz="0" w:space="0" w:color="auto"/>
        <w:bottom w:val="none" w:sz="0" w:space="0" w:color="auto"/>
        <w:right w:val="none" w:sz="0" w:space="0" w:color="auto"/>
      </w:divBdr>
    </w:div>
    <w:div w:id="544567868">
      <w:bodyDiv w:val="1"/>
      <w:marLeft w:val="0"/>
      <w:marRight w:val="0"/>
      <w:marTop w:val="0"/>
      <w:marBottom w:val="0"/>
      <w:divBdr>
        <w:top w:val="none" w:sz="0" w:space="0" w:color="auto"/>
        <w:left w:val="none" w:sz="0" w:space="0" w:color="auto"/>
        <w:bottom w:val="none" w:sz="0" w:space="0" w:color="auto"/>
        <w:right w:val="none" w:sz="0" w:space="0" w:color="auto"/>
      </w:divBdr>
    </w:div>
    <w:div w:id="553732477">
      <w:bodyDiv w:val="1"/>
      <w:marLeft w:val="0"/>
      <w:marRight w:val="0"/>
      <w:marTop w:val="0"/>
      <w:marBottom w:val="0"/>
      <w:divBdr>
        <w:top w:val="none" w:sz="0" w:space="0" w:color="auto"/>
        <w:left w:val="none" w:sz="0" w:space="0" w:color="auto"/>
        <w:bottom w:val="none" w:sz="0" w:space="0" w:color="auto"/>
        <w:right w:val="none" w:sz="0" w:space="0" w:color="auto"/>
      </w:divBdr>
    </w:div>
    <w:div w:id="555504888">
      <w:bodyDiv w:val="1"/>
      <w:marLeft w:val="0"/>
      <w:marRight w:val="0"/>
      <w:marTop w:val="0"/>
      <w:marBottom w:val="0"/>
      <w:divBdr>
        <w:top w:val="none" w:sz="0" w:space="0" w:color="auto"/>
        <w:left w:val="none" w:sz="0" w:space="0" w:color="auto"/>
        <w:bottom w:val="none" w:sz="0" w:space="0" w:color="auto"/>
        <w:right w:val="none" w:sz="0" w:space="0" w:color="auto"/>
      </w:divBdr>
    </w:div>
    <w:div w:id="560947586">
      <w:bodyDiv w:val="1"/>
      <w:marLeft w:val="0"/>
      <w:marRight w:val="0"/>
      <w:marTop w:val="0"/>
      <w:marBottom w:val="0"/>
      <w:divBdr>
        <w:top w:val="none" w:sz="0" w:space="0" w:color="auto"/>
        <w:left w:val="none" w:sz="0" w:space="0" w:color="auto"/>
        <w:bottom w:val="none" w:sz="0" w:space="0" w:color="auto"/>
        <w:right w:val="none" w:sz="0" w:space="0" w:color="auto"/>
      </w:divBdr>
    </w:div>
    <w:div w:id="565381560">
      <w:bodyDiv w:val="1"/>
      <w:marLeft w:val="0"/>
      <w:marRight w:val="0"/>
      <w:marTop w:val="0"/>
      <w:marBottom w:val="0"/>
      <w:divBdr>
        <w:top w:val="none" w:sz="0" w:space="0" w:color="auto"/>
        <w:left w:val="none" w:sz="0" w:space="0" w:color="auto"/>
        <w:bottom w:val="none" w:sz="0" w:space="0" w:color="auto"/>
        <w:right w:val="none" w:sz="0" w:space="0" w:color="auto"/>
      </w:divBdr>
    </w:div>
    <w:div w:id="572084825">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5621730">
      <w:bodyDiv w:val="1"/>
      <w:marLeft w:val="0"/>
      <w:marRight w:val="0"/>
      <w:marTop w:val="0"/>
      <w:marBottom w:val="0"/>
      <w:divBdr>
        <w:top w:val="none" w:sz="0" w:space="0" w:color="auto"/>
        <w:left w:val="none" w:sz="0" w:space="0" w:color="auto"/>
        <w:bottom w:val="none" w:sz="0" w:space="0" w:color="auto"/>
        <w:right w:val="none" w:sz="0" w:space="0" w:color="auto"/>
      </w:divBdr>
    </w:div>
    <w:div w:id="610210579">
      <w:bodyDiv w:val="1"/>
      <w:marLeft w:val="0"/>
      <w:marRight w:val="0"/>
      <w:marTop w:val="0"/>
      <w:marBottom w:val="0"/>
      <w:divBdr>
        <w:top w:val="none" w:sz="0" w:space="0" w:color="auto"/>
        <w:left w:val="none" w:sz="0" w:space="0" w:color="auto"/>
        <w:bottom w:val="none" w:sz="0" w:space="0" w:color="auto"/>
        <w:right w:val="none" w:sz="0" w:space="0" w:color="auto"/>
      </w:divBdr>
    </w:div>
    <w:div w:id="627123902">
      <w:bodyDiv w:val="1"/>
      <w:marLeft w:val="0"/>
      <w:marRight w:val="0"/>
      <w:marTop w:val="0"/>
      <w:marBottom w:val="0"/>
      <w:divBdr>
        <w:top w:val="none" w:sz="0" w:space="0" w:color="auto"/>
        <w:left w:val="none" w:sz="0" w:space="0" w:color="auto"/>
        <w:bottom w:val="none" w:sz="0" w:space="0" w:color="auto"/>
        <w:right w:val="none" w:sz="0" w:space="0" w:color="auto"/>
      </w:divBdr>
    </w:div>
    <w:div w:id="637959967">
      <w:bodyDiv w:val="1"/>
      <w:marLeft w:val="0"/>
      <w:marRight w:val="0"/>
      <w:marTop w:val="0"/>
      <w:marBottom w:val="0"/>
      <w:divBdr>
        <w:top w:val="none" w:sz="0" w:space="0" w:color="auto"/>
        <w:left w:val="none" w:sz="0" w:space="0" w:color="auto"/>
        <w:bottom w:val="none" w:sz="0" w:space="0" w:color="auto"/>
        <w:right w:val="none" w:sz="0" w:space="0" w:color="auto"/>
      </w:divBdr>
    </w:div>
    <w:div w:id="645863234">
      <w:bodyDiv w:val="1"/>
      <w:marLeft w:val="0"/>
      <w:marRight w:val="0"/>
      <w:marTop w:val="0"/>
      <w:marBottom w:val="0"/>
      <w:divBdr>
        <w:top w:val="none" w:sz="0" w:space="0" w:color="auto"/>
        <w:left w:val="none" w:sz="0" w:space="0" w:color="auto"/>
        <w:bottom w:val="none" w:sz="0" w:space="0" w:color="auto"/>
        <w:right w:val="none" w:sz="0" w:space="0" w:color="auto"/>
      </w:divBdr>
    </w:div>
    <w:div w:id="648218233">
      <w:bodyDiv w:val="1"/>
      <w:marLeft w:val="0"/>
      <w:marRight w:val="0"/>
      <w:marTop w:val="0"/>
      <w:marBottom w:val="0"/>
      <w:divBdr>
        <w:top w:val="none" w:sz="0" w:space="0" w:color="auto"/>
        <w:left w:val="none" w:sz="0" w:space="0" w:color="auto"/>
        <w:bottom w:val="none" w:sz="0" w:space="0" w:color="auto"/>
        <w:right w:val="none" w:sz="0" w:space="0" w:color="auto"/>
      </w:divBdr>
    </w:div>
    <w:div w:id="677467177">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3196297">
      <w:bodyDiv w:val="1"/>
      <w:marLeft w:val="0"/>
      <w:marRight w:val="0"/>
      <w:marTop w:val="0"/>
      <w:marBottom w:val="0"/>
      <w:divBdr>
        <w:top w:val="none" w:sz="0" w:space="0" w:color="auto"/>
        <w:left w:val="none" w:sz="0" w:space="0" w:color="auto"/>
        <w:bottom w:val="none" w:sz="0" w:space="0" w:color="auto"/>
        <w:right w:val="none" w:sz="0" w:space="0" w:color="auto"/>
      </w:divBdr>
    </w:div>
    <w:div w:id="696389041">
      <w:bodyDiv w:val="1"/>
      <w:marLeft w:val="0"/>
      <w:marRight w:val="0"/>
      <w:marTop w:val="0"/>
      <w:marBottom w:val="0"/>
      <w:divBdr>
        <w:top w:val="none" w:sz="0" w:space="0" w:color="auto"/>
        <w:left w:val="none" w:sz="0" w:space="0" w:color="auto"/>
        <w:bottom w:val="none" w:sz="0" w:space="0" w:color="auto"/>
        <w:right w:val="none" w:sz="0" w:space="0" w:color="auto"/>
      </w:divBdr>
    </w:div>
    <w:div w:id="727998590">
      <w:bodyDiv w:val="1"/>
      <w:marLeft w:val="0"/>
      <w:marRight w:val="0"/>
      <w:marTop w:val="0"/>
      <w:marBottom w:val="0"/>
      <w:divBdr>
        <w:top w:val="none" w:sz="0" w:space="0" w:color="auto"/>
        <w:left w:val="none" w:sz="0" w:space="0" w:color="auto"/>
        <w:bottom w:val="none" w:sz="0" w:space="0" w:color="auto"/>
        <w:right w:val="none" w:sz="0" w:space="0" w:color="auto"/>
      </w:divBdr>
    </w:div>
    <w:div w:id="743184405">
      <w:bodyDiv w:val="1"/>
      <w:marLeft w:val="0"/>
      <w:marRight w:val="0"/>
      <w:marTop w:val="0"/>
      <w:marBottom w:val="0"/>
      <w:divBdr>
        <w:top w:val="none" w:sz="0" w:space="0" w:color="auto"/>
        <w:left w:val="none" w:sz="0" w:space="0" w:color="auto"/>
        <w:bottom w:val="none" w:sz="0" w:space="0" w:color="auto"/>
        <w:right w:val="none" w:sz="0" w:space="0" w:color="auto"/>
      </w:divBdr>
    </w:div>
    <w:div w:id="763915102">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8256445">
      <w:bodyDiv w:val="1"/>
      <w:marLeft w:val="0"/>
      <w:marRight w:val="0"/>
      <w:marTop w:val="0"/>
      <w:marBottom w:val="0"/>
      <w:divBdr>
        <w:top w:val="none" w:sz="0" w:space="0" w:color="auto"/>
        <w:left w:val="none" w:sz="0" w:space="0" w:color="auto"/>
        <w:bottom w:val="none" w:sz="0" w:space="0" w:color="auto"/>
        <w:right w:val="none" w:sz="0" w:space="0" w:color="auto"/>
      </w:divBdr>
    </w:div>
    <w:div w:id="782111676">
      <w:bodyDiv w:val="1"/>
      <w:marLeft w:val="0"/>
      <w:marRight w:val="0"/>
      <w:marTop w:val="0"/>
      <w:marBottom w:val="0"/>
      <w:divBdr>
        <w:top w:val="none" w:sz="0" w:space="0" w:color="auto"/>
        <w:left w:val="none" w:sz="0" w:space="0" w:color="auto"/>
        <w:bottom w:val="none" w:sz="0" w:space="0" w:color="auto"/>
        <w:right w:val="none" w:sz="0" w:space="0" w:color="auto"/>
      </w:divBdr>
    </w:div>
    <w:div w:id="810905728">
      <w:bodyDiv w:val="1"/>
      <w:marLeft w:val="0"/>
      <w:marRight w:val="0"/>
      <w:marTop w:val="0"/>
      <w:marBottom w:val="0"/>
      <w:divBdr>
        <w:top w:val="none" w:sz="0" w:space="0" w:color="auto"/>
        <w:left w:val="none" w:sz="0" w:space="0" w:color="auto"/>
        <w:bottom w:val="none" w:sz="0" w:space="0" w:color="auto"/>
        <w:right w:val="none" w:sz="0" w:space="0" w:color="auto"/>
      </w:divBdr>
    </w:div>
    <w:div w:id="816217790">
      <w:bodyDiv w:val="1"/>
      <w:marLeft w:val="0"/>
      <w:marRight w:val="0"/>
      <w:marTop w:val="0"/>
      <w:marBottom w:val="0"/>
      <w:divBdr>
        <w:top w:val="none" w:sz="0" w:space="0" w:color="auto"/>
        <w:left w:val="none" w:sz="0" w:space="0" w:color="auto"/>
        <w:bottom w:val="none" w:sz="0" w:space="0" w:color="auto"/>
        <w:right w:val="none" w:sz="0" w:space="0" w:color="auto"/>
      </w:divBdr>
    </w:div>
    <w:div w:id="818694712">
      <w:bodyDiv w:val="1"/>
      <w:marLeft w:val="0"/>
      <w:marRight w:val="0"/>
      <w:marTop w:val="0"/>
      <w:marBottom w:val="0"/>
      <w:divBdr>
        <w:top w:val="none" w:sz="0" w:space="0" w:color="auto"/>
        <w:left w:val="none" w:sz="0" w:space="0" w:color="auto"/>
        <w:bottom w:val="none" w:sz="0" w:space="0" w:color="auto"/>
        <w:right w:val="none" w:sz="0" w:space="0" w:color="auto"/>
      </w:divBdr>
    </w:div>
    <w:div w:id="84528722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8303333">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069737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6327643">
      <w:bodyDiv w:val="1"/>
      <w:marLeft w:val="0"/>
      <w:marRight w:val="0"/>
      <w:marTop w:val="0"/>
      <w:marBottom w:val="0"/>
      <w:divBdr>
        <w:top w:val="none" w:sz="0" w:space="0" w:color="auto"/>
        <w:left w:val="none" w:sz="0" w:space="0" w:color="auto"/>
        <w:bottom w:val="none" w:sz="0" w:space="0" w:color="auto"/>
        <w:right w:val="none" w:sz="0" w:space="0" w:color="auto"/>
      </w:divBdr>
    </w:div>
    <w:div w:id="920260454">
      <w:bodyDiv w:val="1"/>
      <w:marLeft w:val="0"/>
      <w:marRight w:val="0"/>
      <w:marTop w:val="0"/>
      <w:marBottom w:val="0"/>
      <w:divBdr>
        <w:top w:val="none" w:sz="0" w:space="0" w:color="auto"/>
        <w:left w:val="none" w:sz="0" w:space="0" w:color="auto"/>
        <w:bottom w:val="none" w:sz="0" w:space="0" w:color="auto"/>
        <w:right w:val="none" w:sz="0" w:space="0" w:color="auto"/>
      </w:divBdr>
    </w:div>
    <w:div w:id="921794277">
      <w:bodyDiv w:val="1"/>
      <w:marLeft w:val="0"/>
      <w:marRight w:val="0"/>
      <w:marTop w:val="0"/>
      <w:marBottom w:val="0"/>
      <w:divBdr>
        <w:top w:val="none" w:sz="0" w:space="0" w:color="auto"/>
        <w:left w:val="none" w:sz="0" w:space="0" w:color="auto"/>
        <w:bottom w:val="none" w:sz="0" w:space="0" w:color="auto"/>
        <w:right w:val="none" w:sz="0" w:space="0" w:color="auto"/>
      </w:divBdr>
    </w:div>
    <w:div w:id="926570967">
      <w:bodyDiv w:val="1"/>
      <w:marLeft w:val="0"/>
      <w:marRight w:val="0"/>
      <w:marTop w:val="0"/>
      <w:marBottom w:val="0"/>
      <w:divBdr>
        <w:top w:val="none" w:sz="0" w:space="0" w:color="auto"/>
        <w:left w:val="none" w:sz="0" w:space="0" w:color="auto"/>
        <w:bottom w:val="none" w:sz="0" w:space="0" w:color="auto"/>
        <w:right w:val="none" w:sz="0" w:space="0" w:color="auto"/>
      </w:divBdr>
    </w:div>
    <w:div w:id="928197951">
      <w:bodyDiv w:val="1"/>
      <w:marLeft w:val="0"/>
      <w:marRight w:val="0"/>
      <w:marTop w:val="0"/>
      <w:marBottom w:val="0"/>
      <w:divBdr>
        <w:top w:val="none" w:sz="0" w:space="0" w:color="auto"/>
        <w:left w:val="none" w:sz="0" w:space="0" w:color="auto"/>
        <w:bottom w:val="none" w:sz="0" w:space="0" w:color="auto"/>
        <w:right w:val="none" w:sz="0" w:space="0" w:color="auto"/>
      </w:divBdr>
    </w:div>
    <w:div w:id="965814722">
      <w:bodyDiv w:val="1"/>
      <w:marLeft w:val="0"/>
      <w:marRight w:val="0"/>
      <w:marTop w:val="0"/>
      <w:marBottom w:val="0"/>
      <w:divBdr>
        <w:top w:val="none" w:sz="0" w:space="0" w:color="auto"/>
        <w:left w:val="none" w:sz="0" w:space="0" w:color="auto"/>
        <w:bottom w:val="none" w:sz="0" w:space="0" w:color="auto"/>
        <w:right w:val="none" w:sz="0" w:space="0" w:color="auto"/>
      </w:divBdr>
    </w:div>
    <w:div w:id="966356531">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3923750">
      <w:bodyDiv w:val="1"/>
      <w:marLeft w:val="0"/>
      <w:marRight w:val="0"/>
      <w:marTop w:val="0"/>
      <w:marBottom w:val="0"/>
      <w:divBdr>
        <w:top w:val="none" w:sz="0" w:space="0" w:color="auto"/>
        <w:left w:val="none" w:sz="0" w:space="0" w:color="auto"/>
        <w:bottom w:val="none" w:sz="0" w:space="0" w:color="auto"/>
        <w:right w:val="none" w:sz="0" w:space="0" w:color="auto"/>
      </w:divBdr>
    </w:div>
    <w:div w:id="1006205026">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09991486">
      <w:bodyDiv w:val="1"/>
      <w:marLeft w:val="0"/>
      <w:marRight w:val="0"/>
      <w:marTop w:val="0"/>
      <w:marBottom w:val="0"/>
      <w:divBdr>
        <w:top w:val="none" w:sz="0" w:space="0" w:color="auto"/>
        <w:left w:val="none" w:sz="0" w:space="0" w:color="auto"/>
        <w:bottom w:val="none" w:sz="0" w:space="0" w:color="auto"/>
        <w:right w:val="none" w:sz="0" w:space="0" w:color="auto"/>
      </w:divBdr>
    </w:div>
    <w:div w:id="1017392997">
      <w:bodyDiv w:val="1"/>
      <w:marLeft w:val="0"/>
      <w:marRight w:val="0"/>
      <w:marTop w:val="0"/>
      <w:marBottom w:val="0"/>
      <w:divBdr>
        <w:top w:val="none" w:sz="0" w:space="0" w:color="auto"/>
        <w:left w:val="none" w:sz="0" w:space="0" w:color="auto"/>
        <w:bottom w:val="none" w:sz="0" w:space="0" w:color="auto"/>
        <w:right w:val="none" w:sz="0" w:space="0" w:color="auto"/>
      </w:divBdr>
    </w:div>
    <w:div w:id="1017923160">
      <w:bodyDiv w:val="1"/>
      <w:marLeft w:val="0"/>
      <w:marRight w:val="0"/>
      <w:marTop w:val="0"/>
      <w:marBottom w:val="0"/>
      <w:divBdr>
        <w:top w:val="none" w:sz="0" w:space="0" w:color="auto"/>
        <w:left w:val="none" w:sz="0" w:space="0" w:color="auto"/>
        <w:bottom w:val="none" w:sz="0" w:space="0" w:color="auto"/>
        <w:right w:val="none" w:sz="0" w:space="0" w:color="auto"/>
      </w:divBdr>
    </w:div>
    <w:div w:id="1022165451">
      <w:bodyDiv w:val="1"/>
      <w:marLeft w:val="0"/>
      <w:marRight w:val="0"/>
      <w:marTop w:val="0"/>
      <w:marBottom w:val="0"/>
      <w:divBdr>
        <w:top w:val="none" w:sz="0" w:space="0" w:color="auto"/>
        <w:left w:val="none" w:sz="0" w:space="0" w:color="auto"/>
        <w:bottom w:val="none" w:sz="0" w:space="0" w:color="auto"/>
        <w:right w:val="none" w:sz="0" w:space="0" w:color="auto"/>
      </w:divBdr>
    </w:div>
    <w:div w:id="1026101800">
      <w:bodyDiv w:val="1"/>
      <w:marLeft w:val="0"/>
      <w:marRight w:val="0"/>
      <w:marTop w:val="0"/>
      <w:marBottom w:val="0"/>
      <w:divBdr>
        <w:top w:val="none" w:sz="0" w:space="0" w:color="auto"/>
        <w:left w:val="none" w:sz="0" w:space="0" w:color="auto"/>
        <w:bottom w:val="none" w:sz="0" w:space="0" w:color="auto"/>
        <w:right w:val="none" w:sz="0" w:space="0" w:color="auto"/>
      </w:divBdr>
    </w:div>
    <w:div w:id="1033263770">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7990199">
      <w:bodyDiv w:val="1"/>
      <w:marLeft w:val="0"/>
      <w:marRight w:val="0"/>
      <w:marTop w:val="0"/>
      <w:marBottom w:val="0"/>
      <w:divBdr>
        <w:top w:val="none" w:sz="0" w:space="0" w:color="auto"/>
        <w:left w:val="none" w:sz="0" w:space="0" w:color="auto"/>
        <w:bottom w:val="none" w:sz="0" w:space="0" w:color="auto"/>
        <w:right w:val="none" w:sz="0" w:space="0" w:color="auto"/>
      </w:divBdr>
    </w:div>
    <w:div w:id="1050349314">
      <w:bodyDiv w:val="1"/>
      <w:marLeft w:val="0"/>
      <w:marRight w:val="0"/>
      <w:marTop w:val="0"/>
      <w:marBottom w:val="0"/>
      <w:divBdr>
        <w:top w:val="none" w:sz="0" w:space="0" w:color="auto"/>
        <w:left w:val="none" w:sz="0" w:space="0" w:color="auto"/>
        <w:bottom w:val="none" w:sz="0" w:space="0" w:color="auto"/>
        <w:right w:val="none" w:sz="0" w:space="0" w:color="auto"/>
      </w:divBdr>
    </w:div>
    <w:div w:id="1057558065">
      <w:bodyDiv w:val="1"/>
      <w:marLeft w:val="0"/>
      <w:marRight w:val="0"/>
      <w:marTop w:val="0"/>
      <w:marBottom w:val="0"/>
      <w:divBdr>
        <w:top w:val="none" w:sz="0" w:space="0" w:color="auto"/>
        <w:left w:val="none" w:sz="0" w:space="0" w:color="auto"/>
        <w:bottom w:val="none" w:sz="0" w:space="0" w:color="auto"/>
        <w:right w:val="none" w:sz="0" w:space="0" w:color="auto"/>
      </w:divBdr>
    </w:div>
    <w:div w:id="1062797571">
      <w:bodyDiv w:val="1"/>
      <w:marLeft w:val="0"/>
      <w:marRight w:val="0"/>
      <w:marTop w:val="0"/>
      <w:marBottom w:val="0"/>
      <w:divBdr>
        <w:top w:val="none" w:sz="0" w:space="0" w:color="auto"/>
        <w:left w:val="none" w:sz="0" w:space="0" w:color="auto"/>
        <w:bottom w:val="none" w:sz="0" w:space="0" w:color="auto"/>
        <w:right w:val="none" w:sz="0" w:space="0" w:color="auto"/>
      </w:divBdr>
    </w:div>
    <w:div w:id="1063797817">
      <w:bodyDiv w:val="1"/>
      <w:marLeft w:val="0"/>
      <w:marRight w:val="0"/>
      <w:marTop w:val="0"/>
      <w:marBottom w:val="0"/>
      <w:divBdr>
        <w:top w:val="none" w:sz="0" w:space="0" w:color="auto"/>
        <w:left w:val="none" w:sz="0" w:space="0" w:color="auto"/>
        <w:bottom w:val="none" w:sz="0" w:space="0" w:color="auto"/>
        <w:right w:val="none" w:sz="0" w:space="0" w:color="auto"/>
      </w:divBdr>
    </w:div>
    <w:div w:id="1070347232">
      <w:bodyDiv w:val="1"/>
      <w:marLeft w:val="0"/>
      <w:marRight w:val="0"/>
      <w:marTop w:val="0"/>
      <w:marBottom w:val="0"/>
      <w:divBdr>
        <w:top w:val="none" w:sz="0" w:space="0" w:color="auto"/>
        <w:left w:val="none" w:sz="0" w:space="0" w:color="auto"/>
        <w:bottom w:val="none" w:sz="0" w:space="0" w:color="auto"/>
        <w:right w:val="none" w:sz="0" w:space="0" w:color="auto"/>
      </w:divBdr>
    </w:div>
    <w:div w:id="1077247772">
      <w:bodyDiv w:val="1"/>
      <w:marLeft w:val="0"/>
      <w:marRight w:val="0"/>
      <w:marTop w:val="0"/>
      <w:marBottom w:val="0"/>
      <w:divBdr>
        <w:top w:val="none" w:sz="0" w:space="0" w:color="auto"/>
        <w:left w:val="none" w:sz="0" w:space="0" w:color="auto"/>
        <w:bottom w:val="none" w:sz="0" w:space="0" w:color="auto"/>
        <w:right w:val="none" w:sz="0" w:space="0" w:color="auto"/>
      </w:divBdr>
    </w:div>
    <w:div w:id="1080520704">
      <w:bodyDiv w:val="1"/>
      <w:marLeft w:val="0"/>
      <w:marRight w:val="0"/>
      <w:marTop w:val="0"/>
      <w:marBottom w:val="0"/>
      <w:divBdr>
        <w:top w:val="none" w:sz="0" w:space="0" w:color="auto"/>
        <w:left w:val="none" w:sz="0" w:space="0" w:color="auto"/>
        <w:bottom w:val="none" w:sz="0" w:space="0" w:color="auto"/>
        <w:right w:val="none" w:sz="0" w:space="0" w:color="auto"/>
      </w:divBdr>
    </w:div>
    <w:div w:id="1084686625">
      <w:bodyDiv w:val="1"/>
      <w:marLeft w:val="0"/>
      <w:marRight w:val="0"/>
      <w:marTop w:val="0"/>
      <w:marBottom w:val="0"/>
      <w:divBdr>
        <w:top w:val="none" w:sz="0" w:space="0" w:color="auto"/>
        <w:left w:val="none" w:sz="0" w:space="0" w:color="auto"/>
        <w:bottom w:val="none" w:sz="0" w:space="0" w:color="auto"/>
        <w:right w:val="none" w:sz="0" w:space="0" w:color="auto"/>
      </w:divBdr>
    </w:div>
    <w:div w:id="108529770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296852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888060">
      <w:bodyDiv w:val="1"/>
      <w:marLeft w:val="0"/>
      <w:marRight w:val="0"/>
      <w:marTop w:val="0"/>
      <w:marBottom w:val="0"/>
      <w:divBdr>
        <w:top w:val="none" w:sz="0" w:space="0" w:color="auto"/>
        <w:left w:val="none" w:sz="0" w:space="0" w:color="auto"/>
        <w:bottom w:val="none" w:sz="0" w:space="0" w:color="auto"/>
        <w:right w:val="none" w:sz="0" w:space="0" w:color="auto"/>
      </w:divBdr>
    </w:div>
    <w:div w:id="1117407510">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82933121">
      <w:bodyDiv w:val="1"/>
      <w:marLeft w:val="0"/>
      <w:marRight w:val="0"/>
      <w:marTop w:val="0"/>
      <w:marBottom w:val="0"/>
      <w:divBdr>
        <w:top w:val="none" w:sz="0" w:space="0" w:color="auto"/>
        <w:left w:val="none" w:sz="0" w:space="0" w:color="auto"/>
        <w:bottom w:val="none" w:sz="0" w:space="0" w:color="auto"/>
        <w:right w:val="none" w:sz="0" w:space="0" w:color="auto"/>
      </w:divBdr>
    </w:div>
    <w:div w:id="1205560848">
      <w:bodyDiv w:val="1"/>
      <w:marLeft w:val="0"/>
      <w:marRight w:val="0"/>
      <w:marTop w:val="0"/>
      <w:marBottom w:val="0"/>
      <w:divBdr>
        <w:top w:val="none" w:sz="0" w:space="0" w:color="auto"/>
        <w:left w:val="none" w:sz="0" w:space="0" w:color="auto"/>
        <w:bottom w:val="none" w:sz="0" w:space="0" w:color="auto"/>
        <w:right w:val="none" w:sz="0" w:space="0" w:color="auto"/>
      </w:divBdr>
    </w:div>
    <w:div w:id="1212881306">
      <w:bodyDiv w:val="1"/>
      <w:marLeft w:val="0"/>
      <w:marRight w:val="0"/>
      <w:marTop w:val="0"/>
      <w:marBottom w:val="0"/>
      <w:divBdr>
        <w:top w:val="none" w:sz="0" w:space="0" w:color="auto"/>
        <w:left w:val="none" w:sz="0" w:space="0" w:color="auto"/>
        <w:bottom w:val="none" w:sz="0" w:space="0" w:color="auto"/>
        <w:right w:val="none" w:sz="0" w:space="0" w:color="auto"/>
      </w:divBdr>
    </w:div>
    <w:div w:id="1240821277">
      <w:bodyDiv w:val="1"/>
      <w:marLeft w:val="0"/>
      <w:marRight w:val="0"/>
      <w:marTop w:val="0"/>
      <w:marBottom w:val="0"/>
      <w:divBdr>
        <w:top w:val="none" w:sz="0" w:space="0" w:color="auto"/>
        <w:left w:val="none" w:sz="0" w:space="0" w:color="auto"/>
        <w:bottom w:val="none" w:sz="0" w:space="0" w:color="auto"/>
        <w:right w:val="none" w:sz="0" w:space="0" w:color="auto"/>
      </w:divBdr>
    </w:div>
    <w:div w:id="124256516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1423936">
      <w:bodyDiv w:val="1"/>
      <w:marLeft w:val="0"/>
      <w:marRight w:val="0"/>
      <w:marTop w:val="0"/>
      <w:marBottom w:val="0"/>
      <w:divBdr>
        <w:top w:val="none" w:sz="0" w:space="0" w:color="auto"/>
        <w:left w:val="none" w:sz="0" w:space="0" w:color="auto"/>
        <w:bottom w:val="none" w:sz="0" w:space="0" w:color="auto"/>
        <w:right w:val="none" w:sz="0" w:space="0" w:color="auto"/>
      </w:divBdr>
    </w:div>
    <w:div w:id="1251769725">
      <w:bodyDiv w:val="1"/>
      <w:marLeft w:val="0"/>
      <w:marRight w:val="0"/>
      <w:marTop w:val="0"/>
      <w:marBottom w:val="0"/>
      <w:divBdr>
        <w:top w:val="none" w:sz="0" w:space="0" w:color="auto"/>
        <w:left w:val="none" w:sz="0" w:space="0" w:color="auto"/>
        <w:bottom w:val="none" w:sz="0" w:space="0" w:color="auto"/>
        <w:right w:val="none" w:sz="0" w:space="0" w:color="auto"/>
      </w:divBdr>
    </w:div>
    <w:div w:id="1281910889">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88509306">
      <w:bodyDiv w:val="1"/>
      <w:marLeft w:val="0"/>
      <w:marRight w:val="0"/>
      <w:marTop w:val="0"/>
      <w:marBottom w:val="0"/>
      <w:divBdr>
        <w:top w:val="none" w:sz="0" w:space="0" w:color="auto"/>
        <w:left w:val="none" w:sz="0" w:space="0" w:color="auto"/>
        <w:bottom w:val="none" w:sz="0" w:space="0" w:color="auto"/>
        <w:right w:val="none" w:sz="0" w:space="0" w:color="auto"/>
      </w:divBdr>
    </w:div>
    <w:div w:id="1291741608">
      <w:bodyDiv w:val="1"/>
      <w:marLeft w:val="0"/>
      <w:marRight w:val="0"/>
      <w:marTop w:val="0"/>
      <w:marBottom w:val="0"/>
      <w:divBdr>
        <w:top w:val="none" w:sz="0" w:space="0" w:color="auto"/>
        <w:left w:val="none" w:sz="0" w:space="0" w:color="auto"/>
        <w:bottom w:val="none" w:sz="0" w:space="0" w:color="auto"/>
        <w:right w:val="none" w:sz="0" w:space="0" w:color="auto"/>
      </w:divBdr>
    </w:div>
    <w:div w:id="1294018412">
      <w:bodyDiv w:val="1"/>
      <w:marLeft w:val="0"/>
      <w:marRight w:val="0"/>
      <w:marTop w:val="0"/>
      <w:marBottom w:val="0"/>
      <w:divBdr>
        <w:top w:val="none" w:sz="0" w:space="0" w:color="auto"/>
        <w:left w:val="none" w:sz="0" w:space="0" w:color="auto"/>
        <w:bottom w:val="none" w:sz="0" w:space="0" w:color="auto"/>
        <w:right w:val="none" w:sz="0" w:space="0" w:color="auto"/>
      </w:divBdr>
    </w:div>
    <w:div w:id="1294169796">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103979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6281253">
      <w:bodyDiv w:val="1"/>
      <w:marLeft w:val="0"/>
      <w:marRight w:val="0"/>
      <w:marTop w:val="0"/>
      <w:marBottom w:val="0"/>
      <w:divBdr>
        <w:top w:val="none" w:sz="0" w:space="0" w:color="auto"/>
        <w:left w:val="none" w:sz="0" w:space="0" w:color="auto"/>
        <w:bottom w:val="none" w:sz="0" w:space="0" w:color="auto"/>
        <w:right w:val="none" w:sz="0" w:space="0" w:color="auto"/>
      </w:divBdr>
    </w:div>
    <w:div w:id="1327244667">
      <w:bodyDiv w:val="1"/>
      <w:marLeft w:val="0"/>
      <w:marRight w:val="0"/>
      <w:marTop w:val="0"/>
      <w:marBottom w:val="0"/>
      <w:divBdr>
        <w:top w:val="none" w:sz="0" w:space="0" w:color="auto"/>
        <w:left w:val="none" w:sz="0" w:space="0" w:color="auto"/>
        <w:bottom w:val="none" w:sz="0" w:space="0" w:color="auto"/>
        <w:right w:val="none" w:sz="0" w:space="0" w:color="auto"/>
      </w:divBdr>
    </w:div>
    <w:div w:id="1333264681">
      <w:bodyDiv w:val="1"/>
      <w:marLeft w:val="0"/>
      <w:marRight w:val="0"/>
      <w:marTop w:val="0"/>
      <w:marBottom w:val="0"/>
      <w:divBdr>
        <w:top w:val="none" w:sz="0" w:space="0" w:color="auto"/>
        <w:left w:val="none" w:sz="0" w:space="0" w:color="auto"/>
        <w:bottom w:val="none" w:sz="0" w:space="0" w:color="auto"/>
        <w:right w:val="none" w:sz="0" w:space="0" w:color="auto"/>
      </w:divBdr>
    </w:div>
    <w:div w:id="1344670705">
      <w:bodyDiv w:val="1"/>
      <w:marLeft w:val="0"/>
      <w:marRight w:val="0"/>
      <w:marTop w:val="0"/>
      <w:marBottom w:val="0"/>
      <w:divBdr>
        <w:top w:val="none" w:sz="0" w:space="0" w:color="auto"/>
        <w:left w:val="none" w:sz="0" w:space="0" w:color="auto"/>
        <w:bottom w:val="none" w:sz="0" w:space="0" w:color="auto"/>
        <w:right w:val="none" w:sz="0" w:space="0" w:color="auto"/>
      </w:divBdr>
    </w:div>
    <w:div w:id="1376274678">
      <w:bodyDiv w:val="1"/>
      <w:marLeft w:val="0"/>
      <w:marRight w:val="0"/>
      <w:marTop w:val="0"/>
      <w:marBottom w:val="0"/>
      <w:divBdr>
        <w:top w:val="none" w:sz="0" w:space="0" w:color="auto"/>
        <w:left w:val="none" w:sz="0" w:space="0" w:color="auto"/>
        <w:bottom w:val="none" w:sz="0" w:space="0" w:color="auto"/>
        <w:right w:val="none" w:sz="0" w:space="0" w:color="auto"/>
      </w:divBdr>
    </w:div>
    <w:div w:id="1379236067">
      <w:bodyDiv w:val="1"/>
      <w:marLeft w:val="0"/>
      <w:marRight w:val="0"/>
      <w:marTop w:val="0"/>
      <w:marBottom w:val="0"/>
      <w:divBdr>
        <w:top w:val="none" w:sz="0" w:space="0" w:color="auto"/>
        <w:left w:val="none" w:sz="0" w:space="0" w:color="auto"/>
        <w:bottom w:val="none" w:sz="0" w:space="0" w:color="auto"/>
        <w:right w:val="none" w:sz="0" w:space="0" w:color="auto"/>
      </w:divBdr>
    </w:div>
    <w:div w:id="1390762694">
      <w:bodyDiv w:val="1"/>
      <w:marLeft w:val="0"/>
      <w:marRight w:val="0"/>
      <w:marTop w:val="0"/>
      <w:marBottom w:val="0"/>
      <w:divBdr>
        <w:top w:val="none" w:sz="0" w:space="0" w:color="auto"/>
        <w:left w:val="none" w:sz="0" w:space="0" w:color="auto"/>
        <w:bottom w:val="none" w:sz="0" w:space="0" w:color="auto"/>
        <w:right w:val="none" w:sz="0" w:space="0" w:color="auto"/>
      </w:divBdr>
    </w:div>
    <w:div w:id="1391878943">
      <w:bodyDiv w:val="1"/>
      <w:marLeft w:val="0"/>
      <w:marRight w:val="0"/>
      <w:marTop w:val="0"/>
      <w:marBottom w:val="0"/>
      <w:divBdr>
        <w:top w:val="none" w:sz="0" w:space="0" w:color="auto"/>
        <w:left w:val="none" w:sz="0" w:space="0" w:color="auto"/>
        <w:bottom w:val="none" w:sz="0" w:space="0" w:color="auto"/>
        <w:right w:val="none" w:sz="0" w:space="0" w:color="auto"/>
      </w:divBdr>
    </w:div>
    <w:div w:id="1396663848">
      <w:bodyDiv w:val="1"/>
      <w:marLeft w:val="0"/>
      <w:marRight w:val="0"/>
      <w:marTop w:val="0"/>
      <w:marBottom w:val="0"/>
      <w:divBdr>
        <w:top w:val="none" w:sz="0" w:space="0" w:color="auto"/>
        <w:left w:val="none" w:sz="0" w:space="0" w:color="auto"/>
        <w:bottom w:val="none" w:sz="0" w:space="0" w:color="auto"/>
        <w:right w:val="none" w:sz="0" w:space="0" w:color="auto"/>
      </w:divBdr>
    </w:div>
    <w:div w:id="1401781758">
      <w:bodyDiv w:val="1"/>
      <w:marLeft w:val="0"/>
      <w:marRight w:val="0"/>
      <w:marTop w:val="0"/>
      <w:marBottom w:val="0"/>
      <w:divBdr>
        <w:top w:val="none" w:sz="0" w:space="0" w:color="auto"/>
        <w:left w:val="none" w:sz="0" w:space="0" w:color="auto"/>
        <w:bottom w:val="none" w:sz="0" w:space="0" w:color="auto"/>
        <w:right w:val="none" w:sz="0" w:space="0" w:color="auto"/>
      </w:divBdr>
    </w:div>
    <w:div w:id="1420298731">
      <w:bodyDiv w:val="1"/>
      <w:marLeft w:val="0"/>
      <w:marRight w:val="0"/>
      <w:marTop w:val="0"/>
      <w:marBottom w:val="0"/>
      <w:divBdr>
        <w:top w:val="none" w:sz="0" w:space="0" w:color="auto"/>
        <w:left w:val="none" w:sz="0" w:space="0" w:color="auto"/>
        <w:bottom w:val="none" w:sz="0" w:space="0" w:color="auto"/>
        <w:right w:val="none" w:sz="0" w:space="0" w:color="auto"/>
      </w:divBdr>
    </w:div>
    <w:div w:id="146141512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200957">
      <w:bodyDiv w:val="1"/>
      <w:marLeft w:val="0"/>
      <w:marRight w:val="0"/>
      <w:marTop w:val="0"/>
      <w:marBottom w:val="0"/>
      <w:divBdr>
        <w:top w:val="none" w:sz="0" w:space="0" w:color="auto"/>
        <w:left w:val="none" w:sz="0" w:space="0" w:color="auto"/>
        <w:bottom w:val="none" w:sz="0" w:space="0" w:color="auto"/>
        <w:right w:val="none" w:sz="0" w:space="0" w:color="auto"/>
      </w:divBdr>
    </w:div>
    <w:div w:id="1472402753">
      <w:bodyDiv w:val="1"/>
      <w:marLeft w:val="0"/>
      <w:marRight w:val="0"/>
      <w:marTop w:val="0"/>
      <w:marBottom w:val="0"/>
      <w:divBdr>
        <w:top w:val="none" w:sz="0" w:space="0" w:color="auto"/>
        <w:left w:val="none" w:sz="0" w:space="0" w:color="auto"/>
        <w:bottom w:val="none" w:sz="0" w:space="0" w:color="auto"/>
        <w:right w:val="none" w:sz="0" w:space="0" w:color="auto"/>
      </w:divBdr>
    </w:div>
    <w:div w:id="1473907689">
      <w:bodyDiv w:val="1"/>
      <w:marLeft w:val="0"/>
      <w:marRight w:val="0"/>
      <w:marTop w:val="0"/>
      <w:marBottom w:val="0"/>
      <w:divBdr>
        <w:top w:val="none" w:sz="0" w:space="0" w:color="auto"/>
        <w:left w:val="none" w:sz="0" w:space="0" w:color="auto"/>
        <w:bottom w:val="none" w:sz="0" w:space="0" w:color="auto"/>
        <w:right w:val="none" w:sz="0" w:space="0" w:color="auto"/>
      </w:divBdr>
    </w:div>
    <w:div w:id="1480725389">
      <w:bodyDiv w:val="1"/>
      <w:marLeft w:val="0"/>
      <w:marRight w:val="0"/>
      <w:marTop w:val="0"/>
      <w:marBottom w:val="0"/>
      <w:divBdr>
        <w:top w:val="none" w:sz="0" w:space="0" w:color="auto"/>
        <w:left w:val="none" w:sz="0" w:space="0" w:color="auto"/>
        <w:bottom w:val="none" w:sz="0" w:space="0" w:color="auto"/>
        <w:right w:val="none" w:sz="0" w:space="0" w:color="auto"/>
      </w:divBdr>
    </w:div>
    <w:div w:id="1482581566">
      <w:bodyDiv w:val="1"/>
      <w:marLeft w:val="0"/>
      <w:marRight w:val="0"/>
      <w:marTop w:val="0"/>
      <w:marBottom w:val="0"/>
      <w:divBdr>
        <w:top w:val="none" w:sz="0" w:space="0" w:color="auto"/>
        <w:left w:val="none" w:sz="0" w:space="0" w:color="auto"/>
        <w:bottom w:val="none" w:sz="0" w:space="0" w:color="auto"/>
        <w:right w:val="none" w:sz="0" w:space="0" w:color="auto"/>
      </w:divBdr>
    </w:div>
    <w:div w:id="1488327122">
      <w:bodyDiv w:val="1"/>
      <w:marLeft w:val="0"/>
      <w:marRight w:val="0"/>
      <w:marTop w:val="0"/>
      <w:marBottom w:val="0"/>
      <w:divBdr>
        <w:top w:val="none" w:sz="0" w:space="0" w:color="auto"/>
        <w:left w:val="none" w:sz="0" w:space="0" w:color="auto"/>
        <w:bottom w:val="none" w:sz="0" w:space="0" w:color="auto"/>
        <w:right w:val="none" w:sz="0" w:space="0" w:color="auto"/>
      </w:divBdr>
    </w:div>
    <w:div w:id="1491671556">
      <w:bodyDiv w:val="1"/>
      <w:marLeft w:val="0"/>
      <w:marRight w:val="0"/>
      <w:marTop w:val="0"/>
      <w:marBottom w:val="0"/>
      <w:divBdr>
        <w:top w:val="none" w:sz="0" w:space="0" w:color="auto"/>
        <w:left w:val="none" w:sz="0" w:space="0" w:color="auto"/>
        <w:bottom w:val="none" w:sz="0" w:space="0" w:color="auto"/>
        <w:right w:val="none" w:sz="0" w:space="0" w:color="auto"/>
      </w:divBdr>
    </w:div>
    <w:div w:id="1492941615">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2550586">
      <w:bodyDiv w:val="1"/>
      <w:marLeft w:val="0"/>
      <w:marRight w:val="0"/>
      <w:marTop w:val="0"/>
      <w:marBottom w:val="0"/>
      <w:divBdr>
        <w:top w:val="none" w:sz="0" w:space="0" w:color="auto"/>
        <w:left w:val="none" w:sz="0" w:space="0" w:color="auto"/>
        <w:bottom w:val="none" w:sz="0" w:space="0" w:color="auto"/>
        <w:right w:val="none" w:sz="0" w:space="0" w:color="auto"/>
      </w:divBdr>
    </w:div>
    <w:div w:id="1536429811">
      <w:bodyDiv w:val="1"/>
      <w:marLeft w:val="0"/>
      <w:marRight w:val="0"/>
      <w:marTop w:val="0"/>
      <w:marBottom w:val="0"/>
      <w:divBdr>
        <w:top w:val="none" w:sz="0" w:space="0" w:color="auto"/>
        <w:left w:val="none" w:sz="0" w:space="0" w:color="auto"/>
        <w:bottom w:val="none" w:sz="0" w:space="0" w:color="auto"/>
        <w:right w:val="none" w:sz="0" w:space="0" w:color="auto"/>
      </w:divBdr>
    </w:div>
    <w:div w:id="1537886360">
      <w:bodyDiv w:val="1"/>
      <w:marLeft w:val="0"/>
      <w:marRight w:val="0"/>
      <w:marTop w:val="0"/>
      <w:marBottom w:val="0"/>
      <w:divBdr>
        <w:top w:val="none" w:sz="0" w:space="0" w:color="auto"/>
        <w:left w:val="none" w:sz="0" w:space="0" w:color="auto"/>
        <w:bottom w:val="none" w:sz="0" w:space="0" w:color="auto"/>
        <w:right w:val="none" w:sz="0" w:space="0" w:color="auto"/>
      </w:divBdr>
    </w:div>
    <w:div w:id="1545406838">
      <w:bodyDiv w:val="1"/>
      <w:marLeft w:val="0"/>
      <w:marRight w:val="0"/>
      <w:marTop w:val="0"/>
      <w:marBottom w:val="0"/>
      <w:divBdr>
        <w:top w:val="none" w:sz="0" w:space="0" w:color="auto"/>
        <w:left w:val="none" w:sz="0" w:space="0" w:color="auto"/>
        <w:bottom w:val="none" w:sz="0" w:space="0" w:color="auto"/>
        <w:right w:val="none" w:sz="0" w:space="0" w:color="auto"/>
      </w:divBdr>
    </w:div>
    <w:div w:id="1550146855">
      <w:bodyDiv w:val="1"/>
      <w:marLeft w:val="0"/>
      <w:marRight w:val="0"/>
      <w:marTop w:val="0"/>
      <w:marBottom w:val="0"/>
      <w:divBdr>
        <w:top w:val="none" w:sz="0" w:space="0" w:color="auto"/>
        <w:left w:val="none" w:sz="0" w:space="0" w:color="auto"/>
        <w:bottom w:val="none" w:sz="0" w:space="0" w:color="auto"/>
        <w:right w:val="none" w:sz="0" w:space="0" w:color="auto"/>
      </w:divBdr>
    </w:div>
    <w:div w:id="1573395429">
      <w:bodyDiv w:val="1"/>
      <w:marLeft w:val="0"/>
      <w:marRight w:val="0"/>
      <w:marTop w:val="0"/>
      <w:marBottom w:val="0"/>
      <w:divBdr>
        <w:top w:val="none" w:sz="0" w:space="0" w:color="auto"/>
        <w:left w:val="none" w:sz="0" w:space="0" w:color="auto"/>
        <w:bottom w:val="none" w:sz="0" w:space="0" w:color="auto"/>
        <w:right w:val="none" w:sz="0" w:space="0" w:color="auto"/>
      </w:divBdr>
    </w:div>
    <w:div w:id="157705831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8223753">
      <w:bodyDiv w:val="1"/>
      <w:marLeft w:val="0"/>
      <w:marRight w:val="0"/>
      <w:marTop w:val="0"/>
      <w:marBottom w:val="0"/>
      <w:divBdr>
        <w:top w:val="none" w:sz="0" w:space="0" w:color="auto"/>
        <w:left w:val="none" w:sz="0" w:space="0" w:color="auto"/>
        <w:bottom w:val="none" w:sz="0" w:space="0" w:color="auto"/>
        <w:right w:val="none" w:sz="0" w:space="0" w:color="auto"/>
      </w:divBdr>
    </w:div>
    <w:div w:id="1590776964">
      <w:bodyDiv w:val="1"/>
      <w:marLeft w:val="0"/>
      <w:marRight w:val="0"/>
      <w:marTop w:val="0"/>
      <w:marBottom w:val="0"/>
      <w:divBdr>
        <w:top w:val="none" w:sz="0" w:space="0" w:color="auto"/>
        <w:left w:val="none" w:sz="0" w:space="0" w:color="auto"/>
        <w:bottom w:val="none" w:sz="0" w:space="0" w:color="auto"/>
        <w:right w:val="none" w:sz="0" w:space="0" w:color="auto"/>
      </w:divBdr>
    </w:div>
    <w:div w:id="1592275610">
      <w:bodyDiv w:val="1"/>
      <w:marLeft w:val="0"/>
      <w:marRight w:val="0"/>
      <w:marTop w:val="0"/>
      <w:marBottom w:val="0"/>
      <w:divBdr>
        <w:top w:val="none" w:sz="0" w:space="0" w:color="auto"/>
        <w:left w:val="none" w:sz="0" w:space="0" w:color="auto"/>
        <w:bottom w:val="none" w:sz="0" w:space="0" w:color="auto"/>
        <w:right w:val="none" w:sz="0" w:space="0" w:color="auto"/>
      </w:divBdr>
    </w:div>
    <w:div w:id="1598292716">
      <w:bodyDiv w:val="1"/>
      <w:marLeft w:val="0"/>
      <w:marRight w:val="0"/>
      <w:marTop w:val="0"/>
      <w:marBottom w:val="0"/>
      <w:divBdr>
        <w:top w:val="none" w:sz="0" w:space="0" w:color="auto"/>
        <w:left w:val="none" w:sz="0" w:space="0" w:color="auto"/>
        <w:bottom w:val="none" w:sz="0" w:space="0" w:color="auto"/>
        <w:right w:val="none" w:sz="0" w:space="0" w:color="auto"/>
      </w:divBdr>
    </w:div>
    <w:div w:id="1599369049">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9242619">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26232426">
      <w:bodyDiv w:val="1"/>
      <w:marLeft w:val="0"/>
      <w:marRight w:val="0"/>
      <w:marTop w:val="0"/>
      <w:marBottom w:val="0"/>
      <w:divBdr>
        <w:top w:val="none" w:sz="0" w:space="0" w:color="auto"/>
        <w:left w:val="none" w:sz="0" w:space="0" w:color="auto"/>
        <w:bottom w:val="none" w:sz="0" w:space="0" w:color="auto"/>
        <w:right w:val="none" w:sz="0" w:space="0" w:color="auto"/>
      </w:divBdr>
    </w:div>
    <w:div w:id="1626347552">
      <w:bodyDiv w:val="1"/>
      <w:marLeft w:val="0"/>
      <w:marRight w:val="0"/>
      <w:marTop w:val="0"/>
      <w:marBottom w:val="0"/>
      <w:divBdr>
        <w:top w:val="none" w:sz="0" w:space="0" w:color="auto"/>
        <w:left w:val="none" w:sz="0" w:space="0" w:color="auto"/>
        <w:bottom w:val="none" w:sz="0" w:space="0" w:color="auto"/>
        <w:right w:val="none" w:sz="0" w:space="0" w:color="auto"/>
      </w:divBdr>
    </w:div>
    <w:div w:id="1647540386">
      <w:bodyDiv w:val="1"/>
      <w:marLeft w:val="0"/>
      <w:marRight w:val="0"/>
      <w:marTop w:val="0"/>
      <w:marBottom w:val="0"/>
      <w:divBdr>
        <w:top w:val="none" w:sz="0" w:space="0" w:color="auto"/>
        <w:left w:val="none" w:sz="0" w:space="0" w:color="auto"/>
        <w:bottom w:val="none" w:sz="0" w:space="0" w:color="auto"/>
        <w:right w:val="none" w:sz="0" w:space="0" w:color="auto"/>
      </w:divBdr>
    </w:div>
    <w:div w:id="1653753040">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1497009">
      <w:bodyDiv w:val="1"/>
      <w:marLeft w:val="0"/>
      <w:marRight w:val="0"/>
      <w:marTop w:val="0"/>
      <w:marBottom w:val="0"/>
      <w:divBdr>
        <w:top w:val="none" w:sz="0" w:space="0" w:color="auto"/>
        <w:left w:val="none" w:sz="0" w:space="0" w:color="auto"/>
        <w:bottom w:val="none" w:sz="0" w:space="0" w:color="auto"/>
        <w:right w:val="none" w:sz="0" w:space="0" w:color="auto"/>
      </w:divBdr>
    </w:div>
    <w:div w:id="1669792437">
      <w:bodyDiv w:val="1"/>
      <w:marLeft w:val="0"/>
      <w:marRight w:val="0"/>
      <w:marTop w:val="0"/>
      <w:marBottom w:val="0"/>
      <w:divBdr>
        <w:top w:val="none" w:sz="0" w:space="0" w:color="auto"/>
        <w:left w:val="none" w:sz="0" w:space="0" w:color="auto"/>
        <w:bottom w:val="none" w:sz="0" w:space="0" w:color="auto"/>
        <w:right w:val="none" w:sz="0" w:space="0" w:color="auto"/>
      </w:divBdr>
    </w:div>
    <w:div w:id="1674332689">
      <w:bodyDiv w:val="1"/>
      <w:marLeft w:val="0"/>
      <w:marRight w:val="0"/>
      <w:marTop w:val="0"/>
      <w:marBottom w:val="0"/>
      <w:divBdr>
        <w:top w:val="none" w:sz="0" w:space="0" w:color="auto"/>
        <w:left w:val="none" w:sz="0" w:space="0" w:color="auto"/>
        <w:bottom w:val="none" w:sz="0" w:space="0" w:color="auto"/>
        <w:right w:val="none" w:sz="0" w:space="0" w:color="auto"/>
      </w:divBdr>
    </w:div>
    <w:div w:id="1679386747">
      <w:bodyDiv w:val="1"/>
      <w:marLeft w:val="0"/>
      <w:marRight w:val="0"/>
      <w:marTop w:val="0"/>
      <w:marBottom w:val="0"/>
      <w:divBdr>
        <w:top w:val="none" w:sz="0" w:space="0" w:color="auto"/>
        <w:left w:val="none" w:sz="0" w:space="0" w:color="auto"/>
        <w:bottom w:val="none" w:sz="0" w:space="0" w:color="auto"/>
        <w:right w:val="none" w:sz="0" w:space="0" w:color="auto"/>
      </w:divBdr>
    </w:div>
    <w:div w:id="1685788783">
      <w:bodyDiv w:val="1"/>
      <w:marLeft w:val="0"/>
      <w:marRight w:val="0"/>
      <w:marTop w:val="0"/>
      <w:marBottom w:val="0"/>
      <w:divBdr>
        <w:top w:val="none" w:sz="0" w:space="0" w:color="auto"/>
        <w:left w:val="none" w:sz="0" w:space="0" w:color="auto"/>
        <w:bottom w:val="none" w:sz="0" w:space="0" w:color="auto"/>
        <w:right w:val="none" w:sz="0" w:space="0" w:color="auto"/>
      </w:divBdr>
    </w:div>
    <w:div w:id="1692536911">
      <w:bodyDiv w:val="1"/>
      <w:marLeft w:val="0"/>
      <w:marRight w:val="0"/>
      <w:marTop w:val="0"/>
      <w:marBottom w:val="0"/>
      <w:divBdr>
        <w:top w:val="none" w:sz="0" w:space="0" w:color="auto"/>
        <w:left w:val="none" w:sz="0" w:space="0" w:color="auto"/>
        <w:bottom w:val="none" w:sz="0" w:space="0" w:color="auto"/>
        <w:right w:val="none" w:sz="0" w:space="0" w:color="auto"/>
      </w:divBdr>
    </w:div>
    <w:div w:id="1697000812">
      <w:bodyDiv w:val="1"/>
      <w:marLeft w:val="0"/>
      <w:marRight w:val="0"/>
      <w:marTop w:val="0"/>
      <w:marBottom w:val="0"/>
      <w:divBdr>
        <w:top w:val="none" w:sz="0" w:space="0" w:color="auto"/>
        <w:left w:val="none" w:sz="0" w:space="0" w:color="auto"/>
        <w:bottom w:val="none" w:sz="0" w:space="0" w:color="auto"/>
        <w:right w:val="none" w:sz="0" w:space="0" w:color="auto"/>
      </w:divBdr>
    </w:div>
    <w:div w:id="1700887461">
      <w:bodyDiv w:val="1"/>
      <w:marLeft w:val="0"/>
      <w:marRight w:val="0"/>
      <w:marTop w:val="0"/>
      <w:marBottom w:val="0"/>
      <w:divBdr>
        <w:top w:val="none" w:sz="0" w:space="0" w:color="auto"/>
        <w:left w:val="none" w:sz="0" w:space="0" w:color="auto"/>
        <w:bottom w:val="none" w:sz="0" w:space="0" w:color="auto"/>
        <w:right w:val="none" w:sz="0" w:space="0" w:color="auto"/>
      </w:divBdr>
    </w:div>
    <w:div w:id="1701206370">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5449205">
      <w:bodyDiv w:val="1"/>
      <w:marLeft w:val="0"/>
      <w:marRight w:val="0"/>
      <w:marTop w:val="0"/>
      <w:marBottom w:val="0"/>
      <w:divBdr>
        <w:top w:val="none" w:sz="0" w:space="0" w:color="auto"/>
        <w:left w:val="none" w:sz="0" w:space="0" w:color="auto"/>
        <w:bottom w:val="none" w:sz="0" w:space="0" w:color="auto"/>
        <w:right w:val="none" w:sz="0" w:space="0" w:color="auto"/>
      </w:divBdr>
    </w:div>
    <w:div w:id="1718162475">
      <w:bodyDiv w:val="1"/>
      <w:marLeft w:val="0"/>
      <w:marRight w:val="0"/>
      <w:marTop w:val="0"/>
      <w:marBottom w:val="0"/>
      <w:divBdr>
        <w:top w:val="none" w:sz="0" w:space="0" w:color="auto"/>
        <w:left w:val="none" w:sz="0" w:space="0" w:color="auto"/>
        <w:bottom w:val="none" w:sz="0" w:space="0" w:color="auto"/>
        <w:right w:val="none" w:sz="0" w:space="0" w:color="auto"/>
      </w:divBdr>
    </w:div>
    <w:div w:id="1720276105">
      <w:bodyDiv w:val="1"/>
      <w:marLeft w:val="0"/>
      <w:marRight w:val="0"/>
      <w:marTop w:val="0"/>
      <w:marBottom w:val="0"/>
      <w:divBdr>
        <w:top w:val="none" w:sz="0" w:space="0" w:color="auto"/>
        <w:left w:val="none" w:sz="0" w:space="0" w:color="auto"/>
        <w:bottom w:val="none" w:sz="0" w:space="0" w:color="auto"/>
        <w:right w:val="none" w:sz="0" w:space="0" w:color="auto"/>
      </w:divBdr>
    </w:div>
    <w:div w:id="1730153855">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6777798">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87312495">
      <w:bodyDiv w:val="1"/>
      <w:marLeft w:val="0"/>
      <w:marRight w:val="0"/>
      <w:marTop w:val="0"/>
      <w:marBottom w:val="0"/>
      <w:divBdr>
        <w:top w:val="none" w:sz="0" w:space="0" w:color="auto"/>
        <w:left w:val="none" w:sz="0" w:space="0" w:color="auto"/>
        <w:bottom w:val="none" w:sz="0" w:space="0" w:color="auto"/>
        <w:right w:val="none" w:sz="0" w:space="0" w:color="auto"/>
      </w:divBdr>
    </w:div>
    <w:div w:id="1817453831">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741767">
      <w:bodyDiv w:val="1"/>
      <w:marLeft w:val="0"/>
      <w:marRight w:val="0"/>
      <w:marTop w:val="0"/>
      <w:marBottom w:val="0"/>
      <w:divBdr>
        <w:top w:val="none" w:sz="0" w:space="0" w:color="auto"/>
        <w:left w:val="none" w:sz="0" w:space="0" w:color="auto"/>
        <w:bottom w:val="none" w:sz="0" w:space="0" w:color="auto"/>
        <w:right w:val="none" w:sz="0" w:space="0" w:color="auto"/>
      </w:divBdr>
    </w:div>
    <w:div w:id="1848902861">
      <w:bodyDiv w:val="1"/>
      <w:marLeft w:val="0"/>
      <w:marRight w:val="0"/>
      <w:marTop w:val="0"/>
      <w:marBottom w:val="0"/>
      <w:divBdr>
        <w:top w:val="none" w:sz="0" w:space="0" w:color="auto"/>
        <w:left w:val="none" w:sz="0" w:space="0" w:color="auto"/>
        <w:bottom w:val="none" w:sz="0" w:space="0" w:color="auto"/>
        <w:right w:val="none" w:sz="0" w:space="0" w:color="auto"/>
      </w:divBdr>
    </w:div>
    <w:div w:id="1849445497">
      <w:bodyDiv w:val="1"/>
      <w:marLeft w:val="0"/>
      <w:marRight w:val="0"/>
      <w:marTop w:val="0"/>
      <w:marBottom w:val="0"/>
      <w:divBdr>
        <w:top w:val="none" w:sz="0" w:space="0" w:color="auto"/>
        <w:left w:val="none" w:sz="0" w:space="0" w:color="auto"/>
        <w:bottom w:val="none" w:sz="0" w:space="0" w:color="auto"/>
        <w:right w:val="none" w:sz="0" w:space="0" w:color="auto"/>
      </w:divBdr>
    </w:div>
    <w:div w:id="1851481695">
      <w:bodyDiv w:val="1"/>
      <w:marLeft w:val="0"/>
      <w:marRight w:val="0"/>
      <w:marTop w:val="0"/>
      <w:marBottom w:val="0"/>
      <w:divBdr>
        <w:top w:val="none" w:sz="0" w:space="0" w:color="auto"/>
        <w:left w:val="none" w:sz="0" w:space="0" w:color="auto"/>
        <w:bottom w:val="none" w:sz="0" w:space="0" w:color="auto"/>
        <w:right w:val="none" w:sz="0" w:space="0" w:color="auto"/>
      </w:divBdr>
    </w:div>
    <w:div w:id="1880585676">
      <w:bodyDiv w:val="1"/>
      <w:marLeft w:val="0"/>
      <w:marRight w:val="0"/>
      <w:marTop w:val="0"/>
      <w:marBottom w:val="0"/>
      <w:divBdr>
        <w:top w:val="none" w:sz="0" w:space="0" w:color="auto"/>
        <w:left w:val="none" w:sz="0" w:space="0" w:color="auto"/>
        <w:bottom w:val="none" w:sz="0" w:space="0" w:color="auto"/>
        <w:right w:val="none" w:sz="0" w:space="0" w:color="auto"/>
      </w:divBdr>
    </w:div>
    <w:div w:id="1885754806">
      <w:bodyDiv w:val="1"/>
      <w:marLeft w:val="0"/>
      <w:marRight w:val="0"/>
      <w:marTop w:val="0"/>
      <w:marBottom w:val="0"/>
      <w:divBdr>
        <w:top w:val="none" w:sz="0" w:space="0" w:color="auto"/>
        <w:left w:val="none" w:sz="0" w:space="0" w:color="auto"/>
        <w:bottom w:val="none" w:sz="0" w:space="0" w:color="auto"/>
        <w:right w:val="none" w:sz="0" w:space="0" w:color="auto"/>
      </w:divBdr>
    </w:div>
    <w:div w:id="1916671890">
      <w:bodyDiv w:val="1"/>
      <w:marLeft w:val="0"/>
      <w:marRight w:val="0"/>
      <w:marTop w:val="0"/>
      <w:marBottom w:val="0"/>
      <w:divBdr>
        <w:top w:val="none" w:sz="0" w:space="0" w:color="auto"/>
        <w:left w:val="none" w:sz="0" w:space="0" w:color="auto"/>
        <w:bottom w:val="none" w:sz="0" w:space="0" w:color="auto"/>
        <w:right w:val="none" w:sz="0" w:space="0" w:color="auto"/>
      </w:divBdr>
    </w:div>
    <w:div w:id="1921717218">
      <w:bodyDiv w:val="1"/>
      <w:marLeft w:val="0"/>
      <w:marRight w:val="0"/>
      <w:marTop w:val="0"/>
      <w:marBottom w:val="0"/>
      <w:divBdr>
        <w:top w:val="none" w:sz="0" w:space="0" w:color="auto"/>
        <w:left w:val="none" w:sz="0" w:space="0" w:color="auto"/>
        <w:bottom w:val="none" w:sz="0" w:space="0" w:color="auto"/>
        <w:right w:val="none" w:sz="0" w:space="0" w:color="auto"/>
      </w:divBdr>
    </w:div>
    <w:div w:id="1928808752">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273808">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5791013">
      <w:bodyDiv w:val="1"/>
      <w:marLeft w:val="0"/>
      <w:marRight w:val="0"/>
      <w:marTop w:val="0"/>
      <w:marBottom w:val="0"/>
      <w:divBdr>
        <w:top w:val="none" w:sz="0" w:space="0" w:color="auto"/>
        <w:left w:val="none" w:sz="0" w:space="0" w:color="auto"/>
        <w:bottom w:val="none" w:sz="0" w:space="0" w:color="auto"/>
        <w:right w:val="none" w:sz="0" w:space="0" w:color="auto"/>
      </w:divBdr>
    </w:div>
    <w:div w:id="1983805647">
      <w:bodyDiv w:val="1"/>
      <w:marLeft w:val="0"/>
      <w:marRight w:val="0"/>
      <w:marTop w:val="0"/>
      <w:marBottom w:val="0"/>
      <w:divBdr>
        <w:top w:val="none" w:sz="0" w:space="0" w:color="auto"/>
        <w:left w:val="none" w:sz="0" w:space="0" w:color="auto"/>
        <w:bottom w:val="none" w:sz="0" w:space="0" w:color="auto"/>
        <w:right w:val="none" w:sz="0" w:space="0" w:color="auto"/>
      </w:divBdr>
    </w:div>
    <w:div w:id="2000159403">
      <w:bodyDiv w:val="1"/>
      <w:marLeft w:val="0"/>
      <w:marRight w:val="0"/>
      <w:marTop w:val="0"/>
      <w:marBottom w:val="0"/>
      <w:divBdr>
        <w:top w:val="none" w:sz="0" w:space="0" w:color="auto"/>
        <w:left w:val="none" w:sz="0" w:space="0" w:color="auto"/>
        <w:bottom w:val="none" w:sz="0" w:space="0" w:color="auto"/>
        <w:right w:val="none" w:sz="0" w:space="0" w:color="auto"/>
      </w:divBdr>
    </w:div>
    <w:div w:id="2015302998">
      <w:bodyDiv w:val="1"/>
      <w:marLeft w:val="0"/>
      <w:marRight w:val="0"/>
      <w:marTop w:val="0"/>
      <w:marBottom w:val="0"/>
      <w:divBdr>
        <w:top w:val="none" w:sz="0" w:space="0" w:color="auto"/>
        <w:left w:val="none" w:sz="0" w:space="0" w:color="auto"/>
        <w:bottom w:val="none" w:sz="0" w:space="0" w:color="auto"/>
        <w:right w:val="none" w:sz="0" w:space="0" w:color="auto"/>
      </w:divBdr>
    </w:div>
    <w:div w:id="2019311000">
      <w:bodyDiv w:val="1"/>
      <w:marLeft w:val="0"/>
      <w:marRight w:val="0"/>
      <w:marTop w:val="0"/>
      <w:marBottom w:val="0"/>
      <w:divBdr>
        <w:top w:val="none" w:sz="0" w:space="0" w:color="auto"/>
        <w:left w:val="none" w:sz="0" w:space="0" w:color="auto"/>
        <w:bottom w:val="none" w:sz="0" w:space="0" w:color="auto"/>
        <w:right w:val="none" w:sz="0" w:space="0" w:color="auto"/>
      </w:divBdr>
    </w:div>
    <w:div w:id="2023622692">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0183863">
      <w:bodyDiv w:val="1"/>
      <w:marLeft w:val="0"/>
      <w:marRight w:val="0"/>
      <w:marTop w:val="0"/>
      <w:marBottom w:val="0"/>
      <w:divBdr>
        <w:top w:val="none" w:sz="0" w:space="0" w:color="auto"/>
        <w:left w:val="none" w:sz="0" w:space="0" w:color="auto"/>
        <w:bottom w:val="none" w:sz="0" w:space="0" w:color="auto"/>
        <w:right w:val="none" w:sz="0" w:space="0" w:color="auto"/>
      </w:divBdr>
    </w:div>
    <w:div w:id="2070224349">
      <w:bodyDiv w:val="1"/>
      <w:marLeft w:val="0"/>
      <w:marRight w:val="0"/>
      <w:marTop w:val="0"/>
      <w:marBottom w:val="0"/>
      <w:divBdr>
        <w:top w:val="none" w:sz="0" w:space="0" w:color="auto"/>
        <w:left w:val="none" w:sz="0" w:space="0" w:color="auto"/>
        <w:bottom w:val="none" w:sz="0" w:space="0" w:color="auto"/>
        <w:right w:val="none" w:sz="0" w:space="0" w:color="auto"/>
      </w:divBdr>
    </w:div>
    <w:div w:id="2079161768">
      <w:bodyDiv w:val="1"/>
      <w:marLeft w:val="0"/>
      <w:marRight w:val="0"/>
      <w:marTop w:val="0"/>
      <w:marBottom w:val="0"/>
      <w:divBdr>
        <w:top w:val="none" w:sz="0" w:space="0" w:color="auto"/>
        <w:left w:val="none" w:sz="0" w:space="0" w:color="auto"/>
        <w:bottom w:val="none" w:sz="0" w:space="0" w:color="auto"/>
        <w:right w:val="none" w:sz="0" w:space="0" w:color="auto"/>
      </w:divBdr>
    </w:div>
    <w:div w:id="2115202971">
      <w:bodyDiv w:val="1"/>
      <w:marLeft w:val="0"/>
      <w:marRight w:val="0"/>
      <w:marTop w:val="0"/>
      <w:marBottom w:val="0"/>
      <w:divBdr>
        <w:top w:val="none" w:sz="0" w:space="0" w:color="auto"/>
        <w:left w:val="none" w:sz="0" w:space="0" w:color="auto"/>
        <w:bottom w:val="none" w:sz="0" w:space="0" w:color="auto"/>
        <w:right w:val="none" w:sz="0" w:space="0" w:color="auto"/>
      </w:divBdr>
    </w:div>
    <w:div w:id="2126190615">
      <w:bodyDiv w:val="1"/>
      <w:marLeft w:val="0"/>
      <w:marRight w:val="0"/>
      <w:marTop w:val="0"/>
      <w:marBottom w:val="0"/>
      <w:divBdr>
        <w:top w:val="none" w:sz="0" w:space="0" w:color="auto"/>
        <w:left w:val="none" w:sz="0" w:space="0" w:color="auto"/>
        <w:bottom w:val="none" w:sz="0" w:space="0" w:color="auto"/>
        <w:right w:val="none" w:sz="0" w:space="0" w:color="auto"/>
      </w:divBdr>
    </w:div>
    <w:div w:id="2134860288">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comcare.gov.au/annual_report/performance_statements"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comcare.gov.au/Forms_and_Publications/publications/corporate_publications/comcare_2018-22_corporate_plan"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03FCB329B354495892CAC1CC8FFC4" ma:contentTypeVersion="0" ma:contentTypeDescription="Create a new document." ma:contentTypeScope="" ma:versionID="340243688a2cd75e2209b18875d8419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E19AD-8ECD-494F-9794-1E495DF650DA}">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93EB309-99C4-4368-A3D0-38B2500F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4.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5.xml><?xml version="1.0" encoding="utf-8"?>
<ds:datastoreItem xmlns:ds="http://schemas.openxmlformats.org/officeDocument/2006/customXml" ds:itemID="{7D2721F7-BFC7-427F-A3AE-9D78018D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Template>
  <TotalTime>2</TotalTime>
  <Pages>32</Pages>
  <Words>7216</Words>
  <Characters>43226</Characters>
  <Application>Microsoft Office Word</Application>
  <DocSecurity>0</DocSecurity>
  <Lines>2542</Lines>
  <Paragraphs>1739</Paragraphs>
  <ScaleCrop>false</ScaleCrop>
  <HeadingPairs>
    <vt:vector size="2" baseType="variant">
      <vt:variant>
        <vt:lpstr>Title</vt:lpstr>
      </vt:variant>
      <vt:variant>
        <vt:i4>1</vt:i4>
      </vt:variant>
    </vt:vector>
  </HeadingPairs>
  <TitlesOfParts>
    <vt:vector size="1" baseType="lpstr">
      <vt:lpstr>[Department abbreviation] Budget Statements</vt:lpstr>
    </vt:vector>
  </TitlesOfParts>
  <Company>Australian Government - The Treasury</Company>
  <LinksUpToDate>false</LinksUpToDate>
  <CharactersWithSpaces>48703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abbreviation] Budget Statements</dc:title>
  <dc:subject>Department Name</dc:subject>
  <dc:creator>[Author department]</dc:creator>
  <cp:lastModifiedBy>CT</cp:lastModifiedBy>
  <cp:revision>3</cp:revision>
  <cp:lastPrinted>2019-03-31T03:23:00Z</cp:lastPrinted>
  <dcterms:created xsi:type="dcterms:W3CDTF">2019-04-02T05:36:00Z</dcterms:created>
  <dcterms:modified xsi:type="dcterms:W3CDTF">2019-04-02T06:31:00Z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0x010100C1203FCB329B354495892CAC1CC8FFC4</vt:lpwstr>
  </property>
  <property fmtid="{D5CDD505-2E9C-101B-9397-08002B2CF9AE}" pid="5" name="TSYRecordClass">
    <vt:lpwstr>75;#AE-20337-Destroy 7 years after action completed|668ae28e-5138-4c7c-82db-1c8c6afc81a6</vt:lpwstr>
  </property>
  <property fmtid="{D5CDD505-2E9C-101B-9397-08002B2CF9AE}" pid="6" name="_dlc_DocIdItemGuid">
    <vt:lpwstr>79196669-f0dd-4937-a317-f5b565f5905e</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{79196669-f0dd-4937-a317-f5b565f5905e}</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
  </property>
  <property fmtid="{D5CDD505-2E9C-101B-9397-08002B2CF9AE}" pid="20" name="RecordPoint_RecordNumberSubmitted">
    <vt:lpwstr/>
  </property>
  <property fmtid="{D5CDD505-2E9C-101B-9397-08002B2CF9AE}" pid="21" name="SecurityClassification">
    <vt:lpwstr>Protected</vt:lpwstr>
  </property>
  <property fmtid="{D5CDD505-2E9C-101B-9397-08002B2CF9AE}" pid="22" name="DLMSecurityClassification">
    <vt:lpwstr>Sensitive:  Cabinet</vt:lpwstr>
  </property>
</Properties>
</file>