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8329" w14:textId="77777777" w:rsidR="0061075E" w:rsidRDefault="00F533DD" w:rsidP="00F533DD">
      <w:pPr>
        <w:pStyle w:val="TableHeading"/>
        <w:rPr>
          <w:rFonts w:cs="Arial"/>
          <w:b w:val="0"/>
          <w:bCs/>
          <w:smallCaps/>
          <w:kern w:val="28"/>
          <w:sz w:val="52"/>
          <w:szCs w:val="32"/>
        </w:rPr>
      </w:pPr>
      <w:bookmarkStart w:id="0" w:name="_Toc444523520"/>
      <w:r w:rsidRPr="00C17B32">
        <w:t xml:space="preserve"> </w:t>
      </w:r>
    </w:p>
    <w:p w14:paraId="76C1832A" w14:textId="77777777" w:rsidR="0061075E" w:rsidRDefault="0061075E" w:rsidP="007060E9">
      <w:pPr>
        <w:pStyle w:val="PartHeading"/>
        <w:spacing w:after="1920"/>
      </w:pPr>
      <w:r>
        <w:t>Safe Work Australia</w:t>
      </w:r>
      <w:bookmarkStart w:id="1" w:name="_GoBack"/>
      <w:bookmarkEnd w:id="1"/>
    </w:p>
    <w:p w14:paraId="76C1832B" w14:textId="77777777" w:rsidR="0061075E" w:rsidRDefault="0061075E" w:rsidP="0061075E">
      <w:pPr>
        <w:pStyle w:val="PartHeading-TOC"/>
      </w:pPr>
      <w:bookmarkStart w:id="2" w:name="_Toc3373946"/>
      <w:r>
        <w:t>Entity resources and planned performance</w:t>
      </w:r>
      <w:bookmarkEnd w:id="2"/>
    </w:p>
    <w:p w14:paraId="76C1832C" w14:textId="77777777" w:rsidR="0061075E" w:rsidRDefault="0061075E" w:rsidP="0061075E">
      <w:pPr>
        <w:pStyle w:val="PartHeading"/>
        <w:sectPr w:rsidR="0061075E" w:rsidSect="00F533DD">
          <w:footerReference w:type="even" r:id="rId12"/>
          <w:footerReference w:type="default" r:id="rId13"/>
          <w:headerReference w:type="first" r:id="rId14"/>
          <w:footerReference w:type="first" r:id="rId15"/>
          <w:type w:val="oddPage"/>
          <w:pgSz w:w="11906" w:h="16838" w:code="9"/>
          <w:pgMar w:top="2466" w:right="2098" w:bottom="2466" w:left="2098" w:header="1899" w:footer="1899" w:gutter="0"/>
          <w:cols w:space="708"/>
          <w:titlePg/>
          <w:docGrid w:linePitch="360"/>
        </w:sectPr>
      </w:pPr>
    </w:p>
    <w:p w14:paraId="76C1832D" w14:textId="77777777" w:rsidR="00F533DD" w:rsidRPr="002A32FD" w:rsidRDefault="00F533DD" w:rsidP="00507C8C">
      <w:pPr>
        <w:pStyle w:val="ContentsHeading"/>
      </w:pPr>
      <w:r>
        <w:t>Safe Work Australia</w:t>
      </w:r>
    </w:p>
    <w:p w14:paraId="76C1832E" w14:textId="77777777" w:rsidR="0061075E" w:rsidRDefault="0061075E" w:rsidP="0061075E">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0085" w:history="1">
        <w:r w:rsidRPr="00751A29">
          <w:rPr>
            <w:rStyle w:val="Hyperlink"/>
            <w:noProof/>
          </w:rPr>
          <w:t>Section 1: Entity overview and resources</w:t>
        </w:r>
        <w:r>
          <w:rPr>
            <w:noProof/>
            <w:webHidden/>
          </w:rPr>
          <w:tab/>
        </w:r>
      </w:hyperlink>
      <w:r w:rsidR="008E5129">
        <w:rPr>
          <w:noProof/>
        </w:rPr>
        <w:t>167</w:t>
      </w:r>
    </w:p>
    <w:p w14:paraId="76C1832F" w14:textId="77777777" w:rsidR="0061075E" w:rsidRDefault="002C52D5" w:rsidP="0061075E">
      <w:pPr>
        <w:pStyle w:val="TOC2"/>
        <w:tabs>
          <w:tab w:val="left" w:pos="800"/>
        </w:tabs>
        <w:rPr>
          <w:rFonts w:asciiTheme="minorHAnsi" w:eastAsiaTheme="minorEastAsia" w:hAnsiTheme="minorHAnsi" w:cstheme="minorBidi"/>
          <w:noProof/>
          <w:sz w:val="22"/>
          <w:szCs w:val="22"/>
        </w:rPr>
      </w:pPr>
      <w:hyperlink w:anchor="_Toc520086" w:history="1">
        <w:r w:rsidR="0061075E" w:rsidRPr="00751A29">
          <w:rPr>
            <w:rStyle w:val="Hyperlink"/>
            <w:noProof/>
          </w:rPr>
          <w:t>1.1</w:t>
        </w:r>
        <w:r w:rsidR="0061075E">
          <w:rPr>
            <w:rFonts w:asciiTheme="minorHAnsi" w:eastAsiaTheme="minorEastAsia" w:hAnsiTheme="minorHAnsi" w:cstheme="minorBidi"/>
            <w:noProof/>
            <w:sz w:val="22"/>
            <w:szCs w:val="22"/>
          </w:rPr>
          <w:tab/>
        </w:r>
        <w:r w:rsidR="0061075E" w:rsidRPr="00751A29">
          <w:rPr>
            <w:rStyle w:val="Hyperlink"/>
            <w:noProof/>
          </w:rPr>
          <w:t>Strategic direction statement</w:t>
        </w:r>
        <w:r w:rsidR="0061075E">
          <w:rPr>
            <w:noProof/>
            <w:webHidden/>
          </w:rPr>
          <w:tab/>
        </w:r>
      </w:hyperlink>
      <w:r w:rsidR="008E5129">
        <w:rPr>
          <w:noProof/>
        </w:rPr>
        <w:t>167</w:t>
      </w:r>
    </w:p>
    <w:p w14:paraId="76C18330" w14:textId="6A8642ED" w:rsidR="0061075E" w:rsidRDefault="002C52D5" w:rsidP="0061075E">
      <w:pPr>
        <w:pStyle w:val="TOC2"/>
        <w:tabs>
          <w:tab w:val="left" w:pos="800"/>
        </w:tabs>
        <w:rPr>
          <w:rFonts w:asciiTheme="minorHAnsi" w:eastAsiaTheme="minorEastAsia" w:hAnsiTheme="minorHAnsi" w:cstheme="minorBidi"/>
          <w:noProof/>
          <w:sz w:val="22"/>
          <w:szCs w:val="22"/>
        </w:rPr>
      </w:pPr>
      <w:hyperlink w:anchor="_Toc520087" w:history="1">
        <w:r w:rsidR="0061075E" w:rsidRPr="00751A29">
          <w:rPr>
            <w:rStyle w:val="Hyperlink"/>
            <w:noProof/>
          </w:rPr>
          <w:t>1.2</w:t>
        </w:r>
        <w:r w:rsidR="0061075E">
          <w:rPr>
            <w:rFonts w:asciiTheme="minorHAnsi" w:eastAsiaTheme="minorEastAsia" w:hAnsiTheme="minorHAnsi" w:cstheme="minorBidi"/>
            <w:noProof/>
            <w:sz w:val="22"/>
            <w:szCs w:val="22"/>
          </w:rPr>
          <w:tab/>
        </w:r>
        <w:r w:rsidR="0061075E" w:rsidRPr="00751A29">
          <w:rPr>
            <w:rStyle w:val="Hyperlink"/>
            <w:noProof/>
          </w:rPr>
          <w:t>Entity resource statement</w:t>
        </w:r>
        <w:r w:rsidR="0061075E">
          <w:rPr>
            <w:noProof/>
            <w:webHidden/>
          </w:rPr>
          <w:tab/>
        </w:r>
      </w:hyperlink>
      <w:r w:rsidR="005618A5">
        <w:rPr>
          <w:noProof/>
        </w:rPr>
        <w:t>168</w:t>
      </w:r>
    </w:p>
    <w:p w14:paraId="76C18331" w14:textId="693D6F61" w:rsidR="0061075E" w:rsidRDefault="002C52D5" w:rsidP="0061075E">
      <w:pPr>
        <w:pStyle w:val="TOC2"/>
        <w:tabs>
          <w:tab w:val="left" w:pos="800"/>
        </w:tabs>
        <w:rPr>
          <w:rFonts w:asciiTheme="minorHAnsi" w:eastAsiaTheme="minorEastAsia" w:hAnsiTheme="minorHAnsi" w:cstheme="minorBidi"/>
          <w:noProof/>
          <w:sz w:val="22"/>
          <w:szCs w:val="22"/>
        </w:rPr>
      </w:pPr>
      <w:hyperlink w:anchor="_Toc520088" w:history="1">
        <w:r w:rsidR="0061075E" w:rsidRPr="00751A29">
          <w:rPr>
            <w:rStyle w:val="Hyperlink"/>
            <w:noProof/>
          </w:rPr>
          <w:t>1.3</w:t>
        </w:r>
        <w:r w:rsidR="0061075E">
          <w:rPr>
            <w:rFonts w:asciiTheme="minorHAnsi" w:eastAsiaTheme="minorEastAsia" w:hAnsiTheme="minorHAnsi" w:cstheme="minorBidi"/>
            <w:noProof/>
            <w:sz w:val="22"/>
            <w:szCs w:val="22"/>
          </w:rPr>
          <w:tab/>
        </w:r>
        <w:r w:rsidR="0061075E" w:rsidRPr="00751A29">
          <w:rPr>
            <w:rStyle w:val="Hyperlink"/>
            <w:noProof/>
          </w:rPr>
          <w:t>Budget measures</w:t>
        </w:r>
        <w:r w:rsidR="0061075E">
          <w:rPr>
            <w:noProof/>
            <w:webHidden/>
          </w:rPr>
          <w:tab/>
        </w:r>
      </w:hyperlink>
      <w:r w:rsidR="008E5129">
        <w:rPr>
          <w:noProof/>
        </w:rPr>
        <w:t>17</w:t>
      </w:r>
      <w:r w:rsidR="005618A5">
        <w:rPr>
          <w:noProof/>
        </w:rPr>
        <w:t>0</w:t>
      </w:r>
    </w:p>
    <w:p w14:paraId="76C18332" w14:textId="7E959F1F" w:rsidR="0061075E" w:rsidRDefault="002C52D5" w:rsidP="0061075E">
      <w:pPr>
        <w:pStyle w:val="TOC1"/>
        <w:rPr>
          <w:rFonts w:asciiTheme="minorHAnsi" w:eastAsiaTheme="minorEastAsia" w:hAnsiTheme="minorHAnsi" w:cstheme="minorBidi"/>
          <w:b w:val="0"/>
          <w:caps w:val="0"/>
          <w:noProof/>
          <w:sz w:val="22"/>
          <w:szCs w:val="22"/>
        </w:rPr>
      </w:pPr>
      <w:hyperlink w:anchor="_Toc520089" w:history="1">
        <w:r w:rsidR="0061075E" w:rsidRPr="00751A29">
          <w:rPr>
            <w:rStyle w:val="Hyperlink"/>
            <w:noProof/>
          </w:rPr>
          <w:t>Section 2: Outcomes and planned performance</w:t>
        </w:r>
        <w:r w:rsidR="0061075E">
          <w:rPr>
            <w:noProof/>
            <w:webHidden/>
          </w:rPr>
          <w:tab/>
        </w:r>
      </w:hyperlink>
      <w:r w:rsidR="008E5129">
        <w:rPr>
          <w:noProof/>
        </w:rPr>
        <w:t>17</w:t>
      </w:r>
      <w:r w:rsidR="00B917A0">
        <w:rPr>
          <w:noProof/>
        </w:rPr>
        <w:t>1</w:t>
      </w:r>
    </w:p>
    <w:p w14:paraId="76C18333" w14:textId="1E9F983C" w:rsidR="0061075E" w:rsidRDefault="002C52D5" w:rsidP="0061075E">
      <w:pPr>
        <w:pStyle w:val="TOC2"/>
        <w:tabs>
          <w:tab w:val="left" w:pos="800"/>
        </w:tabs>
        <w:rPr>
          <w:rFonts w:asciiTheme="minorHAnsi" w:eastAsiaTheme="minorEastAsia" w:hAnsiTheme="minorHAnsi" w:cstheme="minorBidi"/>
          <w:noProof/>
          <w:sz w:val="22"/>
          <w:szCs w:val="22"/>
        </w:rPr>
      </w:pPr>
      <w:hyperlink w:anchor="_Toc520090" w:history="1">
        <w:r w:rsidR="0061075E" w:rsidRPr="00751A29">
          <w:rPr>
            <w:rStyle w:val="Hyperlink"/>
            <w:noProof/>
          </w:rPr>
          <w:t xml:space="preserve">2.1 </w:t>
        </w:r>
        <w:r w:rsidR="0061075E">
          <w:rPr>
            <w:rFonts w:asciiTheme="minorHAnsi" w:eastAsiaTheme="minorEastAsia" w:hAnsiTheme="minorHAnsi" w:cstheme="minorBidi"/>
            <w:noProof/>
            <w:sz w:val="22"/>
            <w:szCs w:val="22"/>
          </w:rPr>
          <w:tab/>
        </w:r>
        <w:r w:rsidR="0061075E" w:rsidRPr="00751A29">
          <w:rPr>
            <w:rStyle w:val="Hyperlink"/>
            <w:noProof/>
          </w:rPr>
          <w:t xml:space="preserve">Budgeted expenses and performance for Outcome </w:t>
        </w:r>
        <w:r w:rsidR="009F4C6F">
          <w:rPr>
            <w:rStyle w:val="Hyperlink"/>
            <w:noProof/>
          </w:rPr>
          <w:t>1</w:t>
        </w:r>
        <w:r w:rsidR="0061075E">
          <w:rPr>
            <w:noProof/>
            <w:webHidden/>
          </w:rPr>
          <w:tab/>
        </w:r>
      </w:hyperlink>
      <w:r w:rsidR="00B917A0">
        <w:rPr>
          <w:noProof/>
        </w:rPr>
        <w:t>172</w:t>
      </w:r>
    </w:p>
    <w:p w14:paraId="76C18334" w14:textId="16515B9D" w:rsidR="0061075E" w:rsidRDefault="002C52D5" w:rsidP="0061075E">
      <w:pPr>
        <w:pStyle w:val="TOC1"/>
        <w:rPr>
          <w:rFonts w:asciiTheme="minorHAnsi" w:eastAsiaTheme="minorEastAsia" w:hAnsiTheme="minorHAnsi" w:cstheme="minorBidi"/>
          <w:b w:val="0"/>
          <w:caps w:val="0"/>
          <w:noProof/>
          <w:sz w:val="22"/>
          <w:szCs w:val="22"/>
        </w:rPr>
      </w:pPr>
      <w:hyperlink w:anchor="_Toc520091" w:history="1">
        <w:r w:rsidR="0061075E" w:rsidRPr="00751A29">
          <w:rPr>
            <w:rStyle w:val="Hyperlink"/>
            <w:noProof/>
          </w:rPr>
          <w:t>Section 3: Budgeted financial statements</w:t>
        </w:r>
        <w:r w:rsidR="0061075E">
          <w:rPr>
            <w:noProof/>
            <w:webHidden/>
          </w:rPr>
          <w:tab/>
        </w:r>
      </w:hyperlink>
      <w:r w:rsidR="00B917A0">
        <w:rPr>
          <w:noProof/>
        </w:rPr>
        <w:t>175</w:t>
      </w:r>
    </w:p>
    <w:p w14:paraId="76C18335" w14:textId="29A4D715" w:rsidR="0061075E" w:rsidRDefault="002C52D5" w:rsidP="0061075E">
      <w:pPr>
        <w:pStyle w:val="TOC2"/>
        <w:tabs>
          <w:tab w:val="left" w:pos="800"/>
        </w:tabs>
        <w:rPr>
          <w:noProof/>
        </w:rPr>
      </w:pPr>
      <w:hyperlink w:anchor="_Toc520092" w:history="1">
        <w:r w:rsidR="0061075E" w:rsidRPr="00751A29">
          <w:rPr>
            <w:rStyle w:val="Hyperlink"/>
            <w:noProof/>
          </w:rPr>
          <w:t>3.1</w:t>
        </w:r>
        <w:r w:rsidR="0061075E">
          <w:rPr>
            <w:rFonts w:asciiTheme="minorHAnsi" w:eastAsiaTheme="minorEastAsia" w:hAnsiTheme="minorHAnsi" w:cstheme="minorBidi"/>
            <w:noProof/>
            <w:sz w:val="22"/>
            <w:szCs w:val="22"/>
          </w:rPr>
          <w:tab/>
        </w:r>
        <w:r w:rsidR="0061075E" w:rsidRPr="00751A29">
          <w:rPr>
            <w:rStyle w:val="Hyperlink"/>
            <w:noProof/>
          </w:rPr>
          <w:t>Budgeted financial statements</w:t>
        </w:r>
        <w:r w:rsidR="0061075E">
          <w:rPr>
            <w:noProof/>
            <w:webHidden/>
          </w:rPr>
          <w:tab/>
        </w:r>
      </w:hyperlink>
      <w:r w:rsidR="00B917A0">
        <w:rPr>
          <w:noProof/>
        </w:rPr>
        <w:t>175</w:t>
      </w:r>
    </w:p>
    <w:p w14:paraId="76C18336" w14:textId="2CD82065" w:rsidR="009F4C6F" w:rsidRPr="009F4C6F" w:rsidRDefault="009F4C6F" w:rsidP="009F4C6F">
      <w:pPr>
        <w:pStyle w:val="TOC2"/>
        <w:tabs>
          <w:tab w:val="left" w:pos="800"/>
        </w:tabs>
        <w:rPr>
          <w:rFonts w:eastAsiaTheme="minorEastAsia"/>
        </w:rPr>
      </w:pPr>
      <w:r>
        <w:rPr>
          <w:rFonts w:eastAsiaTheme="minorEastAsia"/>
        </w:rPr>
        <w:t>3.2</w:t>
      </w:r>
      <w:r w:rsidRPr="009F4C6F">
        <w:rPr>
          <w:rFonts w:eastAsiaTheme="minorEastAsia"/>
        </w:rPr>
        <w:tab/>
        <w:t>Budgeted financial statements</w:t>
      </w:r>
      <w:r>
        <w:rPr>
          <w:rFonts w:eastAsiaTheme="minorEastAsia"/>
        </w:rPr>
        <w:t xml:space="preserve"> tables</w:t>
      </w:r>
      <w:r w:rsidRPr="009F4C6F">
        <w:rPr>
          <w:rFonts w:eastAsiaTheme="minorEastAsia"/>
          <w:webHidden/>
        </w:rPr>
        <w:tab/>
      </w:r>
      <w:r w:rsidR="008E5129">
        <w:rPr>
          <w:rFonts w:eastAsiaTheme="minorEastAsia"/>
          <w:webHidden/>
        </w:rPr>
        <w:t>17</w:t>
      </w:r>
      <w:r w:rsidR="00B917A0">
        <w:rPr>
          <w:rFonts w:eastAsiaTheme="minorEastAsia"/>
          <w:webHidden/>
        </w:rPr>
        <w:t>6</w:t>
      </w:r>
    </w:p>
    <w:p w14:paraId="76C18337" w14:textId="77777777" w:rsidR="0061075E" w:rsidRPr="008B5AFD" w:rsidRDefault="0061075E" w:rsidP="00803AC9">
      <w:pPr>
        <w:pStyle w:val="TOC1"/>
      </w:pPr>
      <w:r>
        <w:fldChar w:fldCharType="end"/>
      </w:r>
    </w:p>
    <w:p w14:paraId="76C18338" w14:textId="77777777" w:rsidR="0061075E" w:rsidRDefault="0061075E" w:rsidP="0061075E">
      <w:pPr>
        <w:sectPr w:rsidR="0061075E" w:rsidSect="00AA2D2A">
          <w:footerReference w:type="first" r:id="rId16"/>
          <w:type w:val="oddPage"/>
          <w:pgSz w:w="11906" w:h="16838" w:code="9"/>
          <w:pgMar w:top="2466" w:right="2098" w:bottom="2466" w:left="2098" w:header="1899" w:footer="1899" w:gutter="0"/>
          <w:pgNumType w:start="165"/>
          <w:cols w:space="708"/>
          <w:titlePg/>
          <w:docGrid w:linePitch="360"/>
        </w:sectPr>
      </w:pPr>
    </w:p>
    <w:p w14:paraId="76C18339" w14:textId="77777777" w:rsidR="00F533DD" w:rsidRPr="002A32FD" w:rsidRDefault="00F533DD" w:rsidP="00507C8C">
      <w:pPr>
        <w:pStyle w:val="Heading1-TOC"/>
      </w:pPr>
      <w:r>
        <w:t>Safe Work Australia</w:t>
      </w:r>
    </w:p>
    <w:p w14:paraId="76C1833A" w14:textId="77777777" w:rsidR="0061075E" w:rsidRPr="002C4D41" w:rsidRDefault="0061075E" w:rsidP="0061075E">
      <w:pPr>
        <w:pStyle w:val="Heading2"/>
      </w:pPr>
      <w:r w:rsidRPr="002C4D41">
        <w:t>Section 1: Entity overview and resources</w:t>
      </w:r>
    </w:p>
    <w:p w14:paraId="76C1833B" w14:textId="77777777" w:rsidR="0061075E" w:rsidRDefault="0061075E" w:rsidP="0061075E">
      <w:pPr>
        <w:pStyle w:val="Heading3"/>
      </w:pPr>
      <w:r>
        <w:t>1.1</w:t>
      </w:r>
      <w:r>
        <w:tab/>
        <w:t>Strategic direction statement</w:t>
      </w:r>
    </w:p>
    <w:p w14:paraId="76C1833C" w14:textId="77777777" w:rsidR="00F533DD" w:rsidRDefault="00F533DD" w:rsidP="00231E3F">
      <w:pPr>
        <w:spacing w:after="120"/>
      </w:pPr>
      <w:r>
        <w:t xml:space="preserve">Safe Work Australia was established as a statutory agency on 1 November 2009 under the </w:t>
      </w:r>
      <w:r>
        <w:rPr>
          <w:i/>
        </w:rPr>
        <w:t>Safe Work Australia Act 2008</w:t>
      </w:r>
      <w:r>
        <w:t xml:space="preserve"> (the Act). The agency operates under the </w:t>
      </w:r>
      <w:r w:rsidRPr="006B62BD">
        <w:rPr>
          <w:i/>
        </w:rPr>
        <w:t xml:space="preserve">Public Governance, Performance and Accountability Act 2013 </w:t>
      </w:r>
      <w:r>
        <w:t xml:space="preserve">(PGPA Act) framework. </w:t>
      </w:r>
    </w:p>
    <w:p w14:paraId="76C1833D" w14:textId="77777777" w:rsidR="00F533DD" w:rsidRDefault="00F533DD" w:rsidP="00231E3F">
      <w:pPr>
        <w:spacing w:after="120"/>
      </w:pPr>
      <w:r>
        <w:t xml:space="preserve">Safe Work Australia leads the development of national policy to improve work health and safety (WHS) and workers’ compensation across Australia. The establishment of Safe Work Australia was provided for in the </w:t>
      </w:r>
      <w:r>
        <w:rPr>
          <w:i/>
        </w:rPr>
        <w:t>Intergovernmental Agreement for Regulatory and Operational Reform in Occupational Health and Safety (IGA)</w:t>
      </w:r>
      <w:r>
        <w:t xml:space="preserve">, agreed by the Council of Australian Governments (COAG) on 3 July 2008. </w:t>
      </w:r>
    </w:p>
    <w:p w14:paraId="76C1833E" w14:textId="77777777" w:rsidR="00F533DD" w:rsidRDefault="00F533DD" w:rsidP="00231E3F">
      <w:pPr>
        <w:spacing w:after="120"/>
      </w:pPr>
      <w:r>
        <w:t>The agency is jointly funded by the Commonwealth, state and territory governments. This funding arrangement promotes collaboration with jurisdictions on evidence collection and distribution, policy and strategy development and communication and education initiatives.</w:t>
      </w:r>
    </w:p>
    <w:p w14:paraId="76C1833F" w14:textId="77777777" w:rsidR="00F533DD" w:rsidRDefault="00F533DD" w:rsidP="00231E3F">
      <w:pPr>
        <w:spacing w:after="120"/>
      </w:pPr>
      <w:r>
        <w:t>Safe Work Australia has 15 Members, including an independent Chair, nine Members representing the Commonwealth and each state and territory, two Members representing the interests of employers, two representing the interests of employees, and the Chief Executive Officer (CEO) of Safe Work Australia.</w:t>
      </w:r>
    </w:p>
    <w:p w14:paraId="76C18340" w14:textId="77777777" w:rsidR="00F533DD" w:rsidRDefault="00F533DD" w:rsidP="00231E3F">
      <w:pPr>
        <w:spacing w:after="120"/>
      </w:pPr>
      <w:r>
        <w:t>The CEO manages the agency under section 45 of the Act and is the Accountable Authority in accordance with the</w:t>
      </w:r>
      <w:r>
        <w:rPr>
          <w:i/>
        </w:rPr>
        <w:t xml:space="preserve"> </w:t>
      </w:r>
      <w:r w:rsidRPr="006B62BD">
        <w:t>PGPA Act.</w:t>
      </w:r>
    </w:p>
    <w:p w14:paraId="76C18341" w14:textId="77777777" w:rsidR="00F533DD" w:rsidRDefault="00F533DD" w:rsidP="00F533DD">
      <w:pPr>
        <w:spacing w:after="80"/>
      </w:pPr>
      <w:r>
        <w:t xml:space="preserve">During </w:t>
      </w:r>
      <w:r w:rsidR="009A4174">
        <w:t>2019–20</w:t>
      </w:r>
      <w:r>
        <w:t>, and across the forward years, Safe Work Australia will continue to be an inclusive tripartite forum for the innovative development of evidence based national policy and supporting strategies. We will do this by:</w:t>
      </w:r>
    </w:p>
    <w:p w14:paraId="76C18342" w14:textId="77777777" w:rsidR="00F533DD" w:rsidRPr="00DB03C6" w:rsidRDefault="00F533DD" w:rsidP="00231E3F">
      <w:pPr>
        <w:pStyle w:val="Bullet"/>
        <w:spacing w:after="100" w:line="240" w:lineRule="exact"/>
        <w:ind w:left="284" w:hanging="284"/>
        <w:jc w:val="left"/>
        <w:rPr>
          <w:rFonts w:cstheme="minorHAnsi"/>
        </w:rPr>
      </w:pPr>
      <w:r w:rsidRPr="00DB03C6">
        <w:rPr>
          <w:rFonts w:cstheme="minorHAnsi"/>
        </w:rPr>
        <w:t>bringing together and recognising varying views and interests to ensure effective national policy which improves WHS and workers’ compensation outcomes</w:t>
      </w:r>
    </w:p>
    <w:p w14:paraId="76C18343" w14:textId="77777777" w:rsidR="00F533DD" w:rsidRPr="00DB03C6" w:rsidRDefault="00F533DD" w:rsidP="00231E3F">
      <w:pPr>
        <w:pStyle w:val="Bullet"/>
        <w:spacing w:after="100" w:line="240" w:lineRule="exact"/>
        <w:ind w:left="284" w:hanging="284"/>
        <w:jc w:val="left"/>
        <w:rPr>
          <w:rFonts w:cstheme="minorHAnsi"/>
        </w:rPr>
      </w:pPr>
      <w:r w:rsidRPr="00DB03C6">
        <w:rPr>
          <w:rFonts w:cstheme="minorHAnsi"/>
        </w:rPr>
        <w:t xml:space="preserve">implementing the agreed recommendations of the independent review of the model WHS laws </w:t>
      </w:r>
    </w:p>
    <w:p w14:paraId="76C18344" w14:textId="77777777" w:rsidR="00F533DD" w:rsidRPr="00DB03C6" w:rsidRDefault="00F533DD" w:rsidP="00231E3F">
      <w:pPr>
        <w:pStyle w:val="Bullet"/>
        <w:spacing w:after="100" w:line="240" w:lineRule="exact"/>
        <w:ind w:left="284" w:hanging="284"/>
        <w:jc w:val="left"/>
        <w:rPr>
          <w:rFonts w:cstheme="minorHAnsi"/>
        </w:rPr>
      </w:pPr>
      <w:r w:rsidRPr="00DB03C6">
        <w:rPr>
          <w:rFonts w:cstheme="minorHAnsi"/>
        </w:rPr>
        <w:t>using our influence to increase knowledge and awareness of WHS and workers’ compensation</w:t>
      </w:r>
    </w:p>
    <w:p w14:paraId="76C18345" w14:textId="77777777" w:rsidR="00F533DD" w:rsidRPr="00DB03C6" w:rsidRDefault="00F533DD" w:rsidP="00231E3F">
      <w:pPr>
        <w:pStyle w:val="Bullet"/>
        <w:spacing w:after="100" w:line="240" w:lineRule="exact"/>
        <w:ind w:left="284" w:hanging="284"/>
        <w:jc w:val="left"/>
        <w:rPr>
          <w:rFonts w:cstheme="minorHAnsi"/>
        </w:rPr>
      </w:pPr>
      <w:r w:rsidRPr="00DB03C6">
        <w:rPr>
          <w:rFonts w:cstheme="minorHAnsi"/>
        </w:rPr>
        <w:t>being a key source of WHS and workers’ compensation research, evaluation and data</w:t>
      </w:r>
    </w:p>
    <w:p w14:paraId="76C18346" w14:textId="77777777" w:rsidR="00F533DD" w:rsidRPr="00DB03C6" w:rsidRDefault="00F533DD" w:rsidP="00231E3F">
      <w:pPr>
        <w:pStyle w:val="Bullet"/>
        <w:spacing w:after="100" w:line="240" w:lineRule="exact"/>
        <w:ind w:left="284" w:hanging="284"/>
        <w:jc w:val="left"/>
        <w:rPr>
          <w:rFonts w:cstheme="minorHAnsi"/>
        </w:rPr>
      </w:pPr>
      <w:r w:rsidRPr="00DB03C6">
        <w:rPr>
          <w:rFonts w:cstheme="minorHAnsi"/>
        </w:rPr>
        <w:t>developing policy proposals and supporting strategies to improve workers’ compensation arrangements, with a particular focus on return to work, and</w:t>
      </w:r>
    </w:p>
    <w:p w14:paraId="76C18347" w14:textId="77777777" w:rsidR="00F533DD" w:rsidRPr="00DB03C6" w:rsidRDefault="00F533DD" w:rsidP="00231E3F">
      <w:pPr>
        <w:pStyle w:val="Bullet"/>
        <w:spacing w:after="0" w:line="240" w:lineRule="exact"/>
        <w:ind w:left="284" w:hanging="284"/>
        <w:jc w:val="left"/>
        <w:rPr>
          <w:rFonts w:cstheme="minorHAnsi"/>
        </w:rPr>
      </w:pPr>
      <w:r w:rsidRPr="00DB03C6">
        <w:rPr>
          <w:rFonts w:cstheme="minorHAnsi"/>
        </w:rPr>
        <w:t>working with other national and international bodies to share data, information and/or knowledge on WHS and workers’ compensation matters to improve Australian outcomes.</w:t>
      </w:r>
    </w:p>
    <w:p w14:paraId="76C18348" w14:textId="77777777" w:rsidR="0061075E" w:rsidRDefault="0061075E" w:rsidP="0061075E">
      <w:pPr>
        <w:pStyle w:val="Heading3"/>
      </w:pPr>
      <w:r w:rsidRPr="0079797F">
        <w:br w:type="page"/>
      </w:r>
      <w:r>
        <w:t>1.2</w:t>
      </w:r>
      <w:r>
        <w:tab/>
        <w:t>Entity resource statement</w:t>
      </w:r>
    </w:p>
    <w:p w14:paraId="76C18349" w14:textId="77777777" w:rsidR="0061075E" w:rsidRDefault="0061075E" w:rsidP="0061075E">
      <w:r>
        <w:t>Table 1.1 shows the total funding from all sources available to the entity for its operations and to deliver programs and services on behalf of the Government.</w:t>
      </w:r>
    </w:p>
    <w:p w14:paraId="76C1834A" w14:textId="77777777" w:rsidR="0061075E" w:rsidRDefault="0061075E" w:rsidP="0061075E">
      <w:r>
        <w:t>The table summarises how resources will be applied by outcome (government strategic policy objectives) and by administered (on behalf of the Government or the public) and departmental (for the entity’s operations) classification.</w:t>
      </w:r>
    </w:p>
    <w:p w14:paraId="76C1834B" w14:textId="77777777" w:rsidR="0061075E" w:rsidRDefault="0061075E" w:rsidP="0061075E">
      <w:r>
        <w:t xml:space="preserve">For more detailed information on special accounts and special appropriations, please refer to </w:t>
      </w:r>
      <w:r w:rsidRPr="00412C0B">
        <w:rPr>
          <w:i/>
        </w:rPr>
        <w:t>Budget Paper No. 4 – Agency Resourcing</w:t>
      </w:r>
      <w:r>
        <w:t>.</w:t>
      </w:r>
    </w:p>
    <w:p w14:paraId="76C1834C" w14:textId="52DCBC2F" w:rsidR="0061075E" w:rsidRDefault="0061075E" w:rsidP="0061075E">
      <w:r>
        <w:t xml:space="preserve">Information in this table is presented on a resourcing (that is, appropriations/cash available) basis, whilst the </w:t>
      </w:r>
      <w:r w:rsidR="00097938">
        <w:t>‘</w:t>
      </w:r>
      <w:r>
        <w:t>Budgeted expenses by Outcome</w:t>
      </w:r>
      <w:r w:rsidR="00097938">
        <w:t>’</w:t>
      </w:r>
      <w:r>
        <w:t xml:space="preserve"> tables in Section 2 and the financial statements in Section 3 are presented on an accrual basis.</w:t>
      </w:r>
    </w:p>
    <w:p w14:paraId="76C1834D" w14:textId="31133C65" w:rsidR="0061075E" w:rsidRDefault="0061075E" w:rsidP="0061075E">
      <w:pPr>
        <w:pStyle w:val="TableHeading"/>
        <w:rPr>
          <w:lang w:val="en-AU"/>
        </w:rPr>
      </w:pPr>
      <w:r>
        <w:br w:type="page"/>
      </w:r>
      <w:r w:rsidR="00F533DD" w:rsidRPr="00F533DD">
        <w:rPr>
          <w:lang w:val="en-AU"/>
        </w:rPr>
        <w:t>Table 1.1: Safe Wo</w:t>
      </w:r>
      <w:r w:rsidR="00803AC9">
        <w:rPr>
          <w:lang w:val="en-AU"/>
        </w:rPr>
        <w:t>rk Australia resource statement</w:t>
      </w:r>
      <w:r w:rsidR="007C05BB">
        <w:rPr>
          <w:lang w:val="en-AU"/>
        </w:rPr>
        <w:t xml:space="preserve"> </w:t>
      </w:r>
      <w:r w:rsidR="00803AC9">
        <w:t>—</w:t>
      </w:r>
      <w:r w:rsidR="007C05BB">
        <w:rPr>
          <w:lang w:val="en-AU"/>
        </w:rPr>
        <w:t xml:space="preserve"> </w:t>
      </w:r>
      <w:r w:rsidR="00F533DD" w:rsidRPr="00F533DD">
        <w:rPr>
          <w:lang w:val="en-AU"/>
        </w:rPr>
        <w:t>Budget estimates for</w:t>
      </w:r>
      <w:r w:rsidR="000F5B68">
        <w:rPr>
          <w:lang w:val="en-AU"/>
        </w:rPr>
        <w:br/>
      </w:r>
      <w:r w:rsidR="00F533DD" w:rsidRPr="00F533DD">
        <w:rPr>
          <w:lang w:val="en-AU"/>
        </w:rPr>
        <w:t>2019–20 as at Budget April 2019</w:t>
      </w:r>
    </w:p>
    <w:tbl>
      <w:tblPr>
        <w:tblW w:w="7260" w:type="dxa"/>
        <w:tblLook w:val="04A0" w:firstRow="1" w:lastRow="0" w:firstColumn="1" w:lastColumn="0" w:noHBand="0" w:noVBand="1"/>
      </w:tblPr>
      <w:tblGrid>
        <w:gridCol w:w="5060"/>
        <w:gridCol w:w="1100"/>
        <w:gridCol w:w="1100"/>
      </w:tblGrid>
      <w:tr w:rsidR="00F533DD" w:rsidRPr="00F533DD" w14:paraId="76C18351" w14:textId="77777777" w:rsidTr="00803AC9">
        <w:trPr>
          <w:trHeight w:val="785"/>
        </w:trPr>
        <w:tc>
          <w:tcPr>
            <w:tcW w:w="5060" w:type="dxa"/>
            <w:tcBorders>
              <w:top w:val="single" w:sz="4" w:space="0" w:color="auto"/>
              <w:left w:val="nil"/>
              <w:bottom w:val="nil"/>
              <w:right w:val="nil"/>
            </w:tcBorders>
            <w:shd w:val="clear" w:color="000000" w:fill="FFFFFF"/>
            <w:vAlign w:val="bottom"/>
            <w:hideMark/>
          </w:tcPr>
          <w:p w14:paraId="76C1834E"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hideMark/>
          </w:tcPr>
          <w:p w14:paraId="76C1834F" w14:textId="77777777" w:rsidR="00F533DD" w:rsidRPr="00F533DD" w:rsidRDefault="009A4174" w:rsidP="00425621">
            <w:pPr>
              <w:spacing w:after="0" w:line="240" w:lineRule="auto"/>
              <w:jc w:val="right"/>
              <w:rPr>
                <w:rFonts w:ascii="Arial" w:hAnsi="Arial" w:cs="Arial"/>
                <w:i/>
                <w:iCs/>
                <w:color w:val="000000"/>
                <w:sz w:val="16"/>
                <w:szCs w:val="16"/>
              </w:rPr>
            </w:pPr>
            <w:r>
              <w:rPr>
                <w:rFonts w:ascii="Arial" w:hAnsi="Arial" w:cs="Arial"/>
                <w:i/>
                <w:iCs/>
                <w:color w:val="000000"/>
                <w:sz w:val="16"/>
                <w:szCs w:val="16"/>
              </w:rPr>
              <w:t>2018–19</w:t>
            </w:r>
            <w:r w:rsidR="00C33CC3">
              <w:rPr>
                <w:rFonts w:ascii="Arial" w:hAnsi="Arial" w:cs="Arial"/>
                <w:i/>
                <w:iCs/>
                <w:color w:val="000000"/>
                <w:sz w:val="16"/>
                <w:szCs w:val="16"/>
              </w:rPr>
              <w:t xml:space="preserve"> </w:t>
            </w:r>
            <w:r w:rsidR="00C33CC3" w:rsidRPr="00803AC9">
              <w:rPr>
                <w:rFonts w:ascii="Arial" w:hAnsi="Arial" w:cs="Arial"/>
                <w:i/>
                <w:iCs/>
                <w:color w:val="000000"/>
                <w:sz w:val="16"/>
                <w:szCs w:val="16"/>
              </w:rPr>
              <w:t>(a)</w:t>
            </w:r>
            <w:r w:rsidR="00F533DD" w:rsidRPr="00F533DD">
              <w:rPr>
                <w:rFonts w:ascii="Arial" w:hAnsi="Arial" w:cs="Arial"/>
                <w:i/>
                <w:iCs/>
                <w:color w:val="000000"/>
                <w:sz w:val="16"/>
                <w:szCs w:val="16"/>
              </w:rPr>
              <w:t xml:space="preserve"> Estimated actual </w:t>
            </w:r>
            <w:r w:rsidR="00F533DD" w:rsidRPr="00F533DD">
              <w:rPr>
                <w:rFonts w:ascii="Arial" w:hAnsi="Arial" w:cs="Arial"/>
                <w:i/>
                <w:iCs/>
                <w:color w:val="000000"/>
                <w:sz w:val="16"/>
                <w:szCs w:val="16"/>
              </w:rPr>
              <w:br/>
              <w:t>$'000</w:t>
            </w:r>
          </w:p>
        </w:tc>
        <w:tc>
          <w:tcPr>
            <w:tcW w:w="1100" w:type="dxa"/>
            <w:tcBorders>
              <w:top w:val="single" w:sz="4" w:space="0" w:color="auto"/>
              <w:left w:val="nil"/>
              <w:bottom w:val="single" w:sz="4" w:space="0" w:color="auto"/>
              <w:right w:val="nil"/>
            </w:tcBorders>
            <w:shd w:val="clear" w:color="000000" w:fill="E6E6E6"/>
            <w:hideMark/>
          </w:tcPr>
          <w:p w14:paraId="76C18350"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2019–20 Estimate</w:t>
            </w:r>
            <w:r w:rsidRPr="00F533DD">
              <w:rPr>
                <w:rFonts w:ascii="Arial" w:hAnsi="Arial" w:cs="Arial"/>
                <w:color w:val="000000"/>
                <w:sz w:val="16"/>
                <w:szCs w:val="16"/>
              </w:rPr>
              <w:br/>
            </w:r>
            <w:r w:rsidRPr="00F533DD">
              <w:rPr>
                <w:rFonts w:ascii="Arial" w:hAnsi="Arial" w:cs="Arial"/>
                <w:color w:val="000000"/>
                <w:sz w:val="16"/>
                <w:szCs w:val="16"/>
              </w:rPr>
              <w:br/>
              <w:t>$'000</w:t>
            </w:r>
          </w:p>
        </w:tc>
      </w:tr>
      <w:tr w:rsidR="00F533DD" w:rsidRPr="00F533DD" w14:paraId="76C18355" w14:textId="77777777" w:rsidTr="00F533DD">
        <w:trPr>
          <w:trHeight w:val="225"/>
        </w:trPr>
        <w:tc>
          <w:tcPr>
            <w:tcW w:w="5060" w:type="dxa"/>
            <w:tcBorders>
              <w:top w:val="nil"/>
              <w:left w:val="nil"/>
              <w:bottom w:val="nil"/>
              <w:right w:val="nil"/>
            </w:tcBorders>
            <w:shd w:val="clear" w:color="000000" w:fill="FFFFFF"/>
            <w:vAlign w:val="bottom"/>
            <w:hideMark/>
          </w:tcPr>
          <w:p w14:paraId="76C18352" w14:textId="77777777" w:rsidR="00F533DD" w:rsidRPr="00F533DD" w:rsidRDefault="00F533DD" w:rsidP="00F533DD">
            <w:pPr>
              <w:spacing w:after="0" w:line="240" w:lineRule="auto"/>
              <w:jc w:val="left"/>
              <w:rPr>
                <w:rFonts w:ascii="Arial" w:hAnsi="Arial" w:cs="Arial"/>
                <w:b/>
                <w:bCs/>
                <w:color w:val="000000"/>
                <w:sz w:val="16"/>
                <w:szCs w:val="16"/>
              </w:rPr>
            </w:pPr>
            <w:r w:rsidRPr="00F533DD">
              <w:rPr>
                <w:rFonts w:ascii="Arial" w:hAnsi="Arial" w:cs="Arial"/>
                <w:b/>
                <w:bCs/>
                <w:color w:val="000000"/>
                <w:sz w:val="16"/>
                <w:szCs w:val="16"/>
              </w:rPr>
              <w:t>Departmental</w:t>
            </w:r>
          </w:p>
        </w:tc>
        <w:tc>
          <w:tcPr>
            <w:tcW w:w="1100" w:type="dxa"/>
            <w:tcBorders>
              <w:top w:val="nil"/>
              <w:left w:val="nil"/>
              <w:bottom w:val="nil"/>
              <w:right w:val="nil"/>
            </w:tcBorders>
            <w:shd w:val="clear" w:color="000000" w:fill="FFFFFF"/>
            <w:vAlign w:val="bottom"/>
            <w:hideMark/>
          </w:tcPr>
          <w:p w14:paraId="76C18353" w14:textId="77777777" w:rsidR="00F533DD" w:rsidRPr="00F533DD" w:rsidRDefault="00F533DD" w:rsidP="00F533DD">
            <w:pPr>
              <w:spacing w:after="0" w:line="240" w:lineRule="auto"/>
              <w:jc w:val="left"/>
              <w:rPr>
                <w:rFonts w:ascii="Arial" w:hAnsi="Arial" w:cs="Arial"/>
                <w:i/>
                <w:iCs/>
                <w:color w:val="000000"/>
                <w:sz w:val="16"/>
                <w:szCs w:val="16"/>
              </w:rPr>
            </w:pPr>
            <w:r w:rsidRPr="00F533DD">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8354"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 </w:t>
            </w:r>
          </w:p>
        </w:tc>
      </w:tr>
      <w:tr w:rsidR="00F533DD" w:rsidRPr="00F533DD" w14:paraId="76C18359" w14:textId="77777777" w:rsidTr="00F533DD">
        <w:trPr>
          <w:trHeight w:val="225"/>
        </w:trPr>
        <w:tc>
          <w:tcPr>
            <w:tcW w:w="5060" w:type="dxa"/>
            <w:tcBorders>
              <w:top w:val="nil"/>
              <w:left w:val="nil"/>
              <w:bottom w:val="nil"/>
              <w:right w:val="nil"/>
            </w:tcBorders>
            <w:shd w:val="clear" w:color="000000" w:fill="FFFFFF"/>
            <w:vAlign w:val="bottom"/>
            <w:hideMark/>
          </w:tcPr>
          <w:p w14:paraId="76C18356" w14:textId="77777777" w:rsidR="00F533DD" w:rsidRPr="00F533DD" w:rsidRDefault="00F533DD" w:rsidP="00425621">
            <w:pPr>
              <w:spacing w:after="0" w:line="240" w:lineRule="auto"/>
              <w:jc w:val="left"/>
              <w:rPr>
                <w:rFonts w:ascii="Arial" w:hAnsi="Arial" w:cs="Arial"/>
                <w:color w:val="000000"/>
                <w:sz w:val="16"/>
                <w:szCs w:val="16"/>
              </w:rPr>
            </w:pPr>
            <w:r w:rsidRPr="00F533DD">
              <w:rPr>
                <w:rFonts w:ascii="Arial" w:hAnsi="Arial" w:cs="Arial"/>
                <w:color w:val="000000"/>
                <w:sz w:val="16"/>
                <w:szCs w:val="16"/>
              </w:rPr>
              <w:t>Annual appropriations - ordinary annual services (</w:t>
            </w:r>
            <w:r w:rsidR="00425621">
              <w:rPr>
                <w:rFonts w:ascii="Arial" w:hAnsi="Arial" w:cs="Arial"/>
                <w:color w:val="000000"/>
                <w:sz w:val="16"/>
                <w:szCs w:val="16"/>
              </w:rPr>
              <w:t>b</w:t>
            </w:r>
            <w:r w:rsidRPr="00F533DD">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8357" w14:textId="77777777" w:rsidR="00F533DD" w:rsidRPr="00F533DD" w:rsidRDefault="00F533DD" w:rsidP="00F533DD">
            <w:pPr>
              <w:spacing w:after="0" w:line="240" w:lineRule="auto"/>
              <w:jc w:val="left"/>
              <w:rPr>
                <w:rFonts w:ascii="Arial" w:hAnsi="Arial" w:cs="Arial"/>
                <w:i/>
                <w:iCs/>
                <w:color w:val="000000"/>
                <w:sz w:val="16"/>
                <w:szCs w:val="16"/>
              </w:rPr>
            </w:pPr>
            <w:r w:rsidRPr="00F533DD">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8358"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 </w:t>
            </w:r>
          </w:p>
        </w:tc>
      </w:tr>
      <w:tr w:rsidR="00F533DD" w:rsidRPr="00F533DD" w14:paraId="76C1835D" w14:textId="77777777" w:rsidTr="00F533DD">
        <w:trPr>
          <w:trHeight w:val="225"/>
        </w:trPr>
        <w:tc>
          <w:tcPr>
            <w:tcW w:w="5060" w:type="dxa"/>
            <w:tcBorders>
              <w:top w:val="nil"/>
              <w:left w:val="nil"/>
              <w:bottom w:val="nil"/>
              <w:right w:val="nil"/>
            </w:tcBorders>
            <w:shd w:val="clear" w:color="000000" w:fill="FFFFFF"/>
            <w:vAlign w:val="bottom"/>
            <w:hideMark/>
          </w:tcPr>
          <w:p w14:paraId="76C1835A" w14:textId="77777777" w:rsidR="00F533DD" w:rsidRPr="00F533DD" w:rsidRDefault="00F533DD" w:rsidP="00EF2631">
            <w:pPr>
              <w:spacing w:after="0" w:line="240" w:lineRule="auto"/>
              <w:ind w:left="316" w:hanging="142"/>
              <w:jc w:val="left"/>
              <w:rPr>
                <w:rFonts w:ascii="Arial" w:hAnsi="Arial" w:cs="Arial"/>
                <w:color w:val="000000"/>
                <w:sz w:val="16"/>
                <w:szCs w:val="16"/>
              </w:rPr>
            </w:pPr>
            <w:r w:rsidRPr="00F533DD">
              <w:rPr>
                <w:rFonts w:ascii="Arial" w:hAnsi="Arial" w:cs="Arial"/>
                <w:color w:val="000000"/>
                <w:sz w:val="16"/>
                <w:szCs w:val="16"/>
              </w:rPr>
              <w:t>Prior year appropriations available</w:t>
            </w:r>
          </w:p>
        </w:tc>
        <w:tc>
          <w:tcPr>
            <w:tcW w:w="1100" w:type="dxa"/>
            <w:tcBorders>
              <w:top w:val="nil"/>
              <w:left w:val="nil"/>
              <w:bottom w:val="nil"/>
              <w:right w:val="nil"/>
            </w:tcBorders>
            <w:shd w:val="clear" w:color="000000" w:fill="FFFFFF"/>
            <w:vAlign w:val="bottom"/>
            <w:hideMark/>
          </w:tcPr>
          <w:p w14:paraId="76C1835B"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56 </w:t>
            </w:r>
          </w:p>
        </w:tc>
        <w:tc>
          <w:tcPr>
            <w:tcW w:w="1100" w:type="dxa"/>
            <w:tcBorders>
              <w:top w:val="nil"/>
              <w:left w:val="nil"/>
              <w:bottom w:val="nil"/>
              <w:right w:val="nil"/>
            </w:tcBorders>
            <w:shd w:val="clear" w:color="000000" w:fill="E6E6E6"/>
            <w:vAlign w:val="bottom"/>
            <w:hideMark/>
          </w:tcPr>
          <w:p w14:paraId="76C1835C"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 </w:t>
            </w:r>
          </w:p>
        </w:tc>
      </w:tr>
      <w:tr w:rsidR="00F533DD" w:rsidRPr="00F533DD" w14:paraId="76C18361" w14:textId="77777777" w:rsidTr="00F533DD">
        <w:trPr>
          <w:trHeight w:val="225"/>
        </w:trPr>
        <w:tc>
          <w:tcPr>
            <w:tcW w:w="5060" w:type="dxa"/>
            <w:tcBorders>
              <w:top w:val="nil"/>
              <w:left w:val="nil"/>
              <w:bottom w:val="nil"/>
              <w:right w:val="nil"/>
            </w:tcBorders>
            <w:shd w:val="clear" w:color="000000" w:fill="FFFFFF"/>
            <w:vAlign w:val="bottom"/>
            <w:hideMark/>
          </w:tcPr>
          <w:p w14:paraId="76C1835E" w14:textId="77777777" w:rsidR="00F533DD" w:rsidRPr="00F533DD" w:rsidRDefault="00425621" w:rsidP="00EF2631">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Departmental appropriation (c</w:t>
            </w:r>
            <w:r w:rsidR="00F533DD" w:rsidRPr="00F533DD">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835F"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10,231 </w:t>
            </w:r>
          </w:p>
        </w:tc>
        <w:tc>
          <w:tcPr>
            <w:tcW w:w="1100" w:type="dxa"/>
            <w:tcBorders>
              <w:top w:val="nil"/>
              <w:left w:val="nil"/>
              <w:bottom w:val="nil"/>
              <w:right w:val="nil"/>
            </w:tcBorders>
            <w:shd w:val="clear" w:color="000000" w:fill="E6E6E6"/>
            <w:vAlign w:val="bottom"/>
            <w:hideMark/>
          </w:tcPr>
          <w:p w14:paraId="76C18360"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10,422 </w:t>
            </w:r>
          </w:p>
        </w:tc>
      </w:tr>
      <w:tr w:rsidR="00F533DD" w:rsidRPr="00F533DD" w14:paraId="76C18365" w14:textId="77777777" w:rsidTr="00F533DD">
        <w:trPr>
          <w:trHeight w:val="225"/>
        </w:trPr>
        <w:tc>
          <w:tcPr>
            <w:tcW w:w="5060" w:type="dxa"/>
            <w:tcBorders>
              <w:top w:val="nil"/>
              <w:left w:val="nil"/>
              <w:bottom w:val="nil"/>
              <w:right w:val="nil"/>
            </w:tcBorders>
            <w:shd w:val="clear" w:color="000000" w:fill="FFFFFF"/>
            <w:vAlign w:val="bottom"/>
            <w:hideMark/>
          </w:tcPr>
          <w:p w14:paraId="76C18362" w14:textId="77777777" w:rsidR="00F533DD" w:rsidRPr="00F533DD" w:rsidRDefault="00F533DD" w:rsidP="00EF2631">
            <w:pPr>
              <w:spacing w:after="0" w:line="240" w:lineRule="auto"/>
              <w:ind w:left="316" w:hanging="142"/>
              <w:jc w:val="left"/>
              <w:rPr>
                <w:rFonts w:ascii="Arial" w:hAnsi="Arial" w:cs="Arial"/>
                <w:color w:val="000000"/>
                <w:sz w:val="16"/>
                <w:szCs w:val="16"/>
              </w:rPr>
            </w:pPr>
            <w:r w:rsidRPr="00F533DD">
              <w:rPr>
                <w:rFonts w:ascii="Arial" w:hAnsi="Arial" w:cs="Arial"/>
                <w:color w:val="000000"/>
                <w:sz w:val="16"/>
                <w:szCs w:val="16"/>
              </w:rPr>
              <w:t>Departmental capital budget (</w:t>
            </w:r>
            <w:r w:rsidR="00425621">
              <w:rPr>
                <w:rFonts w:ascii="Arial" w:hAnsi="Arial" w:cs="Arial"/>
                <w:color w:val="000000"/>
                <w:sz w:val="16"/>
                <w:szCs w:val="16"/>
              </w:rPr>
              <w:t>d</w:t>
            </w:r>
            <w:r w:rsidRPr="00F533DD">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8363"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92 </w:t>
            </w:r>
          </w:p>
        </w:tc>
        <w:tc>
          <w:tcPr>
            <w:tcW w:w="1100" w:type="dxa"/>
            <w:tcBorders>
              <w:top w:val="nil"/>
              <w:left w:val="nil"/>
              <w:bottom w:val="nil"/>
              <w:right w:val="nil"/>
            </w:tcBorders>
            <w:shd w:val="clear" w:color="000000" w:fill="E6E6E6"/>
            <w:vAlign w:val="bottom"/>
            <w:hideMark/>
          </w:tcPr>
          <w:p w14:paraId="76C18364"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99 </w:t>
            </w:r>
          </w:p>
        </w:tc>
      </w:tr>
      <w:tr w:rsidR="00F533DD" w:rsidRPr="00F533DD" w14:paraId="76C18369" w14:textId="77777777" w:rsidTr="00F533DD">
        <w:trPr>
          <w:trHeight w:val="225"/>
        </w:trPr>
        <w:tc>
          <w:tcPr>
            <w:tcW w:w="5060" w:type="dxa"/>
            <w:tcBorders>
              <w:top w:val="nil"/>
              <w:left w:val="nil"/>
              <w:bottom w:val="nil"/>
              <w:right w:val="nil"/>
            </w:tcBorders>
            <w:shd w:val="clear" w:color="000000" w:fill="FFFFFF"/>
            <w:vAlign w:val="bottom"/>
            <w:hideMark/>
          </w:tcPr>
          <w:p w14:paraId="76C18366"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Total departmental annual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76C18367"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10,379 </w:t>
            </w:r>
          </w:p>
        </w:tc>
        <w:tc>
          <w:tcPr>
            <w:tcW w:w="1100" w:type="dxa"/>
            <w:tcBorders>
              <w:top w:val="single" w:sz="4" w:space="0" w:color="auto"/>
              <w:left w:val="nil"/>
              <w:bottom w:val="single" w:sz="4" w:space="0" w:color="auto"/>
              <w:right w:val="nil"/>
            </w:tcBorders>
            <w:shd w:val="clear" w:color="000000" w:fill="E6E6E6"/>
            <w:vAlign w:val="bottom"/>
            <w:hideMark/>
          </w:tcPr>
          <w:p w14:paraId="76C18368"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10,521 </w:t>
            </w:r>
          </w:p>
        </w:tc>
      </w:tr>
      <w:tr w:rsidR="00F533DD" w:rsidRPr="00F533DD" w14:paraId="76C1836D" w14:textId="77777777" w:rsidTr="00F533DD">
        <w:trPr>
          <w:trHeight w:val="225"/>
        </w:trPr>
        <w:tc>
          <w:tcPr>
            <w:tcW w:w="5060" w:type="dxa"/>
            <w:tcBorders>
              <w:top w:val="nil"/>
              <w:left w:val="nil"/>
              <w:bottom w:val="nil"/>
              <w:right w:val="nil"/>
            </w:tcBorders>
            <w:shd w:val="clear" w:color="000000" w:fill="FFFFFF"/>
            <w:vAlign w:val="bottom"/>
            <w:hideMark/>
          </w:tcPr>
          <w:p w14:paraId="76C1836A" w14:textId="77777777" w:rsidR="00F533DD" w:rsidRPr="00F533DD" w:rsidRDefault="00425621" w:rsidP="00F533DD">
            <w:pPr>
              <w:spacing w:after="0" w:line="240" w:lineRule="auto"/>
              <w:jc w:val="left"/>
              <w:rPr>
                <w:rFonts w:ascii="Arial" w:hAnsi="Arial" w:cs="Arial"/>
                <w:color w:val="000000"/>
                <w:sz w:val="16"/>
                <w:szCs w:val="16"/>
              </w:rPr>
            </w:pPr>
            <w:r>
              <w:rPr>
                <w:rFonts w:ascii="Arial" w:hAnsi="Arial" w:cs="Arial"/>
                <w:color w:val="000000"/>
                <w:sz w:val="16"/>
                <w:szCs w:val="16"/>
              </w:rPr>
              <w:t>Special accounts (e</w:t>
            </w:r>
            <w:r w:rsidR="00F533DD" w:rsidRPr="00F533DD">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836B" w14:textId="77777777" w:rsidR="00F533DD" w:rsidRPr="00F533DD" w:rsidRDefault="00F533DD" w:rsidP="00F533DD">
            <w:pPr>
              <w:spacing w:after="0" w:line="240" w:lineRule="auto"/>
              <w:jc w:val="left"/>
              <w:rPr>
                <w:rFonts w:ascii="Arial" w:hAnsi="Arial" w:cs="Arial"/>
                <w:i/>
                <w:iCs/>
                <w:color w:val="000000"/>
                <w:sz w:val="16"/>
                <w:szCs w:val="16"/>
              </w:rPr>
            </w:pPr>
            <w:r w:rsidRPr="00F533DD">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836C"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 </w:t>
            </w:r>
          </w:p>
        </w:tc>
      </w:tr>
      <w:tr w:rsidR="00F533DD" w:rsidRPr="00F533DD" w14:paraId="76C18371" w14:textId="77777777" w:rsidTr="00F533DD">
        <w:trPr>
          <w:trHeight w:val="225"/>
        </w:trPr>
        <w:tc>
          <w:tcPr>
            <w:tcW w:w="5060" w:type="dxa"/>
            <w:tcBorders>
              <w:top w:val="nil"/>
              <w:left w:val="nil"/>
              <w:bottom w:val="nil"/>
              <w:right w:val="nil"/>
            </w:tcBorders>
            <w:shd w:val="clear" w:color="000000" w:fill="FFFFFF"/>
            <w:vAlign w:val="bottom"/>
            <w:hideMark/>
          </w:tcPr>
          <w:p w14:paraId="76C1836E" w14:textId="77777777" w:rsidR="00F533DD" w:rsidRPr="00F533DD" w:rsidRDefault="00F533DD" w:rsidP="00EF2631">
            <w:pPr>
              <w:spacing w:after="0" w:line="240" w:lineRule="auto"/>
              <w:ind w:left="316" w:hanging="142"/>
              <w:jc w:val="left"/>
              <w:rPr>
                <w:rFonts w:ascii="Arial" w:hAnsi="Arial" w:cs="Arial"/>
                <w:color w:val="000000"/>
                <w:sz w:val="16"/>
                <w:szCs w:val="16"/>
              </w:rPr>
            </w:pPr>
            <w:r w:rsidRPr="00F533DD">
              <w:rPr>
                <w:rFonts w:ascii="Arial" w:hAnsi="Arial" w:cs="Arial"/>
                <w:color w:val="000000"/>
                <w:sz w:val="16"/>
                <w:szCs w:val="16"/>
              </w:rPr>
              <w:t>Opening balance</w:t>
            </w:r>
          </w:p>
        </w:tc>
        <w:tc>
          <w:tcPr>
            <w:tcW w:w="1100" w:type="dxa"/>
            <w:tcBorders>
              <w:top w:val="nil"/>
              <w:left w:val="nil"/>
              <w:bottom w:val="nil"/>
              <w:right w:val="nil"/>
            </w:tcBorders>
            <w:shd w:val="clear" w:color="000000" w:fill="FFFFFF"/>
            <w:vAlign w:val="bottom"/>
            <w:hideMark/>
          </w:tcPr>
          <w:p w14:paraId="76C1836F"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14,454 </w:t>
            </w:r>
          </w:p>
        </w:tc>
        <w:tc>
          <w:tcPr>
            <w:tcW w:w="1100" w:type="dxa"/>
            <w:tcBorders>
              <w:top w:val="nil"/>
              <w:left w:val="nil"/>
              <w:bottom w:val="nil"/>
              <w:right w:val="nil"/>
            </w:tcBorders>
            <w:shd w:val="clear" w:color="000000" w:fill="E6E6E6"/>
            <w:vAlign w:val="bottom"/>
            <w:hideMark/>
          </w:tcPr>
          <w:p w14:paraId="76C18370"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14,175 </w:t>
            </w:r>
          </w:p>
        </w:tc>
      </w:tr>
      <w:tr w:rsidR="00F533DD" w:rsidRPr="00F533DD" w14:paraId="76C18375" w14:textId="77777777" w:rsidTr="00F533DD">
        <w:trPr>
          <w:trHeight w:val="225"/>
        </w:trPr>
        <w:tc>
          <w:tcPr>
            <w:tcW w:w="5060" w:type="dxa"/>
            <w:tcBorders>
              <w:top w:val="nil"/>
              <w:left w:val="nil"/>
              <w:bottom w:val="nil"/>
              <w:right w:val="nil"/>
            </w:tcBorders>
            <w:shd w:val="clear" w:color="000000" w:fill="FFFFFF"/>
            <w:vAlign w:val="bottom"/>
            <w:hideMark/>
          </w:tcPr>
          <w:p w14:paraId="76C18372" w14:textId="77777777" w:rsidR="00F533DD" w:rsidRPr="00F533DD" w:rsidRDefault="00F533DD" w:rsidP="00EF2631">
            <w:pPr>
              <w:spacing w:after="0" w:line="240" w:lineRule="auto"/>
              <w:ind w:left="316" w:hanging="142"/>
              <w:jc w:val="left"/>
              <w:rPr>
                <w:rFonts w:ascii="Arial" w:hAnsi="Arial" w:cs="Arial"/>
                <w:color w:val="000000"/>
                <w:sz w:val="16"/>
                <w:szCs w:val="16"/>
              </w:rPr>
            </w:pPr>
            <w:r w:rsidRPr="00F533DD">
              <w:rPr>
                <w:rFonts w:ascii="Arial" w:hAnsi="Arial" w:cs="Arial"/>
                <w:color w:val="000000"/>
                <w:sz w:val="16"/>
                <w:szCs w:val="16"/>
              </w:rPr>
              <w:t>Appropriation receipts (</w:t>
            </w:r>
            <w:r w:rsidR="00425621">
              <w:rPr>
                <w:rFonts w:ascii="Arial" w:hAnsi="Arial" w:cs="Arial"/>
                <w:color w:val="000000"/>
                <w:sz w:val="16"/>
                <w:szCs w:val="16"/>
              </w:rPr>
              <w:t>f</w:t>
            </w:r>
            <w:r w:rsidRPr="00F533DD">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8373"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10,379 </w:t>
            </w:r>
          </w:p>
        </w:tc>
        <w:tc>
          <w:tcPr>
            <w:tcW w:w="1100" w:type="dxa"/>
            <w:tcBorders>
              <w:top w:val="nil"/>
              <w:left w:val="nil"/>
              <w:bottom w:val="nil"/>
              <w:right w:val="nil"/>
            </w:tcBorders>
            <w:shd w:val="clear" w:color="000000" w:fill="E6E6E6"/>
            <w:vAlign w:val="bottom"/>
            <w:hideMark/>
          </w:tcPr>
          <w:p w14:paraId="76C18374"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10,521 </w:t>
            </w:r>
          </w:p>
        </w:tc>
      </w:tr>
      <w:tr w:rsidR="00F533DD" w:rsidRPr="00F533DD" w14:paraId="76C18379" w14:textId="77777777" w:rsidTr="00F533DD">
        <w:trPr>
          <w:trHeight w:val="225"/>
        </w:trPr>
        <w:tc>
          <w:tcPr>
            <w:tcW w:w="5060" w:type="dxa"/>
            <w:tcBorders>
              <w:top w:val="nil"/>
              <w:left w:val="nil"/>
              <w:bottom w:val="nil"/>
              <w:right w:val="nil"/>
            </w:tcBorders>
            <w:shd w:val="clear" w:color="000000" w:fill="FFFFFF"/>
            <w:vAlign w:val="bottom"/>
            <w:hideMark/>
          </w:tcPr>
          <w:p w14:paraId="76C18376" w14:textId="77777777" w:rsidR="00F533DD" w:rsidRPr="00F533DD" w:rsidRDefault="00F533DD" w:rsidP="00EF2631">
            <w:pPr>
              <w:spacing w:after="0" w:line="240" w:lineRule="auto"/>
              <w:ind w:left="316" w:hanging="142"/>
              <w:jc w:val="left"/>
              <w:rPr>
                <w:rFonts w:ascii="Arial" w:hAnsi="Arial" w:cs="Arial"/>
                <w:color w:val="000000"/>
                <w:sz w:val="16"/>
                <w:szCs w:val="16"/>
              </w:rPr>
            </w:pPr>
            <w:r w:rsidRPr="00F533DD">
              <w:rPr>
                <w:rFonts w:ascii="Arial" w:hAnsi="Arial" w:cs="Arial"/>
                <w:color w:val="000000"/>
                <w:sz w:val="16"/>
                <w:szCs w:val="16"/>
              </w:rPr>
              <w:t>Non-appropriation receipts</w:t>
            </w:r>
          </w:p>
        </w:tc>
        <w:tc>
          <w:tcPr>
            <w:tcW w:w="1100" w:type="dxa"/>
            <w:tcBorders>
              <w:top w:val="nil"/>
              <w:left w:val="nil"/>
              <w:bottom w:val="nil"/>
              <w:right w:val="nil"/>
            </w:tcBorders>
            <w:shd w:val="clear" w:color="000000" w:fill="FFFFFF"/>
            <w:vAlign w:val="bottom"/>
            <w:hideMark/>
          </w:tcPr>
          <w:p w14:paraId="76C18377"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10,267 </w:t>
            </w:r>
          </w:p>
        </w:tc>
        <w:tc>
          <w:tcPr>
            <w:tcW w:w="1100" w:type="dxa"/>
            <w:tcBorders>
              <w:top w:val="nil"/>
              <w:left w:val="nil"/>
              <w:bottom w:val="nil"/>
              <w:right w:val="nil"/>
            </w:tcBorders>
            <w:shd w:val="clear" w:color="000000" w:fill="E6E6E6"/>
            <w:vAlign w:val="bottom"/>
            <w:hideMark/>
          </w:tcPr>
          <w:p w14:paraId="76C18378"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10,520 </w:t>
            </w:r>
          </w:p>
        </w:tc>
      </w:tr>
      <w:tr w:rsidR="00F533DD" w:rsidRPr="00F533DD" w14:paraId="76C1837D" w14:textId="77777777" w:rsidTr="00F533DD">
        <w:trPr>
          <w:trHeight w:val="225"/>
        </w:trPr>
        <w:tc>
          <w:tcPr>
            <w:tcW w:w="5060" w:type="dxa"/>
            <w:tcBorders>
              <w:top w:val="nil"/>
              <w:left w:val="nil"/>
              <w:bottom w:val="nil"/>
              <w:right w:val="nil"/>
            </w:tcBorders>
            <w:shd w:val="clear" w:color="000000" w:fill="FFFFFF"/>
            <w:vAlign w:val="bottom"/>
            <w:hideMark/>
          </w:tcPr>
          <w:p w14:paraId="76C1837A"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Total special accounts</w:t>
            </w:r>
          </w:p>
        </w:tc>
        <w:tc>
          <w:tcPr>
            <w:tcW w:w="1100" w:type="dxa"/>
            <w:tcBorders>
              <w:top w:val="single" w:sz="4" w:space="0" w:color="auto"/>
              <w:left w:val="nil"/>
              <w:bottom w:val="single" w:sz="4" w:space="0" w:color="auto"/>
              <w:right w:val="nil"/>
            </w:tcBorders>
            <w:shd w:val="clear" w:color="000000" w:fill="FFFFFF"/>
            <w:vAlign w:val="bottom"/>
            <w:hideMark/>
          </w:tcPr>
          <w:p w14:paraId="76C1837B"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35,100 </w:t>
            </w:r>
          </w:p>
        </w:tc>
        <w:tc>
          <w:tcPr>
            <w:tcW w:w="1100" w:type="dxa"/>
            <w:tcBorders>
              <w:top w:val="single" w:sz="4" w:space="0" w:color="auto"/>
              <w:left w:val="nil"/>
              <w:bottom w:val="single" w:sz="4" w:space="0" w:color="auto"/>
              <w:right w:val="nil"/>
            </w:tcBorders>
            <w:shd w:val="clear" w:color="000000" w:fill="E6E6E6"/>
            <w:vAlign w:val="bottom"/>
            <w:hideMark/>
          </w:tcPr>
          <w:p w14:paraId="76C1837C"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35,216 </w:t>
            </w:r>
          </w:p>
        </w:tc>
      </w:tr>
      <w:tr w:rsidR="00F533DD" w:rsidRPr="00F533DD" w14:paraId="76C18381" w14:textId="77777777" w:rsidTr="00F533DD">
        <w:trPr>
          <w:trHeight w:val="450"/>
        </w:trPr>
        <w:tc>
          <w:tcPr>
            <w:tcW w:w="5060" w:type="dxa"/>
            <w:tcBorders>
              <w:top w:val="nil"/>
              <w:left w:val="nil"/>
              <w:bottom w:val="nil"/>
              <w:right w:val="nil"/>
            </w:tcBorders>
            <w:shd w:val="clear" w:color="000000" w:fill="FFFFFF"/>
            <w:vAlign w:val="bottom"/>
            <w:hideMark/>
          </w:tcPr>
          <w:p w14:paraId="76C1837E" w14:textId="77777777" w:rsidR="00F533DD" w:rsidRPr="00EF2631" w:rsidRDefault="00F533DD" w:rsidP="00EF2631">
            <w:pPr>
              <w:spacing w:after="0" w:line="240" w:lineRule="auto"/>
              <w:ind w:left="180" w:hanging="180"/>
              <w:jc w:val="left"/>
              <w:rPr>
                <w:rFonts w:ascii="Arial" w:hAnsi="Arial" w:cs="Arial"/>
                <w:bCs/>
                <w:i/>
                <w:sz w:val="16"/>
                <w:szCs w:val="16"/>
              </w:rPr>
            </w:pPr>
            <w:r w:rsidRPr="00EF2631">
              <w:rPr>
                <w:rFonts w:ascii="Arial" w:hAnsi="Arial" w:cs="Arial"/>
                <w:bCs/>
                <w:i/>
                <w:sz w:val="16"/>
                <w:szCs w:val="16"/>
              </w:rPr>
              <w:t>less departmental appropriations drawn from annual/special appropriations and credited to special accounts</w:t>
            </w:r>
          </w:p>
        </w:tc>
        <w:tc>
          <w:tcPr>
            <w:tcW w:w="1100" w:type="dxa"/>
            <w:tcBorders>
              <w:top w:val="nil"/>
              <w:left w:val="nil"/>
              <w:bottom w:val="nil"/>
              <w:right w:val="nil"/>
            </w:tcBorders>
            <w:shd w:val="clear" w:color="000000" w:fill="FFFFFF"/>
            <w:vAlign w:val="bottom"/>
            <w:hideMark/>
          </w:tcPr>
          <w:p w14:paraId="76C1837F"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10,379 </w:t>
            </w:r>
          </w:p>
        </w:tc>
        <w:tc>
          <w:tcPr>
            <w:tcW w:w="1100" w:type="dxa"/>
            <w:tcBorders>
              <w:top w:val="nil"/>
              <w:left w:val="nil"/>
              <w:bottom w:val="nil"/>
              <w:right w:val="nil"/>
            </w:tcBorders>
            <w:shd w:val="clear" w:color="000000" w:fill="E6E6E6"/>
            <w:vAlign w:val="bottom"/>
            <w:hideMark/>
          </w:tcPr>
          <w:p w14:paraId="76C18380"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10,521 </w:t>
            </w:r>
          </w:p>
        </w:tc>
      </w:tr>
      <w:tr w:rsidR="00F533DD" w:rsidRPr="00F533DD" w14:paraId="76C18385" w14:textId="77777777" w:rsidTr="00F533DD">
        <w:trPr>
          <w:trHeight w:val="225"/>
        </w:trPr>
        <w:tc>
          <w:tcPr>
            <w:tcW w:w="5060" w:type="dxa"/>
            <w:tcBorders>
              <w:top w:val="nil"/>
              <w:left w:val="nil"/>
              <w:bottom w:val="nil"/>
              <w:right w:val="nil"/>
            </w:tcBorders>
            <w:shd w:val="clear" w:color="000000" w:fill="FFFFFF"/>
            <w:vAlign w:val="bottom"/>
            <w:hideMark/>
          </w:tcPr>
          <w:p w14:paraId="76C18382" w14:textId="77777777" w:rsidR="00F533DD" w:rsidRPr="00F533DD" w:rsidRDefault="00F533DD" w:rsidP="00F533DD">
            <w:pPr>
              <w:spacing w:after="0" w:line="240" w:lineRule="auto"/>
              <w:jc w:val="left"/>
              <w:rPr>
                <w:rFonts w:ascii="Arial" w:hAnsi="Arial" w:cs="Arial"/>
                <w:b/>
                <w:bCs/>
                <w:i/>
                <w:iCs/>
                <w:color w:val="000000"/>
                <w:sz w:val="16"/>
                <w:szCs w:val="16"/>
              </w:rPr>
            </w:pPr>
            <w:r w:rsidRPr="00F533DD">
              <w:rPr>
                <w:rFonts w:ascii="Arial" w:hAnsi="Arial" w:cs="Arial"/>
                <w:b/>
                <w:bCs/>
                <w:i/>
                <w:iCs/>
                <w:color w:val="000000"/>
                <w:sz w:val="16"/>
                <w:szCs w:val="16"/>
              </w:rPr>
              <w:t>Total departmental resourcing</w:t>
            </w:r>
          </w:p>
        </w:tc>
        <w:tc>
          <w:tcPr>
            <w:tcW w:w="1100" w:type="dxa"/>
            <w:tcBorders>
              <w:top w:val="single" w:sz="4" w:space="0" w:color="auto"/>
              <w:left w:val="nil"/>
              <w:bottom w:val="single" w:sz="4" w:space="0" w:color="auto"/>
              <w:right w:val="nil"/>
            </w:tcBorders>
            <w:shd w:val="clear" w:color="000000" w:fill="FFFFFF"/>
            <w:vAlign w:val="bottom"/>
            <w:hideMark/>
          </w:tcPr>
          <w:p w14:paraId="76C18383" w14:textId="77777777" w:rsidR="00F533DD" w:rsidRPr="00F533DD" w:rsidRDefault="00F533DD" w:rsidP="00F533DD">
            <w:pPr>
              <w:spacing w:after="0" w:line="240" w:lineRule="auto"/>
              <w:jc w:val="right"/>
              <w:rPr>
                <w:rFonts w:ascii="Arial" w:hAnsi="Arial" w:cs="Arial"/>
                <w:b/>
                <w:bCs/>
                <w:i/>
                <w:iCs/>
                <w:color w:val="000000"/>
                <w:sz w:val="16"/>
                <w:szCs w:val="16"/>
              </w:rPr>
            </w:pPr>
            <w:r w:rsidRPr="00F533DD">
              <w:rPr>
                <w:rFonts w:ascii="Arial" w:hAnsi="Arial" w:cs="Arial"/>
                <w:b/>
                <w:bCs/>
                <w:i/>
                <w:iCs/>
                <w:color w:val="000000"/>
                <w:sz w:val="16"/>
                <w:szCs w:val="16"/>
              </w:rPr>
              <w:t xml:space="preserve">35,100 </w:t>
            </w:r>
          </w:p>
        </w:tc>
        <w:tc>
          <w:tcPr>
            <w:tcW w:w="1100" w:type="dxa"/>
            <w:tcBorders>
              <w:top w:val="single" w:sz="4" w:space="0" w:color="auto"/>
              <w:left w:val="nil"/>
              <w:bottom w:val="single" w:sz="4" w:space="0" w:color="auto"/>
              <w:right w:val="nil"/>
            </w:tcBorders>
            <w:shd w:val="clear" w:color="000000" w:fill="E6E6E6"/>
            <w:vAlign w:val="bottom"/>
            <w:hideMark/>
          </w:tcPr>
          <w:p w14:paraId="76C18384" w14:textId="77777777" w:rsidR="00F533DD" w:rsidRPr="00F533DD" w:rsidRDefault="00F533DD" w:rsidP="00F533DD">
            <w:pPr>
              <w:spacing w:after="0" w:line="240" w:lineRule="auto"/>
              <w:jc w:val="right"/>
              <w:rPr>
                <w:rFonts w:ascii="Arial" w:hAnsi="Arial" w:cs="Arial"/>
                <w:b/>
                <w:bCs/>
                <w:color w:val="000000"/>
                <w:sz w:val="16"/>
                <w:szCs w:val="16"/>
              </w:rPr>
            </w:pPr>
            <w:r w:rsidRPr="00F533DD">
              <w:rPr>
                <w:rFonts w:ascii="Arial" w:hAnsi="Arial" w:cs="Arial"/>
                <w:b/>
                <w:bCs/>
                <w:color w:val="000000"/>
                <w:sz w:val="16"/>
                <w:szCs w:val="16"/>
              </w:rPr>
              <w:t xml:space="preserve">35,216 </w:t>
            </w:r>
          </w:p>
        </w:tc>
      </w:tr>
      <w:tr w:rsidR="00F533DD" w:rsidRPr="00F533DD" w14:paraId="76C18389" w14:textId="77777777" w:rsidTr="00F533DD">
        <w:trPr>
          <w:trHeight w:val="225"/>
        </w:trPr>
        <w:tc>
          <w:tcPr>
            <w:tcW w:w="5060" w:type="dxa"/>
            <w:tcBorders>
              <w:top w:val="nil"/>
              <w:left w:val="nil"/>
              <w:bottom w:val="single" w:sz="4" w:space="0" w:color="auto"/>
              <w:right w:val="nil"/>
            </w:tcBorders>
            <w:shd w:val="clear" w:color="000000" w:fill="FFFFFF"/>
            <w:vAlign w:val="bottom"/>
            <w:hideMark/>
          </w:tcPr>
          <w:p w14:paraId="76C18386" w14:textId="77777777" w:rsidR="00F533DD" w:rsidRPr="00F533DD" w:rsidRDefault="00F533DD" w:rsidP="00F533DD">
            <w:pPr>
              <w:spacing w:after="0" w:line="240" w:lineRule="auto"/>
              <w:jc w:val="left"/>
              <w:rPr>
                <w:rFonts w:ascii="Arial" w:hAnsi="Arial" w:cs="Arial"/>
                <w:b/>
                <w:bCs/>
                <w:color w:val="000000"/>
                <w:sz w:val="16"/>
                <w:szCs w:val="16"/>
              </w:rPr>
            </w:pPr>
            <w:r w:rsidRPr="00F533DD">
              <w:rPr>
                <w:rFonts w:ascii="Arial" w:hAnsi="Arial" w:cs="Arial"/>
                <w:b/>
                <w:bCs/>
                <w:color w:val="000000"/>
                <w:sz w:val="16"/>
                <w:szCs w:val="16"/>
              </w:rPr>
              <w:t>Total resourcing for Safe Work Australia</w:t>
            </w:r>
          </w:p>
        </w:tc>
        <w:tc>
          <w:tcPr>
            <w:tcW w:w="1100" w:type="dxa"/>
            <w:tcBorders>
              <w:top w:val="nil"/>
              <w:left w:val="nil"/>
              <w:bottom w:val="single" w:sz="4" w:space="0" w:color="auto"/>
              <w:right w:val="nil"/>
            </w:tcBorders>
            <w:shd w:val="clear" w:color="000000" w:fill="FFFFFF"/>
            <w:vAlign w:val="bottom"/>
            <w:hideMark/>
          </w:tcPr>
          <w:p w14:paraId="76C18387" w14:textId="77777777" w:rsidR="00F533DD" w:rsidRPr="00F533DD" w:rsidRDefault="00F533DD" w:rsidP="00F533DD">
            <w:pPr>
              <w:spacing w:after="0" w:line="240" w:lineRule="auto"/>
              <w:jc w:val="right"/>
              <w:rPr>
                <w:rFonts w:ascii="Arial" w:hAnsi="Arial" w:cs="Arial"/>
                <w:b/>
                <w:bCs/>
                <w:i/>
                <w:iCs/>
                <w:color w:val="000000"/>
                <w:sz w:val="16"/>
                <w:szCs w:val="16"/>
              </w:rPr>
            </w:pPr>
            <w:r w:rsidRPr="00F533DD">
              <w:rPr>
                <w:rFonts w:ascii="Arial" w:hAnsi="Arial" w:cs="Arial"/>
                <w:b/>
                <w:bCs/>
                <w:i/>
                <w:iCs/>
                <w:color w:val="000000"/>
                <w:sz w:val="16"/>
                <w:szCs w:val="16"/>
              </w:rPr>
              <w:t xml:space="preserve">35,100 </w:t>
            </w:r>
          </w:p>
        </w:tc>
        <w:tc>
          <w:tcPr>
            <w:tcW w:w="1100" w:type="dxa"/>
            <w:tcBorders>
              <w:top w:val="nil"/>
              <w:left w:val="nil"/>
              <w:bottom w:val="single" w:sz="4" w:space="0" w:color="auto"/>
              <w:right w:val="nil"/>
            </w:tcBorders>
            <w:shd w:val="clear" w:color="000000" w:fill="E6E6E6"/>
            <w:vAlign w:val="bottom"/>
            <w:hideMark/>
          </w:tcPr>
          <w:p w14:paraId="76C18388" w14:textId="77777777" w:rsidR="00F533DD" w:rsidRPr="00F533DD" w:rsidRDefault="00F533DD" w:rsidP="00F533DD">
            <w:pPr>
              <w:spacing w:after="0" w:line="240" w:lineRule="auto"/>
              <w:jc w:val="right"/>
              <w:rPr>
                <w:rFonts w:ascii="Arial" w:hAnsi="Arial" w:cs="Arial"/>
                <w:b/>
                <w:bCs/>
                <w:color w:val="000000"/>
                <w:sz w:val="16"/>
                <w:szCs w:val="16"/>
              </w:rPr>
            </w:pPr>
            <w:r w:rsidRPr="00F533DD">
              <w:rPr>
                <w:rFonts w:ascii="Arial" w:hAnsi="Arial" w:cs="Arial"/>
                <w:b/>
                <w:bCs/>
                <w:color w:val="000000"/>
                <w:sz w:val="16"/>
                <w:szCs w:val="16"/>
              </w:rPr>
              <w:t xml:space="preserve">35,216 </w:t>
            </w:r>
          </w:p>
        </w:tc>
      </w:tr>
      <w:tr w:rsidR="00F533DD" w:rsidRPr="00F533DD" w14:paraId="76C1838D" w14:textId="77777777" w:rsidTr="00F533DD">
        <w:trPr>
          <w:trHeight w:val="64"/>
        </w:trPr>
        <w:tc>
          <w:tcPr>
            <w:tcW w:w="5060" w:type="dxa"/>
            <w:tcBorders>
              <w:top w:val="nil"/>
              <w:left w:val="nil"/>
              <w:bottom w:val="nil"/>
              <w:right w:val="nil"/>
            </w:tcBorders>
            <w:shd w:val="clear" w:color="000000" w:fill="FFFFFF"/>
            <w:vAlign w:val="bottom"/>
            <w:hideMark/>
          </w:tcPr>
          <w:p w14:paraId="76C1838A"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 </w:t>
            </w:r>
          </w:p>
        </w:tc>
        <w:tc>
          <w:tcPr>
            <w:tcW w:w="1100" w:type="dxa"/>
            <w:tcBorders>
              <w:top w:val="nil"/>
              <w:left w:val="nil"/>
              <w:bottom w:val="nil"/>
              <w:right w:val="nil"/>
            </w:tcBorders>
            <w:shd w:val="clear" w:color="000000" w:fill="FFFFFF"/>
            <w:vAlign w:val="bottom"/>
            <w:hideMark/>
          </w:tcPr>
          <w:p w14:paraId="76C1838B" w14:textId="77777777" w:rsidR="00F533DD" w:rsidRPr="00F533DD" w:rsidRDefault="00F533DD" w:rsidP="00F533DD">
            <w:pPr>
              <w:spacing w:after="0" w:line="240" w:lineRule="auto"/>
              <w:jc w:val="left"/>
              <w:rPr>
                <w:rFonts w:ascii="Arial" w:hAnsi="Arial" w:cs="Arial"/>
                <w:i/>
                <w:iCs/>
                <w:color w:val="000000"/>
                <w:sz w:val="16"/>
                <w:szCs w:val="16"/>
              </w:rPr>
            </w:pPr>
            <w:r w:rsidRPr="00F533DD">
              <w:rPr>
                <w:rFonts w:ascii="Arial" w:hAnsi="Arial" w:cs="Arial"/>
                <w:i/>
                <w:iCs/>
                <w:color w:val="000000"/>
                <w:sz w:val="16"/>
                <w:szCs w:val="16"/>
              </w:rPr>
              <w:t> </w:t>
            </w:r>
          </w:p>
        </w:tc>
        <w:tc>
          <w:tcPr>
            <w:tcW w:w="1100" w:type="dxa"/>
            <w:tcBorders>
              <w:top w:val="nil"/>
              <w:left w:val="nil"/>
              <w:bottom w:val="nil"/>
              <w:right w:val="nil"/>
            </w:tcBorders>
            <w:shd w:val="clear" w:color="000000" w:fill="FFFFFF"/>
            <w:vAlign w:val="bottom"/>
            <w:hideMark/>
          </w:tcPr>
          <w:p w14:paraId="76C1838C"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 </w:t>
            </w:r>
          </w:p>
        </w:tc>
      </w:tr>
      <w:tr w:rsidR="00F533DD" w:rsidRPr="00F533DD" w14:paraId="76C18391" w14:textId="77777777" w:rsidTr="00F533DD">
        <w:trPr>
          <w:trHeight w:val="225"/>
        </w:trPr>
        <w:tc>
          <w:tcPr>
            <w:tcW w:w="5060" w:type="dxa"/>
            <w:tcBorders>
              <w:top w:val="single" w:sz="4" w:space="0" w:color="auto"/>
              <w:left w:val="nil"/>
              <w:bottom w:val="nil"/>
              <w:right w:val="nil"/>
            </w:tcBorders>
            <w:shd w:val="clear" w:color="000000" w:fill="FFFFFF"/>
            <w:vAlign w:val="bottom"/>
            <w:hideMark/>
          </w:tcPr>
          <w:p w14:paraId="76C1838E" w14:textId="77777777" w:rsidR="00F533DD" w:rsidRPr="00F533DD" w:rsidRDefault="00F533DD" w:rsidP="00F533DD">
            <w:pPr>
              <w:spacing w:after="0" w:line="240" w:lineRule="auto"/>
              <w:jc w:val="left"/>
              <w:rPr>
                <w:rFonts w:ascii="Arial" w:hAnsi="Arial" w:cs="Arial"/>
                <w:color w:val="000000"/>
                <w:sz w:val="16"/>
                <w:szCs w:val="16"/>
              </w:rPr>
            </w:pPr>
            <w:r w:rsidRPr="00F533DD">
              <w:rPr>
                <w:rFonts w:ascii="Arial" w:hAnsi="Arial" w:cs="Arial"/>
                <w:color w:val="000000"/>
                <w:sz w:val="16"/>
                <w:szCs w:val="16"/>
              </w:rPr>
              <w:t> </w:t>
            </w:r>
          </w:p>
        </w:tc>
        <w:tc>
          <w:tcPr>
            <w:tcW w:w="1100" w:type="dxa"/>
            <w:tcBorders>
              <w:top w:val="single" w:sz="4" w:space="0" w:color="auto"/>
              <w:left w:val="nil"/>
              <w:bottom w:val="nil"/>
              <w:right w:val="nil"/>
            </w:tcBorders>
            <w:shd w:val="clear" w:color="000000" w:fill="FFFFFF"/>
            <w:vAlign w:val="bottom"/>
            <w:hideMark/>
          </w:tcPr>
          <w:p w14:paraId="76C1838F" w14:textId="77777777" w:rsidR="00F533DD" w:rsidRPr="00F533DD" w:rsidRDefault="009A4174" w:rsidP="00F533DD">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2018–19 </w:t>
            </w:r>
          </w:p>
        </w:tc>
        <w:tc>
          <w:tcPr>
            <w:tcW w:w="1100" w:type="dxa"/>
            <w:tcBorders>
              <w:top w:val="single" w:sz="4" w:space="0" w:color="auto"/>
              <w:left w:val="nil"/>
              <w:bottom w:val="nil"/>
              <w:right w:val="nil"/>
            </w:tcBorders>
            <w:shd w:val="clear" w:color="000000" w:fill="E6E6E6"/>
            <w:vAlign w:val="bottom"/>
            <w:hideMark/>
          </w:tcPr>
          <w:p w14:paraId="76C18390" w14:textId="77777777" w:rsidR="00F533DD" w:rsidRPr="00F533DD" w:rsidRDefault="009A4174" w:rsidP="00F533DD">
            <w:pPr>
              <w:spacing w:after="0" w:line="240" w:lineRule="auto"/>
              <w:jc w:val="right"/>
              <w:rPr>
                <w:rFonts w:ascii="Arial" w:hAnsi="Arial" w:cs="Arial"/>
                <w:color w:val="000000"/>
                <w:sz w:val="16"/>
                <w:szCs w:val="16"/>
              </w:rPr>
            </w:pPr>
            <w:r>
              <w:rPr>
                <w:rFonts w:ascii="Arial" w:hAnsi="Arial" w:cs="Arial"/>
                <w:color w:val="000000"/>
                <w:sz w:val="16"/>
                <w:szCs w:val="16"/>
              </w:rPr>
              <w:t>2019–20</w:t>
            </w:r>
          </w:p>
        </w:tc>
      </w:tr>
      <w:tr w:rsidR="00F533DD" w:rsidRPr="00F533DD" w14:paraId="76C18395" w14:textId="77777777" w:rsidTr="00F533DD">
        <w:trPr>
          <w:trHeight w:val="225"/>
        </w:trPr>
        <w:tc>
          <w:tcPr>
            <w:tcW w:w="5060" w:type="dxa"/>
            <w:tcBorders>
              <w:top w:val="nil"/>
              <w:left w:val="nil"/>
              <w:bottom w:val="single" w:sz="4" w:space="0" w:color="auto"/>
              <w:right w:val="nil"/>
            </w:tcBorders>
            <w:shd w:val="clear" w:color="000000" w:fill="FFFFFF"/>
            <w:vAlign w:val="bottom"/>
            <w:hideMark/>
          </w:tcPr>
          <w:p w14:paraId="76C18392" w14:textId="77777777" w:rsidR="00F533DD" w:rsidRPr="00F533DD" w:rsidRDefault="00F533DD" w:rsidP="00F533DD">
            <w:pPr>
              <w:spacing w:after="0" w:line="240" w:lineRule="auto"/>
              <w:jc w:val="left"/>
              <w:rPr>
                <w:rFonts w:ascii="Arial" w:hAnsi="Arial" w:cs="Arial"/>
                <w:b/>
                <w:bCs/>
                <w:color w:val="000000"/>
                <w:sz w:val="16"/>
                <w:szCs w:val="16"/>
              </w:rPr>
            </w:pPr>
            <w:r w:rsidRPr="00F533DD">
              <w:rPr>
                <w:rFonts w:ascii="Arial" w:hAnsi="Arial" w:cs="Arial"/>
                <w:b/>
                <w:bCs/>
                <w:color w:val="000000"/>
                <w:sz w:val="16"/>
                <w:szCs w:val="16"/>
              </w:rPr>
              <w:t>Average staffing level (number)</w:t>
            </w:r>
          </w:p>
        </w:tc>
        <w:tc>
          <w:tcPr>
            <w:tcW w:w="1100" w:type="dxa"/>
            <w:tcBorders>
              <w:top w:val="single" w:sz="4" w:space="0" w:color="auto"/>
              <w:left w:val="nil"/>
              <w:bottom w:val="single" w:sz="4" w:space="0" w:color="auto"/>
              <w:right w:val="nil"/>
            </w:tcBorders>
            <w:shd w:val="clear" w:color="auto" w:fill="auto"/>
            <w:vAlign w:val="bottom"/>
            <w:hideMark/>
          </w:tcPr>
          <w:p w14:paraId="76C18393" w14:textId="77777777" w:rsidR="00F533DD" w:rsidRPr="00F533DD" w:rsidRDefault="00F533DD" w:rsidP="00F533DD">
            <w:pPr>
              <w:spacing w:after="0" w:line="240" w:lineRule="auto"/>
              <w:jc w:val="right"/>
              <w:rPr>
                <w:rFonts w:ascii="Arial" w:hAnsi="Arial" w:cs="Arial"/>
                <w:i/>
                <w:iCs/>
                <w:color w:val="000000"/>
                <w:sz w:val="16"/>
                <w:szCs w:val="16"/>
              </w:rPr>
            </w:pPr>
            <w:r w:rsidRPr="00F533DD">
              <w:rPr>
                <w:rFonts w:ascii="Arial" w:hAnsi="Arial" w:cs="Arial"/>
                <w:i/>
                <w:iCs/>
                <w:color w:val="000000"/>
                <w:sz w:val="16"/>
                <w:szCs w:val="16"/>
              </w:rPr>
              <w:t xml:space="preserve">101 </w:t>
            </w:r>
          </w:p>
        </w:tc>
        <w:tc>
          <w:tcPr>
            <w:tcW w:w="1100" w:type="dxa"/>
            <w:tcBorders>
              <w:top w:val="single" w:sz="4" w:space="0" w:color="auto"/>
              <w:left w:val="nil"/>
              <w:bottom w:val="single" w:sz="4" w:space="0" w:color="auto"/>
              <w:right w:val="nil"/>
            </w:tcBorders>
            <w:shd w:val="clear" w:color="auto" w:fill="auto"/>
            <w:vAlign w:val="bottom"/>
            <w:hideMark/>
          </w:tcPr>
          <w:p w14:paraId="76C18394" w14:textId="77777777" w:rsidR="00F533DD" w:rsidRPr="00F533DD" w:rsidRDefault="00F533DD" w:rsidP="00F533DD">
            <w:pPr>
              <w:spacing w:after="0" w:line="240" w:lineRule="auto"/>
              <w:jc w:val="right"/>
              <w:rPr>
                <w:rFonts w:ascii="Arial" w:hAnsi="Arial" w:cs="Arial"/>
                <w:color w:val="000000"/>
                <w:sz w:val="16"/>
                <w:szCs w:val="16"/>
              </w:rPr>
            </w:pPr>
            <w:r w:rsidRPr="00F533DD">
              <w:rPr>
                <w:rFonts w:ascii="Arial" w:hAnsi="Arial" w:cs="Arial"/>
                <w:color w:val="000000"/>
                <w:sz w:val="16"/>
                <w:szCs w:val="16"/>
              </w:rPr>
              <w:t xml:space="preserve">101 </w:t>
            </w:r>
          </w:p>
        </w:tc>
      </w:tr>
    </w:tbl>
    <w:p w14:paraId="080F5B47" w14:textId="77777777" w:rsidR="007C05BB" w:rsidRDefault="0061075E" w:rsidP="007C05BB">
      <w:pPr>
        <w:pStyle w:val="ChartandTableFootnote"/>
        <w:spacing w:before="120"/>
        <w:contextualSpacing/>
        <w:jc w:val="left"/>
        <w:rPr>
          <w:szCs w:val="16"/>
        </w:rPr>
      </w:pPr>
      <w:r w:rsidRPr="007C05BB">
        <w:rPr>
          <w:szCs w:val="16"/>
        </w:rPr>
        <w:t>All figures shown above are GST exclusive</w:t>
      </w:r>
      <w:r w:rsidR="007C05BB" w:rsidRPr="007C05BB">
        <w:rPr>
          <w:szCs w:val="16"/>
          <w:lang w:val="en-AU"/>
        </w:rPr>
        <w:t xml:space="preserve"> </w:t>
      </w:r>
      <w:r w:rsidR="00803AC9" w:rsidRPr="007C05BB">
        <w:rPr>
          <w:szCs w:val="16"/>
        </w:rPr>
        <w:t>—</w:t>
      </w:r>
      <w:r w:rsidR="007C05BB" w:rsidRPr="007C05BB">
        <w:rPr>
          <w:szCs w:val="16"/>
          <w:lang w:val="en-AU"/>
        </w:rPr>
        <w:t xml:space="preserve"> </w:t>
      </w:r>
      <w:r w:rsidRPr="007C05BB">
        <w:rPr>
          <w:szCs w:val="16"/>
        </w:rPr>
        <w:t>these may not match figures in the cash flow statement.</w:t>
      </w:r>
    </w:p>
    <w:p w14:paraId="76C18397" w14:textId="0CDFFD91" w:rsidR="0061075E" w:rsidRPr="007C05BB" w:rsidRDefault="0061075E" w:rsidP="007C05BB">
      <w:pPr>
        <w:pStyle w:val="ChartandTableFootnote"/>
        <w:spacing w:before="120"/>
        <w:contextualSpacing/>
        <w:jc w:val="left"/>
        <w:rPr>
          <w:szCs w:val="16"/>
        </w:rPr>
      </w:pPr>
      <w:r w:rsidRPr="007C05BB">
        <w:rPr>
          <w:szCs w:val="16"/>
        </w:rPr>
        <w:t>Prepared on a resourcing (</w:t>
      </w:r>
      <w:r w:rsidRPr="007C05BB">
        <w:rPr>
          <w:szCs w:val="16"/>
          <w:lang w:val="en-AU"/>
        </w:rPr>
        <w:t>that is,</w:t>
      </w:r>
      <w:r w:rsidRPr="007C05BB">
        <w:rPr>
          <w:szCs w:val="16"/>
        </w:rPr>
        <w:t xml:space="preserve"> appropriations available) basis.</w:t>
      </w:r>
    </w:p>
    <w:p w14:paraId="76C18398" w14:textId="3776968E" w:rsidR="003D6BE4" w:rsidRPr="007C05BB" w:rsidRDefault="003D6BE4" w:rsidP="007C05BB">
      <w:pPr>
        <w:pStyle w:val="Bullet"/>
        <w:numPr>
          <w:ilvl w:val="4"/>
          <w:numId w:val="2"/>
        </w:numPr>
        <w:spacing w:before="120" w:after="0" w:line="240" w:lineRule="auto"/>
        <w:ind w:left="284" w:hanging="284"/>
        <w:contextualSpacing/>
        <w:jc w:val="left"/>
        <w:rPr>
          <w:rFonts w:ascii="Arial" w:hAnsi="Arial" w:cs="Arial"/>
          <w:sz w:val="16"/>
          <w:szCs w:val="16"/>
        </w:rPr>
      </w:pPr>
      <w:r w:rsidRPr="007C05BB">
        <w:rPr>
          <w:rFonts w:ascii="Arial" w:hAnsi="Arial" w:cs="Arial"/>
          <w:sz w:val="16"/>
          <w:szCs w:val="16"/>
        </w:rPr>
        <w:t xml:space="preserve">Annual appropriation amounts appearing for </w:t>
      </w:r>
      <w:r w:rsidR="009A4174" w:rsidRPr="007C05BB">
        <w:rPr>
          <w:rFonts w:ascii="Arial" w:hAnsi="Arial" w:cs="Arial"/>
          <w:sz w:val="16"/>
          <w:szCs w:val="16"/>
        </w:rPr>
        <w:t xml:space="preserve">2018–19 </w:t>
      </w:r>
      <w:r w:rsidRPr="007C05BB">
        <w:rPr>
          <w:rFonts w:ascii="Arial" w:hAnsi="Arial" w:cs="Arial"/>
          <w:sz w:val="16"/>
          <w:szCs w:val="16"/>
        </w:rPr>
        <w:t>do not include the Appropriation Bills (No. 3) and (No. 4) 2018</w:t>
      </w:r>
      <w:r w:rsidR="009A4174" w:rsidRPr="007C05BB">
        <w:rPr>
          <w:rFonts w:ascii="Arial" w:hAnsi="Arial" w:cs="Arial"/>
          <w:sz w:val="16"/>
          <w:szCs w:val="16"/>
        </w:rPr>
        <w:t>–</w:t>
      </w:r>
      <w:r w:rsidRPr="007C05BB">
        <w:rPr>
          <w:rFonts w:ascii="Arial" w:hAnsi="Arial" w:cs="Arial"/>
          <w:sz w:val="16"/>
          <w:szCs w:val="16"/>
        </w:rPr>
        <w:t>2019, as they had not been enacted at the time of publication.</w:t>
      </w:r>
    </w:p>
    <w:p w14:paraId="76C18399" w14:textId="77777777" w:rsidR="00EA1A58" w:rsidRPr="007C05BB" w:rsidRDefault="00EA1A58" w:rsidP="007C05BB">
      <w:pPr>
        <w:pStyle w:val="Bullet"/>
        <w:numPr>
          <w:ilvl w:val="4"/>
          <w:numId w:val="2"/>
        </w:numPr>
        <w:spacing w:before="120" w:after="0" w:line="240" w:lineRule="auto"/>
        <w:ind w:left="284" w:hanging="284"/>
        <w:contextualSpacing/>
        <w:jc w:val="left"/>
        <w:rPr>
          <w:rFonts w:ascii="Arial" w:hAnsi="Arial" w:cs="Arial"/>
          <w:sz w:val="16"/>
          <w:szCs w:val="16"/>
        </w:rPr>
      </w:pPr>
      <w:r w:rsidRPr="007C05BB">
        <w:rPr>
          <w:rFonts w:ascii="Arial" w:hAnsi="Arial" w:cs="Arial"/>
          <w:sz w:val="16"/>
          <w:szCs w:val="16"/>
        </w:rPr>
        <w:t xml:space="preserve">Appropriation Bill (No. 1) 2019–20. </w:t>
      </w:r>
    </w:p>
    <w:p w14:paraId="76C1839A" w14:textId="77777777" w:rsidR="00EA1A58" w:rsidRPr="007C05BB" w:rsidRDefault="00EA1A58" w:rsidP="007C05BB">
      <w:pPr>
        <w:pStyle w:val="Bullet"/>
        <w:numPr>
          <w:ilvl w:val="4"/>
          <w:numId w:val="2"/>
        </w:numPr>
        <w:spacing w:before="120" w:after="0" w:line="240" w:lineRule="auto"/>
        <w:ind w:left="284" w:hanging="284"/>
        <w:contextualSpacing/>
        <w:jc w:val="left"/>
        <w:rPr>
          <w:rFonts w:ascii="Arial" w:hAnsi="Arial" w:cs="Arial"/>
          <w:sz w:val="16"/>
          <w:szCs w:val="16"/>
        </w:rPr>
      </w:pPr>
      <w:r w:rsidRPr="007C05BB">
        <w:rPr>
          <w:rFonts w:ascii="Arial" w:hAnsi="Arial" w:cs="Arial"/>
          <w:sz w:val="16"/>
          <w:szCs w:val="16"/>
        </w:rPr>
        <w:t xml:space="preserve">Excludes Departmental Capital </w:t>
      </w:r>
      <w:r w:rsidR="006663F6" w:rsidRPr="007C05BB">
        <w:rPr>
          <w:rFonts w:ascii="Arial" w:hAnsi="Arial" w:cs="Arial"/>
          <w:sz w:val="16"/>
          <w:szCs w:val="16"/>
        </w:rPr>
        <w:t>B</w:t>
      </w:r>
      <w:r w:rsidR="000F5B68" w:rsidRPr="007C05BB">
        <w:rPr>
          <w:rFonts w:ascii="Arial" w:hAnsi="Arial" w:cs="Arial"/>
          <w:sz w:val="16"/>
          <w:szCs w:val="16"/>
        </w:rPr>
        <w:t>u</w:t>
      </w:r>
      <w:r w:rsidR="00FB410E" w:rsidRPr="007C05BB">
        <w:rPr>
          <w:rFonts w:ascii="Arial" w:hAnsi="Arial" w:cs="Arial"/>
          <w:sz w:val="16"/>
          <w:szCs w:val="16"/>
          <w:lang w:val="en-AU"/>
        </w:rPr>
        <w:t>d</w:t>
      </w:r>
      <w:r w:rsidR="006663F6" w:rsidRPr="007C05BB">
        <w:rPr>
          <w:rFonts w:ascii="Arial" w:hAnsi="Arial" w:cs="Arial"/>
          <w:sz w:val="16"/>
          <w:szCs w:val="16"/>
        </w:rPr>
        <w:t>get</w:t>
      </w:r>
      <w:r w:rsidRPr="007C05BB">
        <w:rPr>
          <w:rFonts w:ascii="Arial" w:hAnsi="Arial" w:cs="Arial"/>
          <w:sz w:val="16"/>
          <w:szCs w:val="16"/>
        </w:rPr>
        <w:t xml:space="preserve"> (DCB).</w:t>
      </w:r>
    </w:p>
    <w:p w14:paraId="76C1839B" w14:textId="77777777" w:rsidR="00EA1A58" w:rsidRPr="007C05BB" w:rsidRDefault="00EA1A58" w:rsidP="007C05BB">
      <w:pPr>
        <w:pStyle w:val="Bullet"/>
        <w:numPr>
          <w:ilvl w:val="4"/>
          <w:numId w:val="2"/>
        </w:numPr>
        <w:spacing w:before="120" w:after="0" w:line="240" w:lineRule="auto"/>
        <w:ind w:left="284" w:hanging="284"/>
        <w:contextualSpacing/>
        <w:jc w:val="left"/>
        <w:rPr>
          <w:rFonts w:ascii="Arial" w:hAnsi="Arial" w:cs="Arial"/>
          <w:sz w:val="16"/>
          <w:szCs w:val="16"/>
        </w:rPr>
      </w:pPr>
      <w:r w:rsidRPr="007C05BB">
        <w:rPr>
          <w:rFonts w:ascii="Arial" w:hAnsi="Arial" w:cs="Arial"/>
          <w:sz w:val="16"/>
          <w:szCs w:val="16"/>
        </w:rPr>
        <w:t>The DCB is not separately identified in Appropriation Bill (No.1) and forms part of ordinary annual services items. Please refer to Table 3.5 for further details. For accounting purposes, this amount has been designated as a 'contribution by owner'.</w:t>
      </w:r>
    </w:p>
    <w:p w14:paraId="76C1839C" w14:textId="2E7C35EB" w:rsidR="00EA1A58" w:rsidRPr="007C05BB" w:rsidRDefault="00EA1A58" w:rsidP="007C05BB">
      <w:pPr>
        <w:pStyle w:val="Bullet"/>
        <w:numPr>
          <w:ilvl w:val="4"/>
          <w:numId w:val="2"/>
        </w:numPr>
        <w:spacing w:before="120" w:after="0" w:line="240" w:lineRule="auto"/>
        <w:ind w:left="284" w:hanging="284"/>
        <w:contextualSpacing/>
        <w:jc w:val="left"/>
        <w:rPr>
          <w:rFonts w:ascii="Arial" w:hAnsi="Arial" w:cs="Arial"/>
          <w:sz w:val="16"/>
          <w:szCs w:val="16"/>
        </w:rPr>
      </w:pPr>
      <w:r w:rsidRPr="007C05BB">
        <w:rPr>
          <w:rFonts w:ascii="Arial" w:hAnsi="Arial" w:cs="Arial"/>
          <w:sz w:val="16"/>
          <w:szCs w:val="16"/>
        </w:rPr>
        <w:t>Excludes trust moneys held in Services for Other Entities and Trust Moneys (SOETM) and other special accounts. For further information on special accounts, plea</w:t>
      </w:r>
      <w:r w:rsidR="007C05BB" w:rsidRPr="007C05BB">
        <w:rPr>
          <w:rFonts w:ascii="Arial" w:hAnsi="Arial" w:cs="Arial"/>
          <w:sz w:val="16"/>
          <w:szCs w:val="16"/>
        </w:rPr>
        <w:t xml:space="preserve">se refer to Budget Paper No. 4 </w:t>
      </w:r>
      <w:r w:rsidR="007C05BB" w:rsidRPr="007C05BB">
        <w:rPr>
          <w:rFonts w:ascii="Arial" w:hAnsi="Arial" w:cs="Arial"/>
          <w:sz w:val="16"/>
          <w:szCs w:val="16"/>
          <w:lang w:val="en-AU"/>
        </w:rPr>
        <w:t>—</w:t>
      </w:r>
      <w:r w:rsidRPr="007C05BB">
        <w:rPr>
          <w:rFonts w:ascii="Arial" w:hAnsi="Arial" w:cs="Arial"/>
          <w:sz w:val="16"/>
          <w:szCs w:val="16"/>
        </w:rPr>
        <w:t xml:space="preserve"> Agency Resourcing. Please also see Table 2.1 for further information on outcome and program expenses broken down by various funding sources, e.g. annual appropriations, special appropriations and special accounts.</w:t>
      </w:r>
    </w:p>
    <w:p w14:paraId="76C1839D" w14:textId="77777777" w:rsidR="00EA1A58" w:rsidRPr="007C05BB" w:rsidRDefault="00EA1A58" w:rsidP="007C05BB">
      <w:pPr>
        <w:pStyle w:val="Bullet"/>
        <w:numPr>
          <w:ilvl w:val="4"/>
          <w:numId w:val="2"/>
        </w:numPr>
        <w:spacing w:before="120" w:after="0" w:line="240" w:lineRule="auto"/>
        <w:ind w:left="284" w:hanging="284"/>
        <w:contextualSpacing/>
        <w:jc w:val="left"/>
        <w:rPr>
          <w:rFonts w:ascii="Arial" w:hAnsi="Arial" w:cs="Arial"/>
          <w:sz w:val="16"/>
          <w:szCs w:val="16"/>
        </w:rPr>
      </w:pPr>
      <w:r w:rsidRPr="007C05BB">
        <w:rPr>
          <w:rFonts w:ascii="Arial" w:hAnsi="Arial" w:cs="Arial"/>
          <w:sz w:val="16"/>
          <w:szCs w:val="16"/>
        </w:rPr>
        <w:t>Amounts credited to the special account from Safe Work Australia's annual appropriation.</w:t>
      </w:r>
    </w:p>
    <w:p w14:paraId="76C1839E" w14:textId="77777777" w:rsidR="0061075E" w:rsidRPr="005A7C0B" w:rsidRDefault="0061075E" w:rsidP="0061075E">
      <w:pPr>
        <w:pStyle w:val="Heading3"/>
        <w:spacing w:before="0"/>
      </w:pPr>
      <w:r>
        <w:br w:type="page"/>
      </w:r>
      <w:r w:rsidRPr="005A7C0B">
        <w:t>1.3</w:t>
      </w:r>
      <w:r w:rsidRPr="005A7C0B">
        <w:tab/>
        <w:t>Budget measures</w:t>
      </w:r>
    </w:p>
    <w:p w14:paraId="76C1839F" w14:textId="77777777" w:rsidR="0061075E" w:rsidRDefault="0061075E" w:rsidP="0061075E">
      <w:r w:rsidRPr="00DC32EC">
        <w:t xml:space="preserve">Budget measures </w:t>
      </w:r>
      <w:r>
        <w:t xml:space="preserve">in Part 1 </w:t>
      </w:r>
      <w:r w:rsidRPr="00DC32EC">
        <w:t>relating to</w:t>
      </w:r>
      <w:r>
        <w:t xml:space="preserve"> </w:t>
      </w:r>
      <w:r w:rsidR="00AD7630">
        <w:t>Safe Work Australia</w:t>
      </w:r>
      <w:r w:rsidRPr="00DC32EC">
        <w:t xml:space="preserve"> a</w:t>
      </w:r>
      <w:r>
        <w:t>re detailed in Budget Paper No. </w:t>
      </w:r>
      <w:r w:rsidRPr="00DC32EC">
        <w:t>2</w:t>
      </w:r>
      <w:r>
        <w:t xml:space="preserve"> and are summarised below.</w:t>
      </w:r>
    </w:p>
    <w:p w14:paraId="76C183A0" w14:textId="77777777" w:rsidR="0061075E" w:rsidRPr="009A40DD" w:rsidRDefault="0061075E" w:rsidP="0061075E">
      <w:pPr>
        <w:pStyle w:val="TableHeading"/>
      </w:pPr>
      <w:r w:rsidRPr="009A40DD">
        <w:t xml:space="preserve">Table 1.2: Entity </w:t>
      </w:r>
      <w:r w:rsidR="009A4174">
        <w:t>2019–20</w:t>
      </w:r>
      <w:r>
        <w:rPr>
          <w:lang w:val="en-AU"/>
        </w:rPr>
        <w:t xml:space="preserve"> </w:t>
      </w:r>
      <w:r w:rsidRPr="009A40DD">
        <w:t>Budget measures</w:t>
      </w:r>
    </w:p>
    <w:p w14:paraId="76C183A1" w14:textId="2E536727" w:rsidR="00333065" w:rsidRDefault="00EA1A58" w:rsidP="00333065">
      <w:r w:rsidRPr="00EA1A58">
        <w:t xml:space="preserve">Safe Work Australia does not have any new measures since the </w:t>
      </w:r>
      <w:r w:rsidR="009A4174">
        <w:t xml:space="preserve">2018–19 </w:t>
      </w:r>
      <w:r w:rsidRPr="00EA1A58">
        <w:t>MYEFO, or any other measures not previously reported in a portfolio statement. For this reaso</w:t>
      </w:r>
      <w:r w:rsidR="00EF2631">
        <w:t>n Table </w:t>
      </w:r>
      <w:r w:rsidRPr="00EA1A58">
        <w:t>1.2 is not presented.</w:t>
      </w:r>
    </w:p>
    <w:p w14:paraId="76C183A2" w14:textId="77777777" w:rsidR="0061075E" w:rsidRPr="00EA1A58" w:rsidRDefault="0061075E" w:rsidP="00333065">
      <w:pPr>
        <w:pStyle w:val="Heading2"/>
      </w:pPr>
      <w:r>
        <w:br w:type="page"/>
      </w:r>
      <w:r w:rsidRPr="00EA1A58">
        <w:t>Section 2: Outcomes and planned performance</w:t>
      </w:r>
    </w:p>
    <w:p w14:paraId="76C183A3" w14:textId="77777777" w:rsidR="0061075E" w:rsidRPr="005E6F2B" w:rsidRDefault="0061075E" w:rsidP="0061075E">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6C183A4" w14:textId="77777777" w:rsidR="0061075E" w:rsidRPr="005E6F2B" w:rsidRDefault="0061075E" w:rsidP="0061075E">
      <w:r w:rsidRPr="005E6F2B">
        <w:t>Each outcome is described below together with its related programs. The following provides detailed information on expenses for each outcome and program, further</w:t>
      </w:r>
      <w:r w:rsidR="00EA1A58">
        <w:t xml:space="preserve"> broken down by funding source.</w:t>
      </w:r>
    </w:p>
    <w:p w14:paraId="76C183A5" w14:textId="77777777" w:rsidR="0061075E" w:rsidRPr="006906E4" w:rsidRDefault="0061075E" w:rsidP="0061075E">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76C183A6" w14:textId="77777777" w:rsidR="0061075E" w:rsidRDefault="0061075E" w:rsidP="0061075E">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76C183A7" w14:textId="77777777" w:rsidR="00EA1A58" w:rsidRDefault="00EA1A58" w:rsidP="00EA1A58">
      <w:pPr>
        <w:pBdr>
          <w:top w:val="single" w:sz="2" w:space="6" w:color="auto"/>
          <w:left w:val="single" w:sz="2" w:space="4" w:color="auto"/>
          <w:bottom w:val="single" w:sz="2" w:space="6" w:color="auto"/>
          <w:right w:val="single" w:sz="2" w:space="4" w:color="auto"/>
        </w:pBdr>
        <w:jc w:val="left"/>
      </w:pPr>
      <w:r>
        <w:t xml:space="preserve">The most recent corporate plan for Safe Work Australia can be found at: </w:t>
      </w:r>
      <w:hyperlink r:id="rId17" w:history="1">
        <w:r w:rsidRPr="00EA1A58">
          <w:rPr>
            <w:rStyle w:val="Hyperlink"/>
            <w:u w:val="single"/>
          </w:rPr>
          <w:t>https://www.safeworkaustralia.gov.au/about-us/corporate-plan</w:t>
        </w:r>
      </w:hyperlink>
      <w:r w:rsidRPr="00231E3F">
        <w:rPr>
          <w:rStyle w:val="Hyperlink"/>
        </w:rPr>
        <w:t>.</w:t>
      </w:r>
    </w:p>
    <w:p w14:paraId="76C183A8" w14:textId="77777777" w:rsidR="0061075E" w:rsidRDefault="00EA1A58" w:rsidP="00EA1A58">
      <w:pPr>
        <w:pBdr>
          <w:top w:val="single" w:sz="2" w:space="6" w:color="auto"/>
          <w:left w:val="single" w:sz="2" w:space="4" w:color="auto"/>
          <w:bottom w:val="single" w:sz="2" w:space="6" w:color="auto"/>
          <w:right w:val="single" w:sz="2" w:space="4" w:color="auto"/>
        </w:pBdr>
        <w:jc w:val="left"/>
        <w:rPr>
          <w:highlight w:val="yellow"/>
        </w:rPr>
      </w:pPr>
      <w:r>
        <w:t>The most recent annual performance statement</w:t>
      </w:r>
      <w:r w:rsidR="00BE7D03">
        <w:t>s</w:t>
      </w:r>
      <w:r>
        <w:t xml:space="preserve"> can be found at: </w:t>
      </w:r>
      <w:r w:rsidRPr="00EA1A58">
        <w:rPr>
          <w:u w:val="single"/>
        </w:rPr>
        <w:t>https://www.safeworkaustralia.gov.au/book/part-3-our-performance-2017-2018</w:t>
      </w:r>
      <w:r w:rsidRPr="00231E3F">
        <w:t>.</w:t>
      </w:r>
    </w:p>
    <w:p w14:paraId="76C183A9" w14:textId="77777777" w:rsidR="0061075E" w:rsidRDefault="0061075E" w:rsidP="0061075E">
      <w:pPr>
        <w:rPr>
          <w:highlight w:val="yellow"/>
        </w:rPr>
      </w:pPr>
    </w:p>
    <w:p w14:paraId="76C183AA" w14:textId="77777777" w:rsidR="0061075E" w:rsidRDefault="0061075E" w:rsidP="0061075E">
      <w:pPr>
        <w:pStyle w:val="Heading3"/>
        <w:sectPr w:rsidR="0061075E" w:rsidSect="0050346A">
          <w:headerReference w:type="even" r:id="rId18"/>
          <w:headerReference w:type="default" r:id="rId19"/>
          <w:headerReference w:type="first" r:id="rId20"/>
          <w:footerReference w:type="first" r:id="rId21"/>
          <w:type w:val="oddPage"/>
          <w:pgSz w:w="11906" w:h="16838" w:code="9"/>
          <w:pgMar w:top="2466" w:right="2098" w:bottom="2466" w:left="2098" w:header="1899" w:footer="1899" w:gutter="0"/>
          <w:cols w:space="708"/>
          <w:titlePg/>
          <w:docGrid w:linePitch="360"/>
        </w:sectPr>
      </w:pPr>
    </w:p>
    <w:p w14:paraId="76C183AB" w14:textId="77777777" w:rsidR="0061075E" w:rsidRPr="00F743D8" w:rsidRDefault="0061075E" w:rsidP="0061075E">
      <w:pPr>
        <w:pStyle w:val="Heading3"/>
      </w:pPr>
      <w:r>
        <w:t>2.1</w:t>
      </w:r>
      <w:r w:rsidRPr="00F743D8">
        <w:t xml:space="preserve"> </w:t>
      </w:r>
      <w:r w:rsidRPr="00F743D8">
        <w:tab/>
        <w:t xml:space="preserve">Budgeted expenses and performance for Outcome </w:t>
      </w:r>
      <w:r w:rsidR="00287420">
        <w:t>1</w:t>
      </w:r>
    </w:p>
    <w:tbl>
      <w:tblPr>
        <w:tblW w:w="782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827"/>
      </w:tblGrid>
      <w:tr w:rsidR="0061075E" w:rsidRPr="005E6F2B" w14:paraId="76C183AD" w14:textId="77777777" w:rsidTr="00BE7D03">
        <w:trPr>
          <w:trHeight w:val="874"/>
        </w:trPr>
        <w:tc>
          <w:tcPr>
            <w:tcW w:w="7827" w:type="dxa"/>
            <w:shd w:val="clear" w:color="auto" w:fill="E6E6E6"/>
          </w:tcPr>
          <w:p w14:paraId="76C183AC" w14:textId="77777777" w:rsidR="0061075E" w:rsidRPr="005E6F2B" w:rsidRDefault="00EA1A58" w:rsidP="003E1107">
            <w:pPr>
              <w:pStyle w:val="TableColumnHeadingLeft"/>
            </w:pPr>
            <w:r w:rsidRPr="005E6F2B">
              <w:t xml:space="preserve">Outcome </w:t>
            </w:r>
            <w:r>
              <w:t>1: Healthier, safer and more productive workplaces through improvements to Australian work health and safety and workers’ compensation arrangements.</w:t>
            </w:r>
          </w:p>
        </w:tc>
      </w:tr>
    </w:tbl>
    <w:p w14:paraId="76C183AE" w14:textId="77777777" w:rsidR="0061075E" w:rsidRPr="005E6F2B" w:rsidRDefault="0061075E" w:rsidP="0061075E">
      <w:pPr>
        <w:pStyle w:val="NoSpacing"/>
      </w:pPr>
    </w:p>
    <w:p w14:paraId="76C183AF" w14:textId="77777777" w:rsidR="0061075E" w:rsidRPr="00446612" w:rsidRDefault="00287420" w:rsidP="0061075E">
      <w:pPr>
        <w:pStyle w:val="Heading5"/>
      </w:pPr>
      <w:r>
        <w:t>Budgeted expenses for Outcome 1</w:t>
      </w:r>
    </w:p>
    <w:p w14:paraId="76C183B0" w14:textId="77777777" w:rsidR="0061075E" w:rsidRDefault="0061075E" w:rsidP="0061075E">
      <w:r w:rsidRPr="00950281">
        <w:t>This table shows how much the entity intends to spend (on an accrual basis) on achieving the outcome, broken down by program, as well as by Administered an</w:t>
      </w:r>
      <w:r>
        <w:t>d Departmental funding sources.</w:t>
      </w:r>
    </w:p>
    <w:p w14:paraId="76C183B1" w14:textId="77777777" w:rsidR="0061075E" w:rsidRDefault="0061075E" w:rsidP="0061075E">
      <w:pPr>
        <w:pStyle w:val="TableHeading"/>
      </w:pPr>
      <w:r>
        <w:t>Table 2.</w:t>
      </w:r>
      <w:r w:rsidR="002823A8">
        <w:rPr>
          <w:lang w:val="en-AU"/>
        </w:rPr>
        <w:t>1</w:t>
      </w:r>
      <w:r>
        <w:t>.1:</w:t>
      </w:r>
      <w:r w:rsidR="00287420">
        <w:t xml:space="preserve"> Budgeted expenses for Outcome 1</w:t>
      </w:r>
    </w:p>
    <w:tbl>
      <w:tblPr>
        <w:tblW w:w="7949" w:type="dxa"/>
        <w:tblLook w:val="04A0" w:firstRow="1" w:lastRow="0" w:firstColumn="1" w:lastColumn="0" w:noHBand="0" w:noVBand="1"/>
      </w:tblPr>
      <w:tblGrid>
        <w:gridCol w:w="3391"/>
        <w:gridCol w:w="928"/>
        <w:gridCol w:w="909"/>
        <w:gridCol w:w="907"/>
        <w:gridCol w:w="907"/>
        <w:gridCol w:w="907"/>
      </w:tblGrid>
      <w:tr w:rsidR="00A701DC" w:rsidRPr="00A701DC" w14:paraId="76C183B3" w14:textId="77777777" w:rsidTr="00803AC9">
        <w:trPr>
          <w:trHeight w:val="600"/>
        </w:trPr>
        <w:tc>
          <w:tcPr>
            <w:tcW w:w="7949" w:type="dxa"/>
            <w:gridSpan w:val="6"/>
            <w:tcBorders>
              <w:top w:val="single" w:sz="4" w:space="0" w:color="auto"/>
              <w:left w:val="nil"/>
              <w:bottom w:val="single" w:sz="4" w:space="0" w:color="auto"/>
              <w:right w:val="nil"/>
            </w:tcBorders>
            <w:shd w:val="clear" w:color="auto" w:fill="auto"/>
            <w:vAlign w:val="center"/>
            <w:hideMark/>
          </w:tcPr>
          <w:p w14:paraId="76C183B2" w14:textId="77777777" w:rsidR="00A701DC" w:rsidRPr="00A701DC" w:rsidRDefault="00A701DC" w:rsidP="00A701DC">
            <w:pPr>
              <w:spacing w:after="0" w:line="240" w:lineRule="auto"/>
              <w:jc w:val="left"/>
              <w:rPr>
                <w:rFonts w:ascii="Arial" w:hAnsi="Arial" w:cs="Arial"/>
                <w:b/>
                <w:bCs/>
                <w:sz w:val="16"/>
                <w:szCs w:val="16"/>
              </w:rPr>
            </w:pPr>
            <w:r w:rsidRPr="00A701DC">
              <w:rPr>
                <w:rFonts w:ascii="Arial" w:hAnsi="Arial" w:cs="Arial"/>
                <w:b/>
                <w:bCs/>
                <w:sz w:val="16"/>
                <w:szCs w:val="16"/>
              </w:rPr>
              <w:t>Outcome 1: Healthier, safer and more productive workplaces through improvements to Australian work health and safety and workers' compensation arrangements.</w:t>
            </w:r>
          </w:p>
        </w:tc>
      </w:tr>
      <w:tr w:rsidR="00A701DC" w:rsidRPr="00A701DC" w14:paraId="76C183BA" w14:textId="77777777" w:rsidTr="00803AC9">
        <w:trPr>
          <w:trHeight w:val="800"/>
        </w:trPr>
        <w:tc>
          <w:tcPr>
            <w:tcW w:w="3391" w:type="dxa"/>
            <w:tcBorders>
              <w:top w:val="nil"/>
              <w:left w:val="nil"/>
              <w:bottom w:val="nil"/>
              <w:right w:val="nil"/>
            </w:tcBorders>
            <w:shd w:val="clear" w:color="auto" w:fill="auto"/>
            <w:vAlign w:val="center"/>
            <w:hideMark/>
          </w:tcPr>
          <w:p w14:paraId="76C183B4" w14:textId="77777777" w:rsidR="00A701DC" w:rsidRPr="00A701DC" w:rsidRDefault="00A701DC" w:rsidP="00A701DC">
            <w:pPr>
              <w:spacing w:after="0" w:line="240" w:lineRule="auto"/>
              <w:jc w:val="left"/>
              <w:rPr>
                <w:rFonts w:ascii="Arial" w:hAnsi="Arial" w:cs="Arial"/>
                <w:b/>
                <w:bCs/>
                <w:sz w:val="16"/>
                <w:szCs w:val="16"/>
              </w:rPr>
            </w:pPr>
          </w:p>
        </w:tc>
        <w:tc>
          <w:tcPr>
            <w:tcW w:w="928" w:type="dxa"/>
            <w:tcBorders>
              <w:top w:val="nil"/>
              <w:left w:val="nil"/>
              <w:bottom w:val="nil"/>
              <w:right w:val="nil"/>
            </w:tcBorders>
            <w:shd w:val="clear" w:color="auto" w:fill="auto"/>
            <w:hideMark/>
          </w:tcPr>
          <w:p w14:paraId="76C183B5" w14:textId="77777777" w:rsidR="00A701DC" w:rsidRPr="00A701DC" w:rsidRDefault="009A4174" w:rsidP="00A701DC">
            <w:pPr>
              <w:spacing w:after="0" w:line="240" w:lineRule="auto"/>
              <w:jc w:val="right"/>
              <w:rPr>
                <w:rFonts w:ascii="Arial" w:hAnsi="Arial" w:cs="Arial"/>
                <w:sz w:val="16"/>
                <w:szCs w:val="16"/>
              </w:rPr>
            </w:pPr>
            <w:r>
              <w:rPr>
                <w:rFonts w:ascii="Arial" w:hAnsi="Arial" w:cs="Arial"/>
                <w:sz w:val="16"/>
                <w:szCs w:val="16"/>
              </w:rPr>
              <w:t xml:space="preserve">2018–19 </w:t>
            </w:r>
            <w:r w:rsidR="00A701DC" w:rsidRPr="00A701DC">
              <w:rPr>
                <w:rFonts w:ascii="Arial" w:hAnsi="Arial" w:cs="Arial"/>
                <w:sz w:val="16"/>
                <w:szCs w:val="16"/>
              </w:rPr>
              <w:t xml:space="preserve"> Estimated actual</w:t>
            </w:r>
            <w:r w:rsidR="00A701DC" w:rsidRPr="00A701DC">
              <w:rPr>
                <w:rFonts w:ascii="Arial" w:hAnsi="Arial" w:cs="Arial"/>
                <w:sz w:val="16"/>
                <w:szCs w:val="16"/>
              </w:rPr>
              <w:br/>
              <w:t>$'000</w:t>
            </w:r>
          </w:p>
        </w:tc>
        <w:tc>
          <w:tcPr>
            <w:tcW w:w="909" w:type="dxa"/>
            <w:tcBorders>
              <w:top w:val="nil"/>
              <w:left w:val="nil"/>
              <w:bottom w:val="nil"/>
              <w:right w:val="nil"/>
            </w:tcBorders>
            <w:shd w:val="clear" w:color="000000" w:fill="E6E6E6"/>
            <w:hideMark/>
          </w:tcPr>
          <w:p w14:paraId="76C183B6"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2019–20</w:t>
            </w:r>
            <w:r w:rsidRPr="00A701DC">
              <w:rPr>
                <w:rFonts w:ascii="Arial" w:hAnsi="Arial" w:cs="Arial"/>
                <w:sz w:val="16"/>
                <w:szCs w:val="16"/>
              </w:rPr>
              <w:br/>
              <w:t>Budget</w:t>
            </w:r>
            <w:r w:rsidRPr="00A701DC">
              <w:rPr>
                <w:rFonts w:ascii="Arial" w:hAnsi="Arial" w:cs="Arial"/>
                <w:sz w:val="16"/>
                <w:szCs w:val="16"/>
              </w:rPr>
              <w:br/>
            </w:r>
            <w:r w:rsidRPr="00A701DC">
              <w:rPr>
                <w:rFonts w:ascii="Arial" w:hAnsi="Arial" w:cs="Arial"/>
                <w:sz w:val="16"/>
                <w:szCs w:val="16"/>
              </w:rPr>
              <w:br/>
              <w:t>$'000</w:t>
            </w:r>
          </w:p>
        </w:tc>
        <w:tc>
          <w:tcPr>
            <w:tcW w:w="907" w:type="dxa"/>
            <w:tcBorders>
              <w:top w:val="nil"/>
              <w:left w:val="nil"/>
              <w:bottom w:val="nil"/>
              <w:right w:val="nil"/>
            </w:tcBorders>
            <w:shd w:val="clear" w:color="auto" w:fill="auto"/>
            <w:hideMark/>
          </w:tcPr>
          <w:p w14:paraId="76C183B7"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2020–21 Forward estimate</w:t>
            </w:r>
            <w:r w:rsidRPr="00A701DC">
              <w:rPr>
                <w:rFonts w:ascii="Arial" w:hAnsi="Arial" w:cs="Arial"/>
                <w:sz w:val="16"/>
                <w:szCs w:val="16"/>
              </w:rPr>
              <w:br/>
              <w:t>$'000</w:t>
            </w:r>
          </w:p>
        </w:tc>
        <w:tc>
          <w:tcPr>
            <w:tcW w:w="907" w:type="dxa"/>
            <w:tcBorders>
              <w:top w:val="nil"/>
              <w:left w:val="nil"/>
              <w:bottom w:val="nil"/>
              <w:right w:val="nil"/>
            </w:tcBorders>
            <w:shd w:val="clear" w:color="auto" w:fill="auto"/>
            <w:hideMark/>
          </w:tcPr>
          <w:p w14:paraId="76C183B8"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2021–22 Forward estimate</w:t>
            </w:r>
            <w:r w:rsidRPr="00A701DC">
              <w:rPr>
                <w:rFonts w:ascii="Arial" w:hAnsi="Arial" w:cs="Arial"/>
                <w:sz w:val="16"/>
                <w:szCs w:val="16"/>
              </w:rPr>
              <w:br/>
              <w:t>$'000</w:t>
            </w:r>
          </w:p>
        </w:tc>
        <w:tc>
          <w:tcPr>
            <w:tcW w:w="907" w:type="dxa"/>
            <w:tcBorders>
              <w:top w:val="nil"/>
              <w:left w:val="nil"/>
              <w:bottom w:val="nil"/>
              <w:right w:val="nil"/>
            </w:tcBorders>
            <w:shd w:val="clear" w:color="auto" w:fill="auto"/>
            <w:hideMark/>
          </w:tcPr>
          <w:p w14:paraId="76C183B9"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2022–23</w:t>
            </w:r>
            <w:r w:rsidRPr="00A701DC">
              <w:rPr>
                <w:rFonts w:ascii="Arial" w:hAnsi="Arial" w:cs="Arial"/>
                <w:sz w:val="16"/>
                <w:szCs w:val="16"/>
              </w:rPr>
              <w:br/>
              <w:t>Forward estimate</w:t>
            </w:r>
            <w:r w:rsidRPr="00A701DC">
              <w:rPr>
                <w:rFonts w:ascii="Arial" w:hAnsi="Arial" w:cs="Arial"/>
                <w:sz w:val="16"/>
                <w:szCs w:val="16"/>
              </w:rPr>
              <w:br/>
              <w:t>$'000</w:t>
            </w:r>
          </w:p>
        </w:tc>
      </w:tr>
      <w:tr w:rsidR="00A701DC" w:rsidRPr="00A701DC" w14:paraId="76C183BC" w14:textId="77777777" w:rsidTr="00803AC9">
        <w:trPr>
          <w:trHeight w:val="495"/>
        </w:trPr>
        <w:tc>
          <w:tcPr>
            <w:tcW w:w="7949" w:type="dxa"/>
            <w:gridSpan w:val="6"/>
            <w:tcBorders>
              <w:top w:val="single" w:sz="4" w:space="0" w:color="auto"/>
              <w:left w:val="nil"/>
              <w:bottom w:val="single" w:sz="4" w:space="0" w:color="auto"/>
              <w:right w:val="nil"/>
            </w:tcBorders>
            <w:shd w:val="clear" w:color="000000" w:fill="E6E6E6"/>
            <w:vAlign w:val="center"/>
            <w:hideMark/>
          </w:tcPr>
          <w:p w14:paraId="76C183BB" w14:textId="77777777" w:rsidR="00A701DC" w:rsidRPr="00A701DC" w:rsidRDefault="00A701DC" w:rsidP="00A701DC">
            <w:pPr>
              <w:spacing w:after="0" w:line="240" w:lineRule="auto"/>
              <w:jc w:val="left"/>
              <w:rPr>
                <w:rFonts w:ascii="Arial" w:hAnsi="Arial" w:cs="Arial"/>
                <w:b/>
                <w:bCs/>
                <w:sz w:val="16"/>
                <w:szCs w:val="16"/>
              </w:rPr>
            </w:pPr>
            <w:r w:rsidRPr="00A701DC">
              <w:rPr>
                <w:rFonts w:ascii="Arial" w:hAnsi="Arial" w:cs="Arial"/>
                <w:b/>
                <w:bCs/>
                <w:sz w:val="16"/>
                <w:szCs w:val="16"/>
              </w:rPr>
              <w:t>Program 1.1: Reform of and improvements to Australian work health and safety and workers' compensation arrangements.</w:t>
            </w:r>
          </w:p>
        </w:tc>
      </w:tr>
      <w:tr w:rsidR="00A701DC" w:rsidRPr="00A701DC" w14:paraId="76C183C3" w14:textId="77777777" w:rsidTr="00803AC9">
        <w:trPr>
          <w:trHeight w:val="200"/>
        </w:trPr>
        <w:tc>
          <w:tcPr>
            <w:tcW w:w="3391" w:type="dxa"/>
            <w:tcBorders>
              <w:top w:val="nil"/>
              <w:left w:val="nil"/>
              <w:bottom w:val="nil"/>
              <w:right w:val="nil"/>
            </w:tcBorders>
            <w:shd w:val="clear" w:color="000000" w:fill="FFFFFF"/>
            <w:noWrap/>
            <w:vAlign w:val="center"/>
            <w:hideMark/>
          </w:tcPr>
          <w:p w14:paraId="76C183BD" w14:textId="77777777" w:rsidR="00A701DC" w:rsidRPr="00A701DC" w:rsidRDefault="00A701DC" w:rsidP="00A701DC">
            <w:pPr>
              <w:spacing w:after="0" w:line="240" w:lineRule="auto"/>
              <w:jc w:val="left"/>
              <w:rPr>
                <w:rFonts w:ascii="Arial" w:hAnsi="Arial" w:cs="Arial"/>
                <w:sz w:val="16"/>
                <w:szCs w:val="16"/>
              </w:rPr>
            </w:pPr>
            <w:r w:rsidRPr="00A701DC">
              <w:rPr>
                <w:rFonts w:ascii="Arial" w:hAnsi="Arial" w:cs="Arial"/>
                <w:sz w:val="16"/>
                <w:szCs w:val="16"/>
              </w:rPr>
              <w:t>Departmental expenses</w:t>
            </w:r>
          </w:p>
        </w:tc>
        <w:tc>
          <w:tcPr>
            <w:tcW w:w="928" w:type="dxa"/>
            <w:tcBorders>
              <w:top w:val="nil"/>
              <w:left w:val="nil"/>
              <w:bottom w:val="nil"/>
              <w:right w:val="nil"/>
            </w:tcBorders>
            <w:shd w:val="clear" w:color="auto" w:fill="auto"/>
            <w:noWrap/>
            <w:vAlign w:val="center"/>
            <w:hideMark/>
          </w:tcPr>
          <w:p w14:paraId="76C183BE" w14:textId="77777777" w:rsidR="00A701DC" w:rsidRPr="00A701DC" w:rsidRDefault="00A701DC" w:rsidP="00A701DC">
            <w:pPr>
              <w:spacing w:after="0" w:line="240" w:lineRule="auto"/>
              <w:jc w:val="left"/>
              <w:rPr>
                <w:rFonts w:ascii="Arial" w:hAnsi="Arial" w:cs="Arial"/>
                <w:sz w:val="16"/>
                <w:szCs w:val="16"/>
              </w:rPr>
            </w:pPr>
          </w:p>
        </w:tc>
        <w:tc>
          <w:tcPr>
            <w:tcW w:w="909" w:type="dxa"/>
            <w:tcBorders>
              <w:top w:val="nil"/>
              <w:left w:val="nil"/>
              <w:bottom w:val="nil"/>
              <w:right w:val="nil"/>
            </w:tcBorders>
            <w:shd w:val="clear" w:color="000000" w:fill="E6E6E6"/>
            <w:noWrap/>
            <w:vAlign w:val="center"/>
            <w:hideMark/>
          </w:tcPr>
          <w:p w14:paraId="76C183BF"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76C183C0" w14:textId="77777777" w:rsidR="00A701DC" w:rsidRPr="00A701DC" w:rsidRDefault="00A701DC" w:rsidP="00A701DC">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76C183C1" w14:textId="77777777" w:rsidR="00A701DC" w:rsidRPr="00A701DC" w:rsidRDefault="00A701DC" w:rsidP="00A701DC">
            <w:pPr>
              <w:spacing w:after="0" w:line="240" w:lineRule="auto"/>
              <w:jc w:val="left"/>
              <w:rPr>
                <w:rFonts w:ascii="Times New Roman" w:hAnsi="Times New Roman"/>
              </w:rPr>
            </w:pPr>
          </w:p>
        </w:tc>
        <w:tc>
          <w:tcPr>
            <w:tcW w:w="907" w:type="dxa"/>
            <w:tcBorders>
              <w:top w:val="nil"/>
              <w:left w:val="nil"/>
              <w:bottom w:val="nil"/>
              <w:right w:val="nil"/>
            </w:tcBorders>
            <w:shd w:val="clear" w:color="auto" w:fill="auto"/>
            <w:noWrap/>
            <w:vAlign w:val="center"/>
            <w:hideMark/>
          </w:tcPr>
          <w:p w14:paraId="76C183C2" w14:textId="77777777" w:rsidR="00A701DC" w:rsidRPr="00A701DC" w:rsidRDefault="00A701DC" w:rsidP="00A701DC">
            <w:pPr>
              <w:spacing w:after="0" w:line="240" w:lineRule="auto"/>
              <w:jc w:val="left"/>
              <w:rPr>
                <w:rFonts w:ascii="Times New Roman" w:hAnsi="Times New Roman"/>
              </w:rPr>
            </w:pPr>
          </w:p>
        </w:tc>
      </w:tr>
      <w:tr w:rsidR="00A701DC" w:rsidRPr="00A701DC" w14:paraId="76C183CA" w14:textId="77777777" w:rsidTr="00803AC9">
        <w:trPr>
          <w:trHeight w:val="200"/>
        </w:trPr>
        <w:tc>
          <w:tcPr>
            <w:tcW w:w="3391" w:type="dxa"/>
            <w:tcBorders>
              <w:top w:val="nil"/>
              <w:left w:val="nil"/>
              <w:bottom w:val="nil"/>
              <w:right w:val="nil"/>
            </w:tcBorders>
            <w:shd w:val="clear" w:color="000000" w:fill="FFFFFF"/>
            <w:noWrap/>
            <w:vAlign w:val="center"/>
            <w:hideMark/>
          </w:tcPr>
          <w:p w14:paraId="76C183C4" w14:textId="77777777" w:rsidR="00A701DC" w:rsidRPr="00EF2631" w:rsidRDefault="00A701DC"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Departmental appropriation</w:t>
            </w:r>
          </w:p>
        </w:tc>
        <w:tc>
          <w:tcPr>
            <w:tcW w:w="928" w:type="dxa"/>
            <w:tcBorders>
              <w:top w:val="nil"/>
              <w:left w:val="nil"/>
              <w:bottom w:val="nil"/>
              <w:right w:val="nil"/>
            </w:tcBorders>
            <w:shd w:val="clear" w:color="auto" w:fill="auto"/>
            <w:noWrap/>
            <w:vAlign w:val="center"/>
            <w:hideMark/>
          </w:tcPr>
          <w:p w14:paraId="76C183C5"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10,231 </w:t>
            </w:r>
          </w:p>
        </w:tc>
        <w:tc>
          <w:tcPr>
            <w:tcW w:w="909" w:type="dxa"/>
            <w:tcBorders>
              <w:top w:val="nil"/>
              <w:left w:val="nil"/>
              <w:bottom w:val="nil"/>
              <w:right w:val="nil"/>
            </w:tcBorders>
            <w:shd w:val="clear" w:color="000000" w:fill="E6E6E6"/>
            <w:noWrap/>
            <w:vAlign w:val="center"/>
            <w:hideMark/>
          </w:tcPr>
          <w:p w14:paraId="76C183C6"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10,422 </w:t>
            </w:r>
          </w:p>
        </w:tc>
        <w:tc>
          <w:tcPr>
            <w:tcW w:w="907" w:type="dxa"/>
            <w:tcBorders>
              <w:top w:val="nil"/>
              <w:left w:val="nil"/>
              <w:bottom w:val="nil"/>
              <w:right w:val="nil"/>
            </w:tcBorders>
            <w:shd w:val="clear" w:color="auto" w:fill="auto"/>
            <w:noWrap/>
            <w:vAlign w:val="center"/>
            <w:hideMark/>
          </w:tcPr>
          <w:p w14:paraId="76C183C7"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10,584 </w:t>
            </w:r>
          </w:p>
        </w:tc>
        <w:tc>
          <w:tcPr>
            <w:tcW w:w="907" w:type="dxa"/>
            <w:tcBorders>
              <w:top w:val="nil"/>
              <w:left w:val="nil"/>
              <w:bottom w:val="nil"/>
              <w:right w:val="nil"/>
            </w:tcBorders>
            <w:shd w:val="clear" w:color="auto" w:fill="auto"/>
            <w:noWrap/>
            <w:vAlign w:val="center"/>
            <w:hideMark/>
          </w:tcPr>
          <w:p w14:paraId="76C183C8"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10,807 </w:t>
            </w:r>
          </w:p>
        </w:tc>
        <w:tc>
          <w:tcPr>
            <w:tcW w:w="907" w:type="dxa"/>
            <w:tcBorders>
              <w:top w:val="nil"/>
              <w:left w:val="nil"/>
              <w:bottom w:val="nil"/>
              <w:right w:val="nil"/>
            </w:tcBorders>
            <w:shd w:val="clear" w:color="auto" w:fill="auto"/>
            <w:noWrap/>
            <w:vAlign w:val="center"/>
            <w:hideMark/>
          </w:tcPr>
          <w:p w14:paraId="76C183C9"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11,077 </w:t>
            </w:r>
          </w:p>
        </w:tc>
      </w:tr>
      <w:tr w:rsidR="00A701DC" w:rsidRPr="00A701DC" w14:paraId="76C183D1" w14:textId="77777777" w:rsidTr="00803AC9">
        <w:trPr>
          <w:trHeight w:val="200"/>
        </w:trPr>
        <w:tc>
          <w:tcPr>
            <w:tcW w:w="3391" w:type="dxa"/>
            <w:tcBorders>
              <w:top w:val="nil"/>
              <w:left w:val="nil"/>
              <w:bottom w:val="nil"/>
              <w:right w:val="nil"/>
            </w:tcBorders>
            <w:shd w:val="clear" w:color="auto" w:fill="auto"/>
            <w:noWrap/>
            <w:vAlign w:val="center"/>
            <w:hideMark/>
          </w:tcPr>
          <w:p w14:paraId="76C183CB" w14:textId="77777777" w:rsidR="00A701DC" w:rsidRPr="00EF2631" w:rsidRDefault="00A701DC"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Special accounts</w:t>
            </w:r>
          </w:p>
        </w:tc>
        <w:tc>
          <w:tcPr>
            <w:tcW w:w="928" w:type="dxa"/>
            <w:tcBorders>
              <w:top w:val="nil"/>
              <w:left w:val="nil"/>
              <w:bottom w:val="nil"/>
              <w:right w:val="nil"/>
            </w:tcBorders>
            <w:shd w:val="clear" w:color="auto" w:fill="auto"/>
            <w:noWrap/>
            <w:vAlign w:val="center"/>
            <w:hideMark/>
          </w:tcPr>
          <w:p w14:paraId="76C183CC" w14:textId="77777777" w:rsidR="00A701DC" w:rsidRPr="00A701DC" w:rsidRDefault="00A701DC" w:rsidP="00A701DC">
            <w:pPr>
              <w:spacing w:after="0" w:line="240" w:lineRule="auto"/>
              <w:ind w:firstLineChars="100" w:firstLine="160"/>
              <w:jc w:val="left"/>
              <w:rPr>
                <w:rFonts w:ascii="Arial" w:hAnsi="Arial" w:cs="Arial"/>
                <w:sz w:val="16"/>
                <w:szCs w:val="16"/>
              </w:rPr>
            </w:pPr>
          </w:p>
        </w:tc>
        <w:tc>
          <w:tcPr>
            <w:tcW w:w="909" w:type="dxa"/>
            <w:tcBorders>
              <w:top w:val="nil"/>
              <w:left w:val="nil"/>
              <w:bottom w:val="nil"/>
              <w:right w:val="nil"/>
            </w:tcBorders>
            <w:shd w:val="clear" w:color="000000" w:fill="E6E6E6"/>
            <w:noWrap/>
            <w:vAlign w:val="center"/>
            <w:hideMark/>
          </w:tcPr>
          <w:p w14:paraId="76C183CD"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76C183CE" w14:textId="77777777" w:rsidR="00A701DC" w:rsidRPr="00A701DC" w:rsidRDefault="00A701DC" w:rsidP="00A701DC">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76C183CF" w14:textId="77777777" w:rsidR="00A701DC" w:rsidRPr="00A701DC" w:rsidRDefault="00A701DC" w:rsidP="00A701DC">
            <w:pPr>
              <w:spacing w:after="0" w:line="240" w:lineRule="auto"/>
              <w:jc w:val="left"/>
              <w:rPr>
                <w:rFonts w:ascii="Times New Roman" w:hAnsi="Times New Roman"/>
              </w:rPr>
            </w:pPr>
          </w:p>
        </w:tc>
        <w:tc>
          <w:tcPr>
            <w:tcW w:w="907" w:type="dxa"/>
            <w:tcBorders>
              <w:top w:val="nil"/>
              <w:left w:val="nil"/>
              <w:bottom w:val="nil"/>
              <w:right w:val="nil"/>
            </w:tcBorders>
            <w:shd w:val="clear" w:color="auto" w:fill="auto"/>
            <w:noWrap/>
            <w:vAlign w:val="center"/>
            <w:hideMark/>
          </w:tcPr>
          <w:p w14:paraId="76C183D0" w14:textId="77777777" w:rsidR="00A701DC" w:rsidRPr="00A701DC" w:rsidRDefault="00A701DC" w:rsidP="00A701DC">
            <w:pPr>
              <w:spacing w:after="0" w:line="240" w:lineRule="auto"/>
              <w:jc w:val="left"/>
              <w:rPr>
                <w:rFonts w:ascii="Times New Roman" w:hAnsi="Times New Roman"/>
              </w:rPr>
            </w:pPr>
          </w:p>
        </w:tc>
      </w:tr>
      <w:tr w:rsidR="00A701DC" w:rsidRPr="00A701DC" w14:paraId="76C183D8" w14:textId="77777777" w:rsidTr="00803AC9">
        <w:trPr>
          <w:trHeight w:val="200"/>
        </w:trPr>
        <w:tc>
          <w:tcPr>
            <w:tcW w:w="3391" w:type="dxa"/>
            <w:tcBorders>
              <w:top w:val="nil"/>
              <w:left w:val="nil"/>
              <w:bottom w:val="nil"/>
              <w:right w:val="nil"/>
            </w:tcBorders>
            <w:shd w:val="clear" w:color="auto" w:fill="auto"/>
            <w:noWrap/>
            <w:vAlign w:val="center"/>
            <w:hideMark/>
          </w:tcPr>
          <w:p w14:paraId="76C183D2" w14:textId="77777777" w:rsidR="00A701DC" w:rsidRPr="00A701DC" w:rsidRDefault="00A701DC" w:rsidP="00A701DC">
            <w:pPr>
              <w:spacing w:after="0" w:line="240" w:lineRule="auto"/>
              <w:ind w:firstLineChars="200" w:firstLine="320"/>
              <w:jc w:val="left"/>
              <w:rPr>
                <w:rFonts w:ascii="Arial" w:hAnsi="Arial" w:cs="Arial"/>
                <w:sz w:val="16"/>
                <w:szCs w:val="16"/>
              </w:rPr>
            </w:pPr>
            <w:r w:rsidRPr="00A701DC">
              <w:rPr>
                <w:rFonts w:ascii="Arial" w:hAnsi="Arial" w:cs="Arial"/>
                <w:sz w:val="16"/>
                <w:szCs w:val="16"/>
              </w:rPr>
              <w:t>Safe Work Australia Special Account</w:t>
            </w:r>
          </w:p>
        </w:tc>
        <w:tc>
          <w:tcPr>
            <w:tcW w:w="928" w:type="dxa"/>
            <w:tcBorders>
              <w:top w:val="nil"/>
              <w:left w:val="nil"/>
              <w:bottom w:val="nil"/>
              <w:right w:val="nil"/>
            </w:tcBorders>
            <w:shd w:val="clear" w:color="auto" w:fill="auto"/>
            <w:noWrap/>
            <w:vAlign w:val="center"/>
            <w:hideMark/>
          </w:tcPr>
          <w:p w14:paraId="76C183D3"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10,267 </w:t>
            </w:r>
          </w:p>
        </w:tc>
        <w:tc>
          <w:tcPr>
            <w:tcW w:w="909" w:type="dxa"/>
            <w:tcBorders>
              <w:top w:val="nil"/>
              <w:left w:val="nil"/>
              <w:bottom w:val="nil"/>
              <w:right w:val="nil"/>
            </w:tcBorders>
            <w:shd w:val="clear" w:color="000000" w:fill="E6E6E6"/>
            <w:noWrap/>
            <w:vAlign w:val="center"/>
            <w:hideMark/>
          </w:tcPr>
          <w:p w14:paraId="76C183D4"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10,520 </w:t>
            </w:r>
          </w:p>
        </w:tc>
        <w:tc>
          <w:tcPr>
            <w:tcW w:w="907" w:type="dxa"/>
            <w:tcBorders>
              <w:top w:val="nil"/>
              <w:left w:val="nil"/>
              <w:bottom w:val="nil"/>
              <w:right w:val="nil"/>
            </w:tcBorders>
            <w:shd w:val="clear" w:color="auto" w:fill="auto"/>
            <w:noWrap/>
            <w:vAlign w:val="center"/>
            <w:hideMark/>
          </w:tcPr>
          <w:p w14:paraId="76C183D5"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10,839 </w:t>
            </w:r>
          </w:p>
        </w:tc>
        <w:tc>
          <w:tcPr>
            <w:tcW w:w="907" w:type="dxa"/>
            <w:tcBorders>
              <w:top w:val="nil"/>
              <w:left w:val="nil"/>
              <w:bottom w:val="nil"/>
              <w:right w:val="nil"/>
            </w:tcBorders>
            <w:shd w:val="clear" w:color="auto" w:fill="auto"/>
            <w:noWrap/>
            <w:vAlign w:val="center"/>
            <w:hideMark/>
          </w:tcPr>
          <w:p w14:paraId="76C183D6"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11,066 </w:t>
            </w:r>
          </w:p>
        </w:tc>
        <w:tc>
          <w:tcPr>
            <w:tcW w:w="907" w:type="dxa"/>
            <w:tcBorders>
              <w:top w:val="nil"/>
              <w:left w:val="nil"/>
              <w:bottom w:val="nil"/>
              <w:right w:val="nil"/>
            </w:tcBorders>
            <w:shd w:val="clear" w:color="auto" w:fill="auto"/>
            <w:noWrap/>
            <w:vAlign w:val="center"/>
            <w:hideMark/>
          </w:tcPr>
          <w:p w14:paraId="76C183D7"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11,342 </w:t>
            </w:r>
          </w:p>
        </w:tc>
      </w:tr>
      <w:tr w:rsidR="00A701DC" w:rsidRPr="00A701DC" w14:paraId="76C183DF" w14:textId="77777777" w:rsidTr="00EF2631">
        <w:trPr>
          <w:trHeight w:val="293"/>
        </w:trPr>
        <w:tc>
          <w:tcPr>
            <w:tcW w:w="3391" w:type="dxa"/>
            <w:tcBorders>
              <w:top w:val="nil"/>
              <w:left w:val="nil"/>
              <w:bottom w:val="nil"/>
              <w:right w:val="nil"/>
            </w:tcBorders>
            <w:shd w:val="clear" w:color="auto" w:fill="auto"/>
            <w:vAlign w:val="center"/>
            <w:hideMark/>
          </w:tcPr>
          <w:p w14:paraId="76C183D9" w14:textId="77777777" w:rsidR="00A701DC" w:rsidRPr="00EF2631" w:rsidRDefault="00A701DC"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Expenses not requiring appropriation in the Budget year (a)</w:t>
            </w:r>
          </w:p>
        </w:tc>
        <w:tc>
          <w:tcPr>
            <w:tcW w:w="928" w:type="dxa"/>
            <w:tcBorders>
              <w:top w:val="nil"/>
              <w:left w:val="nil"/>
              <w:bottom w:val="nil"/>
              <w:right w:val="nil"/>
            </w:tcBorders>
            <w:shd w:val="clear" w:color="auto" w:fill="auto"/>
            <w:noWrap/>
            <w:vAlign w:val="center"/>
            <w:hideMark/>
          </w:tcPr>
          <w:p w14:paraId="76C183DA"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646 </w:t>
            </w:r>
          </w:p>
        </w:tc>
        <w:tc>
          <w:tcPr>
            <w:tcW w:w="909" w:type="dxa"/>
            <w:tcBorders>
              <w:top w:val="nil"/>
              <w:left w:val="nil"/>
              <w:bottom w:val="nil"/>
              <w:right w:val="nil"/>
            </w:tcBorders>
            <w:shd w:val="clear" w:color="000000" w:fill="E6E6E6"/>
            <w:noWrap/>
            <w:vAlign w:val="center"/>
            <w:hideMark/>
          </w:tcPr>
          <w:p w14:paraId="76C183DB"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680 </w:t>
            </w:r>
          </w:p>
        </w:tc>
        <w:tc>
          <w:tcPr>
            <w:tcW w:w="907" w:type="dxa"/>
            <w:tcBorders>
              <w:top w:val="nil"/>
              <w:left w:val="nil"/>
              <w:bottom w:val="nil"/>
              <w:right w:val="nil"/>
            </w:tcBorders>
            <w:shd w:val="clear" w:color="auto" w:fill="auto"/>
            <w:noWrap/>
            <w:vAlign w:val="center"/>
            <w:hideMark/>
          </w:tcPr>
          <w:p w14:paraId="76C183DC"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685 </w:t>
            </w:r>
          </w:p>
        </w:tc>
        <w:tc>
          <w:tcPr>
            <w:tcW w:w="907" w:type="dxa"/>
            <w:tcBorders>
              <w:top w:val="nil"/>
              <w:left w:val="nil"/>
              <w:bottom w:val="nil"/>
              <w:right w:val="nil"/>
            </w:tcBorders>
            <w:shd w:val="clear" w:color="auto" w:fill="auto"/>
            <w:noWrap/>
            <w:vAlign w:val="center"/>
            <w:hideMark/>
          </w:tcPr>
          <w:p w14:paraId="76C183DD"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693 </w:t>
            </w:r>
          </w:p>
        </w:tc>
        <w:tc>
          <w:tcPr>
            <w:tcW w:w="907" w:type="dxa"/>
            <w:tcBorders>
              <w:top w:val="nil"/>
              <w:left w:val="nil"/>
              <w:bottom w:val="nil"/>
              <w:right w:val="nil"/>
            </w:tcBorders>
            <w:shd w:val="clear" w:color="auto" w:fill="auto"/>
            <w:noWrap/>
            <w:vAlign w:val="center"/>
            <w:hideMark/>
          </w:tcPr>
          <w:p w14:paraId="76C183DE"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694 </w:t>
            </w:r>
          </w:p>
        </w:tc>
      </w:tr>
      <w:tr w:rsidR="00A701DC" w:rsidRPr="00A701DC" w14:paraId="76C183E6" w14:textId="77777777" w:rsidTr="00803AC9">
        <w:trPr>
          <w:trHeight w:val="210"/>
        </w:trPr>
        <w:tc>
          <w:tcPr>
            <w:tcW w:w="3391" w:type="dxa"/>
            <w:tcBorders>
              <w:top w:val="nil"/>
              <w:left w:val="nil"/>
              <w:bottom w:val="nil"/>
              <w:right w:val="nil"/>
            </w:tcBorders>
            <w:shd w:val="clear" w:color="auto" w:fill="auto"/>
            <w:vAlign w:val="center"/>
            <w:hideMark/>
          </w:tcPr>
          <w:p w14:paraId="76C183E0" w14:textId="77777777" w:rsidR="00A701DC" w:rsidRPr="00A701DC" w:rsidRDefault="00A701DC" w:rsidP="00A701DC">
            <w:pPr>
              <w:spacing w:after="0" w:line="240" w:lineRule="auto"/>
              <w:jc w:val="right"/>
              <w:rPr>
                <w:rFonts w:ascii="Arial" w:hAnsi="Arial" w:cs="Arial"/>
                <w:b/>
                <w:bCs/>
                <w:sz w:val="16"/>
                <w:szCs w:val="16"/>
              </w:rPr>
            </w:pPr>
            <w:r w:rsidRPr="00A701DC">
              <w:rPr>
                <w:rFonts w:ascii="Arial" w:hAnsi="Arial" w:cs="Arial"/>
                <w:b/>
                <w:bCs/>
                <w:sz w:val="16"/>
                <w:szCs w:val="16"/>
              </w:rPr>
              <w:t>Departmental total</w:t>
            </w:r>
          </w:p>
        </w:tc>
        <w:tc>
          <w:tcPr>
            <w:tcW w:w="928" w:type="dxa"/>
            <w:tcBorders>
              <w:top w:val="single" w:sz="4" w:space="0" w:color="auto"/>
              <w:left w:val="nil"/>
              <w:bottom w:val="single" w:sz="4" w:space="0" w:color="auto"/>
              <w:right w:val="nil"/>
            </w:tcBorders>
            <w:shd w:val="clear" w:color="auto" w:fill="auto"/>
            <w:noWrap/>
            <w:vAlign w:val="center"/>
            <w:hideMark/>
          </w:tcPr>
          <w:p w14:paraId="76C183E1"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21,144 </w:t>
            </w:r>
          </w:p>
        </w:tc>
        <w:tc>
          <w:tcPr>
            <w:tcW w:w="909" w:type="dxa"/>
            <w:tcBorders>
              <w:top w:val="single" w:sz="4" w:space="0" w:color="auto"/>
              <w:left w:val="nil"/>
              <w:bottom w:val="single" w:sz="4" w:space="0" w:color="auto"/>
              <w:right w:val="nil"/>
            </w:tcBorders>
            <w:shd w:val="clear" w:color="000000" w:fill="E6E6E6"/>
            <w:noWrap/>
            <w:vAlign w:val="center"/>
            <w:hideMark/>
          </w:tcPr>
          <w:p w14:paraId="76C183E2"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21,622 </w:t>
            </w:r>
          </w:p>
        </w:tc>
        <w:tc>
          <w:tcPr>
            <w:tcW w:w="907" w:type="dxa"/>
            <w:tcBorders>
              <w:top w:val="single" w:sz="4" w:space="0" w:color="auto"/>
              <w:left w:val="nil"/>
              <w:bottom w:val="single" w:sz="4" w:space="0" w:color="auto"/>
              <w:right w:val="nil"/>
            </w:tcBorders>
            <w:shd w:val="clear" w:color="auto" w:fill="auto"/>
            <w:noWrap/>
            <w:vAlign w:val="center"/>
            <w:hideMark/>
          </w:tcPr>
          <w:p w14:paraId="76C183E3"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22,108 </w:t>
            </w:r>
          </w:p>
        </w:tc>
        <w:tc>
          <w:tcPr>
            <w:tcW w:w="907" w:type="dxa"/>
            <w:tcBorders>
              <w:top w:val="single" w:sz="4" w:space="0" w:color="auto"/>
              <w:left w:val="nil"/>
              <w:bottom w:val="single" w:sz="4" w:space="0" w:color="auto"/>
              <w:right w:val="nil"/>
            </w:tcBorders>
            <w:shd w:val="clear" w:color="auto" w:fill="auto"/>
            <w:noWrap/>
            <w:vAlign w:val="center"/>
            <w:hideMark/>
          </w:tcPr>
          <w:p w14:paraId="76C183E4"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22,566 </w:t>
            </w:r>
          </w:p>
        </w:tc>
        <w:tc>
          <w:tcPr>
            <w:tcW w:w="907" w:type="dxa"/>
            <w:tcBorders>
              <w:top w:val="single" w:sz="4" w:space="0" w:color="auto"/>
              <w:left w:val="nil"/>
              <w:bottom w:val="single" w:sz="4" w:space="0" w:color="auto"/>
              <w:right w:val="nil"/>
            </w:tcBorders>
            <w:shd w:val="clear" w:color="auto" w:fill="auto"/>
            <w:noWrap/>
            <w:vAlign w:val="center"/>
            <w:hideMark/>
          </w:tcPr>
          <w:p w14:paraId="76C183E5"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23,113 </w:t>
            </w:r>
          </w:p>
        </w:tc>
      </w:tr>
      <w:tr w:rsidR="00A701DC" w:rsidRPr="00A701DC" w14:paraId="76C183ED" w14:textId="77777777" w:rsidTr="00803AC9">
        <w:trPr>
          <w:trHeight w:val="210"/>
        </w:trPr>
        <w:tc>
          <w:tcPr>
            <w:tcW w:w="3391" w:type="dxa"/>
            <w:tcBorders>
              <w:top w:val="nil"/>
              <w:left w:val="nil"/>
              <w:bottom w:val="single" w:sz="4" w:space="0" w:color="auto"/>
              <w:right w:val="nil"/>
            </w:tcBorders>
            <w:shd w:val="clear" w:color="auto" w:fill="auto"/>
            <w:vAlign w:val="center"/>
            <w:hideMark/>
          </w:tcPr>
          <w:p w14:paraId="76C183E7" w14:textId="77777777" w:rsidR="00A701DC" w:rsidRPr="00A701DC" w:rsidRDefault="00A701DC" w:rsidP="00A701DC">
            <w:pPr>
              <w:spacing w:after="0" w:line="240" w:lineRule="auto"/>
              <w:jc w:val="left"/>
              <w:rPr>
                <w:rFonts w:ascii="Arial" w:hAnsi="Arial" w:cs="Arial"/>
                <w:b/>
                <w:bCs/>
                <w:sz w:val="16"/>
                <w:szCs w:val="16"/>
              </w:rPr>
            </w:pPr>
            <w:r w:rsidRPr="00A701DC">
              <w:rPr>
                <w:rFonts w:ascii="Arial" w:hAnsi="Arial" w:cs="Arial"/>
                <w:b/>
                <w:bCs/>
                <w:sz w:val="16"/>
                <w:szCs w:val="16"/>
              </w:rPr>
              <w:t>Total expenses for Program 1.1</w:t>
            </w:r>
          </w:p>
        </w:tc>
        <w:tc>
          <w:tcPr>
            <w:tcW w:w="928" w:type="dxa"/>
            <w:tcBorders>
              <w:top w:val="nil"/>
              <w:left w:val="nil"/>
              <w:bottom w:val="single" w:sz="4" w:space="0" w:color="auto"/>
              <w:right w:val="nil"/>
            </w:tcBorders>
            <w:shd w:val="clear" w:color="auto" w:fill="auto"/>
            <w:noWrap/>
            <w:vAlign w:val="center"/>
            <w:hideMark/>
          </w:tcPr>
          <w:p w14:paraId="76C183E8" w14:textId="77777777" w:rsidR="00A701DC" w:rsidRPr="00A701DC" w:rsidRDefault="00A701DC" w:rsidP="00A701DC">
            <w:pPr>
              <w:spacing w:after="0" w:line="240" w:lineRule="auto"/>
              <w:jc w:val="right"/>
              <w:rPr>
                <w:rFonts w:ascii="Arial" w:hAnsi="Arial" w:cs="Arial"/>
                <w:b/>
                <w:bCs/>
                <w:color w:val="000000"/>
                <w:sz w:val="16"/>
                <w:szCs w:val="16"/>
              </w:rPr>
            </w:pPr>
            <w:r w:rsidRPr="00A701DC">
              <w:rPr>
                <w:rFonts w:ascii="Arial" w:hAnsi="Arial" w:cs="Arial"/>
                <w:b/>
                <w:bCs/>
                <w:color w:val="000000"/>
                <w:sz w:val="16"/>
                <w:szCs w:val="16"/>
              </w:rPr>
              <w:t xml:space="preserve">21,144 </w:t>
            </w:r>
          </w:p>
        </w:tc>
        <w:tc>
          <w:tcPr>
            <w:tcW w:w="909" w:type="dxa"/>
            <w:tcBorders>
              <w:top w:val="nil"/>
              <w:left w:val="nil"/>
              <w:bottom w:val="single" w:sz="4" w:space="0" w:color="auto"/>
              <w:right w:val="nil"/>
            </w:tcBorders>
            <w:shd w:val="clear" w:color="000000" w:fill="E6E6E6"/>
            <w:noWrap/>
            <w:vAlign w:val="center"/>
            <w:hideMark/>
          </w:tcPr>
          <w:p w14:paraId="76C183E9" w14:textId="77777777" w:rsidR="00A701DC" w:rsidRPr="00A701DC" w:rsidRDefault="00A701DC" w:rsidP="00A701DC">
            <w:pPr>
              <w:spacing w:after="0" w:line="240" w:lineRule="auto"/>
              <w:jc w:val="right"/>
              <w:rPr>
                <w:rFonts w:ascii="Arial" w:hAnsi="Arial" w:cs="Arial"/>
                <w:b/>
                <w:bCs/>
                <w:color w:val="000000"/>
                <w:sz w:val="16"/>
                <w:szCs w:val="16"/>
              </w:rPr>
            </w:pPr>
            <w:r w:rsidRPr="00A701DC">
              <w:rPr>
                <w:rFonts w:ascii="Arial" w:hAnsi="Arial" w:cs="Arial"/>
                <w:b/>
                <w:bCs/>
                <w:color w:val="000000"/>
                <w:sz w:val="16"/>
                <w:szCs w:val="16"/>
              </w:rPr>
              <w:t xml:space="preserve">21,622 </w:t>
            </w:r>
          </w:p>
        </w:tc>
        <w:tc>
          <w:tcPr>
            <w:tcW w:w="907" w:type="dxa"/>
            <w:tcBorders>
              <w:top w:val="nil"/>
              <w:left w:val="nil"/>
              <w:bottom w:val="single" w:sz="4" w:space="0" w:color="auto"/>
              <w:right w:val="nil"/>
            </w:tcBorders>
            <w:shd w:val="clear" w:color="auto" w:fill="auto"/>
            <w:noWrap/>
            <w:vAlign w:val="center"/>
            <w:hideMark/>
          </w:tcPr>
          <w:p w14:paraId="76C183EA" w14:textId="77777777" w:rsidR="00A701DC" w:rsidRPr="00A701DC" w:rsidRDefault="00A701DC" w:rsidP="00A701DC">
            <w:pPr>
              <w:spacing w:after="0" w:line="240" w:lineRule="auto"/>
              <w:jc w:val="right"/>
              <w:rPr>
                <w:rFonts w:ascii="Arial" w:hAnsi="Arial" w:cs="Arial"/>
                <w:b/>
                <w:bCs/>
                <w:sz w:val="16"/>
                <w:szCs w:val="16"/>
              </w:rPr>
            </w:pPr>
            <w:r w:rsidRPr="00A701DC">
              <w:rPr>
                <w:rFonts w:ascii="Arial" w:hAnsi="Arial" w:cs="Arial"/>
                <w:b/>
                <w:bCs/>
                <w:sz w:val="16"/>
                <w:szCs w:val="16"/>
              </w:rPr>
              <w:t xml:space="preserve">22,108 </w:t>
            </w:r>
          </w:p>
        </w:tc>
        <w:tc>
          <w:tcPr>
            <w:tcW w:w="907" w:type="dxa"/>
            <w:tcBorders>
              <w:top w:val="nil"/>
              <w:left w:val="nil"/>
              <w:bottom w:val="single" w:sz="4" w:space="0" w:color="auto"/>
              <w:right w:val="nil"/>
            </w:tcBorders>
            <w:shd w:val="clear" w:color="auto" w:fill="auto"/>
            <w:noWrap/>
            <w:vAlign w:val="center"/>
            <w:hideMark/>
          </w:tcPr>
          <w:p w14:paraId="76C183EB" w14:textId="77777777" w:rsidR="00A701DC" w:rsidRPr="00A701DC" w:rsidRDefault="00A701DC" w:rsidP="00A701DC">
            <w:pPr>
              <w:spacing w:after="0" w:line="240" w:lineRule="auto"/>
              <w:jc w:val="right"/>
              <w:rPr>
                <w:rFonts w:ascii="Arial" w:hAnsi="Arial" w:cs="Arial"/>
                <w:b/>
                <w:bCs/>
                <w:sz w:val="16"/>
                <w:szCs w:val="16"/>
              </w:rPr>
            </w:pPr>
            <w:r w:rsidRPr="00A701DC">
              <w:rPr>
                <w:rFonts w:ascii="Arial" w:hAnsi="Arial" w:cs="Arial"/>
                <w:b/>
                <w:bCs/>
                <w:sz w:val="16"/>
                <w:szCs w:val="16"/>
              </w:rPr>
              <w:t xml:space="preserve">22,566 </w:t>
            </w:r>
          </w:p>
        </w:tc>
        <w:tc>
          <w:tcPr>
            <w:tcW w:w="907" w:type="dxa"/>
            <w:tcBorders>
              <w:top w:val="nil"/>
              <w:left w:val="nil"/>
              <w:bottom w:val="single" w:sz="4" w:space="0" w:color="auto"/>
              <w:right w:val="nil"/>
            </w:tcBorders>
            <w:shd w:val="clear" w:color="auto" w:fill="auto"/>
            <w:noWrap/>
            <w:vAlign w:val="center"/>
            <w:hideMark/>
          </w:tcPr>
          <w:p w14:paraId="76C183EC" w14:textId="77777777" w:rsidR="00A701DC" w:rsidRPr="00A701DC" w:rsidRDefault="00A701DC" w:rsidP="00A701DC">
            <w:pPr>
              <w:spacing w:after="0" w:line="240" w:lineRule="auto"/>
              <w:jc w:val="right"/>
              <w:rPr>
                <w:rFonts w:ascii="Arial" w:hAnsi="Arial" w:cs="Arial"/>
                <w:b/>
                <w:bCs/>
                <w:sz w:val="16"/>
                <w:szCs w:val="16"/>
              </w:rPr>
            </w:pPr>
            <w:r w:rsidRPr="00A701DC">
              <w:rPr>
                <w:rFonts w:ascii="Arial" w:hAnsi="Arial" w:cs="Arial"/>
                <w:b/>
                <w:bCs/>
                <w:sz w:val="16"/>
                <w:szCs w:val="16"/>
              </w:rPr>
              <w:t xml:space="preserve">23,113 </w:t>
            </w:r>
          </w:p>
        </w:tc>
      </w:tr>
      <w:tr w:rsidR="00A701DC" w:rsidRPr="00A701DC" w14:paraId="76C183EF" w14:textId="77777777" w:rsidTr="00803AC9">
        <w:trPr>
          <w:trHeight w:val="210"/>
        </w:trPr>
        <w:tc>
          <w:tcPr>
            <w:tcW w:w="7949" w:type="dxa"/>
            <w:gridSpan w:val="6"/>
            <w:tcBorders>
              <w:top w:val="single" w:sz="4" w:space="0" w:color="auto"/>
              <w:left w:val="nil"/>
              <w:bottom w:val="single" w:sz="4" w:space="0" w:color="auto"/>
              <w:right w:val="nil"/>
            </w:tcBorders>
            <w:shd w:val="clear" w:color="000000" w:fill="E6E6E6"/>
            <w:vAlign w:val="center"/>
            <w:hideMark/>
          </w:tcPr>
          <w:p w14:paraId="76C183EE" w14:textId="77777777" w:rsidR="00A701DC" w:rsidRPr="00A701DC" w:rsidRDefault="00A701DC" w:rsidP="00A701DC">
            <w:pPr>
              <w:spacing w:after="0" w:line="240" w:lineRule="auto"/>
              <w:jc w:val="left"/>
              <w:rPr>
                <w:rFonts w:ascii="Arial" w:hAnsi="Arial" w:cs="Arial"/>
                <w:b/>
                <w:bCs/>
                <w:sz w:val="16"/>
                <w:szCs w:val="16"/>
              </w:rPr>
            </w:pPr>
            <w:r w:rsidRPr="00A701DC">
              <w:rPr>
                <w:rFonts w:ascii="Arial" w:hAnsi="Arial" w:cs="Arial"/>
                <w:b/>
                <w:bCs/>
                <w:sz w:val="16"/>
                <w:szCs w:val="16"/>
              </w:rPr>
              <w:t>Outcome 1 Totals by appropriation type</w:t>
            </w:r>
          </w:p>
        </w:tc>
      </w:tr>
      <w:tr w:rsidR="00A701DC" w:rsidRPr="00A701DC" w14:paraId="76C183F6" w14:textId="77777777" w:rsidTr="00803AC9">
        <w:trPr>
          <w:trHeight w:val="200"/>
        </w:trPr>
        <w:tc>
          <w:tcPr>
            <w:tcW w:w="3391" w:type="dxa"/>
            <w:tcBorders>
              <w:top w:val="nil"/>
              <w:left w:val="nil"/>
              <w:bottom w:val="nil"/>
              <w:right w:val="nil"/>
            </w:tcBorders>
            <w:shd w:val="clear" w:color="000000" w:fill="FFFFFF"/>
            <w:noWrap/>
            <w:vAlign w:val="center"/>
            <w:hideMark/>
          </w:tcPr>
          <w:p w14:paraId="76C183F0" w14:textId="77777777" w:rsidR="00A701DC" w:rsidRPr="00A701DC" w:rsidRDefault="00A701DC" w:rsidP="00A701DC">
            <w:pPr>
              <w:spacing w:after="0" w:line="240" w:lineRule="auto"/>
              <w:jc w:val="left"/>
              <w:rPr>
                <w:rFonts w:ascii="Arial" w:hAnsi="Arial" w:cs="Arial"/>
                <w:sz w:val="16"/>
                <w:szCs w:val="16"/>
              </w:rPr>
            </w:pPr>
            <w:r w:rsidRPr="00A701DC">
              <w:rPr>
                <w:rFonts w:ascii="Arial" w:hAnsi="Arial" w:cs="Arial"/>
                <w:sz w:val="16"/>
                <w:szCs w:val="16"/>
              </w:rPr>
              <w:t>Departmental expenses</w:t>
            </w:r>
          </w:p>
        </w:tc>
        <w:tc>
          <w:tcPr>
            <w:tcW w:w="928" w:type="dxa"/>
            <w:tcBorders>
              <w:top w:val="nil"/>
              <w:left w:val="nil"/>
              <w:bottom w:val="nil"/>
              <w:right w:val="nil"/>
            </w:tcBorders>
            <w:shd w:val="clear" w:color="auto" w:fill="auto"/>
            <w:noWrap/>
            <w:vAlign w:val="center"/>
            <w:hideMark/>
          </w:tcPr>
          <w:p w14:paraId="76C183F1" w14:textId="77777777" w:rsidR="00A701DC" w:rsidRPr="00A701DC" w:rsidRDefault="00A701DC" w:rsidP="00A701DC">
            <w:pPr>
              <w:spacing w:after="0" w:line="240" w:lineRule="auto"/>
              <w:jc w:val="left"/>
              <w:rPr>
                <w:rFonts w:ascii="Arial" w:hAnsi="Arial" w:cs="Arial"/>
                <w:sz w:val="16"/>
                <w:szCs w:val="16"/>
              </w:rPr>
            </w:pPr>
          </w:p>
        </w:tc>
        <w:tc>
          <w:tcPr>
            <w:tcW w:w="909" w:type="dxa"/>
            <w:tcBorders>
              <w:top w:val="nil"/>
              <w:left w:val="nil"/>
              <w:bottom w:val="nil"/>
              <w:right w:val="nil"/>
            </w:tcBorders>
            <w:shd w:val="clear" w:color="000000" w:fill="E6E6E6"/>
            <w:noWrap/>
            <w:vAlign w:val="center"/>
            <w:hideMark/>
          </w:tcPr>
          <w:p w14:paraId="76C183F2"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76C183F3" w14:textId="77777777" w:rsidR="00A701DC" w:rsidRPr="00A701DC" w:rsidRDefault="00A701DC" w:rsidP="00A701DC">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76C183F4" w14:textId="77777777" w:rsidR="00A701DC" w:rsidRPr="00A701DC" w:rsidRDefault="00A701DC" w:rsidP="00A701DC">
            <w:pPr>
              <w:spacing w:after="0" w:line="240" w:lineRule="auto"/>
              <w:jc w:val="left"/>
              <w:rPr>
                <w:rFonts w:ascii="Times New Roman" w:hAnsi="Times New Roman"/>
              </w:rPr>
            </w:pPr>
          </w:p>
        </w:tc>
        <w:tc>
          <w:tcPr>
            <w:tcW w:w="907" w:type="dxa"/>
            <w:tcBorders>
              <w:top w:val="nil"/>
              <w:left w:val="nil"/>
              <w:bottom w:val="nil"/>
              <w:right w:val="nil"/>
            </w:tcBorders>
            <w:shd w:val="clear" w:color="auto" w:fill="auto"/>
            <w:noWrap/>
            <w:vAlign w:val="center"/>
            <w:hideMark/>
          </w:tcPr>
          <w:p w14:paraId="76C183F5" w14:textId="77777777" w:rsidR="00A701DC" w:rsidRPr="00A701DC" w:rsidRDefault="00A701DC" w:rsidP="00A701DC">
            <w:pPr>
              <w:spacing w:after="0" w:line="240" w:lineRule="auto"/>
              <w:jc w:val="left"/>
              <w:rPr>
                <w:rFonts w:ascii="Times New Roman" w:hAnsi="Times New Roman"/>
              </w:rPr>
            </w:pPr>
          </w:p>
        </w:tc>
      </w:tr>
      <w:tr w:rsidR="00A701DC" w:rsidRPr="00A701DC" w14:paraId="76C183FD" w14:textId="77777777" w:rsidTr="00803AC9">
        <w:trPr>
          <w:trHeight w:val="210"/>
        </w:trPr>
        <w:tc>
          <w:tcPr>
            <w:tcW w:w="3391" w:type="dxa"/>
            <w:tcBorders>
              <w:top w:val="nil"/>
              <w:left w:val="nil"/>
              <w:bottom w:val="nil"/>
              <w:right w:val="nil"/>
            </w:tcBorders>
            <w:shd w:val="clear" w:color="000000" w:fill="FFFFFF"/>
            <w:noWrap/>
            <w:vAlign w:val="center"/>
            <w:hideMark/>
          </w:tcPr>
          <w:p w14:paraId="76C183F7" w14:textId="77777777" w:rsidR="00A701DC" w:rsidRPr="00EF2631" w:rsidRDefault="00A701DC"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Departmental appropriation</w:t>
            </w:r>
          </w:p>
        </w:tc>
        <w:tc>
          <w:tcPr>
            <w:tcW w:w="928" w:type="dxa"/>
            <w:tcBorders>
              <w:top w:val="nil"/>
              <w:left w:val="nil"/>
              <w:bottom w:val="nil"/>
              <w:right w:val="nil"/>
            </w:tcBorders>
            <w:shd w:val="clear" w:color="auto" w:fill="auto"/>
            <w:noWrap/>
            <w:vAlign w:val="center"/>
            <w:hideMark/>
          </w:tcPr>
          <w:p w14:paraId="76C183F8"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10,231 </w:t>
            </w:r>
          </w:p>
        </w:tc>
        <w:tc>
          <w:tcPr>
            <w:tcW w:w="909" w:type="dxa"/>
            <w:tcBorders>
              <w:top w:val="nil"/>
              <w:left w:val="nil"/>
              <w:bottom w:val="nil"/>
              <w:right w:val="nil"/>
            </w:tcBorders>
            <w:shd w:val="clear" w:color="000000" w:fill="E6E6E6"/>
            <w:noWrap/>
            <w:vAlign w:val="center"/>
            <w:hideMark/>
          </w:tcPr>
          <w:p w14:paraId="76C183F9"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10,422 </w:t>
            </w:r>
          </w:p>
        </w:tc>
        <w:tc>
          <w:tcPr>
            <w:tcW w:w="907" w:type="dxa"/>
            <w:tcBorders>
              <w:top w:val="nil"/>
              <w:left w:val="nil"/>
              <w:bottom w:val="nil"/>
              <w:right w:val="nil"/>
            </w:tcBorders>
            <w:shd w:val="clear" w:color="auto" w:fill="auto"/>
            <w:noWrap/>
            <w:vAlign w:val="center"/>
            <w:hideMark/>
          </w:tcPr>
          <w:p w14:paraId="76C183FA"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10,584 </w:t>
            </w:r>
          </w:p>
        </w:tc>
        <w:tc>
          <w:tcPr>
            <w:tcW w:w="907" w:type="dxa"/>
            <w:tcBorders>
              <w:top w:val="nil"/>
              <w:left w:val="nil"/>
              <w:bottom w:val="nil"/>
              <w:right w:val="nil"/>
            </w:tcBorders>
            <w:shd w:val="clear" w:color="auto" w:fill="auto"/>
            <w:noWrap/>
            <w:vAlign w:val="center"/>
            <w:hideMark/>
          </w:tcPr>
          <w:p w14:paraId="76C183FB"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10,807 </w:t>
            </w:r>
          </w:p>
        </w:tc>
        <w:tc>
          <w:tcPr>
            <w:tcW w:w="907" w:type="dxa"/>
            <w:tcBorders>
              <w:top w:val="nil"/>
              <w:left w:val="nil"/>
              <w:bottom w:val="nil"/>
              <w:right w:val="nil"/>
            </w:tcBorders>
            <w:shd w:val="clear" w:color="auto" w:fill="auto"/>
            <w:noWrap/>
            <w:vAlign w:val="center"/>
            <w:hideMark/>
          </w:tcPr>
          <w:p w14:paraId="76C183FC"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11,077 </w:t>
            </w:r>
          </w:p>
        </w:tc>
      </w:tr>
      <w:tr w:rsidR="00A701DC" w:rsidRPr="00A701DC" w14:paraId="76C18404" w14:textId="77777777" w:rsidTr="00803AC9">
        <w:trPr>
          <w:trHeight w:val="200"/>
        </w:trPr>
        <w:tc>
          <w:tcPr>
            <w:tcW w:w="3391" w:type="dxa"/>
            <w:tcBorders>
              <w:top w:val="nil"/>
              <w:left w:val="nil"/>
              <w:bottom w:val="nil"/>
              <w:right w:val="nil"/>
            </w:tcBorders>
            <w:shd w:val="clear" w:color="000000" w:fill="FFFFFF"/>
            <w:noWrap/>
            <w:vAlign w:val="center"/>
            <w:hideMark/>
          </w:tcPr>
          <w:p w14:paraId="76C183FE" w14:textId="77777777" w:rsidR="00A701DC" w:rsidRPr="00EF2631" w:rsidRDefault="00A701DC"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Special accounts</w:t>
            </w:r>
          </w:p>
        </w:tc>
        <w:tc>
          <w:tcPr>
            <w:tcW w:w="928" w:type="dxa"/>
            <w:tcBorders>
              <w:top w:val="nil"/>
              <w:left w:val="nil"/>
              <w:bottom w:val="nil"/>
              <w:right w:val="nil"/>
            </w:tcBorders>
            <w:shd w:val="clear" w:color="auto" w:fill="auto"/>
            <w:noWrap/>
            <w:vAlign w:val="center"/>
            <w:hideMark/>
          </w:tcPr>
          <w:p w14:paraId="76C183FF"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10,267 </w:t>
            </w:r>
          </w:p>
        </w:tc>
        <w:tc>
          <w:tcPr>
            <w:tcW w:w="909" w:type="dxa"/>
            <w:tcBorders>
              <w:top w:val="nil"/>
              <w:left w:val="nil"/>
              <w:bottom w:val="nil"/>
              <w:right w:val="nil"/>
            </w:tcBorders>
            <w:shd w:val="clear" w:color="000000" w:fill="E6E6E6"/>
            <w:noWrap/>
            <w:vAlign w:val="center"/>
            <w:hideMark/>
          </w:tcPr>
          <w:p w14:paraId="76C18400"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10,520 </w:t>
            </w:r>
          </w:p>
        </w:tc>
        <w:tc>
          <w:tcPr>
            <w:tcW w:w="907" w:type="dxa"/>
            <w:tcBorders>
              <w:top w:val="nil"/>
              <w:left w:val="nil"/>
              <w:bottom w:val="nil"/>
              <w:right w:val="nil"/>
            </w:tcBorders>
            <w:shd w:val="clear" w:color="auto" w:fill="auto"/>
            <w:noWrap/>
            <w:vAlign w:val="center"/>
            <w:hideMark/>
          </w:tcPr>
          <w:p w14:paraId="76C18401"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10,839 </w:t>
            </w:r>
          </w:p>
        </w:tc>
        <w:tc>
          <w:tcPr>
            <w:tcW w:w="907" w:type="dxa"/>
            <w:tcBorders>
              <w:top w:val="nil"/>
              <w:left w:val="nil"/>
              <w:bottom w:val="nil"/>
              <w:right w:val="nil"/>
            </w:tcBorders>
            <w:shd w:val="clear" w:color="auto" w:fill="auto"/>
            <w:noWrap/>
            <w:vAlign w:val="center"/>
            <w:hideMark/>
          </w:tcPr>
          <w:p w14:paraId="76C18402"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11,066 </w:t>
            </w:r>
          </w:p>
        </w:tc>
        <w:tc>
          <w:tcPr>
            <w:tcW w:w="907" w:type="dxa"/>
            <w:tcBorders>
              <w:top w:val="nil"/>
              <w:left w:val="nil"/>
              <w:bottom w:val="nil"/>
              <w:right w:val="nil"/>
            </w:tcBorders>
            <w:shd w:val="clear" w:color="auto" w:fill="auto"/>
            <w:noWrap/>
            <w:vAlign w:val="center"/>
            <w:hideMark/>
          </w:tcPr>
          <w:p w14:paraId="76C18403"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11,342 </w:t>
            </w:r>
          </w:p>
        </w:tc>
      </w:tr>
      <w:tr w:rsidR="00A701DC" w:rsidRPr="00A701DC" w14:paraId="76C1840B" w14:textId="77777777" w:rsidTr="00EF2631">
        <w:trPr>
          <w:trHeight w:val="363"/>
        </w:trPr>
        <w:tc>
          <w:tcPr>
            <w:tcW w:w="3391" w:type="dxa"/>
            <w:tcBorders>
              <w:top w:val="nil"/>
              <w:left w:val="nil"/>
              <w:bottom w:val="nil"/>
              <w:right w:val="nil"/>
            </w:tcBorders>
            <w:shd w:val="clear" w:color="auto" w:fill="auto"/>
            <w:vAlign w:val="center"/>
            <w:hideMark/>
          </w:tcPr>
          <w:p w14:paraId="76C18405" w14:textId="77777777" w:rsidR="00A701DC" w:rsidRPr="00EF2631" w:rsidRDefault="00A701DC"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Expenses not requiring appropriation in the Budget year (a)</w:t>
            </w:r>
          </w:p>
        </w:tc>
        <w:tc>
          <w:tcPr>
            <w:tcW w:w="928" w:type="dxa"/>
            <w:tcBorders>
              <w:top w:val="nil"/>
              <w:left w:val="nil"/>
              <w:bottom w:val="nil"/>
              <w:right w:val="nil"/>
            </w:tcBorders>
            <w:shd w:val="clear" w:color="auto" w:fill="auto"/>
            <w:noWrap/>
            <w:vAlign w:val="center"/>
            <w:hideMark/>
          </w:tcPr>
          <w:p w14:paraId="76C18406"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646 </w:t>
            </w:r>
          </w:p>
        </w:tc>
        <w:tc>
          <w:tcPr>
            <w:tcW w:w="909" w:type="dxa"/>
            <w:tcBorders>
              <w:top w:val="nil"/>
              <w:left w:val="nil"/>
              <w:bottom w:val="nil"/>
              <w:right w:val="nil"/>
            </w:tcBorders>
            <w:shd w:val="clear" w:color="000000" w:fill="E6E6E6"/>
            <w:noWrap/>
            <w:vAlign w:val="center"/>
            <w:hideMark/>
          </w:tcPr>
          <w:p w14:paraId="76C18407"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680 </w:t>
            </w:r>
          </w:p>
        </w:tc>
        <w:tc>
          <w:tcPr>
            <w:tcW w:w="907" w:type="dxa"/>
            <w:tcBorders>
              <w:top w:val="nil"/>
              <w:left w:val="nil"/>
              <w:bottom w:val="nil"/>
              <w:right w:val="nil"/>
            </w:tcBorders>
            <w:shd w:val="clear" w:color="auto" w:fill="auto"/>
            <w:noWrap/>
            <w:vAlign w:val="center"/>
            <w:hideMark/>
          </w:tcPr>
          <w:p w14:paraId="76C18408"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685 </w:t>
            </w:r>
          </w:p>
        </w:tc>
        <w:tc>
          <w:tcPr>
            <w:tcW w:w="907" w:type="dxa"/>
            <w:tcBorders>
              <w:top w:val="nil"/>
              <w:left w:val="nil"/>
              <w:bottom w:val="nil"/>
              <w:right w:val="nil"/>
            </w:tcBorders>
            <w:shd w:val="clear" w:color="auto" w:fill="auto"/>
            <w:noWrap/>
            <w:vAlign w:val="center"/>
            <w:hideMark/>
          </w:tcPr>
          <w:p w14:paraId="76C18409"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693 </w:t>
            </w:r>
          </w:p>
        </w:tc>
        <w:tc>
          <w:tcPr>
            <w:tcW w:w="907" w:type="dxa"/>
            <w:tcBorders>
              <w:top w:val="nil"/>
              <w:left w:val="nil"/>
              <w:bottom w:val="nil"/>
              <w:right w:val="nil"/>
            </w:tcBorders>
            <w:shd w:val="clear" w:color="auto" w:fill="auto"/>
            <w:noWrap/>
            <w:vAlign w:val="center"/>
            <w:hideMark/>
          </w:tcPr>
          <w:p w14:paraId="76C1840A"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694 </w:t>
            </w:r>
          </w:p>
        </w:tc>
      </w:tr>
      <w:tr w:rsidR="00A701DC" w:rsidRPr="00A701DC" w14:paraId="76C18412" w14:textId="77777777" w:rsidTr="00803AC9">
        <w:trPr>
          <w:trHeight w:val="210"/>
        </w:trPr>
        <w:tc>
          <w:tcPr>
            <w:tcW w:w="3391" w:type="dxa"/>
            <w:tcBorders>
              <w:top w:val="nil"/>
              <w:left w:val="nil"/>
              <w:bottom w:val="nil"/>
              <w:right w:val="nil"/>
            </w:tcBorders>
            <w:shd w:val="clear" w:color="auto" w:fill="auto"/>
            <w:vAlign w:val="center"/>
            <w:hideMark/>
          </w:tcPr>
          <w:p w14:paraId="76C1840C" w14:textId="77777777" w:rsidR="00A701DC" w:rsidRPr="00A701DC" w:rsidRDefault="00A701DC" w:rsidP="00A701DC">
            <w:pPr>
              <w:spacing w:after="0" w:line="240" w:lineRule="auto"/>
              <w:jc w:val="right"/>
              <w:rPr>
                <w:rFonts w:ascii="Arial" w:hAnsi="Arial" w:cs="Arial"/>
                <w:b/>
                <w:bCs/>
                <w:sz w:val="16"/>
                <w:szCs w:val="16"/>
              </w:rPr>
            </w:pPr>
            <w:r w:rsidRPr="00A701DC">
              <w:rPr>
                <w:rFonts w:ascii="Arial" w:hAnsi="Arial" w:cs="Arial"/>
                <w:b/>
                <w:bCs/>
                <w:sz w:val="16"/>
                <w:szCs w:val="16"/>
              </w:rPr>
              <w:t>Departmental total</w:t>
            </w:r>
          </w:p>
        </w:tc>
        <w:tc>
          <w:tcPr>
            <w:tcW w:w="928" w:type="dxa"/>
            <w:tcBorders>
              <w:top w:val="single" w:sz="4" w:space="0" w:color="auto"/>
              <w:left w:val="nil"/>
              <w:bottom w:val="single" w:sz="4" w:space="0" w:color="auto"/>
              <w:right w:val="nil"/>
            </w:tcBorders>
            <w:shd w:val="clear" w:color="auto" w:fill="auto"/>
            <w:noWrap/>
            <w:vAlign w:val="center"/>
            <w:hideMark/>
          </w:tcPr>
          <w:p w14:paraId="76C1840D"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21,144 </w:t>
            </w:r>
          </w:p>
        </w:tc>
        <w:tc>
          <w:tcPr>
            <w:tcW w:w="909" w:type="dxa"/>
            <w:tcBorders>
              <w:top w:val="single" w:sz="4" w:space="0" w:color="auto"/>
              <w:left w:val="nil"/>
              <w:bottom w:val="single" w:sz="4" w:space="0" w:color="auto"/>
              <w:right w:val="nil"/>
            </w:tcBorders>
            <w:shd w:val="clear" w:color="000000" w:fill="E6E6E6"/>
            <w:noWrap/>
            <w:vAlign w:val="center"/>
            <w:hideMark/>
          </w:tcPr>
          <w:p w14:paraId="76C1840E"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 xml:space="preserve">21,622 </w:t>
            </w:r>
          </w:p>
        </w:tc>
        <w:tc>
          <w:tcPr>
            <w:tcW w:w="907" w:type="dxa"/>
            <w:tcBorders>
              <w:top w:val="single" w:sz="4" w:space="0" w:color="auto"/>
              <w:left w:val="nil"/>
              <w:bottom w:val="single" w:sz="4" w:space="0" w:color="auto"/>
              <w:right w:val="nil"/>
            </w:tcBorders>
            <w:shd w:val="clear" w:color="auto" w:fill="auto"/>
            <w:noWrap/>
            <w:vAlign w:val="center"/>
            <w:hideMark/>
          </w:tcPr>
          <w:p w14:paraId="76C1840F"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22,108 </w:t>
            </w:r>
          </w:p>
        </w:tc>
        <w:tc>
          <w:tcPr>
            <w:tcW w:w="907" w:type="dxa"/>
            <w:tcBorders>
              <w:top w:val="single" w:sz="4" w:space="0" w:color="auto"/>
              <w:left w:val="nil"/>
              <w:bottom w:val="single" w:sz="4" w:space="0" w:color="auto"/>
              <w:right w:val="nil"/>
            </w:tcBorders>
            <w:shd w:val="clear" w:color="auto" w:fill="auto"/>
            <w:noWrap/>
            <w:vAlign w:val="center"/>
            <w:hideMark/>
          </w:tcPr>
          <w:p w14:paraId="76C18410"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22,566 </w:t>
            </w:r>
          </w:p>
        </w:tc>
        <w:tc>
          <w:tcPr>
            <w:tcW w:w="907" w:type="dxa"/>
            <w:tcBorders>
              <w:top w:val="single" w:sz="4" w:space="0" w:color="auto"/>
              <w:left w:val="nil"/>
              <w:bottom w:val="single" w:sz="4" w:space="0" w:color="auto"/>
              <w:right w:val="nil"/>
            </w:tcBorders>
            <w:shd w:val="clear" w:color="auto" w:fill="auto"/>
            <w:noWrap/>
            <w:vAlign w:val="center"/>
            <w:hideMark/>
          </w:tcPr>
          <w:p w14:paraId="76C18411"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23,113 </w:t>
            </w:r>
          </w:p>
        </w:tc>
      </w:tr>
      <w:tr w:rsidR="00A701DC" w:rsidRPr="00A701DC" w14:paraId="76C18419" w14:textId="77777777" w:rsidTr="00803AC9">
        <w:trPr>
          <w:trHeight w:val="210"/>
        </w:trPr>
        <w:tc>
          <w:tcPr>
            <w:tcW w:w="3391" w:type="dxa"/>
            <w:tcBorders>
              <w:top w:val="nil"/>
              <w:left w:val="nil"/>
              <w:bottom w:val="single" w:sz="4" w:space="0" w:color="auto"/>
              <w:right w:val="nil"/>
            </w:tcBorders>
            <w:shd w:val="clear" w:color="auto" w:fill="auto"/>
            <w:noWrap/>
            <w:vAlign w:val="center"/>
            <w:hideMark/>
          </w:tcPr>
          <w:p w14:paraId="76C18413" w14:textId="77777777" w:rsidR="00A701DC" w:rsidRPr="00A701DC" w:rsidRDefault="00A701DC" w:rsidP="00A701DC">
            <w:pPr>
              <w:spacing w:after="0" w:line="240" w:lineRule="auto"/>
              <w:jc w:val="left"/>
              <w:rPr>
                <w:rFonts w:ascii="Arial" w:hAnsi="Arial" w:cs="Arial"/>
                <w:b/>
                <w:bCs/>
                <w:color w:val="000000"/>
                <w:sz w:val="16"/>
                <w:szCs w:val="16"/>
              </w:rPr>
            </w:pPr>
            <w:r w:rsidRPr="00A701DC">
              <w:rPr>
                <w:rFonts w:ascii="Arial" w:hAnsi="Arial" w:cs="Arial"/>
                <w:b/>
                <w:bCs/>
                <w:color w:val="000000"/>
                <w:sz w:val="16"/>
                <w:szCs w:val="16"/>
              </w:rPr>
              <w:t>Total expenses for Outcome 1</w:t>
            </w:r>
          </w:p>
        </w:tc>
        <w:tc>
          <w:tcPr>
            <w:tcW w:w="928" w:type="dxa"/>
            <w:tcBorders>
              <w:top w:val="nil"/>
              <w:left w:val="nil"/>
              <w:bottom w:val="single" w:sz="4" w:space="0" w:color="auto"/>
              <w:right w:val="nil"/>
            </w:tcBorders>
            <w:shd w:val="clear" w:color="auto" w:fill="auto"/>
            <w:noWrap/>
            <w:vAlign w:val="center"/>
            <w:hideMark/>
          </w:tcPr>
          <w:p w14:paraId="76C18414" w14:textId="77777777" w:rsidR="00A701DC" w:rsidRPr="00A701DC" w:rsidRDefault="00A701DC" w:rsidP="00A701DC">
            <w:pPr>
              <w:spacing w:after="0" w:line="240" w:lineRule="auto"/>
              <w:jc w:val="right"/>
              <w:rPr>
                <w:rFonts w:ascii="Arial" w:hAnsi="Arial" w:cs="Arial"/>
                <w:b/>
                <w:bCs/>
                <w:color w:val="000000"/>
                <w:sz w:val="16"/>
                <w:szCs w:val="16"/>
              </w:rPr>
            </w:pPr>
            <w:r w:rsidRPr="00A701DC">
              <w:rPr>
                <w:rFonts w:ascii="Arial" w:hAnsi="Arial" w:cs="Arial"/>
                <w:b/>
                <w:bCs/>
                <w:color w:val="000000"/>
                <w:sz w:val="16"/>
                <w:szCs w:val="16"/>
              </w:rPr>
              <w:t xml:space="preserve">21,144 </w:t>
            </w:r>
          </w:p>
        </w:tc>
        <w:tc>
          <w:tcPr>
            <w:tcW w:w="909" w:type="dxa"/>
            <w:tcBorders>
              <w:top w:val="nil"/>
              <w:left w:val="nil"/>
              <w:bottom w:val="single" w:sz="4" w:space="0" w:color="auto"/>
              <w:right w:val="nil"/>
            </w:tcBorders>
            <w:shd w:val="clear" w:color="000000" w:fill="E6E6E6"/>
            <w:noWrap/>
            <w:vAlign w:val="center"/>
            <w:hideMark/>
          </w:tcPr>
          <w:p w14:paraId="76C18415" w14:textId="77777777" w:rsidR="00A701DC" w:rsidRPr="00A701DC" w:rsidRDefault="00A701DC" w:rsidP="00A701DC">
            <w:pPr>
              <w:spacing w:after="0" w:line="240" w:lineRule="auto"/>
              <w:jc w:val="right"/>
              <w:rPr>
                <w:rFonts w:ascii="Arial" w:hAnsi="Arial" w:cs="Arial"/>
                <w:b/>
                <w:bCs/>
                <w:color w:val="000000"/>
                <w:sz w:val="16"/>
                <w:szCs w:val="16"/>
              </w:rPr>
            </w:pPr>
            <w:r w:rsidRPr="00A701DC">
              <w:rPr>
                <w:rFonts w:ascii="Arial" w:hAnsi="Arial" w:cs="Arial"/>
                <w:b/>
                <w:bCs/>
                <w:color w:val="000000"/>
                <w:sz w:val="16"/>
                <w:szCs w:val="16"/>
              </w:rPr>
              <w:t xml:space="preserve">21,622 </w:t>
            </w:r>
          </w:p>
        </w:tc>
        <w:tc>
          <w:tcPr>
            <w:tcW w:w="907" w:type="dxa"/>
            <w:tcBorders>
              <w:top w:val="nil"/>
              <w:left w:val="nil"/>
              <w:bottom w:val="single" w:sz="4" w:space="0" w:color="auto"/>
              <w:right w:val="nil"/>
            </w:tcBorders>
            <w:shd w:val="clear" w:color="auto" w:fill="auto"/>
            <w:noWrap/>
            <w:vAlign w:val="center"/>
            <w:hideMark/>
          </w:tcPr>
          <w:p w14:paraId="76C18416" w14:textId="77777777" w:rsidR="00A701DC" w:rsidRPr="00A701DC" w:rsidRDefault="00A701DC" w:rsidP="00A701DC">
            <w:pPr>
              <w:spacing w:after="0" w:line="240" w:lineRule="auto"/>
              <w:jc w:val="right"/>
              <w:rPr>
                <w:rFonts w:ascii="Arial" w:hAnsi="Arial" w:cs="Arial"/>
                <w:b/>
                <w:bCs/>
                <w:sz w:val="16"/>
                <w:szCs w:val="16"/>
              </w:rPr>
            </w:pPr>
            <w:r w:rsidRPr="00A701DC">
              <w:rPr>
                <w:rFonts w:ascii="Arial" w:hAnsi="Arial" w:cs="Arial"/>
                <w:b/>
                <w:bCs/>
                <w:sz w:val="16"/>
                <w:szCs w:val="16"/>
              </w:rPr>
              <w:t xml:space="preserve">22,108 </w:t>
            </w:r>
          </w:p>
        </w:tc>
        <w:tc>
          <w:tcPr>
            <w:tcW w:w="907" w:type="dxa"/>
            <w:tcBorders>
              <w:top w:val="nil"/>
              <w:left w:val="nil"/>
              <w:bottom w:val="single" w:sz="4" w:space="0" w:color="auto"/>
              <w:right w:val="nil"/>
            </w:tcBorders>
            <w:shd w:val="clear" w:color="auto" w:fill="auto"/>
            <w:noWrap/>
            <w:vAlign w:val="center"/>
            <w:hideMark/>
          </w:tcPr>
          <w:p w14:paraId="76C18417" w14:textId="77777777" w:rsidR="00A701DC" w:rsidRPr="00A701DC" w:rsidRDefault="00A701DC" w:rsidP="00A701DC">
            <w:pPr>
              <w:spacing w:after="0" w:line="240" w:lineRule="auto"/>
              <w:jc w:val="right"/>
              <w:rPr>
                <w:rFonts w:ascii="Arial" w:hAnsi="Arial" w:cs="Arial"/>
                <w:b/>
                <w:bCs/>
                <w:sz w:val="16"/>
                <w:szCs w:val="16"/>
              </w:rPr>
            </w:pPr>
            <w:r w:rsidRPr="00A701DC">
              <w:rPr>
                <w:rFonts w:ascii="Arial" w:hAnsi="Arial" w:cs="Arial"/>
                <w:b/>
                <w:bCs/>
                <w:sz w:val="16"/>
                <w:szCs w:val="16"/>
              </w:rPr>
              <w:t xml:space="preserve">22,566 </w:t>
            </w:r>
          </w:p>
        </w:tc>
        <w:tc>
          <w:tcPr>
            <w:tcW w:w="907" w:type="dxa"/>
            <w:tcBorders>
              <w:top w:val="nil"/>
              <w:left w:val="nil"/>
              <w:bottom w:val="single" w:sz="4" w:space="0" w:color="auto"/>
              <w:right w:val="nil"/>
            </w:tcBorders>
            <w:shd w:val="clear" w:color="auto" w:fill="auto"/>
            <w:noWrap/>
            <w:vAlign w:val="center"/>
            <w:hideMark/>
          </w:tcPr>
          <w:p w14:paraId="76C18418" w14:textId="77777777" w:rsidR="00A701DC" w:rsidRPr="00A701DC" w:rsidRDefault="00A701DC" w:rsidP="00A701DC">
            <w:pPr>
              <w:spacing w:after="0" w:line="240" w:lineRule="auto"/>
              <w:jc w:val="right"/>
              <w:rPr>
                <w:rFonts w:ascii="Arial" w:hAnsi="Arial" w:cs="Arial"/>
                <w:b/>
                <w:bCs/>
                <w:sz w:val="16"/>
                <w:szCs w:val="16"/>
              </w:rPr>
            </w:pPr>
            <w:r w:rsidRPr="00A701DC">
              <w:rPr>
                <w:rFonts w:ascii="Arial" w:hAnsi="Arial" w:cs="Arial"/>
                <w:b/>
                <w:bCs/>
                <w:sz w:val="16"/>
                <w:szCs w:val="16"/>
              </w:rPr>
              <w:t xml:space="preserve">23,113 </w:t>
            </w:r>
          </w:p>
        </w:tc>
      </w:tr>
      <w:tr w:rsidR="00A701DC" w:rsidRPr="00A701DC" w14:paraId="76C18420" w14:textId="77777777" w:rsidTr="00803AC9">
        <w:trPr>
          <w:trHeight w:val="225"/>
        </w:trPr>
        <w:tc>
          <w:tcPr>
            <w:tcW w:w="3391" w:type="dxa"/>
            <w:tcBorders>
              <w:top w:val="nil"/>
              <w:left w:val="nil"/>
              <w:bottom w:val="nil"/>
              <w:right w:val="nil"/>
            </w:tcBorders>
            <w:shd w:val="clear" w:color="auto" w:fill="auto"/>
            <w:noWrap/>
            <w:vAlign w:val="center"/>
            <w:hideMark/>
          </w:tcPr>
          <w:p w14:paraId="76C1841A" w14:textId="77777777" w:rsidR="00A701DC" w:rsidRPr="00A701DC" w:rsidRDefault="00A701DC" w:rsidP="00A701DC">
            <w:pPr>
              <w:spacing w:after="0" w:line="240" w:lineRule="auto"/>
              <w:jc w:val="right"/>
              <w:rPr>
                <w:rFonts w:ascii="Arial" w:hAnsi="Arial" w:cs="Arial"/>
                <w:b/>
                <w:bCs/>
                <w:sz w:val="16"/>
                <w:szCs w:val="16"/>
              </w:rPr>
            </w:pPr>
          </w:p>
        </w:tc>
        <w:tc>
          <w:tcPr>
            <w:tcW w:w="928" w:type="dxa"/>
            <w:tcBorders>
              <w:top w:val="nil"/>
              <w:left w:val="nil"/>
              <w:bottom w:val="nil"/>
              <w:right w:val="nil"/>
            </w:tcBorders>
            <w:shd w:val="clear" w:color="auto" w:fill="auto"/>
            <w:noWrap/>
            <w:vAlign w:val="center"/>
            <w:hideMark/>
          </w:tcPr>
          <w:p w14:paraId="76C1841B" w14:textId="77777777" w:rsidR="00A701DC" w:rsidRPr="00A701DC" w:rsidRDefault="00A701DC" w:rsidP="00A701DC">
            <w:pPr>
              <w:spacing w:after="0" w:line="240" w:lineRule="auto"/>
              <w:jc w:val="left"/>
              <w:rPr>
                <w:rFonts w:ascii="Times New Roman" w:hAnsi="Times New Roman"/>
              </w:rPr>
            </w:pPr>
          </w:p>
        </w:tc>
        <w:tc>
          <w:tcPr>
            <w:tcW w:w="909" w:type="dxa"/>
            <w:tcBorders>
              <w:top w:val="nil"/>
              <w:left w:val="nil"/>
              <w:bottom w:val="nil"/>
              <w:right w:val="nil"/>
            </w:tcBorders>
            <w:shd w:val="clear" w:color="auto" w:fill="auto"/>
            <w:noWrap/>
            <w:vAlign w:val="center"/>
            <w:hideMark/>
          </w:tcPr>
          <w:p w14:paraId="76C1841C" w14:textId="77777777" w:rsidR="00A701DC" w:rsidRPr="00A701DC" w:rsidRDefault="00A701DC" w:rsidP="00A701DC">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center"/>
            <w:hideMark/>
          </w:tcPr>
          <w:p w14:paraId="76C1841D" w14:textId="77777777" w:rsidR="00A701DC" w:rsidRPr="00A701DC" w:rsidRDefault="00A701DC" w:rsidP="00A701DC">
            <w:pPr>
              <w:spacing w:after="0" w:line="240" w:lineRule="auto"/>
              <w:jc w:val="right"/>
              <w:rPr>
                <w:rFonts w:ascii="Times New Roman" w:hAnsi="Times New Roman"/>
              </w:rPr>
            </w:pPr>
          </w:p>
        </w:tc>
        <w:tc>
          <w:tcPr>
            <w:tcW w:w="907" w:type="dxa"/>
            <w:tcBorders>
              <w:top w:val="nil"/>
              <w:left w:val="nil"/>
              <w:bottom w:val="nil"/>
              <w:right w:val="nil"/>
            </w:tcBorders>
            <w:shd w:val="clear" w:color="auto" w:fill="auto"/>
            <w:noWrap/>
            <w:vAlign w:val="center"/>
            <w:hideMark/>
          </w:tcPr>
          <w:p w14:paraId="76C1841E" w14:textId="77777777" w:rsidR="00A701DC" w:rsidRPr="00A701DC" w:rsidRDefault="00A701DC" w:rsidP="00A701DC">
            <w:pPr>
              <w:spacing w:after="0" w:line="240" w:lineRule="auto"/>
              <w:jc w:val="left"/>
              <w:rPr>
                <w:rFonts w:ascii="Times New Roman" w:hAnsi="Times New Roman"/>
              </w:rPr>
            </w:pPr>
          </w:p>
        </w:tc>
        <w:tc>
          <w:tcPr>
            <w:tcW w:w="907" w:type="dxa"/>
            <w:tcBorders>
              <w:top w:val="nil"/>
              <w:left w:val="nil"/>
              <w:bottom w:val="nil"/>
              <w:right w:val="nil"/>
            </w:tcBorders>
            <w:shd w:val="clear" w:color="auto" w:fill="auto"/>
            <w:noWrap/>
            <w:vAlign w:val="center"/>
            <w:hideMark/>
          </w:tcPr>
          <w:p w14:paraId="76C1841F" w14:textId="77777777" w:rsidR="00A701DC" w:rsidRPr="00A701DC" w:rsidRDefault="00A701DC" w:rsidP="00A701DC">
            <w:pPr>
              <w:spacing w:after="0" w:line="240" w:lineRule="auto"/>
              <w:jc w:val="left"/>
              <w:rPr>
                <w:rFonts w:ascii="Times New Roman" w:hAnsi="Times New Roman"/>
              </w:rPr>
            </w:pPr>
          </w:p>
        </w:tc>
      </w:tr>
      <w:tr w:rsidR="00A701DC" w:rsidRPr="00A701DC" w14:paraId="76C18427" w14:textId="77777777" w:rsidTr="00231E3F">
        <w:trPr>
          <w:trHeight w:val="210"/>
        </w:trPr>
        <w:tc>
          <w:tcPr>
            <w:tcW w:w="3391" w:type="dxa"/>
            <w:tcBorders>
              <w:top w:val="single" w:sz="4" w:space="0" w:color="auto"/>
              <w:left w:val="nil"/>
              <w:bottom w:val="nil"/>
              <w:right w:val="nil"/>
            </w:tcBorders>
            <w:shd w:val="clear" w:color="auto" w:fill="auto"/>
            <w:noWrap/>
            <w:vAlign w:val="center"/>
            <w:hideMark/>
          </w:tcPr>
          <w:p w14:paraId="76C18421" w14:textId="77777777" w:rsidR="00A701DC" w:rsidRPr="00A701DC" w:rsidRDefault="00A701DC" w:rsidP="00A701DC">
            <w:pPr>
              <w:spacing w:after="0" w:line="240" w:lineRule="auto"/>
              <w:jc w:val="left"/>
              <w:rPr>
                <w:rFonts w:ascii="Arial" w:hAnsi="Arial" w:cs="Arial"/>
                <w:color w:val="000000"/>
                <w:sz w:val="16"/>
                <w:szCs w:val="16"/>
              </w:rPr>
            </w:pPr>
            <w:r w:rsidRPr="00A701DC">
              <w:rPr>
                <w:rFonts w:ascii="Arial" w:hAnsi="Arial" w:cs="Arial"/>
                <w:color w:val="000000"/>
                <w:sz w:val="16"/>
                <w:szCs w:val="16"/>
              </w:rPr>
              <w:t> </w:t>
            </w:r>
          </w:p>
        </w:tc>
        <w:tc>
          <w:tcPr>
            <w:tcW w:w="928" w:type="dxa"/>
            <w:tcBorders>
              <w:top w:val="single" w:sz="4" w:space="0" w:color="auto"/>
              <w:left w:val="nil"/>
              <w:bottom w:val="single" w:sz="4" w:space="0" w:color="auto"/>
              <w:right w:val="nil"/>
            </w:tcBorders>
            <w:shd w:val="clear" w:color="auto" w:fill="auto"/>
            <w:noWrap/>
            <w:vAlign w:val="center"/>
            <w:hideMark/>
          </w:tcPr>
          <w:p w14:paraId="76C18422" w14:textId="77777777" w:rsidR="00A701DC" w:rsidRPr="00A701DC" w:rsidRDefault="009A4174" w:rsidP="00A701DC">
            <w:pPr>
              <w:spacing w:after="0" w:line="240" w:lineRule="auto"/>
              <w:jc w:val="right"/>
              <w:rPr>
                <w:rFonts w:ascii="Arial" w:hAnsi="Arial" w:cs="Arial"/>
                <w:sz w:val="16"/>
                <w:szCs w:val="16"/>
              </w:rPr>
            </w:pPr>
            <w:r>
              <w:rPr>
                <w:rFonts w:ascii="Arial" w:hAnsi="Arial" w:cs="Arial"/>
                <w:sz w:val="16"/>
                <w:szCs w:val="16"/>
              </w:rPr>
              <w:t xml:space="preserve">2018–19 </w:t>
            </w:r>
          </w:p>
        </w:tc>
        <w:tc>
          <w:tcPr>
            <w:tcW w:w="909" w:type="dxa"/>
            <w:tcBorders>
              <w:top w:val="single" w:sz="4" w:space="0" w:color="auto"/>
              <w:left w:val="nil"/>
              <w:bottom w:val="single" w:sz="4" w:space="0" w:color="auto"/>
              <w:right w:val="nil"/>
            </w:tcBorders>
            <w:shd w:val="clear" w:color="auto" w:fill="E6E6E6"/>
            <w:noWrap/>
            <w:vAlign w:val="center"/>
            <w:hideMark/>
          </w:tcPr>
          <w:p w14:paraId="76C18423" w14:textId="77777777" w:rsidR="00A701DC" w:rsidRPr="00A701DC" w:rsidRDefault="00A701DC" w:rsidP="00A701DC">
            <w:pPr>
              <w:spacing w:after="0" w:line="240" w:lineRule="auto"/>
              <w:jc w:val="right"/>
              <w:rPr>
                <w:rFonts w:ascii="Arial" w:hAnsi="Arial" w:cs="Arial"/>
                <w:sz w:val="16"/>
                <w:szCs w:val="16"/>
              </w:rPr>
            </w:pPr>
            <w:r w:rsidRPr="00A701DC">
              <w:rPr>
                <w:rFonts w:ascii="Arial" w:hAnsi="Arial" w:cs="Arial"/>
                <w:sz w:val="16"/>
                <w:szCs w:val="16"/>
              </w:rPr>
              <w:t>2019–20</w:t>
            </w:r>
          </w:p>
        </w:tc>
        <w:tc>
          <w:tcPr>
            <w:tcW w:w="907" w:type="dxa"/>
            <w:tcBorders>
              <w:top w:val="nil"/>
              <w:left w:val="nil"/>
              <w:bottom w:val="nil"/>
              <w:right w:val="nil"/>
            </w:tcBorders>
            <w:shd w:val="clear" w:color="auto" w:fill="auto"/>
            <w:noWrap/>
            <w:vAlign w:val="center"/>
            <w:hideMark/>
          </w:tcPr>
          <w:p w14:paraId="76C18424" w14:textId="77777777" w:rsidR="00A701DC" w:rsidRPr="00A701DC" w:rsidRDefault="00A701DC" w:rsidP="00A701DC">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76C18425" w14:textId="77777777" w:rsidR="00A701DC" w:rsidRPr="00A701DC" w:rsidRDefault="00A701DC" w:rsidP="00A701DC">
            <w:pPr>
              <w:spacing w:after="0" w:line="240" w:lineRule="auto"/>
              <w:jc w:val="left"/>
              <w:rPr>
                <w:rFonts w:ascii="Times New Roman" w:hAnsi="Times New Roman"/>
              </w:rPr>
            </w:pPr>
          </w:p>
        </w:tc>
        <w:tc>
          <w:tcPr>
            <w:tcW w:w="907" w:type="dxa"/>
            <w:tcBorders>
              <w:top w:val="nil"/>
              <w:left w:val="nil"/>
              <w:bottom w:val="nil"/>
              <w:right w:val="nil"/>
            </w:tcBorders>
            <w:shd w:val="clear" w:color="auto" w:fill="auto"/>
            <w:noWrap/>
            <w:vAlign w:val="center"/>
            <w:hideMark/>
          </w:tcPr>
          <w:p w14:paraId="76C18426" w14:textId="77777777" w:rsidR="00A701DC" w:rsidRPr="00A701DC" w:rsidRDefault="00A701DC" w:rsidP="00A701DC">
            <w:pPr>
              <w:spacing w:after="0" w:line="240" w:lineRule="auto"/>
              <w:jc w:val="left"/>
              <w:rPr>
                <w:rFonts w:ascii="Times New Roman" w:hAnsi="Times New Roman"/>
              </w:rPr>
            </w:pPr>
          </w:p>
        </w:tc>
      </w:tr>
      <w:tr w:rsidR="00A701DC" w:rsidRPr="00A701DC" w14:paraId="76C1842E" w14:textId="77777777" w:rsidTr="00231E3F">
        <w:trPr>
          <w:trHeight w:val="210"/>
        </w:trPr>
        <w:tc>
          <w:tcPr>
            <w:tcW w:w="3391" w:type="dxa"/>
            <w:tcBorders>
              <w:top w:val="nil"/>
              <w:left w:val="nil"/>
              <w:bottom w:val="single" w:sz="4" w:space="0" w:color="auto"/>
              <w:right w:val="nil"/>
            </w:tcBorders>
            <w:shd w:val="clear" w:color="auto" w:fill="auto"/>
            <w:noWrap/>
            <w:vAlign w:val="center"/>
            <w:hideMark/>
          </w:tcPr>
          <w:p w14:paraId="76C18428" w14:textId="77777777" w:rsidR="00A701DC" w:rsidRPr="00A701DC" w:rsidRDefault="00A701DC" w:rsidP="00A701DC">
            <w:pPr>
              <w:spacing w:after="0" w:line="240" w:lineRule="auto"/>
              <w:jc w:val="left"/>
              <w:rPr>
                <w:rFonts w:ascii="Arial" w:hAnsi="Arial" w:cs="Arial"/>
                <w:b/>
                <w:bCs/>
                <w:color w:val="000000"/>
                <w:sz w:val="16"/>
                <w:szCs w:val="16"/>
              </w:rPr>
            </w:pPr>
            <w:r w:rsidRPr="00A701DC">
              <w:rPr>
                <w:rFonts w:ascii="Arial" w:hAnsi="Arial" w:cs="Arial"/>
                <w:b/>
                <w:bCs/>
                <w:color w:val="000000"/>
                <w:sz w:val="16"/>
                <w:szCs w:val="16"/>
              </w:rPr>
              <w:t>Average staffing level (number)</w:t>
            </w:r>
          </w:p>
        </w:tc>
        <w:tc>
          <w:tcPr>
            <w:tcW w:w="928" w:type="dxa"/>
            <w:tcBorders>
              <w:top w:val="nil"/>
              <w:left w:val="nil"/>
              <w:bottom w:val="single" w:sz="4" w:space="0" w:color="auto"/>
              <w:right w:val="nil"/>
            </w:tcBorders>
            <w:shd w:val="clear" w:color="auto" w:fill="auto"/>
            <w:noWrap/>
            <w:vAlign w:val="center"/>
            <w:hideMark/>
          </w:tcPr>
          <w:p w14:paraId="76C18429"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101 </w:t>
            </w:r>
          </w:p>
        </w:tc>
        <w:tc>
          <w:tcPr>
            <w:tcW w:w="909" w:type="dxa"/>
            <w:tcBorders>
              <w:top w:val="nil"/>
              <w:left w:val="nil"/>
              <w:bottom w:val="single" w:sz="4" w:space="0" w:color="auto"/>
              <w:right w:val="nil"/>
            </w:tcBorders>
            <w:shd w:val="clear" w:color="auto" w:fill="E6E6E6"/>
            <w:noWrap/>
            <w:vAlign w:val="center"/>
            <w:hideMark/>
          </w:tcPr>
          <w:p w14:paraId="76C1842A" w14:textId="77777777" w:rsidR="00A701DC" w:rsidRPr="00A701DC" w:rsidRDefault="00A701DC" w:rsidP="00A701DC">
            <w:pPr>
              <w:spacing w:after="0" w:line="240" w:lineRule="auto"/>
              <w:jc w:val="right"/>
              <w:rPr>
                <w:rFonts w:ascii="Arial" w:hAnsi="Arial" w:cs="Arial"/>
                <w:color w:val="000000"/>
                <w:sz w:val="16"/>
                <w:szCs w:val="16"/>
              </w:rPr>
            </w:pPr>
            <w:r w:rsidRPr="00A701DC">
              <w:rPr>
                <w:rFonts w:ascii="Arial" w:hAnsi="Arial" w:cs="Arial"/>
                <w:color w:val="000000"/>
                <w:sz w:val="16"/>
                <w:szCs w:val="16"/>
              </w:rPr>
              <w:t xml:space="preserve">101 </w:t>
            </w:r>
          </w:p>
        </w:tc>
        <w:tc>
          <w:tcPr>
            <w:tcW w:w="907" w:type="dxa"/>
            <w:tcBorders>
              <w:top w:val="nil"/>
              <w:left w:val="nil"/>
              <w:bottom w:val="nil"/>
              <w:right w:val="nil"/>
            </w:tcBorders>
            <w:shd w:val="clear" w:color="auto" w:fill="auto"/>
            <w:noWrap/>
            <w:vAlign w:val="center"/>
            <w:hideMark/>
          </w:tcPr>
          <w:p w14:paraId="76C1842B" w14:textId="77777777" w:rsidR="00A701DC" w:rsidRPr="00A701DC" w:rsidRDefault="00A701DC" w:rsidP="00A701D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6C1842C" w14:textId="77777777" w:rsidR="00A701DC" w:rsidRPr="00A701DC" w:rsidRDefault="00A701DC" w:rsidP="00A701DC">
            <w:pPr>
              <w:spacing w:after="0" w:line="240" w:lineRule="auto"/>
              <w:jc w:val="left"/>
              <w:rPr>
                <w:rFonts w:ascii="Times New Roman" w:hAnsi="Times New Roman"/>
              </w:rPr>
            </w:pPr>
          </w:p>
        </w:tc>
        <w:tc>
          <w:tcPr>
            <w:tcW w:w="907" w:type="dxa"/>
            <w:tcBorders>
              <w:top w:val="nil"/>
              <w:left w:val="nil"/>
              <w:bottom w:val="nil"/>
              <w:right w:val="nil"/>
            </w:tcBorders>
            <w:shd w:val="clear" w:color="auto" w:fill="auto"/>
            <w:noWrap/>
            <w:vAlign w:val="center"/>
            <w:hideMark/>
          </w:tcPr>
          <w:p w14:paraId="76C1842D" w14:textId="77777777" w:rsidR="00A701DC" w:rsidRPr="00A701DC" w:rsidRDefault="00A701DC" w:rsidP="00A701DC">
            <w:pPr>
              <w:spacing w:after="0" w:line="240" w:lineRule="auto"/>
              <w:jc w:val="left"/>
              <w:rPr>
                <w:rFonts w:ascii="Times New Roman" w:hAnsi="Times New Roman"/>
              </w:rPr>
            </w:pPr>
          </w:p>
        </w:tc>
      </w:tr>
    </w:tbl>
    <w:p w14:paraId="76C1842F" w14:textId="77777777" w:rsidR="00710E67" w:rsidRPr="00FB410E" w:rsidRDefault="00A701DC" w:rsidP="003732E1">
      <w:pPr>
        <w:pStyle w:val="ListParagraph"/>
        <w:numPr>
          <w:ilvl w:val="0"/>
          <w:numId w:val="40"/>
        </w:numPr>
        <w:spacing w:before="120" w:after="0" w:line="240" w:lineRule="auto"/>
        <w:rPr>
          <w:rFonts w:ascii="Arial" w:hAnsi="Arial" w:cs="Arial"/>
          <w:sz w:val="16"/>
          <w:szCs w:val="16"/>
        </w:rPr>
      </w:pPr>
      <w:r w:rsidRPr="00FB410E">
        <w:rPr>
          <w:rFonts w:ascii="Arial" w:hAnsi="Arial" w:cs="Arial"/>
          <w:sz w:val="16"/>
          <w:szCs w:val="16"/>
        </w:rPr>
        <w:t>Expenses not requiring appropriation in the Budget year are made up of depreciation expenses, amortisation expenses, and audit fees.</w:t>
      </w:r>
    </w:p>
    <w:p w14:paraId="76C18430" w14:textId="77777777" w:rsidR="00710E67" w:rsidRPr="00F71634" w:rsidRDefault="0061075E" w:rsidP="003732E1">
      <w:pPr>
        <w:pStyle w:val="Source"/>
        <w:spacing w:before="120"/>
        <w:jc w:val="left"/>
      </w:pPr>
      <w:r w:rsidRPr="00446612">
        <w:t>Note: Departmental appropriation splits and totals are indicative estimates and may change in the course of the budget year as government priorities change.</w:t>
      </w:r>
      <w:r>
        <w:rPr>
          <w:highlight w:val="yellow"/>
        </w:rPr>
        <w:br w:type="page"/>
      </w:r>
    </w:p>
    <w:p w14:paraId="76C18431" w14:textId="77777777" w:rsidR="0061075E" w:rsidRPr="00710E67" w:rsidRDefault="0061075E" w:rsidP="0061075E">
      <w:pPr>
        <w:pStyle w:val="TableHeading"/>
        <w:rPr>
          <w:lang w:val="en-AU"/>
        </w:rPr>
      </w:pPr>
      <w:r w:rsidRPr="00F71634">
        <w:t>Table 2.</w:t>
      </w:r>
      <w:r w:rsidR="00710E67">
        <w:rPr>
          <w:lang w:val="en-AU"/>
        </w:rPr>
        <w:t>1</w:t>
      </w:r>
      <w:r w:rsidRPr="00F71634">
        <w:t>.</w:t>
      </w:r>
      <w:r w:rsidR="00710E67">
        <w:rPr>
          <w:lang w:val="en-AU"/>
        </w:rPr>
        <w:t>2</w:t>
      </w:r>
      <w:r w:rsidRPr="00F71634">
        <w:t xml:space="preserve">: Performance criteria for Outcome </w:t>
      </w:r>
      <w:r w:rsidR="00710E67">
        <w:rPr>
          <w:lang w:val="en-AU"/>
        </w:rPr>
        <w:t>1</w:t>
      </w:r>
    </w:p>
    <w:p w14:paraId="76C18432" w14:textId="77777777" w:rsidR="0061075E" w:rsidRDefault="00710E67" w:rsidP="0061075E">
      <w:r>
        <w:t>Table 2.1</w:t>
      </w:r>
      <w:r w:rsidR="0061075E" w:rsidRPr="00B166C6">
        <w:t>.</w:t>
      </w:r>
      <w:r>
        <w:t>2</w:t>
      </w:r>
      <w:r w:rsidR="0061075E" w:rsidRPr="00B166C6">
        <w:t xml:space="preserve"> below details the performance criteria for each program associated with Outcome </w:t>
      </w:r>
      <w:r>
        <w:t>1</w:t>
      </w:r>
      <w:r w:rsidR="0061075E" w:rsidRPr="00B166C6">
        <w:t xml:space="preserve">. It also summarises how each program is delivered and where </w:t>
      </w:r>
      <w:r w:rsidR="009A4174">
        <w:t>2019–20</w:t>
      </w:r>
      <w:r w:rsidR="0061075E"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020E65" w:rsidRPr="00F71634" w14:paraId="76C18434" w14:textId="77777777" w:rsidTr="00B41972">
        <w:trPr>
          <w:tblHeader/>
        </w:trPr>
        <w:tc>
          <w:tcPr>
            <w:tcW w:w="7741" w:type="dxa"/>
            <w:gridSpan w:val="3"/>
            <w:shd w:val="clear" w:color="auto" w:fill="F2F2F2"/>
          </w:tcPr>
          <w:p w14:paraId="76C18433" w14:textId="5AFD1E5F" w:rsidR="00020E65" w:rsidRPr="006906E4" w:rsidRDefault="00020E65" w:rsidP="00B41972">
            <w:pPr>
              <w:pStyle w:val="TableColumnHeadingLeft"/>
            </w:pPr>
            <w:r w:rsidRPr="006906E4">
              <w:t xml:space="preserve">Outcome </w:t>
            </w:r>
            <w:r>
              <w:t>1</w:t>
            </w:r>
            <w:r w:rsidR="00B403B5">
              <w:t xml:space="preserve"> </w:t>
            </w:r>
            <w:r w:rsidR="00803AC9">
              <w:t>—</w:t>
            </w:r>
            <w:r w:rsidR="00B403B5">
              <w:t xml:space="preserve"> </w:t>
            </w:r>
            <w:r>
              <w:t>Healthier, safer and more productive workplaces through improvements to Australian work health and safety and workers’ compensation arrangements.</w:t>
            </w:r>
          </w:p>
        </w:tc>
      </w:tr>
      <w:tr w:rsidR="00020E65" w:rsidRPr="00F71634" w14:paraId="76C18437" w14:textId="77777777" w:rsidTr="00B41972">
        <w:trPr>
          <w:tblHeader/>
        </w:trPr>
        <w:tc>
          <w:tcPr>
            <w:tcW w:w="7741" w:type="dxa"/>
            <w:gridSpan w:val="3"/>
            <w:shd w:val="clear" w:color="auto" w:fill="F2F2F2"/>
          </w:tcPr>
          <w:p w14:paraId="76C18435" w14:textId="74444A46" w:rsidR="00020E65" w:rsidRPr="00FB6B43" w:rsidRDefault="00020E65" w:rsidP="00B41972">
            <w:pPr>
              <w:pStyle w:val="TableTextLeft"/>
              <w:rPr>
                <w:b/>
              </w:rPr>
            </w:pPr>
            <w:r w:rsidRPr="006906E4">
              <w:rPr>
                <w:rFonts w:cs="Arial"/>
                <w:b/>
                <w:sz w:val="16"/>
                <w:szCs w:val="16"/>
              </w:rPr>
              <w:t xml:space="preserve">Program </w:t>
            </w:r>
            <w:r>
              <w:rPr>
                <w:rFonts w:cs="Arial"/>
                <w:b/>
                <w:sz w:val="16"/>
                <w:szCs w:val="16"/>
              </w:rPr>
              <w:t>1</w:t>
            </w:r>
            <w:r w:rsidRPr="006906E4">
              <w:rPr>
                <w:rFonts w:cs="Arial"/>
                <w:b/>
                <w:sz w:val="16"/>
                <w:szCs w:val="16"/>
              </w:rPr>
              <w:t>.1</w:t>
            </w:r>
            <w:r w:rsidR="00B403B5">
              <w:rPr>
                <w:rFonts w:cs="Arial"/>
                <w:b/>
                <w:sz w:val="16"/>
                <w:szCs w:val="16"/>
              </w:rPr>
              <w:t xml:space="preserve"> </w:t>
            </w:r>
            <w:r w:rsidR="00803AC9" w:rsidRPr="00B403B5">
              <w:rPr>
                <w:b/>
              </w:rPr>
              <w:t>—</w:t>
            </w:r>
            <w:r w:rsidR="00B403B5">
              <w:t xml:space="preserve"> </w:t>
            </w:r>
            <w:r w:rsidRPr="00BD56FB">
              <w:rPr>
                <w:rFonts w:cs="Arial"/>
                <w:b/>
                <w:sz w:val="16"/>
                <w:szCs w:val="16"/>
              </w:rPr>
              <w:t>Reform of and improvements to Australian work health and safety and workers’ compensation arrangements</w:t>
            </w:r>
          </w:p>
          <w:p w14:paraId="76C18436" w14:textId="77777777" w:rsidR="00020E65" w:rsidRPr="007F07F1" w:rsidRDefault="00020E65" w:rsidP="00B41972">
            <w:pPr>
              <w:tabs>
                <w:tab w:val="left" w:pos="709"/>
              </w:tabs>
              <w:spacing w:before="60" w:after="60" w:line="240" w:lineRule="auto"/>
              <w:jc w:val="left"/>
              <w:rPr>
                <w:rFonts w:ascii="Arial" w:hAnsi="Arial" w:cs="Arial"/>
                <w:sz w:val="16"/>
                <w:szCs w:val="16"/>
              </w:rPr>
            </w:pPr>
            <w:r w:rsidRPr="007F07F1">
              <w:rPr>
                <w:rFonts w:ascii="Arial" w:hAnsi="Arial" w:cs="Arial"/>
                <w:sz w:val="16"/>
                <w:szCs w:val="16"/>
              </w:rPr>
              <w:t>This program contributes to Outcome 1 by ensuring the innovative development of evidence based policy which is central to Australia becoming a world leader in the delivery of improved safety and compensation outcomes.</w:t>
            </w:r>
          </w:p>
        </w:tc>
      </w:tr>
      <w:tr w:rsidR="00020E65" w:rsidRPr="00F71634" w14:paraId="76C1843B" w14:textId="77777777" w:rsidTr="00B41972">
        <w:tc>
          <w:tcPr>
            <w:tcW w:w="1701" w:type="dxa"/>
            <w:tcBorders>
              <w:bottom w:val="double" w:sz="4" w:space="0" w:color="auto"/>
            </w:tcBorders>
          </w:tcPr>
          <w:p w14:paraId="76C18438" w14:textId="77777777" w:rsidR="00020E65" w:rsidRPr="006906E4" w:rsidRDefault="00932A7F" w:rsidP="00B41972">
            <w:pPr>
              <w:tabs>
                <w:tab w:val="left" w:pos="709"/>
              </w:tabs>
              <w:spacing w:before="60" w:after="60" w:line="240" w:lineRule="auto"/>
              <w:jc w:val="left"/>
              <w:rPr>
                <w:rFonts w:ascii="Arial" w:hAnsi="Arial" w:cs="Arial"/>
                <w:b/>
                <w:sz w:val="16"/>
                <w:szCs w:val="16"/>
              </w:rPr>
            </w:pPr>
            <w:r>
              <w:rPr>
                <w:rFonts w:ascii="Arial" w:hAnsi="Arial" w:cs="Arial"/>
                <w:b/>
                <w:sz w:val="16"/>
                <w:szCs w:val="16"/>
              </w:rPr>
              <w:t>Purpose</w:t>
            </w:r>
          </w:p>
        </w:tc>
        <w:tc>
          <w:tcPr>
            <w:tcW w:w="6040" w:type="dxa"/>
            <w:gridSpan w:val="2"/>
            <w:tcBorders>
              <w:bottom w:val="double" w:sz="4" w:space="0" w:color="auto"/>
            </w:tcBorders>
          </w:tcPr>
          <w:p w14:paraId="76C18439" w14:textId="77777777" w:rsidR="00020E65" w:rsidRPr="00094FB2" w:rsidRDefault="00020E65" w:rsidP="00B41972">
            <w:pPr>
              <w:pStyle w:val="TableTextLeft"/>
              <w:rPr>
                <w:sz w:val="16"/>
              </w:rPr>
            </w:pPr>
            <w:r w:rsidRPr="00094FB2">
              <w:rPr>
                <w:sz w:val="16"/>
              </w:rPr>
              <w:t>Safe Work Australia has an important national role to achieve significant and continual reductions in the incidence of work-related death, injury and illness and to improve outcomes for injured workers and their employers.</w:t>
            </w:r>
          </w:p>
          <w:p w14:paraId="76C1843A" w14:textId="77777777" w:rsidR="00020E65" w:rsidRPr="007F07F1" w:rsidRDefault="00020E65" w:rsidP="00B41972">
            <w:pPr>
              <w:pStyle w:val="TableTextLeft"/>
              <w:rPr>
                <w:sz w:val="16"/>
                <w:szCs w:val="16"/>
              </w:rPr>
            </w:pPr>
            <w:r w:rsidRPr="00094FB2">
              <w:rPr>
                <w:sz w:val="16"/>
              </w:rPr>
              <w:t>To be able to meet its objectives Safe Work Australia works collaboratively with WHS regulators, industry and employee associations and the community to achieve healthy, safe and productive working lives for all Australians.</w:t>
            </w:r>
          </w:p>
        </w:tc>
      </w:tr>
      <w:tr w:rsidR="00020E65" w:rsidRPr="00F71634" w14:paraId="76C18445" w14:textId="77777777" w:rsidTr="00B41972">
        <w:tc>
          <w:tcPr>
            <w:tcW w:w="1701" w:type="dxa"/>
            <w:tcBorders>
              <w:bottom w:val="double" w:sz="4" w:space="0" w:color="auto"/>
            </w:tcBorders>
          </w:tcPr>
          <w:p w14:paraId="76C1843C" w14:textId="77777777" w:rsidR="00020E65" w:rsidRPr="006906E4" w:rsidRDefault="00020E65" w:rsidP="00B41972">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14:paraId="76C1843D" w14:textId="77777777" w:rsidR="00020E65" w:rsidRPr="007F07F1" w:rsidRDefault="00020E65" w:rsidP="00B41972">
            <w:pPr>
              <w:pStyle w:val="TableTextLeft"/>
              <w:rPr>
                <w:sz w:val="16"/>
                <w:szCs w:val="16"/>
              </w:rPr>
            </w:pPr>
            <w:r w:rsidRPr="007F07F1">
              <w:rPr>
                <w:sz w:val="16"/>
                <w:szCs w:val="16"/>
              </w:rPr>
              <w:t>The deliverables for Safe Work Australia</w:t>
            </w:r>
            <w:r>
              <w:rPr>
                <w:sz w:val="16"/>
                <w:szCs w:val="16"/>
              </w:rPr>
              <w:t xml:space="preserve"> support healthier and safer workplaces for all Australians, and</w:t>
            </w:r>
            <w:r w:rsidRPr="007F07F1">
              <w:rPr>
                <w:sz w:val="16"/>
                <w:szCs w:val="16"/>
              </w:rPr>
              <w:t xml:space="preserve"> have been developed with reference to the functions set out in the Act. These deliverables include to:</w:t>
            </w:r>
          </w:p>
          <w:p w14:paraId="76C1843E" w14:textId="77777777" w:rsidR="00020E65" w:rsidRPr="00053DB9" w:rsidRDefault="00020E65" w:rsidP="00B41972">
            <w:pPr>
              <w:pStyle w:val="TableTextBullet"/>
              <w:contextualSpacing/>
              <w:rPr>
                <w:rFonts w:cs="Arial"/>
                <w:sz w:val="16"/>
                <w:szCs w:val="16"/>
              </w:rPr>
            </w:pPr>
            <w:r w:rsidRPr="00053DB9">
              <w:rPr>
                <w:rFonts w:cs="Arial"/>
                <w:sz w:val="16"/>
                <w:szCs w:val="16"/>
              </w:rPr>
              <w:t>continue to implement the Members’ response to the findings of the mid-term review of the Australian Work Health and Safety Strategy 2012–2022 and coordinate and report on activities undertaken to assist in the achievement of the Strategy’s outcomes and targets</w:t>
            </w:r>
          </w:p>
          <w:p w14:paraId="76C1843F" w14:textId="7D361298" w:rsidR="00020E65" w:rsidRPr="00053DB9" w:rsidRDefault="00020E65" w:rsidP="00B41972">
            <w:pPr>
              <w:pStyle w:val="TableTextBullet"/>
              <w:contextualSpacing/>
              <w:rPr>
                <w:rFonts w:cs="Arial"/>
                <w:sz w:val="16"/>
                <w:szCs w:val="16"/>
              </w:rPr>
            </w:pPr>
            <w:r w:rsidRPr="00053DB9">
              <w:rPr>
                <w:rFonts w:cs="Arial"/>
                <w:sz w:val="16"/>
                <w:szCs w:val="16"/>
              </w:rPr>
              <w:t>implement the agreed recommendations of the review o</w:t>
            </w:r>
            <w:r w:rsidR="00EF2631" w:rsidRPr="00053DB9">
              <w:rPr>
                <w:rFonts w:cs="Arial"/>
                <w:sz w:val="16"/>
                <w:szCs w:val="16"/>
              </w:rPr>
              <w:t>f the model WHS </w:t>
            </w:r>
            <w:r w:rsidR="00DB4961">
              <w:rPr>
                <w:rFonts w:cs="Arial"/>
                <w:sz w:val="16"/>
                <w:szCs w:val="16"/>
              </w:rPr>
              <w:t>laws, and continue to</w:t>
            </w:r>
            <w:r w:rsidRPr="00053DB9">
              <w:rPr>
                <w:rFonts w:cs="Arial"/>
                <w:sz w:val="16"/>
                <w:szCs w:val="16"/>
              </w:rPr>
              <w:t xml:space="preserve"> develop policy to support the effective and efficient operation of the laws and improvements to safety outcomes</w:t>
            </w:r>
          </w:p>
          <w:p w14:paraId="76C18440" w14:textId="77777777" w:rsidR="00020E65" w:rsidRPr="00053DB9" w:rsidRDefault="00020E65" w:rsidP="00B41972">
            <w:pPr>
              <w:pStyle w:val="TableTextBullet"/>
              <w:contextualSpacing/>
              <w:rPr>
                <w:rFonts w:cs="Arial"/>
                <w:sz w:val="16"/>
                <w:szCs w:val="16"/>
              </w:rPr>
            </w:pPr>
            <w:r w:rsidRPr="00053DB9">
              <w:rPr>
                <w:rFonts w:cs="Arial"/>
                <w:sz w:val="16"/>
                <w:szCs w:val="16"/>
              </w:rPr>
              <w:t>develop policy proposals and supporting strategies to improve workers’ compensation arrangements, with a particular focus on return to work</w:t>
            </w:r>
          </w:p>
          <w:p w14:paraId="76C18441" w14:textId="77777777" w:rsidR="00020E65" w:rsidRPr="00053DB9" w:rsidRDefault="00020E65" w:rsidP="00B41972">
            <w:pPr>
              <w:pStyle w:val="TableTextBullet"/>
              <w:contextualSpacing/>
              <w:rPr>
                <w:rFonts w:cs="Arial"/>
                <w:sz w:val="16"/>
                <w:szCs w:val="16"/>
              </w:rPr>
            </w:pPr>
            <w:r w:rsidRPr="00053DB9">
              <w:rPr>
                <w:rFonts w:cs="Arial"/>
                <w:sz w:val="16"/>
                <w:szCs w:val="16"/>
              </w:rPr>
              <w:t>collect, analyse and report on relevant data and undertake and disseminate research to identify new priorities and provide evidence for the development or evaluation of policies and supporting strategies</w:t>
            </w:r>
          </w:p>
          <w:p w14:paraId="76C18442" w14:textId="77777777" w:rsidR="00020E65" w:rsidRPr="00053DB9" w:rsidRDefault="00020E65" w:rsidP="00B41972">
            <w:pPr>
              <w:pStyle w:val="TableTextBullet"/>
              <w:contextualSpacing/>
              <w:rPr>
                <w:rFonts w:cs="Arial"/>
                <w:sz w:val="16"/>
                <w:szCs w:val="16"/>
              </w:rPr>
            </w:pPr>
            <w:r w:rsidRPr="00053DB9">
              <w:rPr>
                <w:rFonts w:cs="Arial"/>
                <w:sz w:val="16"/>
                <w:szCs w:val="16"/>
              </w:rPr>
              <w:t>develop and implement national education and communication strategies and initiatives to build awareness and knowledge of work health and safety and workers’ compensation and promote consistency in arrangements, and</w:t>
            </w:r>
          </w:p>
          <w:p w14:paraId="76C18443" w14:textId="77777777" w:rsidR="00020E65" w:rsidRPr="00053DB9" w:rsidRDefault="00020E65" w:rsidP="00B41972">
            <w:pPr>
              <w:pStyle w:val="TableTextBullet"/>
              <w:contextualSpacing/>
              <w:rPr>
                <w:rFonts w:cs="Arial"/>
                <w:sz w:val="16"/>
                <w:szCs w:val="16"/>
              </w:rPr>
            </w:pPr>
            <w:r w:rsidRPr="00053DB9">
              <w:rPr>
                <w:rFonts w:cs="Arial"/>
                <w:sz w:val="16"/>
                <w:szCs w:val="16"/>
              </w:rPr>
              <w:t>work with other national and international bodies to share data, information and/or knowledge, and represent Australia as appropriate, to improve Australian outcomes.</w:t>
            </w:r>
          </w:p>
          <w:p w14:paraId="76C18444" w14:textId="77777777" w:rsidR="00020E65" w:rsidRDefault="00020E65" w:rsidP="00B41972">
            <w:pPr>
              <w:pStyle w:val="TableTextBullet"/>
              <w:numPr>
                <w:ilvl w:val="0"/>
                <w:numId w:val="0"/>
              </w:numPr>
            </w:pPr>
            <w:r w:rsidRPr="007F07F1">
              <w:rPr>
                <w:sz w:val="16"/>
                <w:szCs w:val="16"/>
              </w:rPr>
              <w:t>Safe Work Australia’s corporate and operational plans provide further information on the strategies for achieving the outcome.</w:t>
            </w:r>
          </w:p>
        </w:tc>
      </w:tr>
      <w:tr w:rsidR="00020E65" w:rsidRPr="00F71634" w14:paraId="76C18447" w14:textId="77777777" w:rsidTr="00B41972">
        <w:tc>
          <w:tcPr>
            <w:tcW w:w="7741" w:type="dxa"/>
            <w:gridSpan w:val="3"/>
            <w:tcBorders>
              <w:top w:val="double" w:sz="4" w:space="0" w:color="auto"/>
              <w:bottom w:val="double" w:sz="4" w:space="0" w:color="auto"/>
            </w:tcBorders>
          </w:tcPr>
          <w:p w14:paraId="76C18446" w14:textId="77777777" w:rsidR="00020E65" w:rsidRPr="006906E4" w:rsidRDefault="00020E65" w:rsidP="00B41972">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020E65" w:rsidRPr="00F71634" w14:paraId="76C1844B" w14:textId="77777777" w:rsidTr="00EF2631">
        <w:tc>
          <w:tcPr>
            <w:tcW w:w="1701" w:type="dxa"/>
            <w:tcBorders>
              <w:top w:val="double" w:sz="4" w:space="0" w:color="auto"/>
              <w:bottom w:val="single" w:sz="4" w:space="0" w:color="auto"/>
              <w:right w:val="single" w:sz="4" w:space="0" w:color="auto"/>
            </w:tcBorders>
          </w:tcPr>
          <w:p w14:paraId="76C18448" w14:textId="77777777" w:rsidR="00020E65" w:rsidRPr="006906E4" w:rsidRDefault="00020E65" w:rsidP="00B41972">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8449" w14:textId="77777777" w:rsidR="00020E65" w:rsidRPr="006906E4" w:rsidRDefault="00020E65" w:rsidP="00B41972">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565" w:type="dxa"/>
            <w:tcBorders>
              <w:top w:val="double" w:sz="4" w:space="0" w:color="auto"/>
              <w:left w:val="single" w:sz="4" w:space="0" w:color="auto"/>
              <w:bottom w:val="single" w:sz="4" w:space="0" w:color="auto"/>
            </w:tcBorders>
          </w:tcPr>
          <w:p w14:paraId="76C1844A" w14:textId="77777777" w:rsidR="00020E65" w:rsidRPr="006906E4" w:rsidRDefault="00020E65" w:rsidP="00B41972">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020E65" w:rsidRPr="00F71634" w14:paraId="76C18453" w14:textId="77777777" w:rsidTr="00CF7058">
        <w:trPr>
          <w:trHeight w:val="60"/>
        </w:trPr>
        <w:tc>
          <w:tcPr>
            <w:tcW w:w="1701" w:type="dxa"/>
            <w:tcBorders>
              <w:top w:val="single" w:sz="4" w:space="0" w:color="auto"/>
              <w:bottom w:val="single" w:sz="4" w:space="0" w:color="auto"/>
              <w:right w:val="single" w:sz="4" w:space="0" w:color="auto"/>
            </w:tcBorders>
          </w:tcPr>
          <w:p w14:paraId="1DF186FC" w14:textId="77777777" w:rsidR="00020E65" w:rsidRDefault="00416B1B" w:rsidP="00B41972">
            <w:pPr>
              <w:tabs>
                <w:tab w:val="left" w:pos="709"/>
              </w:tabs>
              <w:spacing w:before="60" w:after="60" w:line="240" w:lineRule="auto"/>
              <w:jc w:val="left"/>
              <w:rPr>
                <w:rFonts w:ascii="Arial" w:hAnsi="Arial" w:cs="Arial"/>
                <w:sz w:val="16"/>
                <w:szCs w:val="16"/>
              </w:rPr>
            </w:pPr>
            <w:r>
              <w:rPr>
                <w:rFonts w:ascii="Arial" w:hAnsi="Arial" w:cs="Arial"/>
                <w:sz w:val="16"/>
                <w:szCs w:val="16"/>
              </w:rPr>
              <w:t>2018–</w:t>
            </w:r>
            <w:r w:rsidR="00020E65">
              <w:rPr>
                <w:rFonts w:ascii="Arial" w:hAnsi="Arial" w:cs="Arial"/>
                <w:sz w:val="16"/>
                <w:szCs w:val="16"/>
              </w:rPr>
              <w:t>19</w:t>
            </w:r>
          </w:p>
          <w:p w14:paraId="7EA67547" w14:textId="77777777" w:rsidR="00053DB9" w:rsidRPr="00053DB9" w:rsidRDefault="00053DB9" w:rsidP="00B41972">
            <w:pPr>
              <w:tabs>
                <w:tab w:val="left" w:pos="709"/>
              </w:tabs>
              <w:spacing w:before="60" w:after="60" w:line="240" w:lineRule="auto"/>
              <w:jc w:val="left"/>
              <w:rPr>
                <w:rFonts w:ascii="Arial" w:hAnsi="Arial" w:cs="Arial"/>
                <w:sz w:val="12"/>
                <w:szCs w:val="16"/>
              </w:rPr>
            </w:pPr>
          </w:p>
          <w:p w14:paraId="6B2CBB83" w14:textId="77777777" w:rsidR="00053DB9" w:rsidRPr="00053DB9" w:rsidRDefault="00053DB9" w:rsidP="00B41972">
            <w:pPr>
              <w:tabs>
                <w:tab w:val="left" w:pos="709"/>
              </w:tabs>
              <w:spacing w:before="60" w:after="60" w:line="240" w:lineRule="auto"/>
              <w:jc w:val="left"/>
              <w:rPr>
                <w:rFonts w:ascii="Arial" w:hAnsi="Arial" w:cs="Arial"/>
                <w:sz w:val="12"/>
                <w:szCs w:val="16"/>
              </w:rPr>
            </w:pPr>
          </w:p>
          <w:p w14:paraId="1C668CAB" w14:textId="77777777" w:rsidR="00053DB9" w:rsidRPr="00053DB9" w:rsidRDefault="00053DB9" w:rsidP="00B41972">
            <w:pPr>
              <w:tabs>
                <w:tab w:val="left" w:pos="709"/>
              </w:tabs>
              <w:spacing w:before="60" w:after="60" w:line="240" w:lineRule="auto"/>
              <w:jc w:val="left"/>
              <w:rPr>
                <w:rFonts w:ascii="Arial" w:hAnsi="Arial" w:cs="Arial"/>
                <w:sz w:val="12"/>
                <w:szCs w:val="16"/>
              </w:rPr>
            </w:pPr>
          </w:p>
          <w:p w14:paraId="10C31F9C" w14:textId="77777777" w:rsidR="00053DB9" w:rsidRPr="00053DB9" w:rsidRDefault="00053DB9" w:rsidP="00B41972">
            <w:pPr>
              <w:tabs>
                <w:tab w:val="left" w:pos="709"/>
              </w:tabs>
              <w:spacing w:before="60" w:after="60" w:line="240" w:lineRule="auto"/>
              <w:jc w:val="left"/>
              <w:rPr>
                <w:rFonts w:ascii="Arial" w:hAnsi="Arial" w:cs="Arial"/>
                <w:sz w:val="12"/>
                <w:szCs w:val="16"/>
              </w:rPr>
            </w:pPr>
          </w:p>
          <w:p w14:paraId="428A6DD4" w14:textId="77777777" w:rsidR="00053DB9" w:rsidRPr="00053DB9" w:rsidRDefault="00053DB9" w:rsidP="00B41972">
            <w:pPr>
              <w:tabs>
                <w:tab w:val="left" w:pos="709"/>
              </w:tabs>
              <w:spacing w:before="60" w:after="60" w:line="240" w:lineRule="auto"/>
              <w:jc w:val="left"/>
              <w:rPr>
                <w:rFonts w:ascii="Arial" w:hAnsi="Arial" w:cs="Arial"/>
                <w:sz w:val="12"/>
                <w:szCs w:val="16"/>
              </w:rPr>
            </w:pPr>
          </w:p>
          <w:p w14:paraId="76C1844C" w14:textId="2A4F62B4" w:rsidR="00053DB9" w:rsidRPr="006906E4" w:rsidRDefault="00053DB9" w:rsidP="00B41972">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844D" w14:textId="1849D609" w:rsidR="00020E65" w:rsidRPr="00094FB2" w:rsidRDefault="00020E65" w:rsidP="00B41972">
            <w:pPr>
              <w:pStyle w:val="TableTextLeft"/>
              <w:rPr>
                <w:sz w:val="16"/>
              </w:rPr>
            </w:pPr>
            <w:r w:rsidRPr="00094FB2">
              <w:rPr>
                <w:sz w:val="16"/>
              </w:rPr>
              <w:t>Activities in the Operational Plan are delivered to the expected quality, on time and within budget</w:t>
            </w:r>
            <w:r w:rsidR="00693447">
              <w:rPr>
                <w:sz w:val="16"/>
              </w:rPr>
              <w:t>.</w:t>
            </w:r>
          </w:p>
          <w:p w14:paraId="76C1844E" w14:textId="77777777" w:rsidR="00020E65" w:rsidRPr="00094FB2" w:rsidRDefault="00020E65" w:rsidP="00B41972">
            <w:pPr>
              <w:pStyle w:val="TableTextLeft"/>
              <w:rPr>
                <w:sz w:val="16"/>
              </w:rPr>
            </w:pPr>
            <w:r w:rsidRPr="00094FB2">
              <w:rPr>
                <w:sz w:val="16"/>
              </w:rPr>
              <w:t>Reductions in the incidence of work-related death, injury and illness through:</w:t>
            </w:r>
          </w:p>
          <w:p w14:paraId="76C1844F" w14:textId="77777777" w:rsidR="00020E65" w:rsidRPr="00EF2631" w:rsidRDefault="00020E65" w:rsidP="00EF2631">
            <w:pPr>
              <w:pStyle w:val="TableTextBullet"/>
              <w:contextualSpacing/>
              <w:rPr>
                <w:sz w:val="16"/>
              </w:rPr>
            </w:pPr>
            <w:r w:rsidRPr="00094FB2">
              <w:rPr>
                <w:sz w:val="16"/>
              </w:rPr>
              <w:t xml:space="preserve">an improved and reformed work health and safety framework </w:t>
            </w:r>
          </w:p>
        </w:tc>
        <w:tc>
          <w:tcPr>
            <w:tcW w:w="2565" w:type="dxa"/>
            <w:tcBorders>
              <w:top w:val="single" w:sz="4" w:space="0" w:color="auto"/>
              <w:left w:val="single" w:sz="4" w:space="0" w:color="auto"/>
              <w:bottom w:val="single" w:sz="4" w:space="0" w:color="auto"/>
            </w:tcBorders>
          </w:tcPr>
          <w:p w14:paraId="76C18450" w14:textId="270E3E06" w:rsidR="00020E65" w:rsidRPr="00094FB2" w:rsidRDefault="00020E65" w:rsidP="00B41972">
            <w:pPr>
              <w:pStyle w:val="TableTextLeft"/>
              <w:rPr>
                <w:sz w:val="16"/>
              </w:rPr>
            </w:pPr>
            <w:r w:rsidRPr="00094FB2">
              <w:rPr>
                <w:sz w:val="16"/>
              </w:rPr>
              <w:t>80% of Members and the Chair are satisfied with the agency’s achievements</w:t>
            </w:r>
            <w:r w:rsidR="00693447">
              <w:rPr>
                <w:sz w:val="16"/>
              </w:rPr>
              <w:t>.</w:t>
            </w:r>
          </w:p>
          <w:p w14:paraId="76C18451" w14:textId="77777777" w:rsidR="00020E65" w:rsidRPr="00094FB2" w:rsidRDefault="00020E65" w:rsidP="00B41972">
            <w:pPr>
              <w:pStyle w:val="TableTextLeft"/>
              <w:rPr>
                <w:sz w:val="16"/>
              </w:rPr>
            </w:pPr>
            <w:r w:rsidRPr="00094FB2">
              <w:rPr>
                <w:sz w:val="16"/>
              </w:rPr>
              <w:t>By 2022:</w:t>
            </w:r>
          </w:p>
          <w:p w14:paraId="76C18452" w14:textId="77777777" w:rsidR="00020E65" w:rsidRPr="00EF2631" w:rsidRDefault="00020E65" w:rsidP="00EF2631">
            <w:pPr>
              <w:pStyle w:val="TableTextBullet"/>
              <w:contextualSpacing/>
              <w:rPr>
                <w:sz w:val="16"/>
              </w:rPr>
            </w:pPr>
            <w:r w:rsidRPr="00053DB9">
              <w:rPr>
                <w:rFonts w:cs="Arial"/>
                <w:sz w:val="16"/>
                <w:szCs w:val="16"/>
              </w:rPr>
              <w:t>reduce</w:t>
            </w:r>
            <w:r w:rsidRPr="00094FB2">
              <w:rPr>
                <w:sz w:val="16"/>
              </w:rPr>
              <w:t xml:space="preserve"> workplace fatalities due to injury by 20 per cent or more</w:t>
            </w:r>
          </w:p>
        </w:tc>
      </w:tr>
      <w:tr w:rsidR="00FA5EA3" w:rsidRPr="00F71634" w14:paraId="678DC981" w14:textId="77777777" w:rsidTr="00231E3F">
        <w:trPr>
          <w:trHeight w:val="60"/>
        </w:trPr>
        <w:tc>
          <w:tcPr>
            <w:tcW w:w="1701" w:type="dxa"/>
            <w:tcBorders>
              <w:top w:val="single" w:sz="4" w:space="0" w:color="auto"/>
              <w:left w:val="nil"/>
              <w:bottom w:val="single" w:sz="4" w:space="0" w:color="auto"/>
              <w:right w:val="nil"/>
            </w:tcBorders>
          </w:tcPr>
          <w:p w14:paraId="02DEA1C9" w14:textId="77777777" w:rsidR="00FA5EA3" w:rsidRDefault="00FA5EA3" w:rsidP="00B41972">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nil"/>
              <w:bottom w:val="single" w:sz="4" w:space="0" w:color="auto"/>
              <w:right w:val="nil"/>
            </w:tcBorders>
          </w:tcPr>
          <w:p w14:paraId="31F13DBD" w14:textId="77777777" w:rsidR="00FA5EA3" w:rsidRPr="00094FB2" w:rsidRDefault="00FA5EA3" w:rsidP="00B41972">
            <w:pPr>
              <w:pStyle w:val="TableTextLeft"/>
              <w:rPr>
                <w:sz w:val="16"/>
              </w:rPr>
            </w:pPr>
          </w:p>
        </w:tc>
        <w:tc>
          <w:tcPr>
            <w:tcW w:w="2565" w:type="dxa"/>
            <w:tcBorders>
              <w:top w:val="single" w:sz="4" w:space="0" w:color="auto"/>
              <w:left w:val="nil"/>
              <w:bottom w:val="single" w:sz="4" w:space="0" w:color="auto"/>
              <w:right w:val="nil"/>
            </w:tcBorders>
          </w:tcPr>
          <w:p w14:paraId="0EDA4B77" w14:textId="77777777" w:rsidR="00FA5EA3" w:rsidRPr="00094FB2" w:rsidRDefault="00FA5EA3" w:rsidP="00B41972">
            <w:pPr>
              <w:pStyle w:val="TableTextLeft"/>
              <w:rPr>
                <w:sz w:val="16"/>
              </w:rPr>
            </w:pPr>
          </w:p>
        </w:tc>
      </w:tr>
      <w:tr w:rsidR="00EF2631" w:rsidRPr="00F71634" w14:paraId="76C1845C" w14:textId="77777777" w:rsidTr="00231E3F">
        <w:trPr>
          <w:trHeight w:val="60"/>
        </w:trPr>
        <w:tc>
          <w:tcPr>
            <w:tcW w:w="1701" w:type="dxa"/>
            <w:tcBorders>
              <w:top w:val="single" w:sz="4" w:space="0" w:color="auto"/>
              <w:bottom w:val="dotted" w:sz="4" w:space="0" w:color="auto"/>
              <w:right w:val="single" w:sz="4" w:space="0" w:color="auto"/>
            </w:tcBorders>
          </w:tcPr>
          <w:p w14:paraId="76C18454" w14:textId="77777777" w:rsidR="00EF2631" w:rsidRDefault="00EF2631" w:rsidP="00B41972">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8455" w14:textId="77777777" w:rsidR="00EF2631" w:rsidRPr="00053DB9" w:rsidRDefault="00EF2631" w:rsidP="00EF2631">
            <w:pPr>
              <w:pStyle w:val="TableTextBullet"/>
              <w:contextualSpacing/>
              <w:rPr>
                <w:rFonts w:cs="Arial"/>
                <w:sz w:val="16"/>
                <w:szCs w:val="16"/>
              </w:rPr>
            </w:pPr>
            <w:r w:rsidRPr="00053DB9">
              <w:rPr>
                <w:rFonts w:cs="Arial"/>
                <w:sz w:val="16"/>
                <w:szCs w:val="16"/>
              </w:rPr>
              <w:t>increased work health and safety awareness and skills</w:t>
            </w:r>
          </w:p>
          <w:p w14:paraId="76C18456" w14:textId="77777777" w:rsidR="00EF2631" w:rsidRPr="00053DB9" w:rsidRDefault="00EF2631" w:rsidP="00053DB9">
            <w:pPr>
              <w:pStyle w:val="TableTextBullet"/>
              <w:contextualSpacing/>
              <w:rPr>
                <w:rFonts w:cs="Arial"/>
                <w:sz w:val="16"/>
                <w:szCs w:val="16"/>
              </w:rPr>
            </w:pPr>
            <w:r w:rsidRPr="00053DB9">
              <w:rPr>
                <w:rFonts w:cs="Arial"/>
                <w:sz w:val="16"/>
                <w:szCs w:val="16"/>
              </w:rPr>
              <w:t>developing and maintaining an evidence base which informs policy and practice</w:t>
            </w:r>
          </w:p>
          <w:p w14:paraId="76C18457" w14:textId="77777777" w:rsidR="00EF2631" w:rsidRPr="00053DB9" w:rsidRDefault="00EF2631" w:rsidP="00EF2631">
            <w:pPr>
              <w:pStyle w:val="TableTextBullet"/>
              <w:contextualSpacing/>
              <w:rPr>
                <w:rFonts w:cs="Arial"/>
                <w:sz w:val="16"/>
                <w:szCs w:val="16"/>
              </w:rPr>
            </w:pPr>
            <w:r w:rsidRPr="00053DB9">
              <w:rPr>
                <w:rFonts w:cs="Arial"/>
                <w:sz w:val="16"/>
                <w:szCs w:val="16"/>
              </w:rPr>
              <w:t xml:space="preserve">reduced exposure to work-related hazards causing injury and illness, and </w:t>
            </w:r>
          </w:p>
          <w:p w14:paraId="76C18458" w14:textId="5E9DCE9C" w:rsidR="00EF2631" w:rsidRPr="00094FB2" w:rsidRDefault="00EF2631" w:rsidP="00EF2631">
            <w:pPr>
              <w:pStyle w:val="TableTextBullet"/>
              <w:contextualSpacing/>
              <w:rPr>
                <w:sz w:val="16"/>
              </w:rPr>
            </w:pPr>
            <w:r w:rsidRPr="00053DB9">
              <w:rPr>
                <w:rFonts w:cs="Arial"/>
                <w:sz w:val="16"/>
                <w:szCs w:val="16"/>
              </w:rPr>
              <w:t>improved quality of workplace controls</w:t>
            </w:r>
            <w:r w:rsidR="00693447">
              <w:rPr>
                <w:rFonts w:cs="Arial"/>
                <w:sz w:val="16"/>
                <w:szCs w:val="16"/>
              </w:rPr>
              <w:t>.</w:t>
            </w:r>
          </w:p>
        </w:tc>
        <w:tc>
          <w:tcPr>
            <w:tcW w:w="2565" w:type="dxa"/>
            <w:tcBorders>
              <w:top w:val="single" w:sz="4" w:space="0" w:color="auto"/>
              <w:left w:val="single" w:sz="4" w:space="0" w:color="auto"/>
              <w:bottom w:val="dotted" w:sz="4" w:space="0" w:color="auto"/>
            </w:tcBorders>
          </w:tcPr>
          <w:p w14:paraId="76C18459" w14:textId="77777777" w:rsidR="00EF2631" w:rsidRPr="00053DB9" w:rsidRDefault="00EF2631" w:rsidP="00EF2631">
            <w:pPr>
              <w:pStyle w:val="TableTextBullet"/>
              <w:contextualSpacing/>
              <w:rPr>
                <w:rFonts w:cs="Arial"/>
                <w:sz w:val="16"/>
                <w:szCs w:val="16"/>
              </w:rPr>
            </w:pPr>
            <w:r w:rsidRPr="00094FB2">
              <w:rPr>
                <w:sz w:val="16"/>
              </w:rPr>
              <w:t>reduce the incidence rate of serious wor</w:t>
            </w:r>
            <w:r>
              <w:rPr>
                <w:sz w:val="16"/>
              </w:rPr>
              <w:t xml:space="preserve">kers’ </w:t>
            </w:r>
            <w:r w:rsidRPr="00053DB9">
              <w:rPr>
                <w:rFonts w:cs="Arial"/>
                <w:sz w:val="16"/>
                <w:szCs w:val="16"/>
              </w:rPr>
              <w:t>compensation claims by 30 per cent or more, and</w:t>
            </w:r>
          </w:p>
          <w:p w14:paraId="76C1845A" w14:textId="213DB3F6" w:rsidR="00EF2631" w:rsidRPr="00053DB9" w:rsidRDefault="00EF2631" w:rsidP="00053DB9">
            <w:pPr>
              <w:pStyle w:val="TableTextBullet"/>
              <w:contextualSpacing/>
              <w:rPr>
                <w:rFonts w:cs="Arial"/>
                <w:sz w:val="16"/>
                <w:szCs w:val="16"/>
              </w:rPr>
            </w:pPr>
            <w:r w:rsidRPr="00053DB9">
              <w:rPr>
                <w:rFonts w:cs="Arial"/>
                <w:sz w:val="16"/>
                <w:szCs w:val="16"/>
              </w:rPr>
              <w:t>reduce the incidence rate of serious workers’ compensation claims for musculoskeletal claims by 30 per cent or more</w:t>
            </w:r>
            <w:r w:rsidR="00693447">
              <w:rPr>
                <w:rFonts w:cs="Arial"/>
                <w:sz w:val="16"/>
                <w:szCs w:val="16"/>
              </w:rPr>
              <w:t>.</w:t>
            </w:r>
          </w:p>
          <w:p w14:paraId="76C1845B" w14:textId="68ADECE5" w:rsidR="00EF2631" w:rsidRPr="00094FB2" w:rsidRDefault="00EF2631" w:rsidP="00EF2631">
            <w:pPr>
              <w:pStyle w:val="TableTextLeft"/>
              <w:rPr>
                <w:sz w:val="16"/>
              </w:rPr>
            </w:pPr>
            <w:r w:rsidRPr="00094FB2">
              <w:rPr>
                <w:rFonts w:cs="Arial"/>
                <w:b/>
                <w:sz w:val="16"/>
                <w:szCs w:val="17"/>
              </w:rPr>
              <w:t>Assessment:</w:t>
            </w:r>
            <w:r w:rsidRPr="00094FB2">
              <w:rPr>
                <w:rFonts w:cs="Arial"/>
                <w:sz w:val="16"/>
                <w:szCs w:val="17"/>
              </w:rPr>
              <w:t xml:space="preserve"> On </w:t>
            </w:r>
            <w:r>
              <w:rPr>
                <w:rFonts w:cs="Arial"/>
                <w:sz w:val="16"/>
                <w:szCs w:val="17"/>
              </w:rPr>
              <w:t>track</w:t>
            </w:r>
            <w:r w:rsidR="00693447">
              <w:rPr>
                <w:rFonts w:cs="Arial"/>
                <w:sz w:val="16"/>
                <w:szCs w:val="17"/>
              </w:rPr>
              <w:t>.</w:t>
            </w:r>
          </w:p>
        </w:tc>
      </w:tr>
      <w:tr w:rsidR="00020E65" w:rsidRPr="00F71634" w14:paraId="76C1846A" w14:textId="77777777" w:rsidTr="00231E3F">
        <w:tc>
          <w:tcPr>
            <w:tcW w:w="1701" w:type="dxa"/>
            <w:tcBorders>
              <w:top w:val="dotted" w:sz="4" w:space="0" w:color="auto"/>
              <w:bottom w:val="dotted" w:sz="4" w:space="0" w:color="auto"/>
              <w:right w:val="single" w:sz="4" w:space="0" w:color="auto"/>
            </w:tcBorders>
          </w:tcPr>
          <w:p w14:paraId="76C1845D" w14:textId="77777777" w:rsidR="00020E65" w:rsidRPr="006906E4" w:rsidRDefault="00416B1B" w:rsidP="00B41972">
            <w:pPr>
              <w:tabs>
                <w:tab w:val="left" w:pos="709"/>
              </w:tabs>
              <w:spacing w:before="60" w:after="60" w:line="240" w:lineRule="auto"/>
              <w:jc w:val="left"/>
              <w:rPr>
                <w:rFonts w:ascii="Arial" w:hAnsi="Arial" w:cs="Arial"/>
                <w:sz w:val="16"/>
                <w:szCs w:val="16"/>
              </w:rPr>
            </w:pPr>
            <w:r>
              <w:rPr>
                <w:rFonts w:ascii="Arial" w:hAnsi="Arial" w:cs="Arial"/>
                <w:sz w:val="16"/>
                <w:szCs w:val="16"/>
              </w:rPr>
              <w:t>2019–</w:t>
            </w:r>
            <w:r w:rsidR="00020E65">
              <w:rPr>
                <w:rFonts w:ascii="Arial" w:hAnsi="Arial" w:cs="Arial"/>
                <w:sz w:val="16"/>
                <w:szCs w:val="16"/>
              </w:rPr>
              <w:t>20</w:t>
            </w:r>
          </w:p>
        </w:tc>
        <w:tc>
          <w:tcPr>
            <w:tcW w:w="3475" w:type="dxa"/>
            <w:tcBorders>
              <w:top w:val="dotted" w:sz="4" w:space="0" w:color="auto"/>
              <w:left w:val="single" w:sz="4" w:space="0" w:color="auto"/>
              <w:bottom w:val="dotted" w:sz="4" w:space="0" w:color="auto"/>
              <w:right w:val="single" w:sz="4" w:space="0" w:color="auto"/>
            </w:tcBorders>
          </w:tcPr>
          <w:p w14:paraId="76C1845E" w14:textId="55819FE4" w:rsidR="00020E65" w:rsidRPr="00693447" w:rsidRDefault="00020E65" w:rsidP="00B41972">
            <w:pPr>
              <w:pStyle w:val="TableTextBullet"/>
              <w:contextualSpacing/>
              <w:rPr>
                <w:rFonts w:cs="Arial"/>
                <w:sz w:val="16"/>
                <w:szCs w:val="16"/>
              </w:rPr>
            </w:pPr>
            <w:r w:rsidRPr="00693447">
              <w:rPr>
                <w:rFonts w:cs="Arial"/>
                <w:sz w:val="16"/>
                <w:szCs w:val="16"/>
              </w:rPr>
              <w:t>Activities in the Operational Plan are delivered to the expected quality, on time and within budget</w:t>
            </w:r>
            <w:r w:rsidR="00693447" w:rsidRPr="00693447">
              <w:rPr>
                <w:rFonts w:cs="Arial"/>
                <w:sz w:val="16"/>
                <w:szCs w:val="16"/>
              </w:rPr>
              <w:t>.</w:t>
            </w:r>
          </w:p>
          <w:p w14:paraId="76C1845F" w14:textId="77777777" w:rsidR="00020E65" w:rsidRPr="00693447" w:rsidRDefault="00020E65" w:rsidP="00B41972">
            <w:pPr>
              <w:pStyle w:val="TableTextBullet"/>
              <w:contextualSpacing/>
              <w:rPr>
                <w:rFonts w:cs="Arial"/>
                <w:sz w:val="16"/>
                <w:szCs w:val="16"/>
              </w:rPr>
            </w:pPr>
            <w:r w:rsidRPr="00693447">
              <w:rPr>
                <w:rFonts w:cs="Arial"/>
                <w:sz w:val="16"/>
                <w:szCs w:val="16"/>
              </w:rPr>
              <w:t>Reductions in the incidence of work-related death, injury and illness through:</w:t>
            </w:r>
          </w:p>
          <w:p w14:paraId="76C18460" w14:textId="77777777" w:rsidR="00020E65" w:rsidRPr="00693447" w:rsidRDefault="00020E65" w:rsidP="00693447">
            <w:pPr>
              <w:pStyle w:val="TableTextDash"/>
              <w:tabs>
                <w:tab w:val="clear" w:pos="851"/>
              </w:tabs>
              <w:ind w:left="633"/>
              <w:rPr>
                <w:sz w:val="16"/>
                <w:szCs w:val="16"/>
              </w:rPr>
            </w:pPr>
            <w:r w:rsidRPr="00693447">
              <w:rPr>
                <w:sz w:val="16"/>
                <w:szCs w:val="16"/>
              </w:rPr>
              <w:t xml:space="preserve">an improved and reformed work health and safety framework </w:t>
            </w:r>
          </w:p>
          <w:p w14:paraId="76C18461" w14:textId="77777777" w:rsidR="00020E65" w:rsidRPr="00693447" w:rsidRDefault="00020E65" w:rsidP="00693447">
            <w:pPr>
              <w:pStyle w:val="TableTextDash"/>
              <w:tabs>
                <w:tab w:val="clear" w:pos="851"/>
              </w:tabs>
              <w:ind w:left="633"/>
              <w:rPr>
                <w:sz w:val="16"/>
                <w:szCs w:val="16"/>
              </w:rPr>
            </w:pPr>
            <w:r w:rsidRPr="00693447">
              <w:rPr>
                <w:sz w:val="16"/>
                <w:szCs w:val="16"/>
              </w:rPr>
              <w:t>increased work health and safety awareness</w:t>
            </w:r>
          </w:p>
          <w:p w14:paraId="76C18462" w14:textId="77777777" w:rsidR="00020E65" w:rsidRPr="00693447" w:rsidRDefault="00020E65" w:rsidP="00693447">
            <w:pPr>
              <w:pStyle w:val="TableTextDash"/>
              <w:tabs>
                <w:tab w:val="clear" w:pos="851"/>
              </w:tabs>
              <w:ind w:left="633"/>
              <w:rPr>
                <w:sz w:val="16"/>
                <w:szCs w:val="16"/>
              </w:rPr>
            </w:pPr>
            <w:r w:rsidRPr="00693447">
              <w:rPr>
                <w:sz w:val="16"/>
                <w:szCs w:val="16"/>
              </w:rPr>
              <w:t>developing and maintaining an evidence base which informs policy and practice</w:t>
            </w:r>
          </w:p>
          <w:p w14:paraId="76C18463" w14:textId="77777777" w:rsidR="00020E65" w:rsidRPr="00693447" w:rsidRDefault="00020E65" w:rsidP="00693447">
            <w:pPr>
              <w:pStyle w:val="TableTextDash"/>
              <w:tabs>
                <w:tab w:val="clear" w:pos="851"/>
              </w:tabs>
              <w:ind w:left="633"/>
              <w:rPr>
                <w:sz w:val="16"/>
                <w:szCs w:val="16"/>
              </w:rPr>
            </w:pPr>
            <w:r w:rsidRPr="00693447">
              <w:rPr>
                <w:sz w:val="16"/>
                <w:szCs w:val="16"/>
              </w:rPr>
              <w:t xml:space="preserve">reduced exposure to work-related hazards causing injury and illness, and </w:t>
            </w:r>
          </w:p>
          <w:p w14:paraId="76C18464" w14:textId="09D960BA" w:rsidR="00020E65" w:rsidRPr="00693447" w:rsidRDefault="00020E65" w:rsidP="00693447">
            <w:pPr>
              <w:pStyle w:val="TableTextDash"/>
              <w:tabs>
                <w:tab w:val="clear" w:pos="851"/>
              </w:tabs>
              <w:ind w:left="633"/>
              <w:rPr>
                <w:i/>
                <w:color w:val="FF0000"/>
                <w:sz w:val="16"/>
                <w:szCs w:val="16"/>
              </w:rPr>
            </w:pPr>
            <w:r w:rsidRPr="00693447">
              <w:rPr>
                <w:sz w:val="16"/>
                <w:szCs w:val="16"/>
              </w:rPr>
              <w:t>improved quality of workplace controls</w:t>
            </w:r>
            <w:r w:rsidR="00693447" w:rsidRPr="00693447">
              <w:rPr>
                <w:sz w:val="16"/>
                <w:szCs w:val="16"/>
              </w:rPr>
              <w:t>.</w:t>
            </w:r>
          </w:p>
        </w:tc>
        <w:tc>
          <w:tcPr>
            <w:tcW w:w="2565" w:type="dxa"/>
            <w:tcBorders>
              <w:top w:val="dotted" w:sz="4" w:space="0" w:color="auto"/>
              <w:left w:val="single" w:sz="4" w:space="0" w:color="auto"/>
              <w:bottom w:val="dotted" w:sz="4" w:space="0" w:color="auto"/>
            </w:tcBorders>
          </w:tcPr>
          <w:p w14:paraId="76C18465" w14:textId="77777777" w:rsidR="00020E65" w:rsidRPr="00094FB2" w:rsidRDefault="00020E65" w:rsidP="00B41972">
            <w:pPr>
              <w:pStyle w:val="TableTextLeft"/>
              <w:rPr>
                <w:sz w:val="16"/>
              </w:rPr>
            </w:pPr>
            <w:r w:rsidRPr="00094FB2">
              <w:rPr>
                <w:sz w:val="16"/>
              </w:rPr>
              <w:t>70 - 80% of Members and the Chair are satisfied the activities in the Operational Plan are met.</w:t>
            </w:r>
          </w:p>
          <w:p w14:paraId="76C18466" w14:textId="77777777" w:rsidR="00020E65" w:rsidRPr="00094FB2" w:rsidRDefault="00020E65" w:rsidP="00B41972">
            <w:pPr>
              <w:pStyle w:val="TableTextLeft"/>
              <w:rPr>
                <w:sz w:val="16"/>
              </w:rPr>
            </w:pPr>
            <w:r w:rsidRPr="00094FB2">
              <w:rPr>
                <w:sz w:val="16"/>
              </w:rPr>
              <w:t>By 2022:</w:t>
            </w:r>
          </w:p>
          <w:p w14:paraId="76C18467" w14:textId="77777777" w:rsidR="00020E65" w:rsidRPr="00053DB9" w:rsidRDefault="00020E65" w:rsidP="00B41972">
            <w:pPr>
              <w:pStyle w:val="TableTextBullet"/>
              <w:contextualSpacing/>
              <w:rPr>
                <w:rFonts w:cs="Arial"/>
                <w:sz w:val="16"/>
                <w:szCs w:val="16"/>
              </w:rPr>
            </w:pPr>
            <w:r w:rsidRPr="00053DB9">
              <w:rPr>
                <w:rFonts w:cs="Arial"/>
                <w:sz w:val="16"/>
                <w:szCs w:val="16"/>
              </w:rPr>
              <w:t>a reduction in the number of worker fatalities due to injury of at least 20 per cent</w:t>
            </w:r>
          </w:p>
          <w:p w14:paraId="76C18468" w14:textId="77777777" w:rsidR="00020E65" w:rsidRPr="00053DB9" w:rsidRDefault="00020E65" w:rsidP="00B41972">
            <w:pPr>
              <w:pStyle w:val="TableTextBullet"/>
              <w:contextualSpacing/>
              <w:rPr>
                <w:rFonts w:cs="Arial"/>
                <w:sz w:val="16"/>
                <w:szCs w:val="16"/>
              </w:rPr>
            </w:pPr>
            <w:r w:rsidRPr="00053DB9">
              <w:rPr>
                <w:rFonts w:cs="Arial"/>
                <w:sz w:val="16"/>
                <w:szCs w:val="16"/>
              </w:rPr>
              <w:t>a reduction in the incidence rate of claims resulting in one or more weeks off work of at least 30 per cent, and</w:t>
            </w:r>
          </w:p>
          <w:p w14:paraId="76C18469" w14:textId="77777777" w:rsidR="00020E65" w:rsidRPr="00094FB2" w:rsidRDefault="00020E65" w:rsidP="00B41972">
            <w:pPr>
              <w:pStyle w:val="TableTextBullet"/>
              <w:contextualSpacing/>
              <w:rPr>
                <w:sz w:val="16"/>
              </w:rPr>
            </w:pPr>
            <w:r w:rsidRPr="00053DB9">
              <w:rPr>
                <w:rFonts w:cs="Arial"/>
                <w:sz w:val="16"/>
                <w:szCs w:val="16"/>
              </w:rPr>
              <w:t>a reduction in the incidence rate of claims for musculoskeletal disorders resulting in one or more weeks off work of at least 30 per cent.</w:t>
            </w:r>
          </w:p>
        </w:tc>
      </w:tr>
      <w:tr w:rsidR="00020E65" w:rsidRPr="00F71634" w14:paraId="76C1846E" w14:textId="77777777" w:rsidTr="00B41972">
        <w:tc>
          <w:tcPr>
            <w:tcW w:w="1701" w:type="dxa"/>
            <w:tcBorders>
              <w:top w:val="dotted" w:sz="4" w:space="0" w:color="auto"/>
              <w:right w:val="single" w:sz="4" w:space="0" w:color="auto"/>
            </w:tcBorders>
          </w:tcPr>
          <w:p w14:paraId="76C1846B" w14:textId="77777777" w:rsidR="00020E65" w:rsidRPr="006906E4" w:rsidRDefault="00416B1B" w:rsidP="00B41972">
            <w:pPr>
              <w:tabs>
                <w:tab w:val="left" w:pos="709"/>
              </w:tabs>
              <w:spacing w:before="60" w:after="60" w:line="240" w:lineRule="auto"/>
              <w:jc w:val="left"/>
              <w:rPr>
                <w:rFonts w:ascii="Arial" w:hAnsi="Arial" w:cs="Arial"/>
                <w:sz w:val="16"/>
                <w:szCs w:val="16"/>
              </w:rPr>
            </w:pPr>
            <w:r>
              <w:rPr>
                <w:rFonts w:ascii="Arial" w:hAnsi="Arial" w:cs="Arial"/>
                <w:sz w:val="16"/>
                <w:szCs w:val="16"/>
              </w:rPr>
              <w:t>2020–</w:t>
            </w:r>
            <w:r w:rsidR="00020E65">
              <w:rPr>
                <w:rFonts w:ascii="Arial" w:hAnsi="Arial" w:cs="Arial"/>
                <w:sz w:val="16"/>
                <w:szCs w:val="16"/>
              </w:rPr>
              <w:t>21</w:t>
            </w:r>
            <w:r w:rsidR="00020E65" w:rsidRPr="006906E4">
              <w:rPr>
                <w:rFonts w:ascii="Arial" w:hAnsi="Arial" w:cs="Arial"/>
                <w:sz w:val="16"/>
                <w:szCs w:val="16"/>
              </w:rPr>
              <w:t xml:space="preserve"> and beyond</w:t>
            </w:r>
          </w:p>
        </w:tc>
        <w:tc>
          <w:tcPr>
            <w:tcW w:w="3475" w:type="dxa"/>
            <w:tcBorders>
              <w:top w:val="dotted" w:sz="4" w:space="0" w:color="auto"/>
              <w:left w:val="single" w:sz="4" w:space="0" w:color="auto"/>
              <w:right w:val="single" w:sz="4" w:space="0" w:color="auto"/>
            </w:tcBorders>
          </w:tcPr>
          <w:p w14:paraId="76C1846C" w14:textId="3E87E71F" w:rsidR="00020E65" w:rsidRPr="00094FB2" w:rsidRDefault="00020E65" w:rsidP="00B41972">
            <w:pPr>
              <w:tabs>
                <w:tab w:val="left" w:pos="709"/>
              </w:tabs>
              <w:spacing w:before="60" w:after="60" w:line="240" w:lineRule="auto"/>
              <w:jc w:val="left"/>
              <w:rPr>
                <w:rFonts w:ascii="Arial" w:hAnsi="Arial" w:cs="Arial"/>
                <w:sz w:val="16"/>
                <w:szCs w:val="16"/>
              </w:rPr>
            </w:pPr>
            <w:r w:rsidRPr="00094FB2">
              <w:rPr>
                <w:rFonts w:ascii="Arial" w:hAnsi="Arial" w:cs="Arial"/>
                <w:sz w:val="16"/>
                <w:szCs w:val="16"/>
              </w:rPr>
              <w:t>As per 2019–20</w:t>
            </w:r>
            <w:r w:rsidR="00693447">
              <w:rPr>
                <w:rFonts w:ascii="Arial" w:hAnsi="Arial" w:cs="Arial"/>
                <w:sz w:val="16"/>
                <w:szCs w:val="16"/>
              </w:rPr>
              <w:t>.</w:t>
            </w:r>
          </w:p>
        </w:tc>
        <w:tc>
          <w:tcPr>
            <w:tcW w:w="2565" w:type="dxa"/>
            <w:tcBorders>
              <w:top w:val="dotted" w:sz="4" w:space="0" w:color="auto"/>
              <w:left w:val="single" w:sz="4" w:space="0" w:color="auto"/>
            </w:tcBorders>
          </w:tcPr>
          <w:p w14:paraId="047B6625" w14:textId="77777777" w:rsidR="00693447" w:rsidRDefault="00020E65" w:rsidP="00B41972">
            <w:pPr>
              <w:tabs>
                <w:tab w:val="left" w:pos="709"/>
              </w:tabs>
              <w:spacing w:before="60" w:after="60" w:line="240" w:lineRule="auto"/>
              <w:jc w:val="left"/>
              <w:rPr>
                <w:rFonts w:ascii="Arial" w:hAnsi="Arial" w:cs="Arial"/>
                <w:sz w:val="16"/>
                <w:szCs w:val="16"/>
              </w:rPr>
            </w:pPr>
            <w:r w:rsidRPr="00094FB2">
              <w:rPr>
                <w:rFonts w:ascii="Arial" w:hAnsi="Arial" w:cs="Arial"/>
                <w:sz w:val="16"/>
                <w:szCs w:val="16"/>
              </w:rPr>
              <w:t>As per 2019–20</w:t>
            </w:r>
            <w:r>
              <w:rPr>
                <w:rFonts w:ascii="Arial" w:hAnsi="Arial" w:cs="Arial"/>
                <w:sz w:val="16"/>
                <w:szCs w:val="16"/>
              </w:rPr>
              <w:t xml:space="preserve"> for the duration of the current Australian W</w:t>
            </w:r>
            <w:r w:rsidR="00693447">
              <w:rPr>
                <w:rFonts w:ascii="Arial" w:hAnsi="Arial" w:cs="Arial"/>
                <w:sz w:val="16"/>
                <w:szCs w:val="16"/>
              </w:rPr>
              <w:t>ork Health and Safety Strategy.</w:t>
            </w:r>
          </w:p>
          <w:p w14:paraId="76C1846D" w14:textId="0A3DEB60" w:rsidR="00020E65" w:rsidRPr="006906E4" w:rsidRDefault="00020E65" w:rsidP="00B41972">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 xml:space="preserve">Targets beyond 2022 will be determined as part of the formulation of the next strategy. </w:t>
            </w:r>
          </w:p>
        </w:tc>
      </w:tr>
    </w:tbl>
    <w:p w14:paraId="76C1846F" w14:textId="77777777" w:rsidR="00606B95" w:rsidRPr="00606B95" w:rsidRDefault="00606B95" w:rsidP="00DB03C6">
      <w:pPr>
        <w:pStyle w:val="ListParagraph"/>
        <w:numPr>
          <w:ilvl w:val="0"/>
          <w:numId w:val="41"/>
        </w:numPr>
        <w:spacing w:before="120" w:after="0" w:line="240" w:lineRule="auto"/>
        <w:rPr>
          <w:rFonts w:ascii="Arial" w:hAnsi="Arial" w:cs="Arial"/>
          <w:sz w:val="16"/>
          <w:szCs w:val="16"/>
        </w:rPr>
      </w:pPr>
      <w:r w:rsidRPr="00606B95">
        <w:rPr>
          <w:rFonts w:ascii="Arial" w:hAnsi="Arial" w:cs="Arial"/>
          <w:sz w:val="16"/>
          <w:szCs w:val="16"/>
        </w:rPr>
        <w:t xml:space="preserve">New or modified performance criteria that reflect new or materially changed programs are shown in </w:t>
      </w:r>
      <w:r w:rsidRPr="00FB410E">
        <w:rPr>
          <w:rFonts w:ascii="Arial" w:hAnsi="Arial" w:cs="Arial"/>
          <w:i/>
          <w:sz w:val="16"/>
          <w:szCs w:val="16"/>
        </w:rPr>
        <w:t>italics</w:t>
      </w:r>
      <w:r w:rsidR="00FB410E">
        <w:rPr>
          <w:rFonts w:ascii="Arial" w:hAnsi="Arial" w:cs="Arial"/>
          <w:i/>
          <w:sz w:val="16"/>
          <w:szCs w:val="16"/>
        </w:rPr>
        <w:t>.</w:t>
      </w:r>
    </w:p>
    <w:p w14:paraId="76C18470" w14:textId="77777777" w:rsidR="00606B95" w:rsidRDefault="00606B95">
      <w:pPr>
        <w:spacing w:after="0" w:line="240" w:lineRule="auto"/>
        <w:jc w:val="left"/>
        <w:rPr>
          <w:rFonts w:ascii="Arial" w:hAnsi="Arial"/>
          <w:sz w:val="30"/>
        </w:rPr>
      </w:pPr>
      <w:r>
        <w:br w:type="page"/>
      </w:r>
    </w:p>
    <w:p w14:paraId="76C18471" w14:textId="77777777" w:rsidR="0061075E" w:rsidRPr="00AD42E2" w:rsidRDefault="0061075E" w:rsidP="00606B95">
      <w:pPr>
        <w:pStyle w:val="Heading2"/>
      </w:pPr>
      <w:r w:rsidRPr="00710E67">
        <w:t xml:space="preserve">Section 3: Budgeted financial </w:t>
      </w:r>
      <w:r w:rsidRPr="00606B95">
        <w:t>statements</w:t>
      </w:r>
    </w:p>
    <w:p w14:paraId="76C18472" w14:textId="77777777" w:rsidR="0061075E" w:rsidRDefault="0061075E" w:rsidP="00B104AE">
      <w:pPr>
        <w:jc w:val="left"/>
      </w:pPr>
      <w:r>
        <w:t xml:space="preserve">Section 3 presents budgeted financial statements which provide a comprehensive snapshot of entity finances for the </w:t>
      </w:r>
      <w:r w:rsidR="009A4174">
        <w:t>2019–20</w:t>
      </w:r>
      <w:r w:rsidRPr="00B104AE">
        <w:t xml:space="preserve"> </w:t>
      </w:r>
      <w:r>
        <w:t>budget year, including the impact of budget measures and resourcing on financial statements.</w:t>
      </w:r>
    </w:p>
    <w:p w14:paraId="76C18473" w14:textId="77777777" w:rsidR="0061075E" w:rsidRDefault="0061075E" w:rsidP="0061075E">
      <w:pPr>
        <w:pStyle w:val="Heading3"/>
      </w:pPr>
      <w:r>
        <w:t>3.1</w:t>
      </w:r>
      <w:r>
        <w:tab/>
        <w:t>Budgeted financial statements</w:t>
      </w:r>
    </w:p>
    <w:p w14:paraId="76C18474" w14:textId="77777777" w:rsidR="00710E67" w:rsidRDefault="00710E67" w:rsidP="00710E67">
      <w:pPr>
        <w:pStyle w:val="Heading4"/>
      </w:pPr>
      <w:r>
        <w:t>3.1.1</w:t>
      </w:r>
      <w:r>
        <w:tab/>
        <w:t>Differences between entity resourcing and financial statements</w:t>
      </w:r>
    </w:p>
    <w:p w14:paraId="76C18475" w14:textId="6AEEA1DD" w:rsidR="00710E67" w:rsidRDefault="00710E67" w:rsidP="00710E67">
      <w:pPr>
        <w:pStyle w:val="ExampleText0"/>
        <w:rPr>
          <w:i w:val="0"/>
          <w:color w:val="auto"/>
        </w:rPr>
      </w:pPr>
      <w:r w:rsidRPr="00580C5D">
        <w:rPr>
          <w:i w:val="0"/>
          <w:color w:val="auto"/>
        </w:rPr>
        <w:t>Sa</w:t>
      </w:r>
      <w:r>
        <w:rPr>
          <w:i w:val="0"/>
          <w:color w:val="auto"/>
        </w:rPr>
        <w:t>fe Work Australia receives funding</w:t>
      </w:r>
      <w:r w:rsidRPr="00580C5D">
        <w:rPr>
          <w:i w:val="0"/>
          <w:color w:val="auto"/>
        </w:rPr>
        <w:t xml:space="preserve"> from states and territories and matched appropriation funding from the Commonwealth</w:t>
      </w:r>
      <w:r>
        <w:rPr>
          <w:i w:val="0"/>
          <w:color w:val="auto"/>
        </w:rPr>
        <w:t>,</w:t>
      </w:r>
      <w:r w:rsidRPr="00580C5D">
        <w:rPr>
          <w:i w:val="0"/>
          <w:color w:val="auto"/>
        </w:rPr>
        <w:t xml:space="preserve"> as provided for in the IGA.</w:t>
      </w:r>
    </w:p>
    <w:p w14:paraId="5FC47D5D" w14:textId="4D572F5E" w:rsidR="007C05BB" w:rsidRPr="007C05BB" w:rsidRDefault="007C05BB" w:rsidP="007C05BB">
      <w:pPr>
        <w:rPr>
          <w:rFonts w:cs="Arial"/>
        </w:rPr>
      </w:pPr>
      <w:r w:rsidRPr="0029790D">
        <w:rPr>
          <w:rFonts w:cs="Arial"/>
        </w:rP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2019–20 Budget year, including amounts related to meeting future em</w:t>
      </w:r>
      <w:r>
        <w:rPr>
          <w:rFonts w:cs="Arial"/>
        </w:rPr>
        <w:t>ployee entitlement obligations.</w:t>
      </w:r>
    </w:p>
    <w:p w14:paraId="76C18476" w14:textId="77777777" w:rsidR="00710E67" w:rsidRDefault="00710E67" w:rsidP="00710E67">
      <w:pPr>
        <w:pStyle w:val="Heading4"/>
      </w:pPr>
      <w:r>
        <w:t>3.1.2</w:t>
      </w:r>
      <w:r>
        <w:tab/>
        <w:t>Explanatory notes and analysis of budgeted financial statements</w:t>
      </w:r>
    </w:p>
    <w:p w14:paraId="76C18477" w14:textId="77777777" w:rsidR="00710E67" w:rsidRDefault="00710E67" w:rsidP="00710E67">
      <w:pPr>
        <w:jc w:val="left"/>
      </w:pPr>
      <w:r>
        <w:t>Safe Work Australia is not expecting any major changes in its financial operations during 2019–20 or over the forward estimates. The agency’s funding arrangements are provided in the IGA.</w:t>
      </w:r>
    </w:p>
    <w:p w14:paraId="76C18478" w14:textId="77777777" w:rsidR="00710E67" w:rsidRDefault="00710E67" w:rsidP="00710E67">
      <w:pPr>
        <w:jc w:val="left"/>
      </w:pPr>
      <w:r>
        <w:t>For 2019–20, Safe Work Australia is budgeting for an operating loss equal to the unappropriated depreciation and amortisation expense of $0.6 million.</w:t>
      </w:r>
    </w:p>
    <w:p w14:paraId="76C18479" w14:textId="77777777" w:rsidR="00710E67" w:rsidRDefault="00710E67" w:rsidP="00710E67">
      <w:pPr>
        <w:jc w:val="left"/>
      </w:pPr>
      <w:r>
        <w:t>Total revenues are budgeted to be $21.0 million and total expenses $21.6 million.</w:t>
      </w:r>
    </w:p>
    <w:p w14:paraId="76C1847A" w14:textId="77777777" w:rsidR="00710E67" w:rsidRDefault="00710E67" w:rsidP="00710E67">
      <w:pPr>
        <w:jc w:val="left"/>
      </w:pPr>
      <w:r>
        <w:t>Total assets at the end of 2019–20 are estimated to be $16.2 million, including cash held by the Official Public Account (OPA) in the Safe Work Australia Special Account.</w:t>
      </w:r>
    </w:p>
    <w:p w14:paraId="76C1847B" w14:textId="77777777" w:rsidR="008E5129" w:rsidRDefault="00710E67" w:rsidP="0061075E">
      <w:pPr>
        <w:jc w:val="left"/>
      </w:pPr>
      <w:r>
        <w:t>Total liabilities at the end of 2019–20 are estimated at $4.8 million. The largest liability component is accrued employee entitlements.</w:t>
      </w:r>
    </w:p>
    <w:p w14:paraId="76C1847C" w14:textId="77777777" w:rsidR="0061075E" w:rsidRDefault="0061075E" w:rsidP="008E5129">
      <w:pPr>
        <w:pStyle w:val="Heading3"/>
      </w:pPr>
      <w:r>
        <w:br w:type="page"/>
      </w:r>
      <w:r w:rsidRPr="00710E67">
        <w:t>3.2.</w:t>
      </w:r>
      <w:r w:rsidRPr="00710E67">
        <w:tab/>
        <w:t>Budgeted financial statements tables</w:t>
      </w:r>
    </w:p>
    <w:p w14:paraId="76C1847D" w14:textId="77777777" w:rsidR="0061075E" w:rsidRDefault="0061075E" w:rsidP="0061075E">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351" w:type="dxa"/>
        <w:tblLook w:val="04A0" w:firstRow="1" w:lastRow="0" w:firstColumn="1" w:lastColumn="0" w:noHBand="0" w:noVBand="1"/>
      </w:tblPr>
      <w:tblGrid>
        <w:gridCol w:w="3140"/>
        <w:gridCol w:w="928"/>
        <w:gridCol w:w="820"/>
        <w:gridCol w:w="821"/>
        <w:gridCol w:w="821"/>
        <w:gridCol w:w="821"/>
      </w:tblGrid>
      <w:tr w:rsidR="00710E67" w:rsidRPr="00710E67" w14:paraId="76C18484" w14:textId="77777777" w:rsidTr="008A6214">
        <w:trPr>
          <w:trHeight w:val="705"/>
        </w:trPr>
        <w:tc>
          <w:tcPr>
            <w:tcW w:w="3140" w:type="dxa"/>
            <w:tcBorders>
              <w:top w:val="single" w:sz="4" w:space="0" w:color="auto"/>
              <w:left w:val="nil"/>
              <w:bottom w:val="nil"/>
              <w:right w:val="nil"/>
            </w:tcBorders>
            <w:shd w:val="clear" w:color="auto" w:fill="auto"/>
            <w:noWrap/>
            <w:hideMark/>
          </w:tcPr>
          <w:p w14:paraId="76C1847E" w14:textId="77777777" w:rsidR="00710E67" w:rsidRPr="00710E67" w:rsidRDefault="00710E67" w:rsidP="00710E67">
            <w:pPr>
              <w:spacing w:after="0" w:line="240" w:lineRule="auto"/>
              <w:jc w:val="left"/>
              <w:rPr>
                <w:rFonts w:ascii="Arial" w:hAnsi="Arial" w:cs="Arial"/>
                <w:b/>
                <w:bCs/>
                <w:sz w:val="16"/>
                <w:szCs w:val="16"/>
              </w:rPr>
            </w:pPr>
            <w:r w:rsidRPr="00710E67">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847F" w14:textId="77777777" w:rsidR="00710E67" w:rsidRPr="00710E67" w:rsidRDefault="009A4174" w:rsidP="00710E67">
            <w:pPr>
              <w:spacing w:after="0" w:line="240" w:lineRule="auto"/>
              <w:jc w:val="right"/>
              <w:rPr>
                <w:rFonts w:ascii="Arial" w:hAnsi="Arial" w:cs="Arial"/>
                <w:sz w:val="16"/>
                <w:szCs w:val="16"/>
              </w:rPr>
            </w:pPr>
            <w:r>
              <w:rPr>
                <w:rFonts w:ascii="Arial" w:hAnsi="Arial" w:cs="Arial"/>
                <w:sz w:val="16"/>
                <w:szCs w:val="16"/>
              </w:rPr>
              <w:t xml:space="preserve">2018–19 </w:t>
            </w:r>
            <w:r w:rsidR="00710E67" w:rsidRPr="00710E67">
              <w:rPr>
                <w:rFonts w:ascii="Arial" w:hAnsi="Arial" w:cs="Arial"/>
                <w:sz w:val="16"/>
                <w:szCs w:val="16"/>
              </w:rPr>
              <w:t xml:space="preserve"> Estimated actual</w:t>
            </w:r>
            <w:r w:rsidR="00710E67" w:rsidRPr="00710E67">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000000" w:fill="E6E6E6"/>
            <w:hideMark/>
          </w:tcPr>
          <w:p w14:paraId="76C18480" w14:textId="77777777" w:rsidR="00710E67" w:rsidRPr="00710E67" w:rsidRDefault="00710E67" w:rsidP="00F22611">
            <w:pPr>
              <w:spacing w:after="0" w:line="240" w:lineRule="auto"/>
              <w:jc w:val="right"/>
              <w:rPr>
                <w:rFonts w:ascii="Arial" w:hAnsi="Arial" w:cs="Arial"/>
                <w:sz w:val="16"/>
                <w:szCs w:val="16"/>
              </w:rPr>
            </w:pPr>
            <w:r w:rsidRPr="00F22611">
              <w:rPr>
                <w:rFonts w:ascii="Arial" w:hAnsi="Arial" w:cs="Arial"/>
                <w:sz w:val="15"/>
                <w:szCs w:val="15"/>
              </w:rPr>
              <w:t>2019–</w:t>
            </w:r>
            <w:r w:rsidR="00F22611" w:rsidRPr="00F22611">
              <w:rPr>
                <w:rFonts w:ascii="Arial" w:hAnsi="Arial" w:cs="Arial"/>
                <w:sz w:val="15"/>
                <w:szCs w:val="15"/>
              </w:rPr>
              <w:t>2</w:t>
            </w:r>
            <w:r w:rsidRPr="00F22611">
              <w:rPr>
                <w:rFonts w:ascii="Arial" w:hAnsi="Arial" w:cs="Arial"/>
                <w:sz w:val="15"/>
                <w:szCs w:val="15"/>
              </w:rPr>
              <w:t>0</w:t>
            </w:r>
            <w:r w:rsidRPr="00710E67">
              <w:rPr>
                <w:rFonts w:ascii="Arial" w:hAnsi="Arial" w:cs="Arial"/>
                <w:sz w:val="16"/>
                <w:szCs w:val="16"/>
              </w:rPr>
              <w:br/>
              <w:t>Budget</w:t>
            </w:r>
            <w:r w:rsidRPr="00710E67">
              <w:rPr>
                <w:rFonts w:ascii="Arial" w:hAnsi="Arial" w:cs="Arial"/>
                <w:sz w:val="16"/>
                <w:szCs w:val="16"/>
              </w:rPr>
              <w:br/>
            </w:r>
            <w:r w:rsidRPr="00710E67">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hideMark/>
          </w:tcPr>
          <w:p w14:paraId="76C18481" w14:textId="77777777" w:rsidR="00710E67" w:rsidRPr="00710E67" w:rsidRDefault="00710E67" w:rsidP="00710E67">
            <w:pPr>
              <w:spacing w:after="0" w:line="240" w:lineRule="auto"/>
              <w:jc w:val="right"/>
              <w:rPr>
                <w:rFonts w:ascii="Arial" w:hAnsi="Arial" w:cs="Arial"/>
                <w:sz w:val="16"/>
                <w:szCs w:val="16"/>
              </w:rPr>
            </w:pPr>
            <w:r w:rsidRPr="00F22611">
              <w:rPr>
                <w:rFonts w:ascii="Arial" w:hAnsi="Arial" w:cs="Arial"/>
                <w:sz w:val="15"/>
                <w:szCs w:val="15"/>
              </w:rPr>
              <w:t>2020–21</w:t>
            </w:r>
            <w:r w:rsidRPr="00710E67">
              <w:rPr>
                <w:rFonts w:ascii="Arial" w:hAnsi="Arial" w:cs="Arial"/>
                <w:sz w:val="16"/>
                <w:szCs w:val="16"/>
              </w:rPr>
              <w:t xml:space="preserve"> Forward estimate</w:t>
            </w:r>
            <w:r w:rsidRPr="00710E67">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hideMark/>
          </w:tcPr>
          <w:p w14:paraId="76C18482" w14:textId="77777777" w:rsidR="00710E67" w:rsidRPr="00710E67" w:rsidRDefault="00710E67" w:rsidP="00710E67">
            <w:pPr>
              <w:spacing w:after="0" w:line="240" w:lineRule="auto"/>
              <w:jc w:val="right"/>
              <w:rPr>
                <w:rFonts w:ascii="Arial" w:hAnsi="Arial" w:cs="Arial"/>
                <w:sz w:val="16"/>
                <w:szCs w:val="16"/>
              </w:rPr>
            </w:pPr>
            <w:r w:rsidRPr="00F22611">
              <w:rPr>
                <w:rFonts w:ascii="Arial" w:hAnsi="Arial" w:cs="Arial"/>
                <w:sz w:val="15"/>
                <w:szCs w:val="15"/>
              </w:rPr>
              <w:t>2021–22</w:t>
            </w:r>
            <w:r w:rsidRPr="00710E67">
              <w:rPr>
                <w:rFonts w:ascii="Arial" w:hAnsi="Arial" w:cs="Arial"/>
                <w:sz w:val="16"/>
                <w:szCs w:val="16"/>
              </w:rPr>
              <w:t xml:space="preserve"> Forward estimate</w:t>
            </w:r>
            <w:r w:rsidRPr="00710E67">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hideMark/>
          </w:tcPr>
          <w:p w14:paraId="76C18483" w14:textId="77777777" w:rsidR="00710E67" w:rsidRPr="00710E67" w:rsidRDefault="00710E67" w:rsidP="00710E67">
            <w:pPr>
              <w:spacing w:after="0" w:line="240" w:lineRule="auto"/>
              <w:jc w:val="right"/>
              <w:rPr>
                <w:rFonts w:ascii="Arial" w:hAnsi="Arial" w:cs="Arial"/>
                <w:sz w:val="16"/>
                <w:szCs w:val="16"/>
              </w:rPr>
            </w:pPr>
            <w:r w:rsidRPr="00F22611">
              <w:rPr>
                <w:rFonts w:ascii="Arial" w:hAnsi="Arial" w:cs="Arial"/>
                <w:sz w:val="15"/>
                <w:szCs w:val="15"/>
              </w:rPr>
              <w:t>2022–23</w:t>
            </w:r>
            <w:r w:rsidRPr="00710E67">
              <w:rPr>
                <w:rFonts w:ascii="Arial" w:hAnsi="Arial" w:cs="Arial"/>
                <w:sz w:val="16"/>
                <w:szCs w:val="16"/>
              </w:rPr>
              <w:br/>
              <w:t>Forward estimate</w:t>
            </w:r>
            <w:r w:rsidRPr="00710E67">
              <w:rPr>
                <w:rFonts w:ascii="Arial" w:hAnsi="Arial" w:cs="Arial"/>
                <w:sz w:val="16"/>
                <w:szCs w:val="16"/>
              </w:rPr>
              <w:br/>
              <w:t>$'000</w:t>
            </w:r>
          </w:p>
        </w:tc>
      </w:tr>
      <w:tr w:rsidR="00710E67" w:rsidRPr="00710E67" w14:paraId="76C1848B" w14:textId="77777777" w:rsidTr="008A6214">
        <w:trPr>
          <w:trHeight w:val="225"/>
        </w:trPr>
        <w:tc>
          <w:tcPr>
            <w:tcW w:w="3140" w:type="dxa"/>
            <w:tcBorders>
              <w:top w:val="nil"/>
              <w:left w:val="nil"/>
              <w:bottom w:val="nil"/>
              <w:right w:val="nil"/>
            </w:tcBorders>
            <w:shd w:val="clear" w:color="auto" w:fill="auto"/>
            <w:noWrap/>
            <w:hideMark/>
          </w:tcPr>
          <w:p w14:paraId="76C18485"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EXPENSES</w:t>
            </w:r>
          </w:p>
        </w:tc>
        <w:tc>
          <w:tcPr>
            <w:tcW w:w="928" w:type="dxa"/>
            <w:tcBorders>
              <w:top w:val="nil"/>
              <w:left w:val="nil"/>
              <w:bottom w:val="nil"/>
              <w:right w:val="nil"/>
            </w:tcBorders>
            <w:shd w:val="clear" w:color="auto" w:fill="auto"/>
            <w:noWrap/>
            <w:hideMark/>
          </w:tcPr>
          <w:p w14:paraId="76C18486" w14:textId="77777777" w:rsidR="00710E67" w:rsidRPr="00710E67" w:rsidRDefault="00710E67" w:rsidP="00710E67">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hideMark/>
          </w:tcPr>
          <w:p w14:paraId="76C18487"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w:t>
            </w:r>
          </w:p>
        </w:tc>
        <w:tc>
          <w:tcPr>
            <w:tcW w:w="821" w:type="dxa"/>
            <w:tcBorders>
              <w:top w:val="nil"/>
              <w:left w:val="nil"/>
              <w:bottom w:val="nil"/>
              <w:right w:val="nil"/>
            </w:tcBorders>
            <w:shd w:val="clear" w:color="auto" w:fill="auto"/>
            <w:noWrap/>
            <w:hideMark/>
          </w:tcPr>
          <w:p w14:paraId="76C18488" w14:textId="77777777" w:rsidR="00710E67" w:rsidRPr="00710E67" w:rsidRDefault="00710E67" w:rsidP="00710E67">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hideMark/>
          </w:tcPr>
          <w:p w14:paraId="76C18489" w14:textId="77777777" w:rsidR="00710E67" w:rsidRPr="00710E67" w:rsidRDefault="00710E67" w:rsidP="00710E67">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hideMark/>
          </w:tcPr>
          <w:p w14:paraId="76C1848A" w14:textId="77777777" w:rsidR="00710E67" w:rsidRPr="00710E67" w:rsidRDefault="00710E67" w:rsidP="00710E67">
            <w:pPr>
              <w:spacing w:after="0" w:line="240" w:lineRule="auto"/>
              <w:jc w:val="right"/>
              <w:rPr>
                <w:rFonts w:ascii="Times New Roman" w:hAnsi="Times New Roman"/>
              </w:rPr>
            </w:pPr>
          </w:p>
        </w:tc>
      </w:tr>
      <w:tr w:rsidR="00710E67" w:rsidRPr="00710E67" w14:paraId="76C18492" w14:textId="77777777" w:rsidTr="008A6214">
        <w:trPr>
          <w:trHeight w:val="225"/>
        </w:trPr>
        <w:tc>
          <w:tcPr>
            <w:tcW w:w="3140" w:type="dxa"/>
            <w:tcBorders>
              <w:top w:val="nil"/>
              <w:left w:val="nil"/>
              <w:bottom w:val="nil"/>
              <w:right w:val="nil"/>
            </w:tcBorders>
            <w:shd w:val="clear" w:color="auto" w:fill="auto"/>
            <w:noWrap/>
            <w:hideMark/>
          </w:tcPr>
          <w:p w14:paraId="76C1848C" w14:textId="77777777" w:rsidR="00710E67" w:rsidRPr="00EF2631" w:rsidRDefault="00710E67"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Employee benefits</w:t>
            </w:r>
          </w:p>
        </w:tc>
        <w:tc>
          <w:tcPr>
            <w:tcW w:w="928" w:type="dxa"/>
            <w:tcBorders>
              <w:top w:val="nil"/>
              <w:left w:val="nil"/>
              <w:bottom w:val="nil"/>
              <w:right w:val="nil"/>
            </w:tcBorders>
            <w:shd w:val="clear" w:color="auto" w:fill="auto"/>
            <w:noWrap/>
            <w:hideMark/>
          </w:tcPr>
          <w:p w14:paraId="76C1848D"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12,740 </w:t>
            </w:r>
          </w:p>
        </w:tc>
        <w:tc>
          <w:tcPr>
            <w:tcW w:w="820" w:type="dxa"/>
            <w:tcBorders>
              <w:top w:val="nil"/>
              <w:left w:val="nil"/>
              <w:bottom w:val="nil"/>
              <w:right w:val="nil"/>
            </w:tcBorders>
            <w:shd w:val="clear" w:color="000000" w:fill="E6E6E6"/>
            <w:noWrap/>
            <w:hideMark/>
          </w:tcPr>
          <w:p w14:paraId="76C1848E"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13,041 </w:t>
            </w:r>
          </w:p>
        </w:tc>
        <w:tc>
          <w:tcPr>
            <w:tcW w:w="821" w:type="dxa"/>
            <w:tcBorders>
              <w:top w:val="nil"/>
              <w:left w:val="nil"/>
              <w:bottom w:val="nil"/>
              <w:right w:val="nil"/>
            </w:tcBorders>
            <w:shd w:val="clear" w:color="auto" w:fill="auto"/>
            <w:noWrap/>
            <w:hideMark/>
          </w:tcPr>
          <w:p w14:paraId="76C1848F"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13,301 </w:t>
            </w:r>
          </w:p>
        </w:tc>
        <w:tc>
          <w:tcPr>
            <w:tcW w:w="821" w:type="dxa"/>
            <w:tcBorders>
              <w:top w:val="nil"/>
              <w:left w:val="nil"/>
              <w:bottom w:val="nil"/>
              <w:right w:val="nil"/>
            </w:tcBorders>
            <w:shd w:val="clear" w:color="auto" w:fill="auto"/>
            <w:noWrap/>
            <w:hideMark/>
          </w:tcPr>
          <w:p w14:paraId="76C18490"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13,632 </w:t>
            </w:r>
          </w:p>
        </w:tc>
        <w:tc>
          <w:tcPr>
            <w:tcW w:w="821" w:type="dxa"/>
            <w:tcBorders>
              <w:top w:val="nil"/>
              <w:left w:val="nil"/>
              <w:bottom w:val="nil"/>
              <w:right w:val="nil"/>
            </w:tcBorders>
            <w:shd w:val="clear" w:color="auto" w:fill="auto"/>
            <w:noWrap/>
            <w:hideMark/>
          </w:tcPr>
          <w:p w14:paraId="76C18491"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13,972 </w:t>
            </w:r>
          </w:p>
        </w:tc>
      </w:tr>
      <w:tr w:rsidR="00710E67" w:rsidRPr="00710E67" w14:paraId="76C18499" w14:textId="77777777" w:rsidTr="008A6214">
        <w:trPr>
          <w:trHeight w:val="225"/>
        </w:trPr>
        <w:tc>
          <w:tcPr>
            <w:tcW w:w="3140" w:type="dxa"/>
            <w:tcBorders>
              <w:top w:val="nil"/>
              <w:left w:val="nil"/>
              <w:bottom w:val="nil"/>
              <w:right w:val="nil"/>
            </w:tcBorders>
            <w:shd w:val="clear" w:color="auto" w:fill="auto"/>
            <w:noWrap/>
            <w:hideMark/>
          </w:tcPr>
          <w:p w14:paraId="76C18493" w14:textId="77777777" w:rsidR="00710E67" w:rsidRPr="00EF2631" w:rsidRDefault="00710E67"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Suppliers</w:t>
            </w:r>
          </w:p>
        </w:tc>
        <w:tc>
          <w:tcPr>
            <w:tcW w:w="928" w:type="dxa"/>
            <w:tcBorders>
              <w:top w:val="nil"/>
              <w:left w:val="nil"/>
              <w:bottom w:val="nil"/>
              <w:right w:val="nil"/>
            </w:tcBorders>
            <w:shd w:val="clear" w:color="auto" w:fill="auto"/>
            <w:noWrap/>
            <w:hideMark/>
          </w:tcPr>
          <w:p w14:paraId="76C18494"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7,668 </w:t>
            </w:r>
          </w:p>
        </w:tc>
        <w:tc>
          <w:tcPr>
            <w:tcW w:w="820" w:type="dxa"/>
            <w:tcBorders>
              <w:top w:val="nil"/>
              <w:left w:val="nil"/>
              <w:bottom w:val="nil"/>
              <w:right w:val="nil"/>
            </w:tcBorders>
            <w:shd w:val="clear" w:color="000000" w:fill="E6E6E6"/>
            <w:noWrap/>
            <w:hideMark/>
          </w:tcPr>
          <w:p w14:paraId="76C18495"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7,811 </w:t>
            </w:r>
          </w:p>
        </w:tc>
        <w:tc>
          <w:tcPr>
            <w:tcW w:w="821" w:type="dxa"/>
            <w:tcBorders>
              <w:top w:val="nil"/>
              <w:left w:val="nil"/>
              <w:bottom w:val="nil"/>
              <w:right w:val="nil"/>
            </w:tcBorders>
            <w:shd w:val="clear" w:color="auto" w:fill="auto"/>
            <w:noWrap/>
            <w:hideMark/>
          </w:tcPr>
          <w:p w14:paraId="76C18496"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8,032 </w:t>
            </w:r>
          </w:p>
        </w:tc>
        <w:tc>
          <w:tcPr>
            <w:tcW w:w="821" w:type="dxa"/>
            <w:tcBorders>
              <w:top w:val="nil"/>
              <w:left w:val="nil"/>
              <w:bottom w:val="nil"/>
              <w:right w:val="nil"/>
            </w:tcBorders>
            <w:shd w:val="clear" w:color="auto" w:fill="auto"/>
            <w:noWrap/>
            <w:hideMark/>
          </w:tcPr>
          <w:p w14:paraId="76C18497"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8,151 </w:t>
            </w:r>
          </w:p>
        </w:tc>
        <w:tc>
          <w:tcPr>
            <w:tcW w:w="821" w:type="dxa"/>
            <w:tcBorders>
              <w:top w:val="nil"/>
              <w:left w:val="nil"/>
              <w:bottom w:val="nil"/>
              <w:right w:val="nil"/>
            </w:tcBorders>
            <w:shd w:val="clear" w:color="auto" w:fill="auto"/>
            <w:noWrap/>
            <w:hideMark/>
          </w:tcPr>
          <w:p w14:paraId="76C18498"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8,357 </w:t>
            </w:r>
          </w:p>
        </w:tc>
      </w:tr>
      <w:tr w:rsidR="00710E67" w:rsidRPr="00710E67" w14:paraId="76C184A0" w14:textId="77777777" w:rsidTr="008A6214">
        <w:trPr>
          <w:trHeight w:val="225"/>
        </w:trPr>
        <w:tc>
          <w:tcPr>
            <w:tcW w:w="3140" w:type="dxa"/>
            <w:tcBorders>
              <w:top w:val="nil"/>
              <w:left w:val="nil"/>
              <w:bottom w:val="nil"/>
              <w:right w:val="nil"/>
            </w:tcBorders>
            <w:shd w:val="clear" w:color="auto" w:fill="auto"/>
            <w:noWrap/>
            <w:hideMark/>
          </w:tcPr>
          <w:p w14:paraId="76C1849A" w14:textId="77777777" w:rsidR="00710E67" w:rsidRPr="00EF2631" w:rsidRDefault="00710E67"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 xml:space="preserve">Grants </w:t>
            </w:r>
          </w:p>
        </w:tc>
        <w:tc>
          <w:tcPr>
            <w:tcW w:w="928" w:type="dxa"/>
            <w:tcBorders>
              <w:top w:val="nil"/>
              <w:left w:val="nil"/>
              <w:bottom w:val="nil"/>
              <w:right w:val="nil"/>
            </w:tcBorders>
            <w:shd w:val="clear" w:color="auto" w:fill="auto"/>
            <w:noWrap/>
            <w:hideMark/>
          </w:tcPr>
          <w:p w14:paraId="76C1849B"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140 </w:t>
            </w:r>
          </w:p>
        </w:tc>
        <w:tc>
          <w:tcPr>
            <w:tcW w:w="820" w:type="dxa"/>
            <w:tcBorders>
              <w:top w:val="nil"/>
              <w:left w:val="nil"/>
              <w:bottom w:val="nil"/>
              <w:right w:val="nil"/>
            </w:tcBorders>
            <w:shd w:val="clear" w:color="000000" w:fill="E6E6E6"/>
            <w:noWrap/>
            <w:hideMark/>
          </w:tcPr>
          <w:p w14:paraId="76C1849C"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140 </w:t>
            </w:r>
          </w:p>
        </w:tc>
        <w:tc>
          <w:tcPr>
            <w:tcW w:w="821" w:type="dxa"/>
            <w:tcBorders>
              <w:top w:val="nil"/>
              <w:left w:val="nil"/>
              <w:bottom w:val="nil"/>
              <w:right w:val="nil"/>
            </w:tcBorders>
            <w:shd w:val="clear" w:color="auto" w:fill="auto"/>
            <w:noWrap/>
            <w:hideMark/>
          </w:tcPr>
          <w:p w14:paraId="76C1849D"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140 </w:t>
            </w:r>
          </w:p>
        </w:tc>
        <w:tc>
          <w:tcPr>
            <w:tcW w:w="821" w:type="dxa"/>
            <w:tcBorders>
              <w:top w:val="nil"/>
              <w:left w:val="nil"/>
              <w:bottom w:val="nil"/>
              <w:right w:val="nil"/>
            </w:tcBorders>
            <w:shd w:val="clear" w:color="auto" w:fill="auto"/>
            <w:noWrap/>
            <w:hideMark/>
          </w:tcPr>
          <w:p w14:paraId="76C1849E"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140 </w:t>
            </w:r>
          </w:p>
        </w:tc>
        <w:tc>
          <w:tcPr>
            <w:tcW w:w="821" w:type="dxa"/>
            <w:tcBorders>
              <w:top w:val="nil"/>
              <w:left w:val="nil"/>
              <w:bottom w:val="nil"/>
              <w:right w:val="nil"/>
            </w:tcBorders>
            <w:shd w:val="clear" w:color="auto" w:fill="auto"/>
            <w:noWrap/>
            <w:hideMark/>
          </w:tcPr>
          <w:p w14:paraId="76C1849F"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140 </w:t>
            </w:r>
          </w:p>
        </w:tc>
      </w:tr>
      <w:tr w:rsidR="00710E67" w:rsidRPr="00710E67" w14:paraId="76C184A7" w14:textId="77777777" w:rsidTr="008A6214">
        <w:trPr>
          <w:trHeight w:val="225"/>
        </w:trPr>
        <w:tc>
          <w:tcPr>
            <w:tcW w:w="3140" w:type="dxa"/>
            <w:tcBorders>
              <w:top w:val="nil"/>
              <w:left w:val="nil"/>
              <w:bottom w:val="nil"/>
              <w:right w:val="nil"/>
            </w:tcBorders>
            <w:shd w:val="clear" w:color="auto" w:fill="auto"/>
            <w:noWrap/>
            <w:hideMark/>
          </w:tcPr>
          <w:p w14:paraId="76C184A1" w14:textId="77777777" w:rsidR="00710E67" w:rsidRPr="00EF2631" w:rsidRDefault="00710E67"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Depreciation and amortisation (a)</w:t>
            </w:r>
          </w:p>
        </w:tc>
        <w:tc>
          <w:tcPr>
            <w:tcW w:w="928" w:type="dxa"/>
            <w:tcBorders>
              <w:top w:val="nil"/>
              <w:left w:val="nil"/>
              <w:bottom w:val="nil"/>
              <w:right w:val="nil"/>
            </w:tcBorders>
            <w:shd w:val="clear" w:color="auto" w:fill="auto"/>
            <w:noWrap/>
            <w:hideMark/>
          </w:tcPr>
          <w:p w14:paraId="76C184A2"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596 </w:t>
            </w:r>
          </w:p>
        </w:tc>
        <w:tc>
          <w:tcPr>
            <w:tcW w:w="820" w:type="dxa"/>
            <w:tcBorders>
              <w:top w:val="nil"/>
              <w:left w:val="nil"/>
              <w:bottom w:val="nil"/>
              <w:right w:val="nil"/>
            </w:tcBorders>
            <w:shd w:val="clear" w:color="000000" w:fill="E6E6E6"/>
            <w:noWrap/>
            <w:hideMark/>
          </w:tcPr>
          <w:p w14:paraId="76C184A3"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630 </w:t>
            </w:r>
          </w:p>
        </w:tc>
        <w:tc>
          <w:tcPr>
            <w:tcW w:w="821" w:type="dxa"/>
            <w:tcBorders>
              <w:top w:val="nil"/>
              <w:left w:val="nil"/>
              <w:bottom w:val="nil"/>
              <w:right w:val="nil"/>
            </w:tcBorders>
            <w:shd w:val="clear" w:color="auto" w:fill="auto"/>
            <w:noWrap/>
            <w:hideMark/>
          </w:tcPr>
          <w:p w14:paraId="76C184A4" w14:textId="77777777" w:rsidR="00710E67" w:rsidRPr="000E0940" w:rsidRDefault="00710E67" w:rsidP="00710E67">
            <w:pPr>
              <w:spacing w:after="0" w:line="240" w:lineRule="auto"/>
              <w:jc w:val="right"/>
              <w:rPr>
                <w:rFonts w:ascii="Arial" w:hAnsi="Arial" w:cs="Arial"/>
                <w:sz w:val="16"/>
                <w:szCs w:val="16"/>
              </w:rPr>
            </w:pPr>
            <w:r w:rsidRPr="000E0940">
              <w:rPr>
                <w:rFonts w:ascii="Arial" w:hAnsi="Arial" w:cs="Arial"/>
                <w:sz w:val="16"/>
                <w:szCs w:val="16"/>
              </w:rPr>
              <w:t xml:space="preserve">635 </w:t>
            </w:r>
          </w:p>
        </w:tc>
        <w:tc>
          <w:tcPr>
            <w:tcW w:w="821" w:type="dxa"/>
            <w:tcBorders>
              <w:top w:val="nil"/>
              <w:left w:val="nil"/>
              <w:bottom w:val="nil"/>
              <w:right w:val="nil"/>
            </w:tcBorders>
            <w:shd w:val="clear" w:color="auto" w:fill="auto"/>
            <w:noWrap/>
            <w:hideMark/>
          </w:tcPr>
          <w:p w14:paraId="76C184A5" w14:textId="77777777" w:rsidR="00710E67" w:rsidRPr="000E0940" w:rsidRDefault="00710E67" w:rsidP="00710E67">
            <w:pPr>
              <w:spacing w:after="0" w:line="240" w:lineRule="auto"/>
              <w:jc w:val="right"/>
              <w:rPr>
                <w:rFonts w:ascii="Arial" w:hAnsi="Arial" w:cs="Arial"/>
                <w:sz w:val="16"/>
                <w:szCs w:val="16"/>
              </w:rPr>
            </w:pPr>
            <w:r w:rsidRPr="000E0940">
              <w:rPr>
                <w:rFonts w:ascii="Arial" w:hAnsi="Arial" w:cs="Arial"/>
                <w:sz w:val="16"/>
                <w:szCs w:val="16"/>
              </w:rPr>
              <w:t xml:space="preserve">643 </w:t>
            </w:r>
          </w:p>
        </w:tc>
        <w:tc>
          <w:tcPr>
            <w:tcW w:w="821" w:type="dxa"/>
            <w:tcBorders>
              <w:top w:val="nil"/>
              <w:left w:val="nil"/>
              <w:bottom w:val="nil"/>
              <w:right w:val="nil"/>
            </w:tcBorders>
            <w:shd w:val="clear" w:color="auto" w:fill="auto"/>
            <w:noWrap/>
            <w:hideMark/>
          </w:tcPr>
          <w:p w14:paraId="76C184A6" w14:textId="77777777" w:rsidR="00710E67" w:rsidRPr="000E0940" w:rsidRDefault="00710E67" w:rsidP="00710E67">
            <w:pPr>
              <w:spacing w:after="0" w:line="240" w:lineRule="auto"/>
              <w:jc w:val="right"/>
              <w:rPr>
                <w:rFonts w:ascii="Arial" w:hAnsi="Arial" w:cs="Arial"/>
                <w:sz w:val="16"/>
                <w:szCs w:val="16"/>
              </w:rPr>
            </w:pPr>
            <w:r w:rsidRPr="000E0940">
              <w:rPr>
                <w:rFonts w:ascii="Arial" w:hAnsi="Arial" w:cs="Arial"/>
                <w:sz w:val="16"/>
                <w:szCs w:val="16"/>
              </w:rPr>
              <w:t xml:space="preserve">644 </w:t>
            </w:r>
          </w:p>
        </w:tc>
      </w:tr>
      <w:tr w:rsidR="00710E67" w:rsidRPr="00710E67" w14:paraId="76C184AE" w14:textId="77777777" w:rsidTr="008A6214">
        <w:trPr>
          <w:trHeight w:val="225"/>
        </w:trPr>
        <w:tc>
          <w:tcPr>
            <w:tcW w:w="3140" w:type="dxa"/>
            <w:tcBorders>
              <w:top w:val="nil"/>
              <w:left w:val="nil"/>
              <w:bottom w:val="nil"/>
              <w:right w:val="nil"/>
            </w:tcBorders>
            <w:shd w:val="clear" w:color="auto" w:fill="auto"/>
            <w:noWrap/>
            <w:hideMark/>
          </w:tcPr>
          <w:p w14:paraId="76C184A8"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Total expenses</w:t>
            </w:r>
          </w:p>
        </w:tc>
        <w:tc>
          <w:tcPr>
            <w:tcW w:w="928" w:type="dxa"/>
            <w:tcBorders>
              <w:top w:val="single" w:sz="4" w:space="0" w:color="auto"/>
              <w:left w:val="nil"/>
              <w:bottom w:val="single" w:sz="4" w:space="0" w:color="auto"/>
              <w:right w:val="nil"/>
            </w:tcBorders>
            <w:shd w:val="clear" w:color="auto" w:fill="auto"/>
            <w:noWrap/>
            <w:hideMark/>
          </w:tcPr>
          <w:p w14:paraId="76C184A9"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21,144 </w:t>
            </w:r>
          </w:p>
        </w:tc>
        <w:tc>
          <w:tcPr>
            <w:tcW w:w="820" w:type="dxa"/>
            <w:tcBorders>
              <w:top w:val="single" w:sz="4" w:space="0" w:color="auto"/>
              <w:left w:val="nil"/>
              <w:bottom w:val="single" w:sz="4" w:space="0" w:color="auto"/>
              <w:right w:val="nil"/>
            </w:tcBorders>
            <w:shd w:val="clear" w:color="000000" w:fill="E6E6E6"/>
            <w:noWrap/>
            <w:hideMark/>
          </w:tcPr>
          <w:p w14:paraId="76C184AA"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21,622 </w:t>
            </w:r>
          </w:p>
        </w:tc>
        <w:tc>
          <w:tcPr>
            <w:tcW w:w="821" w:type="dxa"/>
            <w:tcBorders>
              <w:top w:val="single" w:sz="4" w:space="0" w:color="auto"/>
              <w:left w:val="nil"/>
              <w:bottom w:val="single" w:sz="4" w:space="0" w:color="auto"/>
              <w:right w:val="nil"/>
            </w:tcBorders>
            <w:shd w:val="clear" w:color="auto" w:fill="auto"/>
            <w:noWrap/>
            <w:hideMark/>
          </w:tcPr>
          <w:p w14:paraId="76C184AB"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22,108 </w:t>
            </w:r>
          </w:p>
        </w:tc>
        <w:tc>
          <w:tcPr>
            <w:tcW w:w="821" w:type="dxa"/>
            <w:tcBorders>
              <w:top w:val="single" w:sz="4" w:space="0" w:color="auto"/>
              <w:left w:val="nil"/>
              <w:bottom w:val="single" w:sz="4" w:space="0" w:color="auto"/>
              <w:right w:val="nil"/>
            </w:tcBorders>
            <w:shd w:val="clear" w:color="auto" w:fill="auto"/>
            <w:noWrap/>
            <w:hideMark/>
          </w:tcPr>
          <w:p w14:paraId="76C184AC"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22,566 </w:t>
            </w:r>
          </w:p>
        </w:tc>
        <w:tc>
          <w:tcPr>
            <w:tcW w:w="821" w:type="dxa"/>
            <w:tcBorders>
              <w:top w:val="single" w:sz="4" w:space="0" w:color="auto"/>
              <w:left w:val="nil"/>
              <w:bottom w:val="single" w:sz="4" w:space="0" w:color="auto"/>
              <w:right w:val="nil"/>
            </w:tcBorders>
            <w:shd w:val="clear" w:color="auto" w:fill="auto"/>
            <w:noWrap/>
            <w:hideMark/>
          </w:tcPr>
          <w:p w14:paraId="76C184AD"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23,113 </w:t>
            </w:r>
          </w:p>
        </w:tc>
      </w:tr>
      <w:tr w:rsidR="00710E67" w:rsidRPr="00710E67" w14:paraId="76C184B5" w14:textId="77777777" w:rsidTr="008A6214">
        <w:trPr>
          <w:trHeight w:val="225"/>
        </w:trPr>
        <w:tc>
          <w:tcPr>
            <w:tcW w:w="3140" w:type="dxa"/>
            <w:tcBorders>
              <w:top w:val="nil"/>
              <w:left w:val="nil"/>
              <w:bottom w:val="nil"/>
              <w:right w:val="nil"/>
            </w:tcBorders>
            <w:shd w:val="clear" w:color="auto" w:fill="auto"/>
            <w:noWrap/>
            <w:hideMark/>
          </w:tcPr>
          <w:p w14:paraId="76C184AF"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 xml:space="preserve">LESS: </w:t>
            </w:r>
          </w:p>
        </w:tc>
        <w:tc>
          <w:tcPr>
            <w:tcW w:w="928" w:type="dxa"/>
            <w:tcBorders>
              <w:top w:val="nil"/>
              <w:left w:val="nil"/>
              <w:bottom w:val="nil"/>
              <w:right w:val="nil"/>
            </w:tcBorders>
            <w:shd w:val="clear" w:color="auto" w:fill="auto"/>
            <w:noWrap/>
            <w:hideMark/>
          </w:tcPr>
          <w:p w14:paraId="76C184B0" w14:textId="77777777" w:rsidR="00710E67" w:rsidRPr="00710E67" w:rsidRDefault="00710E67" w:rsidP="00710E67">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hideMark/>
          </w:tcPr>
          <w:p w14:paraId="76C184B1"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w:t>
            </w:r>
          </w:p>
        </w:tc>
        <w:tc>
          <w:tcPr>
            <w:tcW w:w="821" w:type="dxa"/>
            <w:tcBorders>
              <w:top w:val="nil"/>
              <w:left w:val="nil"/>
              <w:bottom w:val="nil"/>
              <w:right w:val="nil"/>
            </w:tcBorders>
            <w:shd w:val="clear" w:color="auto" w:fill="auto"/>
            <w:noWrap/>
            <w:hideMark/>
          </w:tcPr>
          <w:p w14:paraId="76C184B2" w14:textId="77777777" w:rsidR="00710E67" w:rsidRPr="00710E67" w:rsidRDefault="00710E67" w:rsidP="00710E67">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hideMark/>
          </w:tcPr>
          <w:p w14:paraId="76C184B3" w14:textId="77777777" w:rsidR="00710E67" w:rsidRPr="00710E67" w:rsidRDefault="00710E67" w:rsidP="00710E67">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hideMark/>
          </w:tcPr>
          <w:p w14:paraId="76C184B4" w14:textId="77777777" w:rsidR="00710E67" w:rsidRPr="00710E67" w:rsidRDefault="00710E67" w:rsidP="00710E67">
            <w:pPr>
              <w:spacing w:after="0" w:line="240" w:lineRule="auto"/>
              <w:jc w:val="right"/>
              <w:rPr>
                <w:rFonts w:ascii="Times New Roman" w:hAnsi="Times New Roman"/>
              </w:rPr>
            </w:pPr>
          </w:p>
        </w:tc>
      </w:tr>
      <w:tr w:rsidR="00710E67" w:rsidRPr="00710E67" w14:paraId="76C184BC" w14:textId="77777777" w:rsidTr="008A6214">
        <w:trPr>
          <w:trHeight w:val="225"/>
        </w:trPr>
        <w:tc>
          <w:tcPr>
            <w:tcW w:w="3140" w:type="dxa"/>
            <w:tcBorders>
              <w:top w:val="nil"/>
              <w:left w:val="nil"/>
              <w:bottom w:val="nil"/>
              <w:right w:val="nil"/>
            </w:tcBorders>
            <w:shd w:val="clear" w:color="auto" w:fill="auto"/>
            <w:noWrap/>
            <w:hideMark/>
          </w:tcPr>
          <w:p w14:paraId="76C184B6"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OWN-SOURCE INCOME</w:t>
            </w:r>
          </w:p>
        </w:tc>
        <w:tc>
          <w:tcPr>
            <w:tcW w:w="928" w:type="dxa"/>
            <w:tcBorders>
              <w:top w:val="nil"/>
              <w:left w:val="nil"/>
              <w:bottom w:val="nil"/>
              <w:right w:val="nil"/>
            </w:tcBorders>
            <w:shd w:val="clear" w:color="auto" w:fill="auto"/>
            <w:noWrap/>
            <w:hideMark/>
          </w:tcPr>
          <w:p w14:paraId="76C184B7" w14:textId="77777777" w:rsidR="00710E67" w:rsidRPr="00710E67" w:rsidRDefault="00710E67" w:rsidP="00710E67">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hideMark/>
          </w:tcPr>
          <w:p w14:paraId="76C184B8"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w:t>
            </w:r>
          </w:p>
        </w:tc>
        <w:tc>
          <w:tcPr>
            <w:tcW w:w="821" w:type="dxa"/>
            <w:tcBorders>
              <w:top w:val="nil"/>
              <w:left w:val="nil"/>
              <w:bottom w:val="nil"/>
              <w:right w:val="nil"/>
            </w:tcBorders>
            <w:shd w:val="clear" w:color="auto" w:fill="auto"/>
            <w:noWrap/>
            <w:hideMark/>
          </w:tcPr>
          <w:p w14:paraId="76C184B9" w14:textId="77777777" w:rsidR="00710E67" w:rsidRPr="00710E67" w:rsidRDefault="00710E67" w:rsidP="00710E67">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hideMark/>
          </w:tcPr>
          <w:p w14:paraId="76C184BA" w14:textId="77777777" w:rsidR="00710E67" w:rsidRPr="00710E67" w:rsidRDefault="00710E67" w:rsidP="00710E67">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hideMark/>
          </w:tcPr>
          <w:p w14:paraId="76C184BB" w14:textId="77777777" w:rsidR="00710E67" w:rsidRPr="00710E67" w:rsidRDefault="00710E67" w:rsidP="00710E67">
            <w:pPr>
              <w:spacing w:after="0" w:line="240" w:lineRule="auto"/>
              <w:jc w:val="right"/>
              <w:rPr>
                <w:rFonts w:ascii="Times New Roman" w:hAnsi="Times New Roman"/>
              </w:rPr>
            </w:pPr>
          </w:p>
        </w:tc>
      </w:tr>
      <w:tr w:rsidR="00710E67" w:rsidRPr="00710E67" w14:paraId="76C184C3" w14:textId="77777777" w:rsidTr="008A6214">
        <w:trPr>
          <w:trHeight w:val="225"/>
        </w:trPr>
        <w:tc>
          <w:tcPr>
            <w:tcW w:w="3140" w:type="dxa"/>
            <w:tcBorders>
              <w:top w:val="nil"/>
              <w:left w:val="nil"/>
              <w:bottom w:val="nil"/>
              <w:right w:val="nil"/>
            </w:tcBorders>
            <w:shd w:val="clear" w:color="auto" w:fill="auto"/>
            <w:noWrap/>
            <w:hideMark/>
          </w:tcPr>
          <w:p w14:paraId="76C184BD"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Own-source revenue</w:t>
            </w:r>
          </w:p>
        </w:tc>
        <w:tc>
          <w:tcPr>
            <w:tcW w:w="928" w:type="dxa"/>
            <w:tcBorders>
              <w:top w:val="nil"/>
              <w:left w:val="nil"/>
              <w:bottom w:val="nil"/>
              <w:right w:val="nil"/>
            </w:tcBorders>
            <w:shd w:val="clear" w:color="auto" w:fill="auto"/>
            <w:noWrap/>
            <w:hideMark/>
          </w:tcPr>
          <w:p w14:paraId="76C184BE" w14:textId="77777777" w:rsidR="00710E67" w:rsidRPr="00710E67" w:rsidRDefault="00710E67" w:rsidP="00710E67">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hideMark/>
          </w:tcPr>
          <w:p w14:paraId="76C184BF"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w:t>
            </w:r>
          </w:p>
        </w:tc>
        <w:tc>
          <w:tcPr>
            <w:tcW w:w="821" w:type="dxa"/>
            <w:tcBorders>
              <w:top w:val="nil"/>
              <w:left w:val="nil"/>
              <w:bottom w:val="nil"/>
              <w:right w:val="nil"/>
            </w:tcBorders>
            <w:shd w:val="clear" w:color="auto" w:fill="auto"/>
            <w:noWrap/>
            <w:hideMark/>
          </w:tcPr>
          <w:p w14:paraId="76C184C0" w14:textId="77777777" w:rsidR="00710E67" w:rsidRPr="00710E67" w:rsidRDefault="00710E67" w:rsidP="00710E67">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hideMark/>
          </w:tcPr>
          <w:p w14:paraId="76C184C1" w14:textId="77777777" w:rsidR="00710E67" w:rsidRPr="00710E67" w:rsidRDefault="00710E67" w:rsidP="00710E67">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hideMark/>
          </w:tcPr>
          <w:p w14:paraId="76C184C2" w14:textId="77777777" w:rsidR="00710E67" w:rsidRPr="00710E67" w:rsidRDefault="00710E67" w:rsidP="00710E67">
            <w:pPr>
              <w:spacing w:after="0" w:line="240" w:lineRule="auto"/>
              <w:jc w:val="right"/>
              <w:rPr>
                <w:rFonts w:ascii="Times New Roman" w:hAnsi="Times New Roman"/>
              </w:rPr>
            </w:pPr>
          </w:p>
        </w:tc>
      </w:tr>
      <w:tr w:rsidR="00710E67" w:rsidRPr="00E76B04" w14:paraId="76C184CA" w14:textId="77777777" w:rsidTr="008A6214">
        <w:trPr>
          <w:trHeight w:val="417"/>
        </w:trPr>
        <w:tc>
          <w:tcPr>
            <w:tcW w:w="3140" w:type="dxa"/>
            <w:tcBorders>
              <w:top w:val="nil"/>
              <w:left w:val="nil"/>
              <w:bottom w:val="nil"/>
              <w:right w:val="nil"/>
            </w:tcBorders>
            <w:shd w:val="clear" w:color="auto" w:fill="auto"/>
            <w:hideMark/>
          </w:tcPr>
          <w:p w14:paraId="76C184C4" w14:textId="77777777" w:rsidR="00710E67" w:rsidRPr="00EF2631" w:rsidRDefault="00710E67"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Sale of goods and rendering of services</w:t>
            </w:r>
          </w:p>
        </w:tc>
        <w:tc>
          <w:tcPr>
            <w:tcW w:w="928" w:type="dxa"/>
            <w:tcBorders>
              <w:top w:val="nil"/>
              <w:left w:val="nil"/>
              <w:bottom w:val="nil"/>
              <w:right w:val="nil"/>
            </w:tcBorders>
            <w:shd w:val="clear" w:color="auto" w:fill="auto"/>
            <w:noWrap/>
            <w:vAlign w:val="center"/>
            <w:hideMark/>
          </w:tcPr>
          <w:p w14:paraId="76C184C5" w14:textId="77777777" w:rsidR="00710E67" w:rsidRPr="00710E67" w:rsidRDefault="00710E67" w:rsidP="00B86D9C">
            <w:pPr>
              <w:spacing w:after="0" w:line="240" w:lineRule="auto"/>
              <w:jc w:val="right"/>
              <w:rPr>
                <w:rFonts w:ascii="Arial" w:hAnsi="Arial" w:cs="Arial"/>
                <w:sz w:val="16"/>
                <w:szCs w:val="16"/>
              </w:rPr>
            </w:pPr>
            <w:r w:rsidRPr="00710E67">
              <w:rPr>
                <w:rFonts w:ascii="Arial" w:hAnsi="Arial" w:cs="Arial"/>
                <w:sz w:val="16"/>
                <w:szCs w:val="16"/>
              </w:rPr>
              <w:t xml:space="preserve">10,267 </w:t>
            </w:r>
          </w:p>
        </w:tc>
        <w:tc>
          <w:tcPr>
            <w:tcW w:w="820" w:type="dxa"/>
            <w:tcBorders>
              <w:top w:val="nil"/>
              <w:left w:val="nil"/>
              <w:bottom w:val="nil"/>
              <w:right w:val="nil"/>
            </w:tcBorders>
            <w:shd w:val="clear" w:color="000000" w:fill="E6E6E6"/>
            <w:noWrap/>
            <w:vAlign w:val="center"/>
            <w:hideMark/>
          </w:tcPr>
          <w:p w14:paraId="76C184C6" w14:textId="77777777" w:rsidR="00710E67" w:rsidRPr="00E76B04" w:rsidRDefault="00710E67" w:rsidP="00B86D9C">
            <w:pPr>
              <w:spacing w:after="0" w:line="240" w:lineRule="auto"/>
              <w:jc w:val="right"/>
              <w:rPr>
                <w:rFonts w:ascii="Arial" w:hAnsi="Arial" w:cs="Arial"/>
                <w:bCs/>
                <w:sz w:val="16"/>
                <w:szCs w:val="16"/>
              </w:rPr>
            </w:pPr>
            <w:r w:rsidRPr="00E76B04">
              <w:rPr>
                <w:rFonts w:ascii="Arial" w:hAnsi="Arial" w:cs="Arial"/>
                <w:bCs/>
                <w:sz w:val="16"/>
                <w:szCs w:val="16"/>
              </w:rPr>
              <w:t xml:space="preserve">10,520 </w:t>
            </w:r>
          </w:p>
        </w:tc>
        <w:tc>
          <w:tcPr>
            <w:tcW w:w="821" w:type="dxa"/>
            <w:tcBorders>
              <w:top w:val="nil"/>
              <w:left w:val="nil"/>
              <w:bottom w:val="nil"/>
              <w:right w:val="nil"/>
            </w:tcBorders>
            <w:shd w:val="clear" w:color="auto" w:fill="auto"/>
            <w:noWrap/>
            <w:vAlign w:val="center"/>
            <w:hideMark/>
          </w:tcPr>
          <w:p w14:paraId="76C184C7" w14:textId="77777777" w:rsidR="00710E67" w:rsidRPr="00E76B04" w:rsidRDefault="00710E67" w:rsidP="00B86D9C">
            <w:pPr>
              <w:spacing w:after="0" w:line="240" w:lineRule="auto"/>
              <w:jc w:val="right"/>
              <w:rPr>
                <w:rFonts w:ascii="Arial" w:hAnsi="Arial" w:cs="Arial"/>
                <w:bCs/>
                <w:sz w:val="16"/>
                <w:szCs w:val="16"/>
              </w:rPr>
            </w:pPr>
            <w:r w:rsidRPr="00E76B04">
              <w:rPr>
                <w:rFonts w:ascii="Arial" w:hAnsi="Arial" w:cs="Arial"/>
                <w:bCs/>
                <w:sz w:val="16"/>
                <w:szCs w:val="16"/>
              </w:rPr>
              <w:t xml:space="preserve">10,839 </w:t>
            </w:r>
          </w:p>
        </w:tc>
        <w:tc>
          <w:tcPr>
            <w:tcW w:w="821" w:type="dxa"/>
            <w:tcBorders>
              <w:top w:val="nil"/>
              <w:left w:val="nil"/>
              <w:bottom w:val="nil"/>
              <w:right w:val="nil"/>
            </w:tcBorders>
            <w:shd w:val="clear" w:color="auto" w:fill="auto"/>
            <w:noWrap/>
            <w:vAlign w:val="center"/>
            <w:hideMark/>
          </w:tcPr>
          <w:p w14:paraId="76C184C8" w14:textId="77777777" w:rsidR="00710E67" w:rsidRPr="00E76B04" w:rsidRDefault="00710E67" w:rsidP="00B86D9C">
            <w:pPr>
              <w:spacing w:after="0" w:line="240" w:lineRule="auto"/>
              <w:jc w:val="right"/>
              <w:rPr>
                <w:rFonts w:ascii="Arial" w:hAnsi="Arial" w:cs="Arial"/>
                <w:bCs/>
                <w:sz w:val="16"/>
                <w:szCs w:val="16"/>
              </w:rPr>
            </w:pPr>
            <w:r w:rsidRPr="00E76B04">
              <w:rPr>
                <w:rFonts w:ascii="Arial" w:hAnsi="Arial" w:cs="Arial"/>
                <w:bCs/>
                <w:sz w:val="16"/>
                <w:szCs w:val="16"/>
              </w:rPr>
              <w:t xml:space="preserve">11,066 </w:t>
            </w:r>
          </w:p>
        </w:tc>
        <w:tc>
          <w:tcPr>
            <w:tcW w:w="821" w:type="dxa"/>
            <w:tcBorders>
              <w:top w:val="nil"/>
              <w:left w:val="nil"/>
              <w:bottom w:val="nil"/>
              <w:right w:val="nil"/>
            </w:tcBorders>
            <w:shd w:val="clear" w:color="auto" w:fill="auto"/>
            <w:noWrap/>
            <w:vAlign w:val="center"/>
            <w:hideMark/>
          </w:tcPr>
          <w:p w14:paraId="76C184C9" w14:textId="77777777" w:rsidR="00710E67" w:rsidRPr="00E76B04" w:rsidRDefault="00710E67" w:rsidP="00B86D9C">
            <w:pPr>
              <w:spacing w:after="0" w:line="240" w:lineRule="auto"/>
              <w:jc w:val="right"/>
              <w:rPr>
                <w:rFonts w:ascii="Arial" w:hAnsi="Arial" w:cs="Arial"/>
                <w:bCs/>
                <w:sz w:val="16"/>
                <w:szCs w:val="16"/>
              </w:rPr>
            </w:pPr>
            <w:r w:rsidRPr="00E76B04">
              <w:rPr>
                <w:rFonts w:ascii="Arial" w:hAnsi="Arial" w:cs="Arial"/>
                <w:bCs/>
                <w:sz w:val="16"/>
                <w:szCs w:val="16"/>
              </w:rPr>
              <w:t xml:space="preserve">11,342 </w:t>
            </w:r>
          </w:p>
        </w:tc>
      </w:tr>
      <w:tr w:rsidR="00710E67" w:rsidRPr="000E0940" w14:paraId="76C184D1" w14:textId="77777777" w:rsidTr="008A6214">
        <w:trPr>
          <w:trHeight w:val="225"/>
        </w:trPr>
        <w:tc>
          <w:tcPr>
            <w:tcW w:w="3140" w:type="dxa"/>
            <w:tcBorders>
              <w:top w:val="nil"/>
              <w:left w:val="nil"/>
              <w:bottom w:val="nil"/>
              <w:right w:val="nil"/>
            </w:tcBorders>
            <w:shd w:val="clear" w:color="auto" w:fill="auto"/>
            <w:noWrap/>
            <w:hideMark/>
          </w:tcPr>
          <w:p w14:paraId="76C184CB" w14:textId="77777777" w:rsidR="00710E67" w:rsidRPr="00EF2631" w:rsidRDefault="00710E67"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Other</w:t>
            </w:r>
          </w:p>
        </w:tc>
        <w:tc>
          <w:tcPr>
            <w:tcW w:w="928" w:type="dxa"/>
            <w:tcBorders>
              <w:top w:val="nil"/>
              <w:left w:val="nil"/>
              <w:bottom w:val="nil"/>
              <w:right w:val="nil"/>
            </w:tcBorders>
            <w:shd w:val="clear" w:color="auto" w:fill="auto"/>
            <w:noWrap/>
            <w:hideMark/>
          </w:tcPr>
          <w:p w14:paraId="76C184CC"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50 </w:t>
            </w:r>
          </w:p>
        </w:tc>
        <w:tc>
          <w:tcPr>
            <w:tcW w:w="820" w:type="dxa"/>
            <w:tcBorders>
              <w:top w:val="nil"/>
              <w:left w:val="nil"/>
              <w:bottom w:val="nil"/>
              <w:right w:val="nil"/>
            </w:tcBorders>
            <w:shd w:val="clear" w:color="000000" w:fill="E6E6E6"/>
            <w:noWrap/>
            <w:hideMark/>
          </w:tcPr>
          <w:p w14:paraId="76C184CD"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50 </w:t>
            </w:r>
          </w:p>
        </w:tc>
        <w:tc>
          <w:tcPr>
            <w:tcW w:w="821" w:type="dxa"/>
            <w:tcBorders>
              <w:top w:val="nil"/>
              <w:left w:val="nil"/>
              <w:bottom w:val="nil"/>
              <w:right w:val="nil"/>
            </w:tcBorders>
            <w:shd w:val="clear" w:color="auto" w:fill="auto"/>
            <w:noWrap/>
            <w:hideMark/>
          </w:tcPr>
          <w:p w14:paraId="76C184CE"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50 </w:t>
            </w:r>
          </w:p>
        </w:tc>
        <w:tc>
          <w:tcPr>
            <w:tcW w:w="821" w:type="dxa"/>
            <w:tcBorders>
              <w:top w:val="nil"/>
              <w:left w:val="nil"/>
              <w:bottom w:val="nil"/>
              <w:right w:val="nil"/>
            </w:tcBorders>
            <w:shd w:val="clear" w:color="auto" w:fill="auto"/>
            <w:noWrap/>
            <w:hideMark/>
          </w:tcPr>
          <w:p w14:paraId="76C184CF"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50 </w:t>
            </w:r>
          </w:p>
        </w:tc>
        <w:tc>
          <w:tcPr>
            <w:tcW w:w="821" w:type="dxa"/>
            <w:tcBorders>
              <w:top w:val="nil"/>
              <w:left w:val="nil"/>
              <w:bottom w:val="nil"/>
              <w:right w:val="nil"/>
            </w:tcBorders>
            <w:shd w:val="clear" w:color="auto" w:fill="auto"/>
            <w:noWrap/>
            <w:hideMark/>
          </w:tcPr>
          <w:p w14:paraId="76C184D0" w14:textId="77777777" w:rsidR="00710E67" w:rsidRPr="000E0940" w:rsidRDefault="00710E67" w:rsidP="00710E67">
            <w:pPr>
              <w:spacing w:after="0" w:line="240" w:lineRule="auto"/>
              <w:jc w:val="right"/>
              <w:rPr>
                <w:rFonts w:ascii="Arial" w:hAnsi="Arial" w:cs="Arial"/>
                <w:bCs/>
                <w:sz w:val="16"/>
                <w:szCs w:val="16"/>
              </w:rPr>
            </w:pPr>
            <w:r w:rsidRPr="000E0940">
              <w:rPr>
                <w:rFonts w:ascii="Arial" w:hAnsi="Arial" w:cs="Arial"/>
                <w:bCs/>
                <w:sz w:val="16"/>
                <w:szCs w:val="16"/>
              </w:rPr>
              <w:t xml:space="preserve">50 </w:t>
            </w:r>
          </w:p>
        </w:tc>
      </w:tr>
      <w:tr w:rsidR="00710E67" w:rsidRPr="00710E67" w14:paraId="76C184D8" w14:textId="77777777" w:rsidTr="008A6214">
        <w:trPr>
          <w:trHeight w:val="225"/>
        </w:trPr>
        <w:tc>
          <w:tcPr>
            <w:tcW w:w="3140" w:type="dxa"/>
            <w:tcBorders>
              <w:top w:val="nil"/>
              <w:left w:val="nil"/>
              <w:bottom w:val="nil"/>
              <w:right w:val="nil"/>
            </w:tcBorders>
            <w:shd w:val="clear" w:color="auto" w:fill="auto"/>
            <w:noWrap/>
            <w:hideMark/>
          </w:tcPr>
          <w:p w14:paraId="76C184D2"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Total own-source revenue</w:t>
            </w:r>
          </w:p>
        </w:tc>
        <w:tc>
          <w:tcPr>
            <w:tcW w:w="928" w:type="dxa"/>
            <w:tcBorders>
              <w:top w:val="single" w:sz="4" w:space="0" w:color="auto"/>
              <w:left w:val="nil"/>
              <w:bottom w:val="single" w:sz="4" w:space="0" w:color="auto"/>
              <w:right w:val="nil"/>
            </w:tcBorders>
            <w:shd w:val="clear" w:color="auto" w:fill="auto"/>
            <w:noWrap/>
            <w:hideMark/>
          </w:tcPr>
          <w:p w14:paraId="76C184D3"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10,317 </w:t>
            </w:r>
          </w:p>
        </w:tc>
        <w:tc>
          <w:tcPr>
            <w:tcW w:w="820" w:type="dxa"/>
            <w:tcBorders>
              <w:top w:val="single" w:sz="4" w:space="0" w:color="auto"/>
              <w:left w:val="nil"/>
              <w:bottom w:val="single" w:sz="4" w:space="0" w:color="auto"/>
              <w:right w:val="nil"/>
            </w:tcBorders>
            <w:shd w:val="clear" w:color="000000" w:fill="E6E6E6"/>
            <w:noWrap/>
            <w:hideMark/>
          </w:tcPr>
          <w:p w14:paraId="76C184D4"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10,570 </w:t>
            </w:r>
          </w:p>
        </w:tc>
        <w:tc>
          <w:tcPr>
            <w:tcW w:w="821" w:type="dxa"/>
            <w:tcBorders>
              <w:top w:val="single" w:sz="4" w:space="0" w:color="auto"/>
              <w:left w:val="nil"/>
              <w:bottom w:val="single" w:sz="4" w:space="0" w:color="auto"/>
              <w:right w:val="nil"/>
            </w:tcBorders>
            <w:shd w:val="clear" w:color="auto" w:fill="auto"/>
            <w:noWrap/>
            <w:hideMark/>
          </w:tcPr>
          <w:p w14:paraId="76C184D5"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10,889 </w:t>
            </w:r>
          </w:p>
        </w:tc>
        <w:tc>
          <w:tcPr>
            <w:tcW w:w="821" w:type="dxa"/>
            <w:tcBorders>
              <w:top w:val="single" w:sz="4" w:space="0" w:color="auto"/>
              <w:left w:val="nil"/>
              <w:bottom w:val="single" w:sz="4" w:space="0" w:color="auto"/>
              <w:right w:val="nil"/>
            </w:tcBorders>
            <w:shd w:val="clear" w:color="auto" w:fill="auto"/>
            <w:noWrap/>
            <w:hideMark/>
          </w:tcPr>
          <w:p w14:paraId="76C184D6"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11,116 </w:t>
            </w:r>
          </w:p>
        </w:tc>
        <w:tc>
          <w:tcPr>
            <w:tcW w:w="821" w:type="dxa"/>
            <w:tcBorders>
              <w:top w:val="single" w:sz="4" w:space="0" w:color="auto"/>
              <w:left w:val="nil"/>
              <w:bottom w:val="single" w:sz="4" w:space="0" w:color="auto"/>
              <w:right w:val="nil"/>
            </w:tcBorders>
            <w:shd w:val="clear" w:color="auto" w:fill="auto"/>
            <w:noWrap/>
            <w:hideMark/>
          </w:tcPr>
          <w:p w14:paraId="76C184D7"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11,392 </w:t>
            </w:r>
          </w:p>
        </w:tc>
      </w:tr>
      <w:tr w:rsidR="00710E67" w:rsidRPr="00710E67" w14:paraId="76C184DF" w14:textId="77777777" w:rsidTr="008A6214">
        <w:trPr>
          <w:trHeight w:val="225"/>
        </w:trPr>
        <w:tc>
          <w:tcPr>
            <w:tcW w:w="3140" w:type="dxa"/>
            <w:tcBorders>
              <w:top w:val="nil"/>
              <w:left w:val="nil"/>
              <w:bottom w:val="nil"/>
              <w:right w:val="nil"/>
            </w:tcBorders>
            <w:shd w:val="clear" w:color="auto" w:fill="auto"/>
            <w:noWrap/>
            <w:hideMark/>
          </w:tcPr>
          <w:p w14:paraId="76C184D9"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Total own-source income</w:t>
            </w:r>
          </w:p>
        </w:tc>
        <w:tc>
          <w:tcPr>
            <w:tcW w:w="928" w:type="dxa"/>
            <w:tcBorders>
              <w:top w:val="nil"/>
              <w:left w:val="nil"/>
              <w:bottom w:val="single" w:sz="4" w:space="0" w:color="auto"/>
              <w:right w:val="nil"/>
            </w:tcBorders>
            <w:shd w:val="clear" w:color="auto" w:fill="auto"/>
            <w:noWrap/>
            <w:hideMark/>
          </w:tcPr>
          <w:p w14:paraId="76C184DA"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10,317 </w:t>
            </w:r>
          </w:p>
        </w:tc>
        <w:tc>
          <w:tcPr>
            <w:tcW w:w="820" w:type="dxa"/>
            <w:tcBorders>
              <w:top w:val="nil"/>
              <w:left w:val="nil"/>
              <w:bottom w:val="single" w:sz="4" w:space="0" w:color="auto"/>
              <w:right w:val="nil"/>
            </w:tcBorders>
            <w:shd w:val="clear" w:color="000000" w:fill="E6E6E6"/>
            <w:noWrap/>
            <w:hideMark/>
          </w:tcPr>
          <w:p w14:paraId="76C184DB"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10,570 </w:t>
            </w:r>
          </w:p>
        </w:tc>
        <w:tc>
          <w:tcPr>
            <w:tcW w:w="821" w:type="dxa"/>
            <w:tcBorders>
              <w:top w:val="nil"/>
              <w:left w:val="nil"/>
              <w:bottom w:val="single" w:sz="4" w:space="0" w:color="auto"/>
              <w:right w:val="nil"/>
            </w:tcBorders>
            <w:shd w:val="clear" w:color="auto" w:fill="auto"/>
            <w:noWrap/>
            <w:hideMark/>
          </w:tcPr>
          <w:p w14:paraId="76C184DC"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10,889 </w:t>
            </w:r>
          </w:p>
        </w:tc>
        <w:tc>
          <w:tcPr>
            <w:tcW w:w="821" w:type="dxa"/>
            <w:tcBorders>
              <w:top w:val="nil"/>
              <w:left w:val="nil"/>
              <w:bottom w:val="single" w:sz="4" w:space="0" w:color="auto"/>
              <w:right w:val="nil"/>
            </w:tcBorders>
            <w:shd w:val="clear" w:color="auto" w:fill="auto"/>
            <w:noWrap/>
            <w:hideMark/>
          </w:tcPr>
          <w:p w14:paraId="76C184DD"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11,116 </w:t>
            </w:r>
          </w:p>
        </w:tc>
        <w:tc>
          <w:tcPr>
            <w:tcW w:w="821" w:type="dxa"/>
            <w:tcBorders>
              <w:top w:val="nil"/>
              <w:left w:val="nil"/>
              <w:bottom w:val="single" w:sz="4" w:space="0" w:color="auto"/>
              <w:right w:val="nil"/>
            </w:tcBorders>
            <w:shd w:val="clear" w:color="auto" w:fill="auto"/>
            <w:noWrap/>
            <w:hideMark/>
          </w:tcPr>
          <w:p w14:paraId="76C184DE"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11,392 </w:t>
            </w:r>
          </w:p>
        </w:tc>
      </w:tr>
      <w:tr w:rsidR="00710E67" w:rsidRPr="00710E67" w14:paraId="76C184E6" w14:textId="77777777" w:rsidTr="008A6214">
        <w:trPr>
          <w:trHeight w:val="225"/>
        </w:trPr>
        <w:tc>
          <w:tcPr>
            <w:tcW w:w="3140" w:type="dxa"/>
            <w:tcBorders>
              <w:top w:val="nil"/>
              <w:left w:val="nil"/>
              <w:bottom w:val="nil"/>
              <w:right w:val="nil"/>
            </w:tcBorders>
            <w:shd w:val="clear" w:color="auto" w:fill="auto"/>
            <w:hideMark/>
          </w:tcPr>
          <w:p w14:paraId="76C184E0" w14:textId="77777777" w:rsidR="00710E67" w:rsidRPr="00EF2631" w:rsidRDefault="00710E67"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Net cost of services</w:t>
            </w:r>
          </w:p>
        </w:tc>
        <w:tc>
          <w:tcPr>
            <w:tcW w:w="928" w:type="dxa"/>
            <w:tcBorders>
              <w:top w:val="nil"/>
              <w:left w:val="nil"/>
              <w:bottom w:val="single" w:sz="4" w:space="0" w:color="auto"/>
              <w:right w:val="nil"/>
            </w:tcBorders>
            <w:shd w:val="clear" w:color="auto" w:fill="auto"/>
            <w:noWrap/>
            <w:vAlign w:val="bottom"/>
            <w:hideMark/>
          </w:tcPr>
          <w:p w14:paraId="76C184E1"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(10,827)</w:t>
            </w:r>
          </w:p>
        </w:tc>
        <w:tc>
          <w:tcPr>
            <w:tcW w:w="820" w:type="dxa"/>
            <w:tcBorders>
              <w:top w:val="nil"/>
              <w:left w:val="nil"/>
              <w:bottom w:val="single" w:sz="4" w:space="0" w:color="auto"/>
              <w:right w:val="nil"/>
            </w:tcBorders>
            <w:shd w:val="clear" w:color="000000" w:fill="E6E6E6"/>
            <w:noWrap/>
            <w:vAlign w:val="bottom"/>
            <w:hideMark/>
          </w:tcPr>
          <w:p w14:paraId="76C184E2"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(11,052)</w:t>
            </w:r>
          </w:p>
        </w:tc>
        <w:tc>
          <w:tcPr>
            <w:tcW w:w="821" w:type="dxa"/>
            <w:tcBorders>
              <w:top w:val="nil"/>
              <w:left w:val="nil"/>
              <w:bottom w:val="single" w:sz="4" w:space="0" w:color="auto"/>
              <w:right w:val="nil"/>
            </w:tcBorders>
            <w:shd w:val="clear" w:color="auto" w:fill="auto"/>
            <w:noWrap/>
            <w:vAlign w:val="bottom"/>
            <w:hideMark/>
          </w:tcPr>
          <w:p w14:paraId="76C184E3"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(11,219)</w:t>
            </w:r>
          </w:p>
        </w:tc>
        <w:tc>
          <w:tcPr>
            <w:tcW w:w="821" w:type="dxa"/>
            <w:tcBorders>
              <w:top w:val="nil"/>
              <w:left w:val="nil"/>
              <w:bottom w:val="single" w:sz="4" w:space="0" w:color="auto"/>
              <w:right w:val="nil"/>
            </w:tcBorders>
            <w:shd w:val="clear" w:color="auto" w:fill="auto"/>
            <w:noWrap/>
            <w:vAlign w:val="bottom"/>
            <w:hideMark/>
          </w:tcPr>
          <w:p w14:paraId="76C184E4"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(11,450)</w:t>
            </w:r>
          </w:p>
        </w:tc>
        <w:tc>
          <w:tcPr>
            <w:tcW w:w="821" w:type="dxa"/>
            <w:tcBorders>
              <w:top w:val="nil"/>
              <w:left w:val="nil"/>
              <w:bottom w:val="single" w:sz="4" w:space="0" w:color="auto"/>
              <w:right w:val="nil"/>
            </w:tcBorders>
            <w:shd w:val="clear" w:color="auto" w:fill="auto"/>
            <w:noWrap/>
            <w:vAlign w:val="bottom"/>
            <w:hideMark/>
          </w:tcPr>
          <w:p w14:paraId="76C184E5"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(11,721)</w:t>
            </w:r>
          </w:p>
        </w:tc>
      </w:tr>
      <w:tr w:rsidR="00710E67" w:rsidRPr="00710E67" w14:paraId="76C184ED" w14:textId="77777777" w:rsidTr="008A6214">
        <w:trPr>
          <w:trHeight w:val="225"/>
        </w:trPr>
        <w:tc>
          <w:tcPr>
            <w:tcW w:w="3140" w:type="dxa"/>
            <w:tcBorders>
              <w:top w:val="nil"/>
              <w:left w:val="nil"/>
              <w:bottom w:val="nil"/>
              <w:right w:val="nil"/>
            </w:tcBorders>
            <w:shd w:val="clear" w:color="auto" w:fill="auto"/>
            <w:noWrap/>
            <w:hideMark/>
          </w:tcPr>
          <w:p w14:paraId="76C184E7" w14:textId="77777777" w:rsidR="00710E67" w:rsidRPr="00EF2631" w:rsidRDefault="00710E67" w:rsidP="00EF2631">
            <w:pPr>
              <w:spacing w:after="0" w:line="240" w:lineRule="auto"/>
              <w:ind w:left="316" w:hanging="142"/>
              <w:jc w:val="left"/>
              <w:rPr>
                <w:rFonts w:ascii="Arial" w:hAnsi="Arial" w:cs="Arial"/>
                <w:color w:val="000000"/>
                <w:sz w:val="16"/>
                <w:szCs w:val="16"/>
              </w:rPr>
            </w:pPr>
            <w:r w:rsidRPr="00EF2631">
              <w:rPr>
                <w:rFonts w:ascii="Arial" w:hAnsi="Arial" w:cs="Arial"/>
                <w:color w:val="000000"/>
                <w:sz w:val="16"/>
                <w:szCs w:val="16"/>
              </w:rPr>
              <w:t>Revenue from Government</w:t>
            </w:r>
          </w:p>
        </w:tc>
        <w:tc>
          <w:tcPr>
            <w:tcW w:w="928" w:type="dxa"/>
            <w:tcBorders>
              <w:top w:val="nil"/>
              <w:left w:val="nil"/>
              <w:bottom w:val="single" w:sz="4" w:space="0" w:color="auto"/>
              <w:right w:val="nil"/>
            </w:tcBorders>
            <w:shd w:val="clear" w:color="auto" w:fill="auto"/>
            <w:noWrap/>
            <w:hideMark/>
          </w:tcPr>
          <w:p w14:paraId="76C184E8"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10,231 </w:t>
            </w:r>
          </w:p>
        </w:tc>
        <w:tc>
          <w:tcPr>
            <w:tcW w:w="820" w:type="dxa"/>
            <w:tcBorders>
              <w:top w:val="nil"/>
              <w:left w:val="nil"/>
              <w:bottom w:val="single" w:sz="4" w:space="0" w:color="auto"/>
              <w:right w:val="nil"/>
            </w:tcBorders>
            <w:shd w:val="clear" w:color="000000" w:fill="E6E6E6"/>
            <w:noWrap/>
            <w:hideMark/>
          </w:tcPr>
          <w:p w14:paraId="76C184E9"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10,422 </w:t>
            </w:r>
          </w:p>
        </w:tc>
        <w:tc>
          <w:tcPr>
            <w:tcW w:w="821" w:type="dxa"/>
            <w:tcBorders>
              <w:top w:val="nil"/>
              <w:left w:val="nil"/>
              <w:bottom w:val="single" w:sz="4" w:space="0" w:color="auto"/>
              <w:right w:val="nil"/>
            </w:tcBorders>
            <w:shd w:val="clear" w:color="auto" w:fill="auto"/>
            <w:noWrap/>
            <w:hideMark/>
          </w:tcPr>
          <w:p w14:paraId="76C184EA"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10,584 </w:t>
            </w:r>
          </w:p>
        </w:tc>
        <w:tc>
          <w:tcPr>
            <w:tcW w:w="821" w:type="dxa"/>
            <w:tcBorders>
              <w:top w:val="nil"/>
              <w:left w:val="nil"/>
              <w:bottom w:val="single" w:sz="4" w:space="0" w:color="auto"/>
              <w:right w:val="nil"/>
            </w:tcBorders>
            <w:shd w:val="clear" w:color="auto" w:fill="auto"/>
            <w:noWrap/>
            <w:hideMark/>
          </w:tcPr>
          <w:p w14:paraId="76C184EB"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10,807 </w:t>
            </w:r>
          </w:p>
        </w:tc>
        <w:tc>
          <w:tcPr>
            <w:tcW w:w="821" w:type="dxa"/>
            <w:tcBorders>
              <w:top w:val="nil"/>
              <w:left w:val="nil"/>
              <w:bottom w:val="single" w:sz="4" w:space="0" w:color="auto"/>
              <w:right w:val="nil"/>
            </w:tcBorders>
            <w:shd w:val="clear" w:color="auto" w:fill="auto"/>
            <w:noWrap/>
            <w:hideMark/>
          </w:tcPr>
          <w:p w14:paraId="76C184EC"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11,077 </w:t>
            </w:r>
          </w:p>
        </w:tc>
      </w:tr>
      <w:tr w:rsidR="00710E67" w:rsidRPr="00710E67" w14:paraId="76C184F4" w14:textId="77777777" w:rsidTr="008A6214">
        <w:trPr>
          <w:trHeight w:val="345"/>
        </w:trPr>
        <w:tc>
          <w:tcPr>
            <w:tcW w:w="3140" w:type="dxa"/>
            <w:tcBorders>
              <w:top w:val="nil"/>
              <w:left w:val="nil"/>
              <w:bottom w:val="nil"/>
              <w:right w:val="nil"/>
            </w:tcBorders>
            <w:shd w:val="clear" w:color="auto" w:fill="auto"/>
            <w:hideMark/>
          </w:tcPr>
          <w:p w14:paraId="76C184EE"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Deficit attributable to the Australian Government</w:t>
            </w:r>
          </w:p>
        </w:tc>
        <w:tc>
          <w:tcPr>
            <w:tcW w:w="928" w:type="dxa"/>
            <w:tcBorders>
              <w:top w:val="nil"/>
              <w:left w:val="nil"/>
              <w:bottom w:val="nil"/>
              <w:right w:val="nil"/>
            </w:tcBorders>
            <w:shd w:val="clear" w:color="auto" w:fill="auto"/>
            <w:noWrap/>
            <w:vAlign w:val="bottom"/>
            <w:hideMark/>
          </w:tcPr>
          <w:p w14:paraId="76C184EF"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(596)</w:t>
            </w:r>
          </w:p>
        </w:tc>
        <w:tc>
          <w:tcPr>
            <w:tcW w:w="820" w:type="dxa"/>
            <w:tcBorders>
              <w:top w:val="nil"/>
              <w:left w:val="nil"/>
              <w:bottom w:val="nil"/>
              <w:right w:val="nil"/>
            </w:tcBorders>
            <w:shd w:val="clear" w:color="000000" w:fill="E6E6E6"/>
            <w:noWrap/>
            <w:vAlign w:val="bottom"/>
            <w:hideMark/>
          </w:tcPr>
          <w:p w14:paraId="76C184F0"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(630)</w:t>
            </w:r>
          </w:p>
        </w:tc>
        <w:tc>
          <w:tcPr>
            <w:tcW w:w="821" w:type="dxa"/>
            <w:tcBorders>
              <w:top w:val="nil"/>
              <w:left w:val="nil"/>
              <w:bottom w:val="nil"/>
              <w:right w:val="nil"/>
            </w:tcBorders>
            <w:shd w:val="clear" w:color="auto" w:fill="auto"/>
            <w:noWrap/>
            <w:vAlign w:val="bottom"/>
            <w:hideMark/>
          </w:tcPr>
          <w:p w14:paraId="76C184F1"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(635)</w:t>
            </w:r>
          </w:p>
        </w:tc>
        <w:tc>
          <w:tcPr>
            <w:tcW w:w="821" w:type="dxa"/>
            <w:tcBorders>
              <w:top w:val="nil"/>
              <w:left w:val="nil"/>
              <w:bottom w:val="nil"/>
              <w:right w:val="nil"/>
            </w:tcBorders>
            <w:shd w:val="clear" w:color="auto" w:fill="auto"/>
            <w:noWrap/>
            <w:vAlign w:val="bottom"/>
            <w:hideMark/>
          </w:tcPr>
          <w:p w14:paraId="76C184F2"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(643)</w:t>
            </w:r>
          </w:p>
        </w:tc>
        <w:tc>
          <w:tcPr>
            <w:tcW w:w="821" w:type="dxa"/>
            <w:tcBorders>
              <w:top w:val="nil"/>
              <w:left w:val="nil"/>
              <w:bottom w:val="nil"/>
              <w:right w:val="nil"/>
            </w:tcBorders>
            <w:shd w:val="clear" w:color="auto" w:fill="auto"/>
            <w:noWrap/>
            <w:vAlign w:val="bottom"/>
            <w:hideMark/>
          </w:tcPr>
          <w:p w14:paraId="76C184F3"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(644)</w:t>
            </w:r>
          </w:p>
        </w:tc>
      </w:tr>
      <w:tr w:rsidR="00710E67" w:rsidRPr="00710E67" w14:paraId="76C184FB" w14:textId="77777777" w:rsidTr="008A6214">
        <w:trPr>
          <w:trHeight w:val="225"/>
        </w:trPr>
        <w:tc>
          <w:tcPr>
            <w:tcW w:w="3140" w:type="dxa"/>
            <w:tcBorders>
              <w:top w:val="nil"/>
              <w:left w:val="nil"/>
              <w:bottom w:val="nil"/>
              <w:right w:val="nil"/>
            </w:tcBorders>
            <w:shd w:val="clear" w:color="auto" w:fill="auto"/>
            <w:noWrap/>
            <w:hideMark/>
          </w:tcPr>
          <w:p w14:paraId="76C184F5"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Total comprehensive loss</w:t>
            </w:r>
          </w:p>
        </w:tc>
        <w:tc>
          <w:tcPr>
            <w:tcW w:w="928" w:type="dxa"/>
            <w:tcBorders>
              <w:top w:val="single" w:sz="4" w:space="0" w:color="auto"/>
              <w:left w:val="nil"/>
              <w:bottom w:val="single" w:sz="4" w:space="0" w:color="auto"/>
              <w:right w:val="nil"/>
            </w:tcBorders>
            <w:shd w:val="clear" w:color="auto" w:fill="auto"/>
            <w:noWrap/>
            <w:hideMark/>
          </w:tcPr>
          <w:p w14:paraId="76C184F6"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(596)</w:t>
            </w:r>
          </w:p>
        </w:tc>
        <w:tc>
          <w:tcPr>
            <w:tcW w:w="820" w:type="dxa"/>
            <w:tcBorders>
              <w:top w:val="single" w:sz="4" w:space="0" w:color="auto"/>
              <w:left w:val="nil"/>
              <w:bottom w:val="single" w:sz="4" w:space="0" w:color="auto"/>
              <w:right w:val="nil"/>
            </w:tcBorders>
            <w:shd w:val="clear" w:color="000000" w:fill="E6E6E6"/>
            <w:noWrap/>
            <w:hideMark/>
          </w:tcPr>
          <w:p w14:paraId="76C184F7"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(630)</w:t>
            </w:r>
          </w:p>
        </w:tc>
        <w:tc>
          <w:tcPr>
            <w:tcW w:w="821" w:type="dxa"/>
            <w:tcBorders>
              <w:top w:val="single" w:sz="4" w:space="0" w:color="auto"/>
              <w:left w:val="nil"/>
              <w:bottom w:val="single" w:sz="4" w:space="0" w:color="auto"/>
              <w:right w:val="nil"/>
            </w:tcBorders>
            <w:shd w:val="clear" w:color="auto" w:fill="auto"/>
            <w:noWrap/>
            <w:hideMark/>
          </w:tcPr>
          <w:p w14:paraId="76C184F8"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(635)</w:t>
            </w:r>
          </w:p>
        </w:tc>
        <w:tc>
          <w:tcPr>
            <w:tcW w:w="821" w:type="dxa"/>
            <w:tcBorders>
              <w:top w:val="single" w:sz="4" w:space="0" w:color="auto"/>
              <w:left w:val="nil"/>
              <w:bottom w:val="single" w:sz="4" w:space="0" w:color="auto"/>
              <w:right w:val="nil"/>
            </w:tcBorders>
            <w:shd w:val="clear" w:color="auto" w:fill="auto"/>
            <w:noWrap/>
            <w:hideMark/>
          </w:tcPr>
          <w:p w14:paraId="76C184F9"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(643)</w:t>
            </w:r>
          </w:p>
        </w:tc>
        <w:tc>
          <w:tcPr>
            <w:tcW w:w="821" w:type="dxa"/>
            <w:tcBorders>
              <w:top w:val="single" w:sz="4" w:space="0" w:color="auto"/>
              <w:left w:val="nil"/>
              <w:bottom w:val="single" w:sz="4" w:space="0" w:color="auto"/>
              <w:right w:val="nil"/>
            </w:tcBorders>
            <w:shd w:val="clear" w:color="auto" w:fill="auto"/>
            <w:noWrap/>
            <w:hideMark/>
          </w:tcPr>
          <w:p w14:paraId="76C184FA"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(644)</w:t>
            </w:r>
          </w:p>
        </w:tc>
      </w:tr>
      <w:tr w:rsidR="00710E67" w:rsidRPr="00710E67" w14:paraId="76C18502" w14:textId="77777777" w:rsidTr="008A6214">
        <w:trPr>
          <w:trHeight w:val="369"/>
        </w:trPr>
        <w:tc>
          <w:tcPr>
            <w:tcW w:w="3140" w:type="dxa"/>
            <w:tcBorders>
              <w:top w:val="nil"/>
              <w:left w:val="nil"/>
              <w:bottom w:val="single" w:sz="4" w:space="0" w:color="auto"/>
              <w:right w:val="nil"/>
            </w:tcBorders>
            <w:shd w:val="clear" w:color="auto" w:fill="auto"/>
            <w:hideMark/>
          </w:tcPr>
          <w:p w14:paraId="76C184FC" w14:textId="77777777" w:rsidR="00710E67" w:rsidRPr="00710E67" w:rsidRDefault="00710E67" w:rsidP="00EF2631">
            <w:pPr>
              <w:spacing w:after="0" w:line="240" w:lineRule="auto"/>
              <w:ind w:left="180" w:hanging="180"/>
              <w:jc w:val="left"/>
              <w:rPr>
                <w:rFonts w:ascii="Arial" w:hAnsi="Arial" w:cs="Arial"/>
                <w:b/>
                <w:bCs/>
                <w:sz w:val="16"/>
                <w:szCs w:val="16"/>
              </w:rPr>
            </w:pPr>
            <w:r w:rsidRPr="00710E67">
              <w:rPr>
                <w:rFonts w:ascii="Arial" w:hAnsi="Arial" w:cs="Arial"/>
                <w:b/>
                <w:bCs/>
                <w:sz w:val="16"/>
                <w:szCs w:val="16"/>
              </w:rPr>
              <w:t>Total comprehensive loss attributable to the Australian Government</w:t>
            </w:r>
          </w:p>
        </w:tc>
        <w:tc>
          <w:tcPr>
            <w:tcW w:w="928" w:type="dxa"/>
            <w:tcBorders>
              <w:top w:val="nil"/>
              <w:left w:val="nil"/>
              <w:bottom w:val="single" w:sz="4" w:space="0" w:color="auto"/>
              <w:right w:val="nil"/>
            </w:tcBorders>
            <w:shd w:val="clear" w:color="auto" w:fill="auto"/>
            <w:noWrap/>
            <w:vAlign w:val="bottom"/>
            <w:hideMark/>
          </w:tcPr>
          <w:p w14:paraId="76C184FD"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(596)</w:t>
            </w:r>
          </w:p>
        </w:tc>
        <w:tc>
          <w:tcPr>
            <w:tcW w:w="820" w:type="dxa"/>
            <w:tcBorders>
              <w:top w:val="nil"/>
              <w:left w:val="nil"/>
              <w:bottom w:val="single" w:sz="4" w:space="0" w:color="auto"/>
              <w:right w:val="nil"/>
            </w:tcBorders>
            <w:shd w:val="clear" w:color="000000" w:fill="E6E6E6"/>
            <w:noWrap/>
            <w:vAlign w:val="bottom"/>
            <w:hideMark/>
          </w:tcPr>
          <w:p w14:paraId="76C184FE"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(630)</w:t>
            </w:r>
          </w:p>
        </w:tc>
        <w:tc>
          <w:tcPr>
            <w:tcW w:w="821" w:type="dxa"/>
            <w:tcBorders>
              <w:top w:val="nil"/>
              <w:left w:val="nil"/>
              <w:bottom w:val="single" w:sz="4" w:space="0" w:color="auto"/>
              <w:right w:val="nil"/>
            </w:tcBorders>
            <w:shd w:val="clear" w:color="auto" w:fill="auto"/>
            <w:noWrap/>
            <w:vAlign w:val="bottom"/>
            <w:hideMark/>
          </w:tcPr>
          <w:p w14:paraId="76C184FF"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(635)</w:t>
            </w:r>
          </w:p>
        </w:tc>
        <w:tc>
          <w:tcPr>
            <w:tcW w:w="821" w:type="dxa"/>
            <w:tcBorders>
              <w:top w:val="nil"/>
              <w:left w:val="nil"/>
              <w:bottom w:val="single" w:sz="4" w:space="0" w:color="auto"/>
              <w:right w:val="nil"/>
            </w:tcBorders>
            <w:shd w:val="clear" w:color="auto" w:fill="auto"/>
            <w:noWrap/>
            <w:vAlign w:val="bottom"/>
            <w:hideMark/>
          </w:tcPr>
          <w:p w14:paraId="76C18500"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(643)</w:t>
            </w:r>
          </w:p>
        </w:tc>
        <w:tc>
          <w:tcPr>
            <w:tcW w:w="821" w:type="dxa"/>
            <w:tcBorders>
              <w:top w:val="nil"/>
              <w:left w:val="nil"/>
              <w:bottom w:val="single" w:sz="4" w:space="0" w:color="auto"/>
              <w:right w:val="nil"/>
            </w:tcBorders>
            <w:shd w:val="clear" w:color="auto" w:fill="auto"/>
            <w:noWrap/>
            <w:vAlign w:val="bottom"/>
            <w:hideMark/>
          </w:tcPr>
          <w:p w14:paraId="76C18501"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(644)</w:t>
            </w:r>
          </w:p>
        </w:tc>
      </w:tr>
      <w:tr w:rsidR="00710E67" w:rsidRPr="00710E67" w14:paraId="76C18509" w14:textId="77777777" w:rsidTr="008A6214">
        <w:trPr>
          <w:trHeight w:val="75"/>
        </w:trPr>
        <w:tc>
          <w:tcPr>
            <w:tcW w:w="3140" w:type="dxa"/>
            <w:tcBorders>
              <w:top w:val="nil"/>
              <w:left w:val="nil"/>
              <w:bottom w:val="nil"/>
              <w:right w:val="nil"/>
            </w:tcBorders>
            <w:shd w:val="clear" w:color="auto" w:fill="auto"/>
            <w:vAlign w:val="bottom"/>
            <w:hideMark/>
          </w:tcPr>
          <w:p w14:paraId="76C18503" w14:textId="77777777" w:rsidR="00710E67" w:rsidRPr="00710E67" w:rsidRDefault="00710E67" w:rsidP="00710E67">
            <w:pPr>
              <w:spacing w:after="0" w:line="240" w:lineRule="auto"/>
              <w:jc w:val="right"/>
              <w:rPr>
                <w:rFonts w:ascii="Arial" w:hAnsi="Arial" w:cs="Arial"/>
                <w:b/>
                <w:bCs/>
                <w:sz w:val="16"/>
                <w:szCs w:val="16"/>
              </w:rPr>
            </w:pPr>
          </w:p>
        </w:tc>
        <w:tc>
          <w:tcPr>
            <w:tcW w:w="928" w:type="dxa"/>
            <w:tcBorders>
              <w:top w:val="nil"/>
              <w:left w:val="nil"/>
              <w:bottom w:val="nil"/>
              <w:right w:val="nil"/>
            </w:tcBorders>
            <w:shd w:val="clear" w:color="auto" w:fill="auto"/>
            <w:noWrap/>
            <w:vAlign w:val="bottom"/>
            <w:hideMark/>
          </w:tcPr>
          <w:p w14:paraId="76C18504" w14:textId="77777777" w:rsidR="00710E67" w:rsidRPr="00710E67" w:rsidRDefault="00710E67" w:rsidP="00710E67">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bottom"/>
            <w:hideMark/>
          </w:tcPr>
          <w:p w14:paraId="76C18505" w14:textId="77777777" w:rsidR="00710E67" w:rsidRPr="00710E67" w:rsidRDefault="00710E67" w:rsidP="00710E67">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bottom"/>
            <w:hideMark/>
          </w:tcPr>
          <w:p w14:paraId="76C18506" w14:textId="77777777" w:rsidR="00710E67" w:rsidRPr="00710E67" w:rsidRDefault="00710E67" w:rsidP="00710E67">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bottom"/>
            <w:hideMark/>
          </w:tcPr>
          <w:p w14:paraId="76C18507" w14:textId="77777777" w:rsidR="00710E67" w:rsidRPr="00710E67" w:rsidRDefault="00710E67" w:rsidP="00710E67">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bottom"/>
            <w:hideMark/>
          </w:tcPr>
          <w:p w14:paraId="76C18508" w14:textId="77777777" w:rsidR="00710E67" w:rsidRPr="00710E67" w:rsidRDefault="00710E67" w:rsidP="00710E67">
            <w:pPr>
              <w:spacing w:after="0" w:line="240" w:lineRule="auto"/>
              <w:jc w:val="right"/>
              <w:rPr>
                <w:rFonts w:ascii="Times New Roman" w:hAnsi="Times New Roman"/>
              </w:rPr>
            </w:pPr>
          </w:p>
        </w:tc>
      </w:tr>
      <w:tr w:rsidR="00710E67" w:rsidRPr="00710E67" w14:paraId="76C1850E" w14:textId="77777777" w:rsidTr="008A6214">
        <w:trPr>
          <w:trHeight w:val="150"/>
        </w:trPr>
        <w:tc>
          <w:tcPr>
            <w:tcW w:w="4888" w:type="dxa"/>
            <w:gridSpan w:val="3"/>
            <w:tcBorders>
              <w:top w:val="nil"/>
              <w:left w:val="nil"/>
              <w:bottom w:val="nil"/>
              <w:right w:val="nil"/>
            </w:tcBorders>
            <w:shd w:val="clear" w:color="auto" w:fill="auto"/>
            <w:noWrap/>
            <w:vAlign w:val="center"/>
            <w:hideMark/>
          </w:tcPr>
          <w:p w14:paraId="76C1850A"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Note: Impact of net cash appropriation arrangements</w:t>
            </w:r>
          </w:p>
        </w:tc>
        <w:tc>
          <w:tcPr>
            <w:tcW w:w="821" w:type="dxa"/>
            <w:tcBorders>
              <w:top w:val="nil"/>
              <w:left w:val="nil"/>
              <w:bottom w:val="nil"/>
              <w:right w:val="nil"/>
            </w:tcBorders>
            <w:shd w:val="clear" w:color="auto" w:fill="auto"/>
            <w:noWrap/>
            <w:vAlign w:val="bottom"/>
            <w:hideMark/>
          </w:tcPr>
          <w:p w14:paraId="76C1850B" w14:textId="77777777" w:rsidR="00710E67" w:rsidRPr="00710E67" w:rsidRDefault="00710E67" w:rsidP="00710E67">
            <w:pPr>
              <w:spacing w:after="0" w:line="240" w:lineRule="auto"/>
              <w:jc w:val="left"/>
              <w:rPr>
                <w:rFonts w:ascii="Arial" w:hAnsi="Arial" w:cs="Arial"/>
                <w:b/>
                <w:bCs/>
                <w:color w:val="000000"/>
                <w:sz w:val="16"/>
                <w:szCs w:val="16"/>
              </w:rPr>
            </w:pPr>
          </w:p>
        </w:tc>
        <w:tc>
          <w:tcPr>
            <w:tcW w:w="821" w:type="dxa"/>
            <w:tcBorders>
              <w:top w:val="nil"/>
              <w:left w:val="nil"/>
              <w:bottom w:val="nil"/>
              <w:right w:val="nil"/>
            </w:tcBorders>
            <w:shd w:val="clear" w:color="auto" w:fill="auto"/>
            <w:noWrap/>
            <w:vAlign w:val="bottom"/>
            <w:hideMark/>
          </w:tcPr>
          <w:p w14:paraId="76C1850C" w14:textId="77777777" w:rsidR="00710E67" w:rsidRPr="00710E67" w:rsidRDefault="00710E67" w:rsidP="00710E67">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bottom"/>
            <w:hideMark/>
          </w:tcPr>
          <w:p w14:paraId="76C1850D" w14:textId="77777777" w:rsidR="00710E67" w:rsidRPr="00710E67" w:rsidRDefault="00710E67" w:rsidP="00710E67">
            <w:pPr>
              <w:spacing w:after="0" w:line="240" w:lineRule="auto"/>
              <w:jc w:val="right"/>
              <w:rPr>
                <w:rFonts w:ascii="Times New Roman" w:hAnsi="Times New Roman"/>
              </w:rPr>
            </w:pPr>
          </w:p>
        </w:tc>
      </w:tr>
      <w:tr w:rsidR="008A6214" w:rsidRPr="00710E67" w14:paraId="7BEA3115" w14:textId="77777777" w:rsidTr="008A6214">
        <w:trPr>
          <w:trHeight w:val="323"/>
        </w:trPr>
        <w:tc>
          <w:tcPr>
            <w:tcW w:w="3140" w:type="dxa"/>
            <w:tcBorders>
              <w:top w:val="single" w:sz="4" w:space="0" w:color="auto"/>
              <w:left w:val="nil"/>
              <w:right w:val="nil"/>
            </w:tcBorders>
            <w:shd w:val="clear" w:color="auto" w:fill="auto"/>
            <w:noWrap/>
            <w:hideMark/>
          </w:tcPr>
          <w:p w14:paraId="725E0012" w14:textId="77777777" w:rsidR="008A6214" w:rsidRPr="00710E67" w:rsidRDefault="008A6214" w:rsidP="00BC5093">
            <w:pPr>
              <w:spacing w:after="0" w:line="240" w:lineRule="auto"/>
              <w:jc w:val="left"/>
              <w:rPr>
                <w:rFonts w:ascii="Arial" w:hAnsi="Arial" w:cs="Arial"/>
                <w:b/>
                <w:bCs/>
                <w:sz w:val="16"/>
                <w:szCs w:val="16"/>
              </w:rPr>
            </w:pPr>
            <w:r w:rsidRPr="00710E67">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1B35A688" w14:textId="43DC3A08" w:rsidR="008A6214" w:rsidRPr="00710E67" w:rsidRDefault="008A6214" w:rsidP="008A6214">
            <w:pPr>
              <w:spacing w:after="0" w:line="240" w:lineRule="auto"/>
              <w:jc w:val="right"/>
              <w:rPr>
                <w:rFonts w:ascii="Arial" w:hAnsi="Arial" w:cs="Arial"/>
                <w:sz w:val="16"/>
                <w:szCs w:val="16"/>
              </w:rPr>
            </w:pPr>
            <w:r>
              <w:rPr>
                <w:rFonts w:ascii="Arial" w:hAnsi="Arial" w:cs="Arial"/>
                <w:sz w:val="16"/>
                <w:szCs w:val="16"/>
              </w:rPr>
              <w:t xml:space="preserve">2018–19 </w:t>
            </w:r>
            <w:r w:rsidRPr="00710E67">
              <w:rPr>
                <w:rFonts w:ascii="Arial" w:hAnsi="Arial" w:cs="Arial"/>
                <w:sz w:val="16"/>
                <w:szCs w:val="16"/>
              </w:rPr>
              <w:t xml:space="preserve"> </w:t>
            </w:r>
            <w:r w:rsidRPr="00710E67">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000000" w:fill="E6E6E6"/>
            <w:hideMark/>
          </w:tcPr>
          <w:p w14:paraId="744269C6" w14:textId="093C639E" w:rsidR="008A6214" w:rsidRPr="00710E67" w:rsidRDefault="008A6214" w:rsidP="008A6214">
            <w:pPr>
              <w:spacing w:after="0" w:line="240" w:lineRule="auto"/>
              <w:jc w:val="right"/>
              <w:rPr>
                <w:rFonts w:ascii="Arial" w:hAnsi="Arial" w:cs="Arial"/>
                <w:sz w:val="16"/>
                <w:szCs w:val="16"/>
              </w:rPr>
            </w:pPr>
            <w:r w:rsidRPr="00F22611">
              <w:rPr>
                <w:rFonts w:ascii="Arial" w:hAnsi="Arial" w:cs="Arial"/>
                <w:sz w:val="15"/>
                <w:szCs w:val="15"/>
              </w:rPr>
              <w:t>2019–20</w:t>
            </w:r>
            <w:r w:rsidRPr="00710E67">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hideMark/>
          </w:tcPr>
          <w:p w14:paraId="32E0BDE0" w14:textId="4DEBDE68" w:rsidR="008A6214" w:rsidRPr="00710E67" w:rsidRDefault="008A6214" w:rsidP="008A6214">
            <w:pPr>
              <w:spacing w:after="0" w:line="240" w:lineRule="auto"/>
              <w:jc w:val="right"/>
              <w:rPr>
                <w:rFonts w:ascii="Arial" w:hAnsi="Arial" w:cs="Arial"/>
                <w:sz w:val="16"/>
                <w:szCs w:val="16"/>
              </w:rPr>
            </w:pPr>
            <w:r w:rsidRPr="00F22611">
              <w:rPr>
                <w:rFonts w:ascii="Arial" w:hAnsi="Arial" w:cs="Arial"/>
                <w:sz w:val="15"/>
                <w:szCs w:val="15"/>
              </w:rPr>
              <w:t>2020–21</w:t>
            </w:r>
            <w:r w:rsidRPr="00710E67">
              <w:rPr>
                <w:rFonts w:ascii="Arial" w:hAnsi="Arial" w:cs="Arial"/>
                <w:sz w:val="16"/>
                <w:szCs w:val="16"/>
              </w:rPr>
              <w:t xml:space="preserve"> </w:t>
            </w:r>
            <w:r w:rsidRPr="00710E67">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hideMark/>
          </w:tcPr>
          <w:p w14:paraId="72E11868" w14:textId="5BDC65ED" w:rsidR="008A6214" w:rsidRPr="00710E67" w:rsidRDefault="008A6214" w:rsidP="008A6214">
            <w:pPr>
              <w:spacing w:after="0" w:line="240" w:lineRule="auto"/>
              <w:jc w:val="right"/>
              <w:rPr>
                <w:rFonts w:ascii="Arial" w:hAnsi="Arial" w:cs="Arial"/>
                <w:sz w:val="16"/>
                <w:szCs w:val="16"/>
              </w:rPr>
            </w:pPr>
            <w:r w:rsidRPr="00F22611">
              <w:rPr>
                <w:rFonts w:ascii="Arial" w:hAnsi="Arial" w:cs="Arial"/>
                <w:sz w:val="15"/>
                <w:szCs w:val="15"/>
              </w:rPr>
              <w:t>2021–22</w:t>
            </w:r>
            <w:r w:rsidRPr="00710E67">
              <w:rPr>
                <w:rFonts w:ascii="Arial" w:hAnsi="Arial" w:cs="Arial"/>
                <w:sz w:val="16"/>
                <w:szCs w:val="16"/>
              </w:rPr>
              <w:t xml:space="preserve"> </w:t>
            </w:r>
            <w:r w:rsidRPr="00710E67">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hideMark/>
          </w:tcPr>
          <w:p w14:paraId="40724C69" w14:textId="75D3DF6F" w:rsidR="008A6214" w:rsidRPr="00710E67" w:rsidRDefault="008A6214" w:rsidP="008A6214">
            <w:pPr>
              <w:spacing w:after="0" w:line="240" w:lineRule="auto"/>
              <w:jc w:val="right"/>
              <w:rPr>
                <w:rFonts w:ascii="Arial" w:hAnsi="Arial" w:cs="Arial"/>
                <w:sz w:val="16"/>
                <w:szCs w:val="16"/>
              </w:rPr>
            </w:pPr>
            <w:r w:rsidRPr="00F22611">
              <w:rPr>
                <w:rFonts w:ascii="Arial" w:hAnsi="Arial" w:cs="Arial"/>
                <w:sz w:val="15"/>
                <w:szCs w:val="15"/>
              </w:rPr>
              <w:t>2022–23</w:t>
            </w:r>
            <w:r w:rsidRPr="00710E67">
              <w:rPr>
                <w:rFonts w:ascii="Arial" w:hAnsi="Arial" w:cs="Arial"/>
                <w:sz w:val="16"/>
                <w:szCs w:val="16"/>
              </w:rPr>
              <w:br/>
              <w:t>$'000</w:t>
            </w:r>
          </w:p>
        </w:tc>
      </w:tr>
      <w:tr w:rsidR="00710E67" w:rsidRPr="00710E67" w14:paraId="76C18515" w14:textId="77777777" w:rsidTr="008A6214">
        <w:trPr>
          <w:trHeight w:val="768"/>
        </w:trPr>
        <w:tc>
          <w:tcPr>
            <w:tcW w:w="3140" w:type="dxa"/>
            <w:tcBorders>
              <w:left w:val="nil"/>
              <w:bottom w:val="nil"/>
              <w:right w:val="nil"/>
            </w:tcBorders>
            <w:shd w:val="clear" w:color="auto" w:fill="auto"/>
            <w:hideMark/>
          </w:tcPr>
          <w:p w14:paraId="76C1850F" w14:textId="77777777" w:rsidR="00710E67" w:rsidRPr="00EF2631" w:rsidRDefault="00710E67"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Total comprehensive loss excluding depreciation/amortisation expenses previously funded through revenue appropriations</w:t>
            </w:r>
          </w:p>
        </w:tc>
        <w:tc>
          <w:tcPr>
            <w:tcW w:w="928" w:type="dxa"/>
            <w:tcBorders>
              <w:top w:val="single" w:sz="4" w:space="0" w:color="auto"/>
              <w:left w:val="nil"/>
              <w:bottom w:val="nil"/>
              <w:right w:val="nil"/>
            </w:tcBorders>
            <w:shd w:val="clear" w:color="auto" w:fill="auto"/>
            <w:noWrap/>
            <w:vAlign w:val="bottom"/>
            <w:hideMark/>
          </w:tcPr>
          <w:p w14:paraId="76C18510"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20" w:type="dxa"/>
            <w:tcBorders>
              <w:top w:val="single" w:sz="4" w:space="0" w:color="auto"/>
              <w:left w:val="nil"/>
              <w:bottom w:val="nil"/>
              <w:right w:val="nil"/>
            </w:tcBorders>
            <w:shd w:val="clear" w:color="000000" w:fill="E6E6E6"/>
            <w:noWrap/>
            <w:vAlign w:val="bottom"/>
            <w:hideMark/>
          </w:tcPr>
          <w:p w14:paraId="76C18511"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21" w:type="dxa"/>
            <w:tcBorders>
              <w:top w:val="single" w:sz="4" w:space="0" w:color="auto"/>
              <w:left w:val="nil"/>
              <w:bottom w:val="nil"/>
              <w:right w:val="nil"/>
            </w:tcBorders>
            <w:shd w:val="clear" w:color="auto" w:fill="auto"/>
            <w:noWrap/>
            <w:vAlign w:val="bottom"/>
            <w:hideMark/>
          </w:tcPr>
          <w:p w14:paraId="76C18512"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21" w:type="dxa"/>
            <w:tcBorders>
              <w:top w:val="single" w:sz="4" w:space="0" w:color="auto"/>
              <w:left w:val="nil"/>
              <w:bottom w:val="nil"/>
              <w:right w:val="nil"/>
            </w:tcBorders>
            <w:shd w:val="clear" w:color="auto" w:fill="auto"/>
            <w:noWrap/>
            <w:vAlign w:val="bottom"/>
            <w:hideMark/>
          </w:tcPr>
          <w:p w14:paraId="76C18513"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21" w:type="dxa"/>
            <w:tcBorders>
              <w:top w:val="single" w:sz="4" w:space="0" w:color="auto"/>
              <w:left w:val="nil"/>
              <w:bottom w:val="nil"/>
              <w:right w:val="nil"/>
            </w:tcBorders>
            <w:shd w:val="clear" w:color="auto" w:fill="auto"/>
            <w:noWrap/>
            <w:vAlign w:val="bottom"/>
            <w:hideMark/>
          </w:tcPr>
          <w:p w14:paraId="76C18514"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r>
      <w:tr w:rsidR="00710E67" w:rsidRPr="00710E67" w14:paraId="76C1851C" w14:textId="77777777" w:rsidTr="008A6214">
        <w:trPr>
          <w:trHeight w:val="576"/>
        </w:trPr>
        <w:tc>
          <w:tcPr>
            <w:tcW w:w="3140" w:type="dxa"/>
            <w:tcBorders>
              <w:top w:val="nil"/>
              <w:left w:val="nil"/>
              <w:bottom w:val="nil"/>
              <w:right w:val="nil"/>
            </w:tcBorders>
            <w:shd w:val="clear" w:color="auto" w:fill="auto"/>
            <w:hideMark/>
          </w:tcPr>
          <w:p w14:paraId="76C18516" w14:textId="77777777" w:rsidR="00710E67" w:rsidRPr="00710E67" w:rsidRDefault="00710E67" w:rsidP="00EF2631">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less depreciation/amortisation expenses previously funded through revenue appropriations (a)</w:t>
            </w:r>
          </w:p>
        </w:tc>
        <w:tc>
          <w:tcPr>
            <w:tcW w:w="928" w:type="dxa"/>
            <w:tcBorders>
              <w:top w:val="nil"/>
              <w:left w:val="nil"/>
              <w:bottom w:val="nil"/>
              <w:right w:val="nil"/>
            </w:tcBorders>
            <w:shd w:val="clear" w:color="auto" w:fill="auto"/>
            <w:noWrap/>
            <w:vAlign w:val="center"/>
            <w:hideMark/>
          </w:tcPr>
          <w:p w14:paraId="76C18517" w14:textId="77777777" w:rsidR="00710E67" w:rsidRPr="00710E67" w:rsidRDefault="00710E67" w:rsidP="00B86D9C">
            <w:pPr>
              <w:spacing w:after="0" w:line="240" w:lineRule="auto"/>
              <w:jc w:val="right"/>
              <w:rPr>
                <w:rFonts w:ascii="Arial" w:hAnsi="Arial" w:cs="Arial"/>
                <w:sz w:val="16"/>
                <w:szCs w:val="16"/>
              </w:rPr>
            </w:pPr>
            <w:r w:rsidRPr="00710E67">
              <w:rPr>
                <w:rFonts w:ascii="Arial" w:hAnsi="Arial" w:cs="Arial"/>
                <w:sz w:val="16"/>
                <w:szCs w:val="16"/>
              </w:rPr>
              <w:t xml:space="preserve">596 </w:t>
            </w:r>
          </w:p>
        </w:tc>
        <w:tc>
          <w:tcPr>
            <w:tcW w:w="820" w:type="dxa"/>
            <w:tcBorders>
              <w:top w:val="nil"/>
              <w:left w:val="nil"/>
              <w:bottom w:val="nil"/>
              <w:right w:val="nil"/>
            </w:tcBorders>
            <w:shd w:val="clear" w:color="000000" w:fill="E6E6E6"/>
            <w:noWrap/>
            <w:vAlign w:val="center"/>
            <w:hideMark/>
          </w:tcPr>
          <w:p w14:paraId="76C18518" w14:textId="77777777" w:rsidR="00710E67" w:rsidRPr="00E76B04" w:rsidRDefault="00710E67" w:rsidP="00B86D9C">
            <w:pPr>
              <w:spacing w:after="0" w:line="240" w:lineRule="auto"/>
              <w:jc w:val="right"/>
              <w:rPr>
                <w:rFonts w:ascii="Arial" w:hAnsi="Arial" w:cs="Arial"/>
                <w:bCs/>
                <w:sz w:val="16"/>
                <w:szCs w:val="16"/>
              </w:rPr>
            </w:pPr>
            <w:r w:rsidRPr="00E76B04">
              <w:rPr>
                <w:rFonts w:ascii="Arial" w:hAnsi="Arial" w:cs="Arial"/>
                <w:bCs/>
                <w:sz w:val="16"/>
                <w:szCs w:val="16"/>
              </w:rPr>
              <w:t xml:space="preserve">630 </w:t>
            </w:r>
          </w:p>
        </w:tc>
        <w:tc>
          <w:tcPr>
            <w:tcW w:w="821" w:type="dxa"/>
            <w:tcBorders>
              <w:top w:val="nil"/>
              <w:left w:val="nil"/>
              <w:bottom w:val="nil"/>
              <w:right w:val="nil"/>
            </w:tcBorders>
            <w:shd w:val="clear" w:color="auto" w:fill="auto"/>
            <w:noWrap/>
            <w:vAlign w:val="center"/>
            <w:hideMark/>
          </w:tcPr>
          <w:p w14:paraId="76C18519" w14:textId="77777777" w:rsidR="00710E67" w:rsidRPr="00710E67" w:rsidRDefault="00710E67" w:rsidP="00B86D9C">
            <w:pPr>
              <w:spacing w:after="0" w:line="240" w:lineRule="auto"/>
              <w:jc w:val="right"/>
              <w:rPr>
                <w:rFonts w:ascii="Arial" w:hAnsi="Arial" w:cs="Arial"/>
                <w:sz w:val="16"/>
                <w:szCs w:val="16"/>
              </w:rPr>
            </w:pPr>
            <w:r w:rsidRPr="00710E67">
              <w:rPr>
                <w:rFonts w:ascii="Arial" w:hAnsi="Arial" w:cs="Arial"/>
                <w:sz w:val="16"/>
                <w:szCs w:val="16"/>
              </w:rPr>
              <w:t xml:space="preserve">635 </w:t>
            </w:r>
          </w:p>
        </w:tc>
        <w:tc>
          <w:tcPr>
            <w:tcW w:w="821" w:type="dxa"/>
            <w:tcBorders>
              <w:top w:val="nil"/>
              <w:left w:val="nil"/>
              <w:bottom w:val="nil"/>
              <w:right w:val="nil"/>
            </w:tcBorders>
            <w:shd w:val="clear" w:color="auto" w:fill="auto"/>
            <w:noWrap/>
            <w:vAlign w:val="center"/>
            <w:hideMark/>
          </w:tcPr>
          <w:p w14:paraId="76C1851A" w14:textId="77777777" w:rsidR="00710E67" w:rsidRPr="00710E67" w:rsidRDefault="00710E67" w:rsidP="00B86D9C">
            <w:pPr>
              <w:spacing w:after="0" w:line="240" w:lineRule="auto"/>
              <w:jc w:val="right"/>
              <w:rPr>
                <w:rFonts w:ascii="Arial" w:hAnsi="Arial" w:cs="Arial"/>
                <w:sz w:val="16"/>
                <w:szCs w:val="16"/>
              </w:rPr>
            </w:pPr>
            <w:r w:rsidRPr="00710E67">
              <w:rPr>
                <w:rFonts w:ascii="Arial" w:hAnsi="Arial" w:cs="Arial"/>
                <w:sz w:val="16"/>
                <w:szCs w:val="16"/>
              </w:rPr>
              <w:t xml:space="preserve">643 </w:t>
            </w:r>
          </w:p>
        </w:tc>
        <w:tc>
          <w:tcPr>
            <w:tcW w:w="821" w:type="dxa"/>
            <w:tcBorders>
              <w:top w:val="nil"/>
              <w:left w:val="nil"/>
              <w:bottom w:val="nil"/>
              <w:right w:val="nil"/>
            </w:tcBorders>
            <w:shd w:val="clear" w:color="auto" w:fill="auto"/>
            <w:noWrap/>
            <w:vAlign w:val="center"/>
            <w:hideMark/>
          </w:tcPr>
          <w:p w14:paraId="76C1851B" w14:textId="77777777" w:rsidR="00710E67" w:rsidRPr="00710E67" w:rsidRDefault="00710E67" w:rsidP="00B86D9C">
            <w:pPr>
              <w:spacing w:after="0" w:line="240" w:lineRule="auto"/>
              <w:jc w:val="right"/>
              <w:rPr>
                <w:rFonts w:ascii="Arial" w:hAnsi="Arial" w:cs="Arial"/>
                <w:sz w:val="16"/>
                <w:szCs w:val="16"/>
              </w:rPr>
            </w:pPr>
            <w:r w:rsidRPr="00710E67">
              <w:rPr>
                <w:rFonts w:ascii="Arial" w:hAnsi="Arial" w:cs="Arial"/>
                <w:sz w:val="16"/>
                <w:szCs w:val="16"/>
              </w:rPr>
              <w:t xml:space="preserve">644 </w:t>
            </w:r>
          </w:p>
        </w:tc>
      </w:tr>
      <w:tr w:rsidR="00710E67" w:rsidRPr="00710E67" w14:paraId="76C18523" w14:textId="77777777" w:rsidTr="00D322BC">
        <w:trPr>
          <w:trHeight w:val="574"/>
        </w:trPr>
        <w:tc>
          <w:tcPr>
            <w:tcW w:w="3140" w:type="dxa"/>
            <w:tcBorders>
              <w:top w:val="nil"/>
              <w:left w:val="nil"/>
              <w:bottom w:val="single" w:sz="4" w:space="0" w:color="auto"/>
              <w:right w:val="nil"/>
            </w:tcBorders>
            <w:shd w:val="clear" w:color="auto" w:fill="auto"/>
            <w:vAlign w:val="center"/>
            <w:hideMark/>
          </w:tcPr>
          <w:p w14:paraId="76C1851D" w14:textId="77777777" w:rsidR="00710E67" w:rsidRPr="00EF2631" w:rsidRDefault="00710E67" w:rsidP="00EF2631">
            <w:pPr>
              <w:spacing w:after="0" w:line="240" w:lineRule="auto"/>
              <w:ind w:left="180" w:hanging="180"/>
              <w:jc w:val="left"/>
              <w:rPr>
                <w:rFonts w:ascii="Arial" w:hAnsi="Arial" w:cs="Arial"/>
                <w:b/>
                <w:bCs/>
                <w:sz w:val="16"/>
                <w:szCs w:val="16"/>
              </w:rPr>
            </w:pPr>
            <w:r w:rsidRPr="00EF2631">
              <w:rPr>
                <w:rFonts w:ascii="Arial" w:hAnsi="Arial" w:cs="Arial"/>
                <w:b/>
                <w:bCs/>
                <w:sz w:val="16"/>
                <w:szCs w:val="16"/>
              </w:rPr>
              <w:t xml:space="preserve">Total comprehensive loss </w:t>
            </w:r>
            <w:r w:rsidR="00EF2631">
              <w:rPr>
                <w:rFonts w:ascii="Arial" w:hAnsi="Arial" w:cs="Arial"/>
                <w:b/>
                <w:bCs/>
                <w:sz w:val="16"/>
                <w:szCs w:val="16"/>
              </w:rPr>
              <w:t>—</w:t>
            </w:r>
            <w:r w:rsidRPr="00EF2631">
              <w:rPr>
                <w:rFonts w:ascii="Arial" w:hAnsi="Arial" w:cs="Arial"/>
                <w:b/>
                <w:bCs/>
                <w:sz w:val="16"/>
                <w:szCs w:val="16"/>
              </w:rPr>
              <w:t xml:space="preserve"> as per the statement of comprehensive income</w:t>
            </w:r>
          </w:p>
        </w:tc>
        <w:tc>
          <w:tcPr>
            <w:tcW w:w="928" w:type="dxa"/>
            <w:tcBorders>
              <w:top w:val="single" w:sz="4" w:space="0" w:color="auto"/>
              <w:left w:val="nil"/>
              <w:bottom w:val="single" w:sz="4" w:space="0" w:color="auto"/>
              <w:right w:val="nil"/>
            </w:tcBorders>
            <w:shd w:val="clear" w:color="auto" w:fill="auto"/>
            <w:vAlign w:val="bottom"/>
            <w:hideMark/>
          </w:tcPr>
          <w:p w14:paraId="76C1851E"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(596)</w:t>
            </w:r>
          </w:p>
        </w:tc>
        <w:tc>
          <w:tcPr>
            <w:tcW w:w="820" w:type="dxa"/>
            <w:tcBorders>
              <w:top w:val="single" w:sz="4" w:space="0" w:color="auto"/>
              <w:left w:val="nil"/>
              <w:bottom w:val="single" w:sz="4" w:space="0" w:color="auto"/>
              <w:right w:val="nil"/>
            </w:tcBorders>
            <w:shd w:val="clear" w:color="000000" w:fill="E6E6E6"/>
            <w:vAlign w:val="bottom"/>
            <w:hideMark/>
          </w:tcPr>
          <w:p w14:paraId="76C1851F"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(630)</w:t>
            </w:r>
          </w:p>
        </w:tc>
        <w:tc>
          <w:tcPr>
            <w:tcW w:w="821" w:type="dxa"/>
            <w:tcBorders>
              <w:top w:val="single" w:sz="4" w:space="0" w:color="auto"/>
              <w:left w:val="nil"/>
              <w:bottom w:val="single" w:sz="4" w:space="0" w:color="auto"/>
              <w:right w:val="nil"/>
            </w:tcBorders>
            <w:shd w:val="clear" w:color="auto" w:fill="auto"/>
            <w:vAlign w:val="bottom"/>
            <w:hideMark/>
          </w:tcPr>
          <w:p w14:paraId="76C18520"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(635)</w:t>
            </w:r>
          </w:p>
        </w:tc>
        <w:tc>
          <w:tcPr>
            <w:tcW w:w="821" w:type="dxa"/>
            <w:tcBorders>
              <w:top w:val="single" w:sz="4" w:space="0" w:color="auto"/>
              <w:left w:val="nil"/>
              <w:bottom w:val="single" w:sz="4" w:space="0" w:color="auto"/>
              <w:right w:val="nil"/>
            </w:tcBorders>
            <w:shd w:val="clear" w:color="auto" w:fill="auto"/>
            <w:vAlign w:val="bottom"/>
            <w:hideMark/>
          </w:tcPr>
          <w:p w14:paraId="76C18521"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(643)</w:t>
            </w:r>
          </w:p>
        </w:tc>
        <w:tc>
          <w:tcPr>
            <w:tcW w:w="821" w:type="dxa"/>
            <w:tcBorders>
              <w:top w:val="single" w:sz="4" w:space="0" w:color="auto"/>
              <w:left w:val="nil"/>
              <w:bottom w:val="single" w:sz="4" w:space="0" w:color="auto"/>
              <w:right w:val="nil"/>
            </w:tcBorders>
            <w:shd w:val="clear" w:color="auto" w:fill="auto"/>
            <w:vAlign w:val="bottom"/>
            <w:hideMark/>
          </w:tcPr>
          <w:p w14:paraId="76C18522"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(644)</w:t>
            </w:r>
          </w:p>
        </w:tc>
      </w:tr>
    </w:tbl>
    <w:p w14:paraId="76C18524" w14:textId="526D1EBF" w:rsidR="0061075E" w:rsidRPr="00FB410E" w:rsidRDefault="00710E67" w:rsidP="003732E1">
      <w:pPr>
        <w:pStyle w:val="ListParagraph"/>
        <w:numPr>
          <w:ilvl w:val="0"/>
          <w:numId w:val="42"/>
        </w:numPr>
        <w:spacing w:before="120" w:after="0" w:line="240" w:lineRule="auto"/>
        <w:rPr>
          <w:rFonts w:ascii="Arial" w:hAnsi="Arial" w:cs="Arial"/>
          <w:sz w:val="16"/>
          <w:szCs w:val="16"/>
        </w:rPr>
      </w:pPr>
      <w:r w:rsidRPr="00FB410E">
        <w:rPr>
          <w:rFonts w:ascii="Arial" w:hAnsi="Arial" w:cs="Arial"/>
          <w:sz w:val="16"/>
          <w:szCs w:val="16"/>
        </w:rPr>
        <w:t>From 2010–11, the Government introduced net cash appropriation arrangements where Bill 1 revenue appropriations for the depreciation/amortisation expenses of non-corporate Commonwealth entities (and select corporate Commonwealth entities) were replaced with</w:t>
      </w:r>
      <w:r w:rsidR="008A6214">
        <w:rPr>
          <w:rFonts w:ascii="Arial" w:hAnsi="Arial" w:cs="Arial"/>
          <w:sz w:val="16"/>
          <w:szCs w:val="16"/>
        </w:rPr>
        <w:t xml:space="preserve"> a separate capital budget (the </w:t>
      </w:r>
      <w:r w:rsidRPr="00FB410E">
        <w:rPr>
          <w:rFonts w:ascii="Arial" w:hAnsi="Arial" w:cs="Arial"/>
          <w:sz w:val="16"/>
          <w:szCs w:val="16"/>
        </w:rPr>
        <w:t>Departmental Capital Budget, or DCB) provided through Bill 1 equity appropriations. For information regarding DCBs, please refer to Table 3.5 Departmental Capital Budget Statement.</w:t>
      </w:r>
    </w:p>
    <w:p w14:paraId="76C18525" w14:textId="77777777" w:rsidR="0061075E" w:rsidRPr="009D54F3" w:rsidRDefault="0061075E" w:rsidP="003732E1">
      <w:pPr>
        <w:pStyle w:val="Source"/>
        <w:spacing w:before="120"/>
        <w:jc w:val="left"/>
        <w:rPr>
          <w:rFonts w:cs="Arial"/>
        </w:rPr>
      </w:pPr>
      <w:r w:rsidRPr="009D54F3">
        <w:rPr>
          <w:rFonts w:cs="Arial"/>
        </w:rPr>
        <w:t>Prepared on Australian Accounting Standards basis.</w:t>
      </w:r>
    </w:p>
    <w:p w14:paraId="76C18526" w14:textId="77777777" w:rsidR="0061075E" w:rsidRDefault="0061075E" w:rsidP="003732E1">
      <w:pPr>
        <w:pStyle w:val="TableHeading"/>
      </w:pPr>
      <w:r>
        <w:br w:type="page"/>
      </w:r>
      <w:r w:rsidRPr="00E4582E">
        <w:t>Table</w:t>
      </w:r>
      <w:r>
        <w:t xml:space="preserve"> 3.</w:t>
      </w:r>
      <w:r w:rsidRPr="00E4582E">
        <w:t>2: Budg</w:t>
      </w:r>
      <w:r>
        <w:t xml:space="preserve">eted departmental balance sheet </w:t>
      </w:r>
      <w:r w:rsidRPr="00E4582E">
        <w:t>(as at 30 June)</w:t>
      </w:r>
    </w:p>
    <w:tbl>
      <w:tblPr>
        <w:tblW w:w="7328" w:type="dxa"/>
        <w:tblLook w:val="04A0" w:firstRow="1" w:lastRow="0" w:firstColumn="1" w:lastColumn="0" w:noHBand="0" w:noVBand="1"/>
      </w:tblPr>
      <w:tblGrid>
        <w:gridCol w:w="2960"/>
        <w:gridCol w:w="928"/>
        <w:gridCol w:w="860"/>
        <w:gridCol w:w="860"/>
        <w:gridCol w:w="860"/>
        <w:gridCol w:w="860"/>
      </w:tblGrid>
      <w:tr w:rsidR="00710E67" w:rsidRPr="00710E67" w14:paraId="76C1852D" w14:textId="77777777" w:rsidTr="00803AC9">
        <w:trPr>
          <w:trHeight w:val="726"/>
        </w:trPr>
        <w:tc>
          <w:tcPr>
            <w:tcW w:w="2960" w:type="dxa"/>
            <w:tcBorders>
              <w:top w:val="single" w:sz="4" w:space="0" w:color="auto"/>
              <w:left w:val="nil"/>
              <w:bottom w:val="nil"/>
              <w:right w:val="nil"/>
            </w:tcBorders>
            <w:shd w:val="clear" w:color="auto" w:fill="auto"/>
            <w:noWrap/>
            <w:hideMark/>
          </w:tcPr>
          <w:p w14:paraId="76C18527" w14:textId="77777777" w:rsidR="00710E67" w:rsidRPr="00710E67" w:rsidRDefault="00710E67" w:rsidP="00710E67">
            <w:pPr>
              <w:spacing w:after="0" w:line="240" w:lineRule="auto"/>
              <w:jc w:val="left"/>
              <w:rPr>
                <w:rFonts w:ascii="Arial" w:hAnsi="Arial" w:cs="Arial"/>
                <w:b/>
                <w:bCs/>
                <w:sz w:val="16"/>
                <w:szCs w:val="16"/>
              </w:rPr>
            </w:pPr>
            <w:r w:rsidRPr="00710E67">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8528" w14:textId="77777777" w:rsidR="00710E67" w:rsidRPr="00710E67" w:rsidRDefault="009A4174" w:rsidP="00710E67">
            <w:pPr>
              <w:spacing w:after="0" w:line="240" w:lineRule="auto"/>
              <w:jc w:val="right"/>
              <w:rPr>
                <w:rFonts w:ascii="Arial" w:hAnsi="Arial" w:cs="Arial"/>
                <w:sz w:val="16"/>
                <w:szCs w:val="16"/>
              </w:rPr>
            </w:pPr>
            <w:r>
              <w:rPr>
                <w:rFonts w:ascii="Arial" w:hAnsi="Arial" w:cs="Arial"/>
                <w:sz w:val="16"/>
                <w:szCs w:val="16"/>
              </w:rPr>
              <w:t xml:space="preserve">2018–19 </w:t>
            </w:r>
            <w:r w:rsidR="00710E67" w:rsidRPr="00710E67">
              <w:rPr>
                <w:rFonts w:ascii="Arial" w:hAnsi="Arial" w:cs="Arial"/>
                <w:sz w:val="16"/>
                <w:szCs w:val="16"/>
              </w:rPr>
              <w:t xml:space="preserve"> Estimated actual</w:t>
            </w:r>
            <w:r w:rsidR="00710E67" w:rsidRPr="00710E6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8529"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2019–20</w:t>
            </w:r>
            <w:r w:rsidRPr="00710E67">
              <w:rPr>
                <w:rFonts w:ascii="Arial" w:hAnsi="Arial" w:cs="Arial"/>
                <w:sz w:val="16"/>
                <w:szCs w:val="16"/>
              </w:rPr>
              <w:br/>
              <w:t>Budget</w:t>
            </w:r>
            <w:r w:rsidRPr="00710E67">
              <w:rPr>
                <w:rFonts w:ascii="Arial" w:hAnsi="Arial" w:cs="Arial"/>
                <w:sz w:val="16"/>
                <w:szCs w:val="16"/>
              </w:rPr>
              <w:br/>
            </w:r>
            <w:r w:rsidRPr="00710E6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52A"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2020–21 Forward estimate</w:t>
            </w:r>
            <w:r w:rsidRPr="00710E6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52B"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2021–22 Forward estimate</w:t>
            </w:r>
            <w:r w:rsidRPr="00710E6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52C"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2022–23</w:t>
            </w:r>
            <w:r w:rsidRPr="00710E67">
              <w:rPr>
                <w:rFonts w:ascii="Arial" w:hAnsi="Arial" w:cs="Arial"/>
                <w:sz w:val="16"/>
                <w:szCs w:val="16"/>
              </w:rPr>
              <w:br/>
              <w:t>Forward estimate</w:t>
            </w:r>
            <w:r w:rsidRPr="00710E67">
              <w:rPr>
                <w:rFonts w:ascii="Arial" w:hAnsi="Arial" w:cs="Arial"/>
                <w:sz w:val="16"/>
                <w:szCs w:val="16"/>
              </w:rPr>
              <w:br/>
              <w:t>$'000</w:t>
            </w:r>
          </w:p>
        </w:tc>
      </w:tr>
      <w:tr w:rsidR="00710E67" w:rsidRPr="00710E67" w14:paraId="76C18534" w14:textId="77777777" w:rsidTr="00DF20CF">
        <w:trPr>
          <w:trHeight w:val="225"/>
        </w:trPr>
        <w:tc>
          <w:tcPr>
            <w:tcW w:w="2960" w:type="dxa"/>
            <w:tcBorders>
              <w:top w:val="nil"/>
              <w:left w:val="nil"/>
              <w:bottom w:val="nil"/>
              <w:right w:val="nil"/>
            </w:tcBorders>
            <w:shd w:val="clear" w:color="auto" w:fill="auto"/>
            <w:noWrap/>
            <w:vAlign w:val="center"/>
            <w:hideMark/>
          </w:tcPr>
          <w:p w14:paraId="76C1852E"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ASSETS</w:t>
            </w:r>
          </w:p>
        </w:tc>
        <w:tc>
          <w:tcPr>
            <w:tcW w:w="928" w:type="dxa"/>
            <w:tcBorders>
              <w:top w:val="nil"/>
              <w:left w:val="nil"/>
              <w:bottom w:val="nil"/>
              <w:right w:val="nil"/>
            </w:tcBorders>
            <w:shd w:val="clear" w:color="auto" w:fill="auto"/>
            <w:noWrap/>
            <w:vAlign w:val="center"/>
            <w:hideMark/>
          </w:tcPr>
          <w:p w14:paraId="76C1852F" w14:textId="77777777" w:rsidR="00710E67" w:rsidRPr="00710E67" w:rsidRDefault="00710E67" w:rsidP="00193161">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8530"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31"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32"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33" w14:textId="77777777" w:rsidR="00710E67" w:rsidRPr="00710E67" w:rsidRDefault="00710E67" w:rsidP="00193161">
            <w:pPr>
              <w:spacing w:after="0" w:line="240" w:lineRule="auto"/>
              <w:jc w:val="right"/>
              <w:rPr>
                <w:rFonts w:ascii="Times New Roman" w:hAnsi="Times New Roman"/>
              </w:rPr>
            </w:pPr>
          </w:p>
        </w:tc>
      </w:tr>
      <w:tr w:rsidR="00710E67" w:rsidRPr="00710E67" w14:paraId="76C1853B" w14:textId="77777777" w:rsidTr="00DF20CF">
        <w:trPr>
          <w:trHeight w:val="225"/>
        </w:trPr>
        <w:tc>
          <w:tcPr>
            <w:tcW w:w="2960" w:type="dxa"/>
            <w:tcBorders>
              <w:top w:val="nil"/>
              <w:left w:val="nil"/>
              <w:bottom w:val="nil"/>
              <w:right w:val="nil"/>
            </w:tcBorders>
            <w:shd w:val="clear" w:color="auto" w:fill="auto"/>
            <w:noWrap/>
            <w:vAlign w:val="center"/>
            <w:hideMark/>
          </w:tcPr>
          <w:p w14:paraId="76C18535"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Financial assets</w:t>
            </w:r>
          </w:p>
        </w:tc>
        <w:tc>
          <w:tcPr>
            <w:tcW w:w="928" w:type="dxa"/>
            <w:tcBorders>
              <w:top w:val="nil"/>
              <w:left w:val="nil"/>
              <w:bottom w:val="nil"/>
              <w:right w:val="nil"/>
            </w:tcBorders>
            <w:shd w:val="clear" w:color="auto" w:fill="auto"/>
            <w:noWrap/>
            <w:vAlign w:val="center"/>
            <w:hideMark/>
          </w:tcPr>
          <w:p w14:paraId="76C18536" w14:textId="77777777" w:rsidR="00710E67" w:rsidRPr="00710E67" w:rsidRDefault="00710E67" w:rsidP="00193161">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8537"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38"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39"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3A" w14:textId="77777777" w:rsidR="00710E67" w:rsidRPr="00710E67" w:rsidRDefault="00710E67" w:rsidP="00193161">
            <w:pPr>
              <w:spacing w:after="0" w:line="240" w:lineRule="auto"/>
              <w:jc w:val="right"/>
              <w:rPr>
                <w:rFonts w:ascii="Times New Roman" w:hAnsi="Times New Roman"/>
              </w:rPr>
            </w:pPr>
          </w:p>
        </w:tc>
      </w:tr>
      <w:tr w:rsidR="00710E67" w:rsidRPr="00710E67" w14:paraId="76C18542" w14:textId="77777777" w:rsidTr="00DF20CF">
        <w:trPr>
          <w:trHeight w:val="225"/>
        </w:trPr>
        <w:tc>
          <w:tcPr>
            <w:tcW w:w="2960" w:type="dxa"/>
            <w:tcBorders>
              <w:top w:val="nil"/>
              <w:left w:val="nil"/>
              <w:bottom w:val="nil"/>
              <w:right w:val="nil"/>
            </w:tcBorders>
            <w:shd w:val="clear" w:color="auto" w:fill="auto"/>
            <w:noWrap/>
            <w:vAlign w:val="center"/>
            <w:hideMark/>
          </w:tcPr>
          <w:p w14:paraId="76C1853C"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 xml:space="preserve">Cash </w:t>
            </w:r>
            <w:r w:rsidRPr="00710E67">
              <w:rPr>
                <w:rFonts w:ascii="Arial" w:hAnsi="Arial" w:cs="Arial"/>
                <w:sz w:val="16"/>
                <w:szCs w:val="16"/>
              </w:rPr>
              <w:t>and cash equivalents</w:t>
            </w:r>
          </w:p>
        </w:tc>
        <w:tc>
          <w:tcPr>
            <w:tcW w:w="928" w:type="dxa"/>
            <w:tcBorders>
              <w:top w:val="nil"/>
              <w:left w:val="nil"/>
              <w:bottom w:val="nil"/>
              <w:right w:val="nil"/>
            </w:tcBorders>
            <w:shd w:val="clear" w:color="auto" w:fill="auto"/>
            <w:noWrap/>
            <w:vAlign w:val="bottom"/>
            <w:hideMark/>
          </w:tcPr>
          <w:p w14:paraId="76C1853D"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14,175</w:t>
            </w:r>
          </w:p>
        </w:tc>
        <w:tc>
          <w:tcPr>
            <w:tcW w:w="860" w:type="dxa"/>
            <w:tcBorders>
              <w:top w:val="nil"/>
              <w:left w:val="nil"/>
              <w:bottom w:val="nil"/>
              <w:right w:val="nil"/>
            </w:tcBorders>
            <w:shd w:val="clear" w:color="000000" w:fill="E6E6E6"/>
            <w:noWrap/>
            <w:vAlign w:val="center"/>
            <w:hideMark/>
          </w:tcPr>
          <w:p w14:paraId="76C1853E"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14,175</w:t>
            </w:r>
          </w:p>
        </w:tc>
        <w:tc>
          <w:tcPr>
            <w:tcW w:w="860" w:type="dxa"/>
            <w:tcBorders>
              <w:top w:val="nil"/>
              <w:left w:val="nil"/>
              <w:bottom w:val="nil"/>
              <w:right w:val="nil"/>
            </w:tcBorders>
            <w:shd w:val="clear" w:color="auto" w:fill="auto"/>
            <w:noWrap/>
            <w:vAlign w:val="center"/>
            <w:hideMark/>
          </w:tcPr>
          <w:p w14:paraId="76C1853F"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14,175</w:t>
            </w:r>
          </w:p>
        </w:tc>
        <w:tc>
          <w:tcPr>
            <w:tcW w:w="860" w:type="dxa"/>
            <w:tcBorders>
              <w:top w:val="nil"/>
              <w:left w:val="nil"/>
              <w:bottom w:val="nil"/>
              <w:right w:val="nil"/>
            </w:tcBorders>
            <w:shd w:val="clear" w:color="auto" w:fill="auto"/>
            <w:noWrap/>
            <w:vAlign w:val="center"/>
            <w:hideMark/>
          </w:tcPr>
          <w:p w14:paraId="76C18540"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14,170</w:t>
            </w:r>
          </w:p>
        </w:tc>
        <w:tc>
          <w:tcPr>
            <w:tcW w:w="860" w:type="dxa"/>
            <w:tcBorders>
              <w:top w:val="nil"/>
              <w:left w:val="nil"/>
              <w:bottom w:val="nil"/>
              <w:right w:val="nil"/>
            </w:tcBorders>
            <w:shd w:val="clear" w:color="auto" w:fill="auto"/>
            <w:noWrap/>
            <w:vAlign w:val="center"/>
            <w:hideMark/>
          </w:tcPr>
          <w:p w14:paraId="76C18541"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14,060</w:t>
            </w:r>
          </w:p>
        </w:tc>
      </w:tr>
      <w:tr w:rsidR="00710E67" w:rsidRPr="00710E67" w14:paraId="76C18549" w14:textId="77777777" w:rsidTr="00DF20CF">
        <w:trPr>
          <w:trHeight w:val="225"/>
        </w:trPr>
        <w:tc>
          <w:tcPr>
            <w:tcW w:w="2960" w:type="dxa"/>
            <w:tcBorders>
              <w:top w:val="nil"/>
              <w:left w:val="nil"/>
              <w:bottom w:val="nil"/>
              <w:right w:val="nil"/>
            </w:tcBorders>
            <w:shd w:val="clear" w:color="auto" w:fill="auto"/>
            <w:noWrap/>
            <w:vAlign w:val="center"/>
            <w:hideMark/>
          </w:tcPr>
          <w:p w14:paraId="76C18543" w14:textId="77777777" w:rsidR="00710E67" w:rsidRPr="00710E67" w:rsidRDefault="00710E67" w:rsidP="00710E67">
            <w:pPr>
              <w:spacing w:after="0" w:line="240" w:lineRule="auto"/>
              <w:ind w:firstLineChars="100" w:firstLine="160"/>
              <w:jc w:val="left"/>
              <w:rPr>
                <w:rFonts w:ascii="Arial" w:hAnsi="Arial" w:cs="Arial"/>
                <w:sz w:val="16"/>
                <w:szCs w:val="16"/>
              </w:rPr>
            </w:pPr>
            <w:r w:rsidRPr="00710E67">
              <w:rPr>
                <w:rFonts w:ascii="Arial" w:hAnsi="Arial" w:cs="Arial"/>
                <w:sz w:val="16"/>
                <w:szCs w:val="16"/>
              </w:rPr>
              <w:t>Trade and other receivables</w:t>
            </w:r>
          </w:p>
        </w:tc>
        <w:tc>
          <w:tcPr>
            <w:tcW w:w="928" w:type="dxa"/>
            <w:tcBorders>
              <w:top w:val="nil"/>
              <w:left w:val="nil"/>
              <w:bottom w:val="nil"/>
              <w:right w:val="nil"/>
            </w:tcBorders>
            <w:shd w:val="clear" w:color="auto" w:fill="auto"/>
            <w:noWrap/>
            <w:vAlign w:val="bottom"/>
            <w:hideMark/>
          </w:tcPr>
          <w:p w14:paraId="76C18544"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456</w:t>
            </w:r>
          </w:p>
        </w:tc>
        <w:tc>
          <w:tcPr>
            <w:tcW w:w="860" w:type="dxa"/>
            <w:tcBorders>
              <w:top w:val="nil"/>
              <w:left w:val="nil"/>
              <w:bottom w:val="nil"/>
              <w:right w:val="nil"/>
            </w:tcBorders>
            <w:shd w:val="clear" w:color="000000" w:fill="E6E6E6"/>
            <w:noWrap/>
            <w:vAlign w:val="center"/>
            <w:hideMark/>
          </w:tcPr>
          <w:p w14:paraId="76C18545"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456</w:t>
            </w:r>
          </w:p>
        </w:tc>
        <w:tc>
          <w:tcPr>
            <w:tcW w:w="860" w:type="dxa"/>
            <w:tcBorders>
              <w:top w:val="nil"/>
              <w:left w:val="nil"/>
              <w:bottom w:val="nil"/>
              <w:right w:val="nil"/>
            </w:tcBorders>
            <w:shd w:val="clear" w:color="auto" w:fill="auto"/>
            <w:noWrap/>
            <w:vAlign w:val="center"/>
            <w:hideMark/>
          </w:tcPr>
          <w:p w14:paraId="76C18546"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690</w:t>
            </w:r>
          </w:p>
        </w:tc>
        <w:tc>
          <w:tcPr>
            <w:tcW w:w="860" w:type="dxa"/>
            <w:tcBorders>
              <w:top w:val="nil"/>
              <w:left w:val="nil"/>
              <w:bottom w:val="nil"/>
              <w:right w:val="nil"/>
            </w:tcBorders>
            <w:shd w:val="clear" w:color="auto" w:fill="auto"/>
            <w:noWrap/>
            <w:vAlign w:val="center"/>
            <w:hideMark/>
          </w:tcPr>
          <w:p w14:paraId="76C18547"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690</w:t>
            </w:r>
          </w:p>
        </w:tc>
        <w:tc>
          <w:tcPr>
            <w:tcW w:w="860" w:type="dxa"/>
            <w:tcBorders>
              <w:top w:val="nil"/>
              <w:left w:val="nil"/>
              <w:bottom w:val="nil"/>
              <w:right w:val="nil"/>
            </w:tcBorders>
            <w:shd w:val="clear" w:color="auto" w:fill="auto"/>
            <w:noWrap/>
            <w:vAlign w:val="center"/>
            <w:hideMark/>
          </w:tcPr>
          <w:p w14:paraId="76C18548"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456</w:t>
            </w:r>
          </w:p>
        </w:tc>
      </w:tr>
      <w:tr w:rsidR="00710E67" w:rsidRPr="00710E67" w14:paraId="76C18550" w14:textId="77777777" w:rsidTr="00DF20CF">
        <w:trPr>
          <w:trHeight w:val="210"/>
        </w:trPr>
        <w:tc>
          <w:tcPr>
            <w:tcW w:w="2960" w:type="dxa"/>
            <w:tcBorders>
              <w:top w:val="nil"/>
              <w:left w:val="nil"/>
              <w:bottom w:val="nil"/>
              <w:right w:val="nil"/>
            </w:tcBorders>
            <w:shd w:val="clear" w:color="auto" w:fill="auto"/>
            <w:noWrap/>
            <w:vAlign w:val="center"/>
            <w:hideMark/>
          </w:tcPr>
          <w:p w14:paraId="76C1854A"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financial assets</w:t>
            </w:r>
          </w:p>
        </w:tc>
        <w:tc>
          <w:tcPr>
            <w:tcW w:w="928" w:type="dxa"/>
            <w:tcBorders>
              <w:top w:val="single" w:sz="4" w:space="0" w:color="auto"/>
              <w:left w:val="nil"/>
              <w:bottom w:val="single" w:sz="4" w:space="0" w:color="auto"/>
              <w:right w:val="nil"/>
            </w:tcBorders>
            <w:shd w:val="clear" w:color="auto" w:fill="auto"/>
            <w:noWrap/>
            <w:vAlign w:val="bottom"/>
            <w:hideMark/>
          </w:tcPr>
          <w:p w14:paraId="76C1854B" w14:textId="383961C4" w:rsidR="00710E67" w:rsidRPr="00710E67" w:rsidRDefault="00193161" w:rsidP="00193161">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14,631</w:t>
            </w:r>
          </w:p>
        </w:tc>
        <w:tc>
          <w:tcPr>
            <w:tcW w:w="860" w:type="dxa"/>
            <w:tcBorders>
              <w:top w:val="single" w:sz="4" w:space="0" w:color="auto"/>
              <w:left w:val="nil"/>
              <w:bottom w:val="single" w:sz="4" w:space="0" w:color="auto"/>
              <w:right w:val="nil"/>
            </w:tcBorders>
            <w:shd w:val="clear" w:color="000000" w:fill="E6E6E6"/>
            <w:noWrap/>
            <w:vAlign w:val="center"/>
            <w:hideMark/>
          </w:tcPr>
          <w:p w14:paraId="76C1854C" w14:textId="635551F1" w:rsidR="00710E67" w:rsidRPr="00710E67" w:rsidRDefault="00193161" w:rsidP="00193161">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14,631</w:t>
            </w:r>
          </w:p>
        </w:tc>
        <w:tc>
          <w:tcPr>
            <w:tcW w:w="860" w:type="dxa"/>
            <w:tcBorders>
              <w:top w:val="single" w:sz="4" w:space="0" w:color="auto"/>
              <w:left w:val="nil"/>
              <w:bottom w:val="single" w:sz="4" w:space="0" w:color="auto"/>
              <w:right w:val="nil"/>
            </w:tcBorders>
            <w:shd w:val="clear" w:color="auto" w:fill="auto"/>
            <w:noWrap/>
            <w:vAlign w:val="center"/>
            <w:hideMark/>
          </w:tcPr>
          <w:p w14:paraId="76C1854D" w14:textId="477E9977"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14,865</w:t>
            </w:r>
          </w:p>
        </w:tc>
        <w:tc>
          <w:tcPr>
            <w:tcW w:w="860" w:type="dxa"/>
            <w:tcBorders>
              <w:top w:val="single" w:sz="4" w:space="0" w:color="auto"/>
              <w:left w:val="nil"/>
              <w:bottom w:val="single" w:sz="4" w:space="0" w:color="auto"/>
              <w:right w:val="nil"/>
            </w:tcBorders>
            <w:shd w:val="clear" w:color="auto" w:fill="auto"/>
            <w:noWrap/>
            <w:vAlign w:val="center"/>
            <w:hideMark/>
          </w:tcPr>
          <w:p w14:paraId="76C1854E" w14:textId="6A671557"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14,860</w:t>
            </w:r>
          </w:p>
        </w:tc>
        <w:tc>
          <w:tcPr>
            <w:tcW w:w="860" w:type="dxa"/>
            <w:tcBorders>
              <w:top w:val="single" w:sz="4" w:space="0" w:color="auto"/>
              <w:left w:val="nil"/>
              <w:bottom w:val="single" w:sz="4" w:space="0" w:color="auto"/>
              <w:right w:val="nil"/>
            </w:tcBorders>
            <w:shd w:val="clear" w:color="auto" w:fill="auto"/>
            <w:noWrap/>
            <w:vAlign w:val="center"/>
            <w:hideMark/>
          </w:tcPr>
          <w:p w14:paraId="76C1854F" w14:textId="7C104F59"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14,516</w:t>
            </w:r>
          </w:p>
        </w:tc>
      </w:tr>
      <w:tr w:rsidR="00710E67" w:rsidRPr="00710E67" w14:paraId="76C18557" w14:textId="77777777" w:rsidTr="00DF20CF">
        <w:trPr>
          <w:trHeight w:val="225"/>
        </w:trPr>
        <w:tc>
          <w:tcPr>
            <w:tcW w:w="2960" w:type="dxa"/>
            <w:tcBorders>
              <w:top w:val="nil"/>
              <w:left w:val="nil"/>
              <w:bottom w:val="nil"/>
              <w:right w:val="nil"/>
            </w:tcBorders>
            <w:shd w:val="clear" w:color="auto" w:fill="auto"/>
            <w:noWrap/>
            <w:vAlign w:val="center"/>
            <w:hideMark/>
          </w:tcPr>
          <w:p w14:paraId="76C18551"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Non-financial assets</w:t>
            </w:r>
          </w:p>
        </w:tc>
        <w:tc>
          <w:tcPr>
            <w:tcW w:w="928" w:type="dxa"/>
            <w:tcBorders>
              <w:top w:val="nil"/>
              <w:left w:val="nil"/>
              <w:bottom w:val="nil"/>
              <w:right w:val="nil"/>
            </w:tcBorders>
            <w:shd w:val="clear" w:color="auto" w:fill="auto"/>
            <w:noWrap/>
            <w:vAlign w:val="bottom"/>
            <w:hideMark/>
          </w:tcPr>
          <w:p w14:paraId="76C18552" w14:textId="77777777" w:rsidR="00710E67" w:rsidRPr="00710E67" w:rsidRDefault="00710E67" w:rsidP="00193161">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8553"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54"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55"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56" w14:textId="77777777" w:rsidR="00710E67" w:rsidRPr="00710E67" w:rsidRDefault="00710E67" w:rsidP="00193161">
            <w:pPr>
              <w:spacing w:after="0" w:line="240" w:lineRule="auto"/>
              <w:jc w:val="right"/>
              <w:rPr>
                <w:rFonts w:ascii="Times New Roman" w:hAnsi="Times New Roman"/>
              </w:rPr>
            </w:pPr>
          </w:p>
        </w:tc>
      </w:tr>
      <w:tr w:rsidR="00710E67" w:rsidRPr="00710E67" w14:paraId="76C1855E" w14:textId="77777777" w:rsidTr="00DF20CF">
        <w:trPr>
          <w:trHeight w:val="225"/>
        </w:trPr>
        <w:tc>
          <w:tcPr>
            <w:tcW w:w="2960" w:type="dxa"/>
            <w:tcBorders>
              <w:top w:val="nil"/>
              <w:left w:val="nil"/>
              <w:bottom w:val="nil"/>
              <w:right w:val="nil"/>
            </w:tcBorders>
            <w:shd w:val="clear" w:color="auto" w:fill="auto"/>
            <w:noWrap/>
            <w:vAlign w:val="center"/>
            <w:hideMark/>
          </w:tcPr>
          <w:p w14:paraId="76C18558"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Land and buildings</w:t>
            </w:r>
          </w:p>
        </w:tc>
        <w:tc>
          <w:tcPr>
            <w:tcW w:w="928" w:type="dxa"/>
            <w:tcBorders>
              <w:top w:val="nil"/>
              <w:left w:val="nil"/>
              <w:bottom w:val="nil"/>
              <w:right w:val="nil"/>
            </w:tcBorders>
            <w:shd w:val="clear" w:color="auto" w:fill="auto"/>
            <w:noWrap/>
            <w:vAlign w:val="bottom"/>
            <w:hideMark/>
          </w:tcPr>
          <w:p w14:paraId="76C18559"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1,617</w:t>
            </w:r>
          </w:p>
        </w:tc>
        <w:tc>
          <w:tcPr>
            <w:tcW w:w="860" w:type="dxa"/>
            <w:tcBorders>
              <w:top w:val="nil"/>
              <w:left w:val="nil"/>
              <w:bottom w:val="nil"/>
              <w:right w:val="nil"/>
            </w:tcBorders>
            <w:shd w:val="clear" w:color="000000" w:fill="E6E6E6"/>
            <w:noWrap/>
            <w:vAlign w:val="center"/>
            <w:hideMark/>
          </w:tcPr>
          <w:p w14:paraId="76C1855A"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1,106</w:t>
            </w:r>
          </w:p>
        </w:tc>
        <w:tc>
          <w:tcPr>
            <w:tcW w:w="860" w:type="dxa"/>
            <w:tcBorders>
              <w:top w:val="nil"/>
              <w:left w:val="nil"/>
              <w:bottom w:val="nil"/>
              <w:right w:val="nil"/>
            </w:tcBorders>
            <w:shd w:val="clear" w:color="auto" w:fill="auto"/>
            <w:noWrap/>
            <w:vAlign w:val="center"/>
            <w:hideMark/>
          </w:tcPr>
          <w:p w14:paraId="76C1855B"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595</w:t>
            </w:r>
          </w:p>
        </w:tc>
        <w:tc>
          <w:tcPr>
            <w:tcW w:w="860" w:type="dxa"/>
            <w:tcBorders>
              <w:top w:val="nil"/>
              <w:left w:val="nil"/>
              <w:bottom w:val="nil"/>
              <w:right w:val="nil"/>
            </w:tcBorders>
            <w:shd w:val="clear" w:color="auto" w:fill="auto"/>
            <w:noWrap/>
            <w:vAlign w:val="center"/>
            <w:hideMark/>
          </w:tcPr>
          <w:p w14:paraId="76C1855C"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318</w:t>
            </w:r>
          </w:p>
        </w:tc>
        <w:tc>
          <w:tcPr>
            <w:tcW w:w="860" w:type="dxa"/>
            <w:tcBorders>
              <w:top w:val="nil"/>
              <w:left w:val="nil"/>
              <w:bottom w:val="nil"/>
              <w:right w:val="nil"/>
            </w:tcBorders>
            <w:shd w:val="clear" w:color="auto" w:fill="auto"/>
            <w:noWrap/>
            <w:vAlign w:val="center"/>
            <w:hideMark/>
          </w:tcPr>
          <w:p w14:paraId="76C1855D"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36</w:t>
            </w:r>
          </w:p>
        </w:tc>
      </w:tr>
      <w:tr w:rsidR="00710E67" w:rsidRPr="00710E67" w14:paraId="76C18565" w14:textId="77777777" w:rsidTr="00DF20CF">
        <w:trPr>
          <w:trHeight w:val="225"/>
        </w:trPr>
        <w:tc>
          <w:tcPr>
            <w:tcW w:w="2960" w:type="dxa"/>
            <w:tcBorders>
              <w:top w:val="nil"/>
              <w:left w:val="nil"/>
              <w:bottom w:val="nil"/>
              <w:right w:val="nil"/>
            </w:tcBorders>
            <w:shd w:val="clear" w:color="auto" w:fill="auto"/>
            <w:noWrap/>
            <w:vAlign w:val="center"/>
            <w:hideMark/>
          </w:tcPr>
          <w:p w14:paraId="76C1855F"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Property, plant and equipment</w:t>
            </w:r>
          </w:p>
        </w:tc>
        <w:tc>
          <w:tcPr>
            <w:tcW w:w="928" w:type="dxa"/>
            <w:tcBorders>
              <w:top w:val="nil"/>
              <w:left w:val="nil"/>
              <w:bottom w:val="nil"/>
              <w:right w:val="nil"/>
            </w:tcBorders>
            <w:shd w:val="clear" w:color="auto" w:fill="auto"/>
            <w:noWrap/>
            <w:vAlign w:val="bottom"/>
            <w:hideMark/>
          </w:tcPr>
          <w:p w14:paraId="76C18560"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365</w:t>
            </w:r>
          </w:p>
        </w:tc>
        <w:tc>
          <w:tcPr>
            <w:tcW w:w="860" w:type="dxa"/>
            <w:tcBorders>
              <w:top w:val="nil"/>
              <w:left w:val="nil"/>
              <w:bottom w:val="nil"/>
              <w:right w:val="nil"/>
            </w:tcBorders>
            <w:shd w:val="clear" w:color="000000" w:fill="E6E6E6"/>
            <w:noWrap/>
            <w:vAlign w:val="center"/>
            <w:hideMark/>
          </w:tcPr>
          <w:p w14:paraId="76C18561"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345</w:t>
            </w:r>
          </w:p>
        </w:tc>
        <w:tc>
          <w:tcPr>
            <w:tcW w:w="860" w:type="dxa"/>
            <w:tcBorders>
              <w:top w:val="nil"/>
              <w:left w:val="nil"/>
              <w:bottom w:val="nil"/>
              <w:right w:val="nil"/>
            </w:tcBorders>
            <w:shd w:val="clear" w:color="auto" w:fill="auto"/>
            <w:noWrap/>
            <w:vAlign w:val="center"/>
            <w:hideMark/>
          </w:tcPr>
          <w:p w14:paraId="76C18562"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241</w:t>
            </w:r>
          </w:p>
        </w:tc>
        <w:tc>
          <w:tcPr>
            <w:tcW w:w="860" w:type="dxa"/>
            <w:tcBorders>
              <w:top w:val="nil"/>
              <w:left w:val="nil"/>
              <w:bottom w:val="nil"/>
              <w:right w:val="nil"/>
            </w:tcBorders>
            <w:shd w:val="clear" w:color="auto" w:fill="auto"/>
            <w:noWrap/>
            <w:vAlign w:val="center"/>
            <w:hideMark/>
          </w:tcPr>
          <w:p w14:paraId="76C18563"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139</w:t>
            </w:r>
          </w:p>
        </w:tc>
        <w:tc>
          <w:tcPr>
            <w:tcW w:w="860" w:type="dxa"/>
            <w:tcBorders>
              <w:top w:val="nil"/>
              <w:left w:val="nil"/>
              <w:bottom w:val="nil"/>
              <w:right w:val="nil"/>
            </w:tcBorders>
            <w:shd w:val="clear" w:color="auto" w:fill="auto"/>
            <w:noWrap/>
            <w:vAlign w:val="center"/>
            <w:hideMark/>
          </w:tcPr>
          <w:p w14:paraId="76C18564"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386</w:t>
            </w:r>
          </w:p>
        </w:tc>
      </w:tr>
      <w:tr w:rsidR="00710E67" w:rsidRPr="00710E67" w14:paraId="76C1856C" w14:textId="77777777" w:rsidTr="00DF20CF">
        <w:trPr>
          <w:trHeight w:val="225"/>
        </w:trPr>
        <w:tc>
          <w:tcPr>
            <w:tcW w:w="2960" w:type="dxa"/>
            <w:tcBorders>
              <w:top w:val="nil"/>
              <w:left w:val="nil"/>
              <w:bottom w:val="nil"/>
              <w:right w:val="nil"/>
            </w:tcBorders>
            <w:shd w:val="clear" w:color="auto" w:fill="auto"/>
            <w:noWrap/>
            <w:vAlign w:val="center"/>
            <w:hideMark/>
          </w:tcPr>
          <w:p w14:paraId="76C18566"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Other non-financial assets</w:t>
            </w:r>
          </w:p>
        </w:tc>
        <w:tc>
          <w:tcPr>
            <w:tcW w:w="928" w:type="dxa"/>
            <w:tcBorders>
              <w:top w:val="nil"/>
              <w:left w:val="nil"/>
              <w:bottom w:val="nil"/>
              <w:right w:val="nil"/>
            </w:tcBorders>
            <w:shd w:val="clear" w:color="auto" w:fill="auto"/>
            <w:noWrap/>
            <w:vAlign w:val="bottom"/>
            <w:hideMark/>
          </w:tcPr>
          <w:p w14:paraId="76C18567"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157</w:t>
            </w:r>
          </w:p>
        </w:tc>
        <w:tc>
          <w:tcPr>
            <w:tcW w:w="860" w:type="dxa"/>
            <w:tcBorders>
              <w:top w:val="nil"/>
              <w:left w:val="nil"/>
              <w:bottom w:val="nil"/>
              <w:right w:val="nil"/>
            </w:tcBorders>
            <w:shd w:val="clear" w:color="000000" w:fill="E6E6E6"/>
            <w:noWrap/>
            <w:vAlign w:val="center"/>
            <w:hideMark/>
          </w:tcPr>
          <w:p w14:paraId="76C18568"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157</w:t>
            </w:r>
          </w:p>
        </w:tc>
        <w:tc>
          <w:tcPr>
            <w:tcW w:w="860" w:type="dxa"/>
            <w:tcBorders>
              <w:top w:val="nil"/>
              <w:left w:val="nil"/>
              <w:bottom w:val="nil"/>
              <w:right w:val="nil"/>
            </w:tcBorders>
            <w:shd w:val="clear" w:color="auto" w:fill="auto"/>
            <w:noWrap/>
            <w:vAlign w:val="center"/>
            <w:hideMark/>
          </w:tcPr>
          <w:p w14:paraId="76C18569"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157</w:t>
            </w:r>
          </w:p>
        </w:tc>
        <w:tc>
          <w:tcPr>
            <w:tcW w:w="860" w:type="dxa"/>
            <w:tcBorders>
              <w:top w:val="nil"/>
              <w:left w:val="nil"/>
              <w:bottom w:val="nil"/>
              <w:right w:val="nil"/>
            </w:tcBorders>
            <w:shd w:val="clear" w:color="auto" w:fill="auto"/>
            <w:noWrap/>
            <w:vAlign w:val="center"/>
            <w:hideMark/>
          </w:tcPr>
          <w:p w14:paraId="76C1856A"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157</w:t>
            </w:r>
          </w:p>
        </w:tc>
        <w:tc>
          <w:tcPr>
            <w:tcW w:w="860" w:type="dxa"/>
            <w:tcBorders>
              <w:top w:val="nil"/>
              <w:left w:val="nil"/>
              <w:bottom w:val="nil"/>
              <w:right w:val="nil"/>
            </w:tcBorders>
            <w:shd w:val="clear" w:color="auto" w:fill="auto"/>
            <w:noWrap/>
            <w:vAlign w:val="center"/>
            <w:hideMark/>
          </w:tcPr>
          <w:p w14:paraId="76C1856B"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157</w:t>
            </w:r>
          </w:p>
        </w:tc>
      </w:tr>
      <w:tr w:rsidR="00710E67" w:rsidRPr="00710E67" w14:paraId="76C18573" w14:textId="77777777" w:rsidTr="00DF20CF">
        <w:trPr>
          <w:trHeight w:val="210"/>
        </w:trPr>
        <w:tc>
          <w:tcPr>
            <w:tcW w:w="2960" w:type="dxa"/>
            <w:tcBorders>
              <w:top w:val="nil"/>
              <w:left w:val="nil"/>
              <w:bottom w:val="nil"/>
              <w:right w:val="nil"/>
            </w:tcBorders>
            <w:shd w:val="clear" w:color="auto" w:fill="auto"/>
            <w:noWrap/>
            <w:vAlign w:val="center"/>
            <w:hideMark/>
          </w:tcPr>
          <w:p w14:paraId="76C1856D"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non-financial assets</w:t>
            </w:r>
          </w:p>
        </w:tc>
        <w:tc>
          <w:tcPr>
            <w:tcW w:w="928" w:type="dxa"/>
            <w:tcBorders>
              <w:top w:val="single" w:sz="4" w:space="0" w:color="auto"/>
              <w:left w:val="nil"/>
              <w:bottom w:val="single" w:sz="4" w:space="0" w:color="auto"/>
              <w:right w:val="nil"/>
            </w:tcBorders>
            <w:shd w:val="clear" w:color="auto" w:fill="auto"/>
            <w:noWrap/>
            <w:vAlign w:val="bottom"/>
            <w:hideMark/>
          </w:tcPr>
          <w:p w14:paraId="76C1856E" w14:textId="6B56B760" w:rsidR="00710E67" w:rsidRPr="00710E67" w:rsidRDefault="00193161" w:rsidP="00193161">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2,139</w:t>
            </w:r>
          </w:p>
        </w:tc>
        <w:tc>
          <w:tcPr>
            <w:tcW w:w="860" w:type="dxa"/>
            <w:tcBorders>
              <w:top w:val="single" w:sz="4" w:space="0" w:color="auto"/>
              <w:left w:val="nil"/>
              <w:bottom w:val="single" w:sz="4" w:space="0" w:color="auto"/>
              <w:right w:val="nil"/>
            </w:tcBorders>
            <w:shd w:val="clear" w:color="000000" w:fill="E6E6E6"/>
            <w:noWrap/>
            <w:vAlign w:val="center"/>
            <w:hideMark/>
          </w:tcPr>
          <w:p w14:paraId="76C1856F" w14:textId="7748BB64"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1,608</w:t>
            </w:r>
          </w:p>
        </w:tc>
        <w:tc>
          <w:tcPr>
            <w:tcW w:w="860" w:type="dxa"/>
            <w:tcBorders>
              <w:top w:val="single" w:sz="4" w:space="0" w:color="auto"/>
              <w:left w:val="nil"/>
              <w:bottom w:val="single" w:sz="4" w:space="0" w:color="auto"/>
              <w:right w:val="nil"/>
            </w:tcBorders>
            <w:shd w:val="clear" w:color="auto" w:fill="auto"/>
            <w:noWrap/>
            <w:vAlign w:val="center"/>
            <w:hideMark/>
          </w:tcPr>
          <w:p w14:paraId="76C18570" w14:textId="16D7E208"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993</w:t>
            </w:r>
          </w:p>
        </w:tc>
        <w:tc>
          <w:tcPr>
            <w:tcW w:w="860" w:type="dxa"/>
            <w:tcBorders>
              <w:top w:val="single" w:sz="4" w:space="0" w:color="auto"/>
              <w:left w:val="nil"/>
              <w:bottom w:val="single" w:sz="4" w:space="0" w:color="auto"/>
              <w:right w:val="nil"/>
            </w:tcBorders>
            <w:shd w:val="clear" w:color="auto" w:fill="auto"/>
            <w:noWrap/>
            <w:vAlign w:val="center"/>
            <w:hideMark/>
          </w:tcPr>
          <w:p w14:paraId="76C18571" w14:textId="321F15C8"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614</w:t>
            </w:r>
          </w:p>
        </w:tc>
        <w:tc>
          <w:tcPr>
            <w:tcW w:w="860" w:type="dxa"/>
            <w:tcBorders>
              <w:top w:val="single" w:sz="4" w:space="0" w:color="auto"/>
              <w:left w:val="nil"/>
              <w:bottom w:val="single" w:sz="4" w:space="0" w:color="auto"/>
              <w:right w:val="nil"/>
            </w:tcBorders>
            <w:shd w:val="clear" w:color="auto" w:fill="auto"/>
            <w:noWrap/>
            <w:vAlign w:val="center"/>
            <w:hideMark/>
          </w:tcPr>
          <w:p w14:paraId="76C18572" w14:textId="7BAE63A6"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579</w:t>
            </w:r>
          </w:p>
        </w:tc>
      </w:tr>
      <w:tr w:rsidR="00710E67" w:rsidRPr="00710E67" w14:paraId="76C1857A" w14:textId="77777777" w:rsidTr="00DF20CF">
        <w:trPr>
          <w:trHeight w:val="225"/>
        </w:trPr>
        <w:tc>
          <w:tcPr>
            <w:tcW w:w="2960" w:type="dxa"/>
            <w:tcBorders>
              <w:top w:val="nil"/>
              <w:left w:val="nil"/>
              <w:bottom w:val="nil"/>
              <w:right w:val="nil"/>
            </w:tcBorders>
            <w:shd w:val="clear" w:color="auto" w:fill="auto"/>
            <w:noWrap/>
            <w:vAlign w:val="center"/>
            <w:hideMark/>
          </w:tcPr>
          <w:p w14:paraId="76C18574" w14:textId="77777777" w:rsidR="00710E67" w:rsidRPr="00710E67" w:rsidRDefault="00710E67" w:rsidP="00710E67">
            <w:pPr>
              <w:spacing w:after="0" w:line="240" w:lineRule="auto"/>
              <w:ind w:firstLineChars="100" w:firstLine="160"/>
              <w:jc w:val="left"/>
              <w:rPr>
                <w:rFonts w:ascii="Arial" w:hAnsi="Arial" w:cs="Arial"/>
                <w:sz w:val="16"/>
                <w:szCs w:val="16"/>
              </w:rPr>
            </w:pPr>
            <w:r w:rsidRPr="00710E67">
              <w:rPr>
                <w:rFonts w:ascii="Arial" w:hAnsi="Arial" w:cs="Arial"/>
                <w:sz w:val="16"/>
                <w:szCs w:val="16"/>
              </w:rPr>
              <w:t>Assets held for sale</w:t>
            </w:r>
          </w:p>
        </w:tc>
        <w:tc>
          <w:tcPr>
            <w:tcW w:w="928" w:type="dxa"/>
            <w:tcBorders>
              <w:top w:val="nil"/>
              <w:left w:val="nil"/>
              <w:bottom w:val="nil"/>
              <w:right w:val="nil"/>
            </w:tcBorders>
            <w:shd w:val="clear" w:color="auto" w:fill="auto"/>
            <w:noWrap/>
            <w:vAlign w:val="bottom"/>
            <w:hideMark/>
          </w:tcPr>
          <w:p w14:paraId="76C18575" w14:textId="77777777" w:rsidR="00710E67" w:rsidRPr="00710E67" w:rsidRDefault="00710E67" w:rsidP="00193161">
            <w:pPr>
              <w:spacing w:after="0" w:line="240" w:lineRule="auto"/>
              <w:ind w:firstLineChars="100" w:firstLine="160"/>
              <w:jc w:val="right"/>
              <w:rPr>
                <w:rFonts w:ascii="Arial" w:hAnsi="Arial" w:cs="Arial"/>
                <w:sz w:val="16"/>
                <w:szCs w:val="16"/>
              </w:rPr>
            </w:pPr>
          </w:p>
        </w:tc>
        <w:tc>
          <w:tcPr>
            <w:tcW w:w="860" w:type="dxa"/>
            <w:tcBorders>
              <w:top w:val="nil"/>
              <w:left w:val="nil"/>
              <w:bottom w:val="nil"/>
              <w:right w:val="nil"/>
            </w:tcBorders>
            <w:shd w:val="clear" w:color="000000" w:fill="E6E6E6"/>
            <w:noWrap/>
            <w:vAlign w:val="center"/>
            <w:hideMark/>
          </w:tcPr>
          <w:p w14:paraId="76C18576"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77"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78"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79" w14:textId="77777777" w:rsidR="00710E67" w:rsidRPr="00710E67" w:rsidRDefault="00710E67" w:rsidP="00193161">
            <w:pPr>
              <w:spacing w:after="0" w:line="240" w:lineRule="auto"/>
              <w:jc w:val="right"/>
              <w:rPr>
                <w:rFonts w:ascii="Times New Roman" w:hAnsi="Times New Roman"/>
              </w:rPr>
            </w:pPr>
          </w:p>
        </w:tc>
      </w:tr>
      <w:tr w:rsidR="00710E67" w:rsidRPr="00710E67" w14:paraId="76C18581" w14:textId="77777777" w:rsidTr="008A6214">
        <w:trPr>
          <w:trHeight w:val="161"/>
        </w:trPr>
        <w:tc>
          <w:tcPr>
            <w:tcW w:w="2960" w:type="dxa"/>
            <w:tcBorders>
              <w:top w:val="nil"/>
              <w:left w:val="nil"/>
              <w:bottom w:val="nil"/>
              <w:right w:val="nil"/>
            </w:tcBorders>
            <w:shd w:val="clear" w:color="auto" w:fill="auto"/>
            <w:noWrap/>
            <w:vAlign w:val="center"/>
            <w:hideMark/>
          </w:tcPr>
          <w:p w14:paraId="76C1857B"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Total assets</w:t>
            </w:r>
          </w:p>
        </w:tc>
        <w:tc>
          <w:tcPr>
            <w:tcW w:w="928" w:type="dxa"/>
            <w:tcBorders>
              <w:top w:val="single" w:sz="4" w:space="0" w:color="auto"/>
              <w:left w:val="nil"/>
              <w:bottom w:val="single" w:sz="4" w:space="0" w:color="auto"/>
              <w:right w:val="nil"/>
            </w:tcBorders>
            <w:shd w:val="clear" w:color="auto" w:fill="auto"/>
            <w:noWrap/>
            <w:vAlign w:val="bottom"/>
            <w:hideMark/>
          </w:tcPr>
          <w:p w14:paraId="76C1857C" w14:textId="41EE6007"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16,770</w:t>
            </w:r>
          </w:p>
        </w:tc>
        <w:tc>
          <w:tcPr>
            <w:tcW w:w="860" w:type="dxa"/>
            <w:tcBorders>
              <w:top w:val="single" w:sz="4" w:space="0" w:color="auto"/>
              <w:left w:val="nil"/>
              <w:bottom w:val="single" w:sz="4" w:space="0" w:color="auto"/>
              <w:right w:val="nil"/>
            </w:tcBorders>
            <w:shd w:val="clear" w:color="000000" w:fill="E6E6E6"/>
            <w:noWrap/>
            <w:vAlign w:val="center"/>
            <w:hideMark/>
          </w:tcPr>
          <w:p w14:paraId="76C1857D" w14:textId="75B1DE50"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16,239</w:t>
            </w:r>
          </w:p>
        </w:tc>
        <w:tc>
          <w:tcPr>
            <w:tcW w:w="860" w:type="dxa"/>
            <w:tcBorders>
              <w:top w:val="single" w:sz="4" w:space="0" w:color="auto"/>
              <w:left w:val="nil"/>
              <w:bottom w:val="single" w:sz="4" w:space="0" w:color="auto"/>
              <w:right w:val="nil"/>
            </w:tcBorders>
            <w:shd w:val="clear" w:color="auto" w:fill="auto"/>
            <w:noWrap/>
            <w:vAlign w:val="center"/>
            <w:hideMark/>
          </w:tcPr>
          <w:p w14:paraId="76C1857E" w14:textId="60A57900"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15,858</w:t>
            </w:r>
          </w:p>
        </w:tc>
        <w:tc>
          <w:tcPr>
            <w:tcW w:w="860" w:type="dxa"/>
            <w:tcBorders>
              <w:top w:val="single" w:sz="4" w:space="0" w:color="auto"/>
              <w:left w:val="nil"/>
              <w:bottom w:val="single" w:sz="4" w:space="0" w:color="auto"/>
              <w:right w:val="nil"/>
            </w:tcBorders>
            <w:shd w:val="clear" w:color="auto" w:fill="auto"/>
            <w:noWrap/>
            <w:vAlign w:val="center"/>
            <w:hideMark/>
          </w:tcPr>
          <w:p w14:paraId="76C1857F" w14:textId="138D75C9"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15,474</w:t>
            </w:r>
          </w:p>
        </w:tc>
        <w:tc>
          <w:tcPr>
            <w:tcW w:w="860" w:type="dxa"/>
            <w:tcBorders>
              <w:top w:val="single" w:sz="4" w:space="0" w:color="auto"/>
              <w:left w:val="nil"/>
              <w:bottom w:val="single" w:sz="4" w:space="0" w:color="auto"/>
              <w:right w:val="nil"/>
            </w:tcBorders>
            <w:shd w:val="clear" w:color="auto" w:fill="auto"/>
            <w:noWrap/>
            <w:vAlign w:val="center"/>
            <w:hideMark/>
          </w:tcPr>
          <w:p w14:paraId="76C18580" w14:textId="6FF89FB5"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15,095</w:t>
            </w:r>
          </w:p>
        </w:tc>
      </w:tr>
      <w:tr w:rsidR="00710E67" w:rsidRPr="00710E67" w14:paraId="76C18588" w14:textId="77777777" w:rsidTr="00DF20CF">
        <w:trPr>
          <w:trHeight w:val="225"/>
        </w:trPr>
        <w:tc>
          <w:tcPr>
            <w:tcW w:w="2960" w:type="dxa"/>
            <w:tcBorders>
              <w:top w:val="nil"/>
              <w:left w:val="nil"/>
              <w:bottom w:val="nil"/>
              <w:right w:val="nil"/>
            </w:tcBorders>
            <w:shd w:val="clear" w:color="auto" w:fill="auto"/>
            <w:noWrap/>
            <w:vAlign w:val="center"/>
            <w:hideMark/>
          </w:tcPr>
          <w:p w14:paraId="76C18582"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LIABILITIES</w:t>
            </w:r>
          </w:p>
        </w:tc>
        <w:tc>
          <w:tcPr>
            <w:tcW w:w="928" w:type="dxa"/>
            <w:tcBorders>
              <w:top w:val="nil"/>
              <w:left w:val="nil"/>
              <w:bottom w:val="nil"/>
              <w:right w:val="nil"/>
            </w:tcBorders>
            <w:shd w:val="clear" w:color="auto" w:fill="auto"/>
            <w:noWrap/>
            <w:vAlign w:val="bottom"/>
            <w:hideMark/>
          </w:tcPr>
          <w:p w14:paraId="76C18583" w14:textId="77777777" w:rsidR="00710E67" w:rsidRPr="00710E67" w:rsidRDefault="00710E67" w:rsidP="00193161">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8584"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85"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86"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87" w14:textId="77777777" w:rsidR="00710E67" w:rsidRPr="00710E67" w:rsidRDefault="00710E67" w:rsidP="00193161">
            <w:pPr>
              <w:spacing w:after="0" w:line="240" w:lineRule="auto"/>
              <w:jc w:val="right"/>
              <w:rPr>
                <w:rFonts w:ascii="Times New Roman" w:hAnsi="Times New Roman"/>
              </w:rPr>
            </w:pPr>
          </w:p>
        </w:tc>
      </w:tr>
      <w:tr w:rsidR="00710E67" w:rsidRPr="00710E67" w14:paraId="76C1858F" w14:textId="77777777" w:rsidTr="00DF20CF">
        <w:trPr>
          <w:trHeight w:val="225"/>
        </w:trPr>
        <w:tc>
          <w:tcPr>
            <w:tcW w:w="2960" w:type="dxa"/>
            <w:tcBorders>
              <w:top w:val="nil"/>
              <w:left w:val="nil"/>
              <w:bottom w:val="nil"/>
              <w:right w:val="nil"/>
            </w:tcBorders>
            <w:shd w:val="clear" w:color="auto" w:fill="auto"/>
            <w:noWrap/>
            <w:vAlign w:val="center"/>
            <w:hideMark/>
          </w:tcPr>
          <w:p w14:paraId="76C18589"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Payables</w:t>
            </w:r>
          </w:p>
        </w:tc>
        <w:tc>
          <w:tcPr>
            <w:tcW w:w="928" w:type="dxa"/>
            <w:tcBorders>
              <w:top w:val="nil"/>
              <w:left w:val="nil"/>
              <w:bottom w:val="nil"/>
              <w:right w:val="nil"/>
            </w:tcBorders>
            <w:shd w:val="clear" w:color="auto" w:fill="auto"/>
            <w:noWrap/>
            <w:vAlign w:val="bottom"/>
            <w:hideMark/>
          </w:tcPr>
          <w:p w14:paraId="76C1858A" w14:textId="77777777" w:rsidR="00710E67" w:rsidRPr="00710E67" w:rsidRDefault="00710E67" w:rsidP="00193161">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858B"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8C"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8D"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8E" w14:textId="77777777" w:rsidR="00710E67" w:rsidRPr="00710E67" w:rsidRDefault="00710E67" w:rsidP="00193161">
            <w:pPr>
              <w:spacing w:after="0" w:line="240" w:lineRule="auto"/>
              <w:jc w:val="right"/>
              <w:rPr>
                <w:rFonts w:ascii="Times New Roman" w:hAnsi="Times New Roman"/>
              </w:rPr>
            </w:pPr>
          </w:p>
        </w:tc>
      </w:tr>
      <w:tr w:rsidR="00710E67" w:rsidRPr="00710E67" w14:paraId="76C18596" w14:textId="77777777" w:rsidTr="00DF20CF">
        <w:trPr>
          <w:trHeight w:val="225"/>
        </w:trPr>
        <w:tc>
          <w:tcPr>
            <w:tcW w:w="2960" w:type="dxa"/>
            <w:tcBorders>
              <w:top w:val="nil"/>
              <w:left w:val="nil"/>
              <w:bottom w:val="nil"/>
              <w:right w:val="nil"/>
            </w:tcBorders>
            <w:shd w:val="clear" w:color="auto" w:fill="auto"/>
            <w:noWrap/>
            <w:vAlign w:val="center"/>
            <w:hideMark/>
          </w:tcPr>
          <w:p w14:paraId="76C18590"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Suppliers</w:t>
            </w:r>
          </w:p>
        </w:tc>
        <w:tc>
          <w:tcPr>
            <w:tcW w:w="928" w:type="dxa"/>
            <w:tcBorders>
              <w:top w:val="nil"/>
              <w:left w:val="nil"/>
              <w:bottom w:val="nil"/>
              <w:right w:val="nil"/>
            </w:tcBorders>
            <w:shd w:val="clear" w:color="auto" w:fill="auto"/>
            <w:noWrap/>
            <w:vAlign w:val="bottom"/>
            <w:hideMark/>
          </w:tcPr>
          <w:p w14:paraId="76C18591"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1,378</w:t>
            </w:r>
          </w:p>
        </w:tc>
        <w:tc>
          <w:tcPr>
            <w:tcW w:w="860" w:type="dxa"/>
            <w:tcBorders>
              <w:top w:val="nil"/>
              <w:left w:val="nil"/>
              <w:bottom w:val="nil"/>
              <w:right w:val="nil"/>
            </w:tcBorders>
            <w:shd w:val="clear" w:color="000000" w:fill="E6E6E6"/>
            <w:noWrap/>
            <w:vAlign w:val="center"/>
            <w:hideMark/>
          </w:tcPr>
          <w:p w14:paraId="76C18592"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1,325</w:t>
            </w:r>
          </w:p>
        </w:tc>
        <w:tc>
          <w:tcPr>
            <w:tcW w:w="860" w:type="dxa"/>
            <w:tcBorders>
              <w:top w:val="nil"/>
              <w:left w:val="nil"/>
              <w:bottom w:val="nil"/>
              <w:right w:val="nil"/>
            </w:tcBorders>
            <w:shd w:val="clear" w:color="auto" w:fill="auto"/>
            <w:noWrap/>
            <w:vAlign w:val="center"/>
            <w:hideMark/>
          </w:tcPr>
          <w:p w14:paraId="76C18593"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1,270</w:t>
            </w:r>
          </w:p>
        </w:tc>
        <w:tc>
          <w:tcPr>
            <w:tcW w:w="860" w:type="dxa"/>
            <w:tcBorders>
              <w:top w:val="nil"/>
              <w:left w:val="nil"/>
              <w:bottom w:val="nil"/>
              <w:right w:val="nil"/>
            </w:tcBorders>
            <w:shd w:val="clear" w:color="auto" w:fill="auto"/>
            <w:noWrap/>
            <w:vAlign w:val="center"/>
            <w:hideMark/>
          </w:tcPr>
          <w:p w14:paraId="76C18594"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1,212</w:t>
            </w:r>
          </w:p>
        </w:tc>
        <w:tc>
          <w:tcPr>
            <w:tcW w:w="860" w:type="dxa"/>
            <w:tcBorders>
              <w:top w:val="nil"/>
              <w:left w:val="nil"/>
              <w:bottom w:val="nil"/>
              <w:right w:val="nil"/>
            </w:tcBorders>
            <w:shd w:val="clear" w:color="auto" w:fill="auto"/>
            <w:noWrap/>
            <w:vAlign w:val="center"/>
            <w:hideMark/>
          </w:tcPr>
          <w:p w14:paraId="76C18595"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1,150</w:t>
            </w:r>
          </w:p>
        </w:tc>
      </w:tr>
      <w:tr w:rsidR="00710E67" w:rsidRPr="00710E67" w14:paraId="76C1859D" w14:textId="77777777" w:rsidTr="00DF20CF">
        <w:trPr>
          <w:trHeight w:val="225"/>
        </w:trPr>
        <w:tc>
          <w:tcPr>
            <w:tcW w:w="2960" w:type="dxa"/>
            <w:tcBorders>
              <w:top w:val="nil"/>
              <w:left w:val="nil"/>
              <w:bottom w:val="nil"/>
              <w:right w:val="nil"/>
            </w:tcBorders>
            <w:shd w:val="clear" w:color="auto" w:fill="auto"/>
            <w:noWrap/>
            <w:vAlign w:val="center"/>
            <w:hideMark/>
          </w:tcPr>
          <w:p w14:paraId="76C18597"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Other payables</w:t>
            </w:r>
          </w:p>
        </w:tc>
        <w:tc>
          <w:tcPr>
            <w:tcW w:w="928" w:type="dxa"/>
            <w:tcBorders>
              <w:top w:val="nil"/>
              <w:left w:val="nil"/>
              <w:bottom w:val="nil"/>
              <w:right w:val="nil"/>
            </w:tcBorders>
            <w:shd w:val="clear" w:color="auto" w:fill="auto"/>
            <w:noWrap/>
            <w:vAlign w:val="bottom"/>
            <w:hideMark/>
          </w:tcPr>
          <w:p w14:paraId="76C18598"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257</w:t>
            </w:r>
          </w:p>
        </w:tc>
        <w:tc>
          <w:tcPr>
            <w:tcW w:w="860" w:type="dxa"/>
            <w:tcBorders>
              <w:top w:val="nil"/>
              <w:left w:val="nil"/>
              <w:bottom w:val="nil"/>
              <w:right w:val="nil"/>
            </w:tcBorders>
            <w:shd w:val="clear" w:color="000000" w:fill="E6E6E6"/>
            <w:noWrap/>
            <w:vAlign w:val="center"/>
            <w:hideMark/>
          </w:tcPr>
          <w:p w14:paraId="76C18599"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257</w:t>
            </w:r>
          </w:p>
        </w:tc>
        <w:tc>
          <w:tcPr>
            <w:tcW w:w="860" w:type="dxa"/>
            <w:tcBorders>
              <w:top w:val="nil"/>
              <w:left w:val="nil"/>
              <w:bottom w:val="nil"/>
              <w:right w:val="nil"/>
            </w:tcBorders>
            <w:shd w:val="clear" w:color="auto" w:fill="auto"/>
            <w:noWrap/>
            <w:vAlign w:val="center"/>
            <w:hideMark/>
          </w:tcPr>
          <w:p w14:paraId="76C1859A"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257</w:t>
            </w:r>
          </w:p>
        </w:tc>
        <w:tc>
          <w:tcPr>
            <w:tcW w:w="860" w:type="dxa"/>
            <w:tcBorders>
              <w:top w:val="nil"/>
              <w:left w:val="nil"/>
              <w:bottom w:val="nil"/>
              <w:right w:val="nil"/>
            </w:tcBorders>
            <w:shd w:val="clear" w:color="auto" w:fill="auto"/>
            <w:noWrap/>
            <w:vAlign w:val="center"/>
            <w:hideMark/>
          </w:tcPr>
          <w:p w14:paraId="76C1859B"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257</w:t>
            </w:r>
          </w:p>
        </w:tc>
        <w:tc>
          <w:tcPr>
            <w:tcW w:w="860" w:type="dxa"/>
            <w:tcBorders>
              <w:top w:val="nil"/>
              <w:left w:val="nil"/>
              <w:bottom w:val="nil"/>
              <w:right w:val="nil"/>
            </w:tcBorders>
            <w:shd w:val="clear" w:color="auto" w:fill="auto"/>
            <w:noWrap/>
            <w:vAlign w:val="center"/>
            <w:hideMark/>
          </w:tcPr>
          <w:p w14:paraId="76C1859C"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257</w:t>
            </w:r>
          </w:p>
        </w:tc>
      </w:tr>
      <w:tr w:rsidR="00710E67" w:rsidRPr="00710E67" w14:paraId="76C185A4" w14:textId="77777777" w:rsidTr="00DF20CF">
        <w:trPr>
          <w:trHeight w:val="210"/>
        </w:trPr>
        <w:tc>
          <w:tcPr>
            <w:tcW w:w="2960" w:type="dxa"/>
            <w:tcBorders>
              <w:top w:val="nil"/>
              <w:left w:val="nil"/>
              <w:bottom w:val="nil"/>
              <w:right w:val="nil"/>
            </w:tcBorders>
            <w:shd w:val="clear" w:color="auto" w:fill="auto"/>
            <w:noWrap/>
            <w:vAlign w:val="center"/>
            <w:hideMark/>
          </w:tcPr>
          <w:p w14:paraId="76C1859E"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payables</w:t>
            </w:r>
          </w:p>
        </w:tc>
        <w:tc>
          <w:tcPr>
            <w:tcW w:w="928" w:type="dxa"/>
            <w:tcBorders>
              <w:top w:val="single" w:sz="4" w:space="0" w:color="auto"/>
              <w:left w:val="nil"/>
              <w:bottom w:val="single" w:sz="4" w:space="0" w:color="auto"/>
              <w:right w:val="nil"/>
            </w:tcBorders>
            <w:shd w:val="clear" w:color="auto" w:fill="auto"/>
            <w:noWrap/>
            <w:vAlign w:val="bottom"/>
            <w:hideMark/>
          </w:tcPr>
          <w:p w14:paraId="76C1859F" w14:textId="5EDAFAD4"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1,635</w:t>
            </w:r>
          </w:p>
        </w:tc>
        <w:tc>
          <w:tcPr>
            <w:tcW w:w="860" w:type="dxa"/>
            <w:tcBorders>
              <w:top w:val="single" w:sz="4" w:space="0" w:color="auto"/>
              <w:left w:val="nil"/>
              <w:bottom w:val="single" w:sz="4" w:space="0" w:color="auto"/>
              <w:right w:val="nil"/>
            </w:tcBorders>
            <w:shd w:val="clear" w:color="000000" w:fill="E6E6E6"/>
            <w:noWrap/>
            <w:vAlign w:val="center"/>
            <w:hideMark/>
          </w:tcPr>
          <w:p w14:paraId="76C185A0" w14:textId="2653DB3F"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1,582</w:t>
            </w:r>
          </w:p>
        </w:tc>
        <w:tc>
          <w:tcPr>
            <w:tcW w:w="860" w:type="dxa"/>
            <w:tcBorders>
              <w:top w:val="single" w:sz="4" w:space="0" w:color="auto"/>
              <w:left w:val="nil"/>
              <w:bottom w:val="single" w:sz="4" w:space="0" w:color="auto"/>
              <w:right w:val="nil"/>
            </w:tcBorders>
            <w:shd w:val="clear" w:color="auto" w:fill="auto"/>
            <w:noWrap/>
            <w:vAlign w:val="center"/>
            <w:hideMark/>
          </w:tcPr>
          <w:p w14:paraId="76C185A1" w14:textId="7952E738"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1,527</w:t>
            </w:r>
          </w:p>
        </w:tc>
        <w:tc>
          <w:tcPr>
            <w:tcW w:w="860" w:type="dxa"/>
            <w:tcBorders>
              <w:top w:val="single" w:sz="4" w:space="0" w:color="auto"/>
              <w:left w:val="nil"/>
              <w:bottom w:val="single" w:sz="4" w:space="0" w:color="auto"/>
              <w:right w:val="nil"/>
            </w:tcBorders>
            <w:shd w:val="clear" w:color="auto" w:fill="auto"/>
            <w:noWrap/>
            <w:vAlign w:val="center"/>
            <w:hideMark/>
          </w:tcPr>
          <w:p w14:paraId="76C185A2" w14:textId="49B425F3"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1,469</w:t>
            </w:r>
          </w:p>
        </w:tc>
        <w:tc>
          <w:tcPr>
            <w:tcW w:w="860" w:type="dxa"/>
            <w:tcBorders>
              <w:top w:val="single" w:sz="4" w:space="0" w:color="auto"/>
              <w:left w:val="nil"/>
              <w:bottom w:val="single" w:sz="4" w:space="0" w:color="auto"/>
              <w:right w:val="nil"/>
            </w:tcBorders>
            <w:shd w:val="clear" w:color="auto" w:fill="auto"/>
            <w:noWrap/>
            <w:vAlign w:val="center"/>
            <w:hideMark/>
          </w:tcPr>
          <w:p w14:paraId="76C185A3" w14:textId="5EDAC0DE"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1,407</w:t>
            </w:r>
          </w:p>
        </w:tc>
      </w:tr>
      <w:tr w:rsidR="00710E67" w:rsidRPr="00710E67" w14:paraId="76C185AB" w14:textId="77777777" w:rsidTr="00DF20CF">
        <w:trPr>
          <w:trHeight w:val="225"/>
        </w:trPr>
        <w:tc>
          <w:tcPr>
            <w:tcW w:w="2960" w:type="dxa"/>
            <w:tcBorders>
              <w:top w:val="nil"/>
              <w:left w:val="nil"/>
              <w:bottom w:val="nil"/>
              <w:right w:val="nil"/>
            </w:tcBorders>
            <w:shd w:val="clear" w:color="auto" w:fill="auto"/>
            <w:noWrap/>
            <w:vAlign w:val="center"/>
            <w:hideMark/>
          </w:tcPr>
          <w:p w14:paraId="76C185A5"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Provisions</w:t>
            </w:r>
          </w:p>
        </w:tc>
        <w:tc>
          <w:tcPr>
            <w:tcW w:w="928" w:type="dxa"/>
            <w:tcBorders>
              <w:top w:val="nil"/>
              <w:left w:val="nil"/>
              <w:bottom w:val="nil"/>
              <w:right w:val="nil"/>
            </w:tcBorders>
            <w:shd w:val="clear" w:color="auto" w:fill="auto"/>
            <w:noWrap/>
            <w:vAlign w:val="bottom"/>
            <w:hideMark/>
          </w:tcPr>
          <w:p w14:paraId="76C185A6" w14:textId="77777777" w:rsidR="00710E67" w:rsidRPr="00710E67" w:rsidRDefault="00710E67" w:rsidP="00193161">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85A7"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A8"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A9"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AA" w14:textId="77777777" w:rsidR="00710E67" w:rsidRPr="00710E67" w:rsidRDefault="00710E67" w:rsidP="00193161">
            <w:pPr>
              <w:spacing w:after="0" w:line="240" w:lineRule="auto"/>
              <w:jc w:val="right"/>
              <w:rPr>
                <w:rFonts w:ascii="Times New Roman" w:hAnsi="Times New Roman"/>
              </w:rPr>
            </w:pPr>
          </w:p>
        </w:tc>
      </w:tr>
      <w:tr w:rsidR="00710E67" w:rsidRPr="00710E67" w14:paraId="76C185B2" w14:textId="77777777" w:rsidTr="00DF20CF">
        <w:trPr>
          <w:trHeight w:val="225"/>
        </w:trPr>
        <w:tc>
          <w:tcPr>
            <w:tcW w:w="2960" w:type="dxa"/>
            <w:tcBorders>
              <w:top w:val="nil"/>
              <w:left w:val="nil"/>
              <w:bottom w:val="nil"/>
              <w:right w:val="nil"/>
            </w:tcBorders>
            <w:shd w:val="clear" w:color="auto" w:fill="auto"/>
            <w:noWrap/>
            <w:vAlign w:val="center"/>
            <w:hideMark/>
          </w:tcPr>
          <w:p w14:paraId="76C185AC"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Employee provisions</w:t>
            </w:r>
          </w:p>
        </w:tc>
        <w:tc>
          <w:tcPr>
            <w:tcW w:w="928" w:type="dxa"/>
            <w:tcBorders>
              <w:top w:val="nil"/>
              <w:left w:val="nil"/>
              <w:bottom w:val="nil"/>
              <w:right w:val="nil"/>
            </w:tcBorders>
            <w:shd w:val="clear" w:color="auto" w:fill="auto"/>
            <w:noWrap/>
            <w:vAlign w:val="bottom"/>
            <w:hideMark/>
          </w:tcPr>
          <w:p w14:paraId="76C185AD"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3,182</w:t>
            </w:r>
          </w:p>
        </w:tc>
        <w:tc>
          <w:tcPr>
            <w:tcW w:w="860" w:type="dxa"/>
            <w:tcBorders>
              <w:top w:val="nil"/>
              <w:left w:val="nil"/>
              <w:bottom w:val="nil"/>
              <w:right w:val="nil"/>
            </w:tcBorders>
            <w:shd w:val="clear" w:color="000000" w:fill="E6E6E6"/>
            <w:noWrap/>
            <w:vAlign w:val="center"/>
            <w:hideMark/>
          </w:tcPr>
          <w:p w14:paraId="76C185AE"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3,235</w:t>
            </w:r>
          </w:p>
        </w:tc>
        <w:tc>
          <w:tcPr>
            <w:tcW w:w="860" w:type="dxa"/>
            <w:tcBorders>
              <w:top w:val="nil"/>
              <w:left w:val="nil"/>
              <w:bottom w:val="nil"/>
              <w:right w:val="nil"/>
            </w:tcBorders>
            <w:shd w:val="clear" w:color="auto" w:fill="auto"/>
            <w:noWrap/>
            <w:vAlign w:val="center"/>
            <w:hideMark/>
          </w:tcPr>
          <w:p w14:paraId="76C185AF"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3,290</w:t>
            </w:r>
          </w:p>
        </w:tc>
        <w:tc>
          <w:tcPr>
            <w:tcW w:w="860" w:type="dxa"/>
            <w:tcBorders>
              <w:top w:val="nil"/>
              <w:left w:val="nil"/>
              <w:bottom w:val="nil"/>
              <w:right w:val="nil"/>
            </w:tcBorders>
            <w:shd w:val="clear" w:color="auto" w:fill="auto"/>
            <w:noWrap/>
            <w:vAlign w:val="center"/>
            <w:hideMark/>
          </w:tcPr>
          <w:p w14:paraId="76C185B0"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3,348</w:t>
            </w:r>
          </w:p>
        </w:tc>
        <w:tc>
          <w:tcPr>
            <w:tcW w:w="860" w:type="dxa"/>
            <w:tcBorders>
              <w:top w:val="nil"/>
              <w:left w:val="nil"/>
              <w:bottom w:val="nil"/>
              <w:right w:val="nil"/>
            </w:tcBorders>
            <w:shd w:val="clear" w:color="auto" w:fill="auto"/>
            <w:noWrap/>
            <w:vAlign w:val="center"/>
            <w:hideMark/>
          </w:tcPr>
          <w:p w14:paraId="76C185B1"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3,410</w:t>
            </w:r>
          </w:p>
        </w:tc>
      </w:tr>
      <w:tr w:rsidR="00710E67" w:rsidRPr="00710E67" w14:paraId="76C185B9" w14:textId="77777777" w:rsidTr="00DF20CF">
        <w:trPr>
          <w:trHeight w:val="210"/>
        </w:trPr>
        <w:tc>
          <w:tcPr>
            <w:tcW w:w="2960" w:type="dxa"/>
            <w:tcBorders>
              <w:top w:val="nil"/>
              <w:left w:val="nil"/>
              <w:bottom w:val="nil"/>
              <w:right w:val="nil"/>
            </w:tcBorders>
            <w:shd w:val="clear" w:color="auto" w:fill="auto"/>
            <w:noWrap/>
            <w:vAlign w:val="center"/>
            <w:hideMark/>
          </w:tcPr>
          <w:p w14:paraId="76C185B3"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provisions</w:t>
            </w:r>
          </w:p>
        </w:tc>
        <w:tc>
          <w:tcPr>
            <w:tcW w:w="928" w:type="dxa"/>
            <w:tcBorders>
              <w:top w:val="single" w:sz="4" w:space="0" w:color="auto"/>
              <w:left w:val="nil"/>
              <w:bottom w:val="single" w:sz="4" w:space="0" w:color="auto"/>
              <w:right w:val="nil"/>
            </w:tcBorders>
            <w:shd w:val="clear" w:color="auto" w:fill="auto"/>
            <w:noWrap/>
            <w:vAlign w:val="bottom"/>
            <w:hideMark/>
          </w:tcPr>
          <w:p w14:paraId="76C185B4" w14:textId="42104A26"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3,182</w:t>
            </w:r>
          </w:p>
        </w:tc>
        <w:tc>
          <w:tcPr>
            <w:tcW w:w="860" w:type="dxa"/>
            <w:tcBorders>
              <w:top w:val="single" w:sz="4" w:space="0" w:color="auto"/>
              <w:left w:val="nil"/>
              <w:bottom w:val="single" w:sz="4" w:space="0" w:color="auto"/>
              <w:right w:val="nil"/>
            </w:tcBorders>
            <w:shd w:val="clear" w:color="000000" w:fill="E6E6E6"/>
            <w:noWrap/>
            <w:vAlign w:val="center"/>
            <w:hideMark/>
          </w:tcPr>
          <w:p w14:paraId="76C185B5" w14:textId="299C222D"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r w:rsidR="00193161">
              <w:rPr>
                <w:rFonts w:ascii="Arial" w:hAnsi="Arial" w:cs="Arial"/>
                <w:b/>
                <w:bCs/>
                <w:i/>
                <w:iCs/>
                <w:color w:val="000000"/>
                <w:sz w:val="16"/>
                <w:szCs w:val="16"/>
              </w:rPr>
              <w:t xml:space="preserve">   3,235</w:t>
            </w:r>
          </w:p>
        </w:tc>
        <w:tc>
          <w:tcPr>
            <w:tcW w:w="860" w:type="dxa"/>
            <w:tcBorders>
              <w:top w:val="single" w:sz="4" w:space="0" w:color="auto"/>
              <w:left w:val="nil"/>
              <w:bottom w:val="single" w:sz="4" w:space="0" w:color="auto"/>
              <w:right w:val="nil"/>
            </w:tcBorders>
            <w:shd w:val="clear" w:color="auto" w:fill="auto"/>
            <w:noWrap/>
            <w:vAlign w:val="center"/>
            <w:hideMark/>
          </w:tcPr>
          <w:p w14:paraId="76C185B6" w14:textId="1C54BBC7"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3,290</w:t>
            </w:r>
          </w:p>
        </w:tc>
        <w:tc>
          <w:tcPr>
            <w:tcW w:w="860" w:type="dxa"/>
            <w:tcBorders>
              <w:top w:val="single" w:sz="4" w:space="0" w:color="auto"/>
              <w:left w:val="nil"/>
              <w:bottom w:val="single" w:sz="4" w:space="0" w:color="auto"/>
              <w:right w:val="nil"/>
            </w:tcBorders>
            <w:shd w:val="clear" w:color="auto" w:fill="auto"/>
            <w:noWrap/>
            <w:vAlign w:val="center"/>
            <w:hideMark/>
          </w:tcPr>
          <w:p w14:paraId="76C185B7" w14:textId="12700AD5"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3,348</w:t>
            </w:r>
          </w:p>
        </w:tc>
        <w:tc>
          <w:tcPr>
            <w:tcW w:w="860" w:type="dxa"/>
            <w:tcBorders>
              <w:top w:val="single" w:sz="4" w:space="0" w:color="auto"/>
              <w:left w:val="nil"/>
              <w:bottom w:val="single" w:sz="4" w:space="0" w:color="auto"/>
              <w:right w:val="nil"/>
            </w:tcBorders>
            <w:shd w:val="clear" w:color="auto" w:fill="auto"/>
            <w:noWrap/>
            <w:vAlign w:val="center"/>
            <w:hideMark/>
          </w:tcPr>
          <w:p w14:paraId="76C185B8" w14:textId="2515ACA6"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3,410</w:t>
            </w:r>
          </w:p>
        </w:tc>
      </w:tr>
      <w:tr w:rsidR="00710E67" w:rsidRPr="00710E67" w14:paraId="76C185C0" w14:textId="77777777" w:rsidTr="00DF20CF">
        <w:trPr>
          <w:trHeight w:val="225"/>
        </w:trPr>
        <w:tc>
          <w:tcPr>
            <w:tcW w:w="2960" w:type="dxa"/>
            <w:tcBorders>
              <w:top w:val="nil"/>
              <w:left w:val="nil"/>
              <w:bottom w:val="nil"/>
              <w:right w:val="nil"/>
            </w:tcBorders>
            <w:shd w:val="clear" w:color="auto" w:fill="auto"/>
            <w:noWrap/>
            <w:vAlign w:val="center"/>
            <w:hideMark/>
          </w:tcPr>
          <w:p w14:paraId="76C185BA"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Total liabilities</w:t>
            </w:r>
          </w:p>
        </w:tc>
        <w:tc>
          <w:tcPr>
            <w:tcW w:w="928" w:type="dxa"/>
            <w:tcBorders>
              <w:top w:val="nil"/>
              <w:left w:val="nil"/>
              <w:bottom w:val="single" w:sz="4" w:space="0" w:color="auto"/>
              <w:right w:val="nil"/>
            </w:tcBorders>
            <w:shd w:val="clear" w:color="auto" w:fill="auto"/>
            <w:noWrap/>
            <w:vAlign w:val="bottom"/>
            <w:hideMark/>
          </w:tcPr>
          <w:p w14:paraId="76C185BB" w14:textId="628E5FB3"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4,817</w:t>
            </w:r>
          </w:p>
        </w:tc>
        <w:tc>
          <w:tcPr>
            <w:tcW w:w="860" w:type="dxa"/>
            <w:tcBorders>
              <w:top w:val="nil"/>
              <w:left w:val="nil"/>
              <w:bottom w:val="single" w:sz="4" w:space="0" w:color="auto"/>
              <w:right w:val="nil"/>
            </w:tcBorders>
            <w:shd w:val="clear" w:color="000000" w:fill="E6E6E6"/>
            <w:noWrap/>
            <w:vAlign w:val="center"/>
            <w:hideMark/>
          </w:tcPr>
          <w:p w14:paraId="76C185BC" w14:textId="68C87BC7"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4,817</w:t>
            </w:r>
          </w:p>
        </w:tc>
        <w:tc>
          <w:tcPr>
            <w:tcW w:w="860" w:type="dxa"/>
            <w:tcBorders>
              <w:top w:val="nil"/>
              <w:left w:val="nil"/>
              <w:bottom w:val="single" w:sz="4" w:space="0" w:color="auto"/>
              <w:right w:val="nil"/>
            </w:tcBorders>
            <w:shd w:val="clear" w:color="auto" w:fill="auto"/>
            <w:noWrap/>
            <w:vAlign w:val="center"/>
            <w:hideMark/>
          </w:tcPr>
          <w:p w14:paraId="76C185BD" w14:textId="3AAC5D1A"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4,817</w:t>
            </w:r>
          </w:p>
        </w:tc>
        <w:tc>
          <w:tcPr>
            <w:tcW w:w="860" w:type="dxa"/>
            <w:tcBorders>
              <w:top w:val="nil"/>
              <w:left w:val="nil"/>
              <w:bottom w:val="single" w:sz="4" w:space="0" w:color="auto"/>
              <w:right w:val="nil"/>
            </w:tcBorders>
            <w:shd w:val="clear" w:color="auto" w:fill="auto"/>
            <w:noWrap/>
            <w:vAlign w:val="center"/>
            <w:hideMark/>
          </w:tcPr>
          <w:p w14:paraId="76C185BE" w14:textId="50253712"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4,817</w:t>
            </w:r>
          </w:p>
        </w:tc>
        <w:tc>
          <w:tcPr>
            <w:tcW w:w="860" w:type="dxa"/>
            <w:tcBorders>
              <w:top w:val="nil"/>
              <w:left w:val="nil"/>
              <w:bottom w:val="single" w:sz="4" w:space="0" w:color="auto"/>
              <w:right w:val="nil"/>
            </w:tcBorders>
            <w:shd w:val="clear" w:color="auto" w:fill="auto"/>
            <w:noWrap/>
            <w:vAlign w:val="center"/>
            <w:hideMark/>
          </w:tcPr>
          <w:p w14:paraId="76C185BF" w14:textId="6A440197"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4,817</w:t>
            </w:r>
          </w:p>
        </w:tc>
      </w:tr>
      <w:tr w:rsidR="00710E67" w:rsidRPr="00710E67" w14:paraId="76C185C7" w14:textId="77777777" w:rsidTr="00DF20CF">
        <w:trPr>
          <w:trHeight w:val="225"/>
        </w:trPr>
        <w:tc>
          <w:tcPr>
            <w:tcW w:w="2960" w:type="dxa"/>
            <w:tcBorders>
              <w:top w:val="nil"/>
              <w:left w:val="nil"/>
              <w:bottom w:val="nil"/>
              <w:right w:val="nil"/>
            </w:tcBorders>
            <w:shd w:val="clear" w:color="auto" w:fill="auto"/>
            <w:noWrap/>
            <w:vAlign w:val="center"/>
            <w:hideMark/>
          </w:tcPr>
          <w:p w14:paraId="76C185C1" w14:textId="77777777" w:rsidR="00710E67" w:rsidRPr="00710E67" w:rsidRDefault="00710E67" w:rsidP="00710E67">
            <w:pPr>
              <w:spacing w:after="0" w:line="240" w:lineRule="auto"/>
              <w:jc w:val="left"/>
              <w:rPr>
                <w:rFonts w:ascii="Arial" w:hAnsi="Arial" w:cs="Arial"/>
                <w:b/>
                <w:bCs/>
                <w:sz w:val="16"/>
                <w:szCs w:val="16"/>
              </w:rPr>
            </w:pPr>
            <w:r w:rsidRPr="00710E67">
              <w:rPr>
                <w:rFonts w:ascii="Arial" w:hAnsi="Arial" w:cs="Arial"/>
                <w:b/>
                <w:bCs/>
                <w:sz w:val="16"/>
                <w:szCs w:val="16"/>
              </w:rPr>
              <w:t>Net assets</w:t>
            </w:r>
          </w:p>
        </w:tc>
        <w:tc>
          <w:tcPr>
            <w:tcW w:w="928" w:type="dxa"/>
            <w:tcBorders>
              <w:top w:val="nil"/>
              <w:left w:val="nil"/>
              <w:bottom w:val="single" w:sz="4" w:space="0" w:color="auto"/>
              <w:right w:val="nil"/>
            </w:tcBorders>
            <w:shd w:val="clear" w:color="auto" w:fill="auto"/>
            <w:noWrap/>
            <w:vAlign w:val="bottom"/>
            <w:hideMark/>
          </w:tcPr>
          <w:p w14:paraId="76C185C2" w14:textId="610B6905"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11,953</w:t>
            </w:r>
          </w:p>
        </w:tc>
        <w:tc>
          <w:tcPr>
            <w:tcW w:w="860" w:type="dxa"/>
            <w:tcBorders>
              <w:top w:val="nil"/>
              <w:left w:val="nil"/>
              <w:bottom w:val="single" w:sz="4" w:space="0" w:color="auto"/>
              <w:right w:val="nil"/>
            </w:tcBorders>
            <w:shd w:val="clear" w:color="000000" w:fill="E6E6E6"/>
            <w:noWrap/>
            <w:vAlign w:val="center"/>
            <w:hideMark/>
          </w:tcPr>
          <w:p w14:paraId="76C185C3" w14:textId="606ED313"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11,422</w:t>
            </w:r>
          </w:p>
        </w:tc>
        <w:tc>
          <w:tcPr>
            <w:tcW w:w="860" w:type="dxa"/>
            <w:tcBorders>
              <w:top w:val="nil"/>
              <w:left w:val="nil"/>
              <w:bottom w:val="single" w:sz="4" w:space="0" w:color="auto"/>
              <w:right w:val="nil"/>
            </w:tcBorders>
            <w:shd w:val="clear" w:color="auto" w:fill="auto"/>
            <w:noWrap/>
            <w:vAlign w:val="center"/>
            <w:hideMark/>
          </w:tcPr>
          <w:p w14:paraId="76C185C4" w14:textId="37479ACA"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11,041</w:t>
            </w:r>
          </w:p>
        </w:tc>
        <w:tc>
          <w:tcPr>
            <w:tcW w:w="860" w:type="dxa"/>
            <w:tcBorders>
              <w:top w:val="nil"/>
              <w:left w:val="nil"/>
              <w:bottom w:val="single" w:sz="4" w:space="0" w:color="auto"/>
              <w:right w:val="nil"/>
            </w:tcBorders>
            <w:shd w:val="clear" w:color="auto" w:fill="auto"/>
            <w:noWrap/>
            <w:vAlign w:val="center"/>
            <w:hideMark/>
          </w:tcPr>
          <w:p w14:paraId="76C185C5" w14:textId="527CB7D3"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10,657</w:t>
            </w:r>
          </w:p>
        </w:tc>
        <w:tc>
          <w:tcPr>
            <w:tcW w:w="860" w:type="dxa"/>
            <w:tcBorders>
              <w:top w:val="nil"/>
              <w:left w:val="nil"/>
              <w:bottom w:val="single" w:sz="4" w:space="0" w:color="auto"/>
              <w:right w:val="nil"/>
            </w:tcBorders>
            <w:shd w:val="clear" w:color="auto" w:fill="auto"/>
            <w:noWrap/>
            <w:vAlign w:val="center"/>
            <w:hideMark/>
          </w:tcPr>
          <w:p w14:paraId="76C185C6" w14:textId="3809F0B2"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10,278</w:t>
            </w:r>
          </w:p>
        </w:tc>
      </w:tr>
      <w:tr w:rsidR="00710E67" w:rsidRPr="00710E67" w14:paraId="76C185CE" w14:textId="77777777" w:rsidTr="00DF20CF">
        <w:trPr>
          <w:trHeight w:val="225"/>
        </w:trPr>
        <w:tc>
          <w:tcPr>
            <w:tcW w:w="2960" w:type="dxa"/>
            <w:tcBorders>
              <w:top w:val="nil"/>
              <w:left w:val="nil"/>
              <w:bottom w:val="nil"/>
              <w:right w:val="nil"/>
            </w:tcBorders>
            <w:shd w:val="clear" w:color="auto" w:fill="auto"/>
            <w:noWrap/>
            <w:vAlign w:val="center"/>
            <w:hideMark/>
          </w:tcPr>
          <w:p w14:paraId="76C185C8"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EQUITY*</w:t>
            </w:r>
          </w:p>
        </w:tc>
        <w:tc>
          <w:tcPr>
            <w:tcW w:w="928" w:type="dxa"/>
            <w:tcBorders>
              <w:top w:val="nil"/>
              <w:left w:val="nil"/>
              <w:bottom w:val="nil"/>
              <w:right w:val="nil"/>
            </w:tcBorders>
            <w:shd w:val="clear" w:color="auto" w:fill="auto"/>
            <w:noWrap/>
            <w:vAlign w:val="bottom"/>
            <w:hideMark/>
          </w:tcPr>
          <w:p w14:paraId="76C185C9" w14:textId="77777777" w:rsidR="00710E67" w:rsidRPr="00710E67" w:rsidRDefault="00710E67" w:rsidP="00193161">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85CA"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CB"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CC"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CD" w14:textId="77777777" w:rsidR="00710E67" w:rsidRPr="00710E67" w:rsidRDefault="00710E67" w:rsidP="00193161">
            <w:pPr>
              <w:spacing w:after="0" w:line="240" w:lineRule="auto"/>
              <w:jc w:val="right"/>
              <w:rPr>
                <w:rFonts w:ascii="Times New Roman" w:hAnsi="Times New Roman"/>
              </w:rPr>
            </w:pPr>
          </w:p>
        </w:tc>
      </w:tr>
      <w:tr w:rsidR="00710E67" w:rsidRPr="00710E67" w14:paraId="76C185D5" w14:textId="77777777" w:rsidTr="00DF20CF">
        <w:trPr>
          <w:trHeight w:val="225"/>
        </w:trPr>
        <w:tc>
          <w:tcPr>
            <w:tcW w:w="2960" w:type="dxa"/>
            <w:tcBorders>
              <w:top w:val="nil"/>
              <w:left w:val="nil"/>
              <w:bottom w:val="nil"/>
              <w:right w:val="nil"/>
            </w:tcBorders>
            <w:shd w:val="clear" w:color="auto" w:fill="auto"/>
            <w:noWrap/>
            <w:vAlign w:val="center"/>
            <w:hideMark/>
          </w:tcPr>
          <w:p w14:paraId="76C185CF"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Parent entity interest</w:t>
            </w:r>
          </w:p>
        </w:tc>
        <w:tc>
          <w:tcPr>
            <w:tcW w:w="928" w:type="dxa"/>
            <w:tcBorders>
              <w:top w:val="nil"/>
              <w:left w:val="nil"/>
              <w:bottom w:val="nil"/>
              <w:right w:val="nil"/>
            </w:tcBorders>
            <w:shd w:val="clear" w:color="auto" w:fill="auto"/>
            <w:noWrap/>
            <w:vAlign w:val="bottom"/>
            <w:hideMark/>
          </w:tcPr>
          <w:p w14:paraId="76C185D0" w14:textId="77777777" w:rsidR="00710E67" w:rsidRPr="00710E67" w:rsidRDefault="00710E67" w:rsidP="00193161">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76C185D1" w14:textId="7777777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76C185D2" w14:textId="77777777" w:rsidR="00710E67" w:rsidRPr="00710E67" w:rsidRDefault="00710E67" w:rsidP="00193161">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76C185D3" w14:textId="77777777" w:rsidR="00710E67" w:rsidRPr="00710E67" w:rsidRDefault="00710E67" w:rsidP="00193161">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5D4" w14:textId="77777777" w:rsidR="00710E67" w:rsidRPr="00710E67" w:rsidRDefault="00710E67" w:rsidP="00193161">
            <w:pPr>
              <w:spacing w:after="0" w:line="240" w:lineRule="auto"/>
              <w:jc w:val="right"/>
              <w:rPr>
                <w:rFonts w:ascii="Times New Roman" w:hAnsi="Times New Roman"/>
              </w:rPr>
            </w:pPr>
          </w:p>
        </w:tc>
      </w:tr>
      <w:tr w:rsidR="00710E67" w:rsidRPr="00710E67" w14:paraId="76C185DC" w14:textId="77777777" w:rsidTr="00DF20CF">
        <w:trPr>
          <w:trHeight w:val="225"/>
        </w:trPr>
        <w:tc>
          <w:tcPr>
            <w:tcW w:w="2960" w:type="dxa"/>
            <w:tcBorders>
              <w:top w:val="nil"/>
              <w:left w:val="nil"/>
              <w:bottom w:val="nil"/>
              <w:right w:val="nil"/>
            </w:tcBorders>
            <w:shd w:val="clear" w:color="auto" w:fill="auto"/>
            <w:noWrap/>
            <w:vAlign w:val="center"/>
            <w:hideMark/>
          </w:tcPr>
          <w:p w14:paraId="76C185D6"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Contributed equity</w:t>
            </w:r>
          </w:p>
        </w:tc>
        <w:tc>
          <w:tcPr>
            <w:tcW w:w="928" w:type="dxa"/>
            <w:tcBorders>
              <w:top w:val="nil"/>
              <w:left w:val="nil"/>
              <w:bottom w:val="nil"/>
              <w:right w:val="nil"/>
            </w:tcBorders>
            <w:shd w:val="clear" w:color="auto" w:fill="auto"/>
            <w:noWrap/>
            <w:vAlign w:val="bottom"/>
            <w:hideMark/>
          </w:tcPr>
          <w:p w14:paraId="76C185D7" w14:textId="2C745767"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5,209</w:t>
            </w:r>
          </w:p>
        </w:tc>
        <w:tc>
          <w:tcPr>
            <w:tcW w:w="860" w:type="dxa"/>
            <w:tcBorders>
              <w:top w:val="nil"/>
              <w:left w:val="nil"/>
              <w:bottom w:val="nil"/>
              <w:right w:val="nil"/>
            </w:tcBorders>
            <w:shd w:val="clear" w:color="000000" w:fill="E6E6E6"/>
            <w:noWrap/>
            <w:vAlign w:val="center"/>
            <w:hideMark/>
          </w:tcPr>
          <w:p w14:paraId="76C185D8" w14:textId="7CBAC83D"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5,308</w:t>
            </w:r>
          </w:p>
        </w:tc>
        <w:tc>
          <w:tcPr>
            <w:tcW w:w="860" w:type="dxa"/>
            <w:tcBorders>
              <w:top w:val="nil"/>
              <w:left w:val="nil"/>
              <w:bottom w:val="nil"/>
              <w:right w:val="nil"/>
            </w:tcBorders>
            <w:shd w:val="clear" w:color="auto" w:fill="auto"/>
            <w:noWrap/>
            <w:vAlign w:val="center"/>
            <w:hideMark/>
          </w:tcPr>
          <w:p w14:paraId="76C185D9" w14:textId="56E5258F"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5,562</w:t>
            </w:r>
          </w:p>
        </w:tc>
        <w:tc>
          <w:tcPr>
            <w:tcW w:w="860" w:type="dxa"/>
            <w:tcBorders>
              <w:top w:val="nil"/>
              <w:left w:val="nil"/>
              <w:bottom w:val="nil"/>
              <w:right w:val="nil"/>
            </w:tcBorders>
            <w:shd w:val="clear" w:color="auto" w:fill="auto"/>
            <w:noWrap/>
            <w:vAlign w:val="center"/>
            <w:hideMark/>
          </w:tcPr>
          <w:p w14:paraId="76C185DA" w14:textId="4F235FE9"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5,821</w:t>
            </w:r>
          </w:p>
        </w:tc>
        <w:tc>
          <w:tcPr>
            <w:tcW w:w="860" w:type="dxa"/>
            <w:tcBorders>
              <w:top w:val="nil"/>
              <w:left w:val="nil"/>
              <w:bottom w:val="nil"/>
              <w:right w:val="nil"/>
            </w:tcBorders>
            <w:shd w:val="clear" w:color="auto" w:fill="auto"/>
            <w:noWrap/>
            <w:vAlign w:val="center"/>
            <w:hideMark/>
          </w:tcPr>
          <w:p w14:paraId="76C185DB" w14:textId="6F60772A"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6,086</w:t>
            </w:r>
          </w:p>
        </w:tc>
      </w:tr>
      <w:tr w:rsidR="00710E67" w:rsidRPr="00710E67" w14:paraId="76C185E3" w14:textId="77777777" w:rsidTr="00DF20CF">
        <w:trPr>
          <w:trHeight w:val="225"/>
        </w:trPr>
        <w:tc>
          <w:tcPr>
            <w:tcW w:w="2960" w:type="dxa"/>
            <w:tcBorders>
              <w:top w:val="nil"/>
              <w:left w:val="nil"/>
              <w:bottom w:val="nil"/>
              <w:right w:val="nil"/>
            </w:tcBorders>
            <w:shd w:val="clear" w:color="auto" w:fill="auto"/>
            <w:noWrap/>
            <w:vAlign w:val="center"/>
            <w:hideMark/>
          </w:tcPr>
          <w:p w14:paraId="76C185DD"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Reserves</w:t>
            </w:r>
          </w:p>
        </w:tc>
        <w:tc>
          <w:tcPr>
            <w:tcW w:w="928" w:type="dxa"/>
            <w:tcBorders>
              <w:top w:val="nil"/>
              <w:left w:val="nil"/>
              <w:bottom w:val="nil"/>
              <w:right w:val="nil"/>
            </w:tcBorders>
            <w:shd w:val="clear" w:color="auto" w:fill="auto"/>
            <w:noWrap/>
            <w:vAlign w:val="bottom"/>
            <w:hideMark/>
          </w:tcPr>
          <w:p w14:paraId="76C185DE" w14:textId="1501E7BD"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776</w:t>
            </w:r>
          </w:p>
        </w:tc>
        <w:tc>
          <w:tcPr>
            <w:tcW w:w="860" w:type="dxa"/>
            <w:tcBorders>
              <w:top w:val="nil"/>
              <w:left w:val="nil"/>
              <w:bottom w:val="nil"/>
              <w:right w:val="nil"/>
            </w:tcBorders>
            <w:shd w:val="clear" w:color="000000" w:fill="E6E6E6"/>
            <w:noWrap/>
            <w:vAlign w:val="center"/>
            <w:hideMark/>
          </w:tcPr>
          <w:p w14:paraId="76C185DF" w14:textId="71E6261B"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776</w:t>
            </w:r>
          </w:p>
        </w:tc>
        <w:tc>
          <w:tcPr>
            <w:tcW w:w="860" w:type="dxa"/>
            <w:tcBorders>
              <w:top w:val="nil"/>
              <w:left w:val="nil"/>
              <w:bottom w:val="nil"/>
              <w:right w:val="nil"/>
            </w:tcBorders>
            <w:shd w:val="clear" w:color="auto" w:fill="auto"/>
            <w:noWrap/>
            <w:vAlign w:val="center"/>
            <w:hideMark/>
          </w:tcPr>
          <w:p w14:paraId="76C185E0" w14:textId="123B3D2F"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776</w:t>
            </w:r>
          </w:p>
        </w:tc>
        <w:tc>
          <w:tcPr>
            <w:tcW w:w="860" w:type="dxa"/>
            <w:tcBorders>
              <w:top w:val="nil"/>
              <w:left w:val="nil"/>
              <w:bottom w:val="nil"/>
              <w:right w:val="nil"/>
            </w:tcBorders>
            <w:shd w:val="clear" w:color="auto" w:fill="auto"/>
            <w:noWrap/>
            <w:vAlign w:val="center"/>
            <w:hideMark/>
          </w:tcPr>
          <w:p w14:paraId="76C185E1" w14:textId="00626379"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776</w:t>
            </w:r>
          </w:p>
        </w:tc>
        <w:tc>
          <w:tcPr>
            <w:tcW w:w="860" w:type="dxa"/>
            <w:tcBorders>
              <w:top w:val="nil"/>
              <w:left w:val="nil"/>
              <w:bottom w:val="nil"/>
              <w:right w:val="nil"/>
            </w:tcBorders>
            <w:shd w:val="clear" w:color="auto" w:fill="auto"/>
            <w:noWrap/>
            <w:vAlign w:val="center"/>
            <w:hideMark/>
          </w:tcPr>
          <w:p w14:paraId="76C185E2" w14:textId="0A13CD29"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776</w:t>
            </w:r>
          </w:p>
        </w:tc>
      </w:tr>
      <w:tr w:rsidR="00710E67" w:rsidRPr="00710E67" w14:paraId="76C185EA" w14:textId="77777777" w:rsidTr="00DF20CF">
        <w:trPr>
          <w:trHeight w:val="225"/>
        </w:trPr>
        <w:tc>
          <w:tcPr>
            <w:tcW w:w="2960" w:type="dxa"/>
            <w:tcBorders>
              <w:top w:val="nil"/>
              <w:left w:val="nil"/>
              <w:bottom w:val="nil"/>
              <w:right w:val="nil"/>
            </w:tcBorders>
            <w:shd w:val="clear" w:color="auto" w:fill="auto"/>
            <w:vAlign w:val="center"/>
            <w:hideMark/>
          </w:tcPr>
          <w:p w14:paraId="76C185E4"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r w:rsidRPr="00710E67">
              <w:rPr>
                <w:rFonts w:ascii="Arial" w:hAnsi="Arial" w:cs="Arial"/>
                <w:color w:val="000000"/>
                <w:sz w:val="16"/>
                <w:szCs w:val="16"/>
              </w:rPr>
              <w:t xml:space="preserve">Retained surplus </w:t>
            </w:r>
          </w:p>
        </w:tc>
        <w:tc>
          <w:tcPr>
            <w:tcW w:w="928" w:type="dxa"/>
            <w:tcBorders>
              <w:top w:val="nil"/>
              <w:left w:val="nil"/>
              <w:bottom w:val="nil"/>
              <w:right w:val="nil"/>
            </w:tcBorders>
            <w:shd w:val="clear" w:color="auto" w:fill="auto"/>
            <w:noWrap/>
            <w:vAlign w:val="bottom"/>
            <w:hideMark/>
          </w:tcPr>
          <w:p w14:paraId="76C185E5" w14:textId="353AFAB8"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5,968</w:t>
            </w:r>
          </w:p>
        </w:tc>
        <w:tc>
          <w:tcPr>
            <w:tcW w:w="860" w:type="dxa"/>
            <w:tcBorders>
              <w:top w:val="nil"/>
              <w:left w:val="nil"/>
              <w:bottom w:val="nil"/>
              <w:right w:val="nil"/>
            </w:tcBorders>
            <w:shd w:val="clear" w:color="000000" w:fill="E6E6E6"/>
            <w:noWrap/>
            <w:vAlign w:val="center"/>
            <w:hideMark/>
          </w:tcPr>
          <w:p w14:paraId="76C185E6" w14:textId="199CE7AB"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5,338</w:t>
            </w:r>
          </w:p>
        </w:tc>
        <w:tc>
          <w:tcPr>
            <w:tcW w:w="860" w:type="dxa"/>
            <w:tcBorders>
              <w:top w:val="nil"/>
              <w:left w:val="nil"/>
              <w:bottom w:val="nil"/>
              <w:right w:val="nil"/>
            </w:tcBorders>
            <w:shd w:val="clear" w:color="auto" w:fill="auto"/>
            <w:noWrap/>
            <w:vAlign w:val="center"/>
            <w:hideMark/>
          </w:tcPr>
          <w:p w14:paraId="76C185E7" w14:textId="66FF1B80"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4,703</w:t>
            </w:r>
          </w:p>
        </w:tc>
        <w:tc>
          <w:tcPr>
            <w:tcW w:w="860" w:type="dxa"/>
            <w:tcBorders>
              <w:top w:val="nil"/>
              <w:left w:val="nil"/>
              <w:bottom w:val="nil"/>
              <w:right w:val="nil"/>
            </w:tcBorders>
            <w:shd w:val="clear" w:color="auto" w:fill="auto"/>
            <w:noWrap/>
            <w:vAlign w:val="center"/>
            <w:hideMark/>
          </w:tcPr>
          <w:p w14:paraId="76C185E8" w14:textId="6F22ABC3"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4,060</w:t>
            </w:r>
          </w:p>
        </w:tc>
        <w:tc>
          <w:tcPr>
            <w:tcW w:w="860" w:type="dxa"/>
            <w:tcBorders>
              <w:top w:val="nil"/>
              <w:left w:val="nil"/>
              <w:bottom w:val="nil"/>
              <w:right w:val="nil"/>
            </w:tcBorders>
            <w:shd w:val="clear" w:color="auto" w:fill="auto"/>
            <w:noWrap/>
            <w:vAlign w:val="center"/>
            <w:hideMark/>
          </w:tcPr>
          <w:p w14:paraId="76C185E9" w14:textId="6C28AFD6" w:rsidR="00710E67" w:rsidRPr="00710E67" w:rsidRDefault="00710E67" w:rsidP="00193161">
            <w:pPr>
              <w:spacing w:after="0" w:line="240" w:lineRule="auto"/>
              <w:jc w:val="right"/>
              <w:rPr>
                <w:rFonts w:ascii="Arial" w:hAnsi="Arial" w:cs="Arial"/>
                <w:color w:val="000000"/>
                <w:sz w:val="16"/>
                <w:szCs w:val="16"/>
              </w:rPr>
            </w:pPr>
            <w:r w:rsidRPr="00710E67">
              <w:rPr>
                <w:rFonts w:ascii="Arial" w:hAnsi="Arial" w:cs="Arial"/>
                <w:color w:val="000000"/>
                <w:sz w:val="16"/>
                <w:szCs w:val="16"/>
              </w:rPr>
              <w:t>3,416</w:t>
            </w:r>
          </w:p>
        </w:tc>
      </w:tr>
      <w:tr w:rsidR="00710E67" w:rsidRPr="00710E67" w14:paraId="76C185F1" w14:textId="77777777" w:rsidTr="00DF20CF">
        <w:trPr>
          <w:trHeight w:val="225"/>
        </w:trPr>
        <w:tc>
          <w:tcPr>
            <w:tcW w:w="2960" w:type="dxa"/>
            <w:tcBorders>
              <w:top w:val="nil"/>
              <w:left w:val="nil"/>
              <w:bottom w:val="nil"/>
              <w:right w:val="nil"/>
            </w:tcBorders>
            <w:shd w:val="clear" w:color="auto" w:fill="auto"/>
            <w:noWrap/>
            <w:vAlign w:val="center"/>
            <w:hideMark/>
          </w:tcPr>
          <w:p w14:paraId="76C185EB"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parent entity interest</w:t>
            </w:r>
          </w:p>
        </w:tc>
        <w:tc>
          <w:tcPr>
            <w:tcW w:w="928" w:type="dxa"/>
            <w:tcBorders>
              <w:top w:val="single" w:sz="4" w:space="0" w:color="auto"/>
              <w:left w:val="nil"/>
              <w:bottom w:val="single" w:sz="4" w:space="0" w:color="auto"/>
              <w:right w:val="nil"/>
            </w:tcBorders>
            <w:shd w:val="clear" w:color="auto" w:fill="auto"/>
            <w:noWrap/>
            <w:vAlign w:val="bottom"/>
            <w:hideMark/>
          </w:tcPr>
          <w:p w14:paraId="76C185EC" w14:textId="60F03687"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11,953</w:t>
            </w:r>
          </w:p>
        </w:tc>
        <w:tc>
          <w:tcPr>
            <w:tcW w:w="860" w:type="dxa"/>
            <w:tcBorders>
              <w:top w:val="single" w:sz="4" w:space="0" w:color="auto"/>
              <w:left w:val="nil"/>
              <w:bottom w:val="single" w:sz="4" w:space="0" w:color="auto"/>
              <w:right w:val="nil"/>
            </w:tcBorders>
            <w:shd w:val="clear" w:color="000000" w:fill="E6E6E6"/>
            <w:noWrap/>
            <w:vAlign w:val="center"/>
            <w:hideMark/>
          </w:tcPr>
          <w:p w14:paraId="76C185ED" w14:textId="0D11E468"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11,422</w:t>
            </w:r>
          </w:p>
        </w:tc>
        <w:tc>
          <w:tcPr>
            <w:tcW w:w="860" w:type="dxa"/>
            <w:tcBorders>
              <w:top w:val="single" w:sz="4" w:space="0" w:color="auto"/>
              <w:left w:val="nil"/>
              <w:bottom w:val="single" w:sz="4" w:space="0" w:color="auto"/>
              <w:right w:val="nil"/>
            </w:tcBorders>
            <w:shd w:val="clear" w:color="auto" w:fill="auto"/>
            <w:noWrap/>
            <w:vAlign w:val="center"/>
            <w:hideMark/>
          </w:tcPr>
          <w:p w14:paraId="76C185EE" w14:textId="32F19767"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11,041</w:t>
            </w:r>
          </w:p>
        </w:tc>
        <w:tc>
          <w:tcPr>
            <w:tcW w:w="860" w:type="dxa"/>
            <w:tcBorders>
              <w:top w:val="single" w:sz="4" w:space="0" w:color="auto"/>
              <w:left w:val="nil"/>
              <w:bottom w:val="single" w:sz="4" w:space="0" w:color="auto"/>
              <w:right w:val="nil"/>
            </w:tcBorders>
            <w:shd w:val="clear" w:color="auto" w:fill="auto"/>
            <w:noWrap/>
            <w:vAlign w:val="center"/>
            <w:hideMark/>
          </w:tcPr>
          <w:p w14:paraId="76C185EF" w14:textId="3B4F2D3C"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10,657</w:t>
            </w:r>
          </w:p>
        </w:tc>
        <w:tc>
          <w:tcPr>
            <w:tcW w:w="860" w:type="dxa"/>
            <w:tcBorders>
              <w:top w:val="single" w:sz="4" w:space="0" w:color="auto"/>
              <w:left w:val="nil"/>
              <w:bottom w:val="single" w:sz="4" w:space="0" w:color="auto"/>
              <w:right w:val="nil"/>
            </w:tcBorders>
            <w:shd w:val="clear" w:color="auto" w:fill="auto"/>
            <w:noWrap/>
            <w:vAlign w:val="center"/>
            <w:hideMark/>
          </w:tcPr>
          <w:p w14:paraId="76C185F0" w14:textId="4EC6D00E" w:rsidR="00710E67" w:rsidRPr="00710E67" w:rsidRDefault="00710E67" w:rsidP="00193161">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10,278</w:t>
            </w:r>
          </w:p>
        </w:tc>
      </w:tr>
      <w:tr w:rsidR="00710E67" w:rsidRPr="00710E67" w14:paraId="76C185F8" w14:textId="77777777" w:rsidTr="00DF20CF">
        <w:trPr>
          <w:trHeight w:val="225"/>
        </w:trPr>
        <w:tc>
          <w:tcPr>
            <w:tcW w:w="2960" w:type="dxa"/>
            <w:tcBorders>
              <w:top w:val="nil"/>
              <w:left w:val="nil"/>
              <w:bottom w:val="single" w:sz="4" w:space="0" w:color="auto"/>
              <w:right w:val="nil"/>
            </w:tcBorders>
            <w:shd w:val="clear" w:color="auto" w:fill="auto"/>
            <w:noWrap/>
            <w:vAlign w:val="center"/>
            <w:hideMark/>
          </w:tcPr>
          <w:p w14:paraId="76C185F2" w14:textId="77777777" w:rsidR="00710E67" w:rsidRPr="00710E67" w:rsidRDefault="00710E67" w:rsidP="00710E67">
            <w:pPr>
              <w:spacing w:after="0" w:line="240" w:lineRule="auto"/>
              <w:jc w:val="left"/>
              <w:rPr>
                <w:rFonts w:ascii="Arial" w:hAnsi="Arial" w:cs="Arial"/>
                <w:b/>
                <w:bCs/>
                <w:color w:val="000000"/>
                <w:sz w:val="16"/>
                <w:szCs w:val="16"/>
              </w:rPr>
            </w:pPr>
            <w:r w:rsidRPr="00710E67">
              <w:rPr>
                <w:rFonts w:ascii="Arial" w:hAnsi="Arial" w:cs="Arial"/>
                <w:b/>
                <w:bCs/>
                <w:color w:val="000000"/>
                <w:sz w:val="16"/>
                <w:szCs w:val="16"/>
              </w:rPr>
              <w:t>Total equity</w:t>
            </w:r>
          </w:p>
        </w:tc>
        <w:tc>
          <w:tcPr>
            <w:tcW w:w="928" w:type="dxa"/>
            <w:tcBorders>
              <w:top w:val="nil"/>
              <w:left w:val="nil"/>
              <w:bottom w:val="single" w:sz="4" w:space="0" w:color="auto"/>
              <w:right w:val="nil"/>
            </w:tcBorders>
            <w:shd w:val="clear" w:color="auto" w:fill="auto"/>
            <w:noWrap/>
            <w:vAlign w:val="bottom"/>
            <w:hideMark/>
          </w:tcPr>
          <w:p w14:paraId="76C185F3" w14:textId="745FAD85"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11,953</w:t>
            </w:r>
          </w:p>
        </w:tc>
        <w:tc>
          <w:tcPr>
            <w:tcW w:w="860" w:type="dxa"/>
            <w:tcBorders>
              <w:top w:val="nil"/>
              <w:left w:val="nil"/>
              <w:bottom w:val="single" w:sz="4" w:space="0" w:color="auto"/>
              <w:right w:val="nil"/>
            </w:tcBorders>
            <w:shd w:val="clear" w:color="000000" w:fill="E6E6E6"/>
            <w:noWrap/>
            <w:vAlign w:val="center"/>
            <w:hideMark/>
          </w:tcPr>
          <w:p w14:paraId="76C185F4" w14:textId="71BFD5FE"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11,422</w:t>
            </w:r>
          </w:p>
        </w:tc>
        <w:tc>
          <w:tcPr>
            <w:tcW w:w="860" w:type="dxa"/>
            <w:tcBorders>
              <w:top w:val="nil"/>
              <w:left w:val="nil"/>
              <w:bottom w:val="single" w:sz="4" w:space="0" w:color="auto"/>
              <w:right w:val="nil"/>
            </w:tcBorders>
            <w:shd w:val="clear" w:color="auto" w:fill="auto"/>
            <w:noWrap/>
            <w:vAlign w:val="center"/>
            <w:hideMark/>
          </w:tcPr>
          <w:p w14:paraId="76C185F5" w14:textId="69C8AA14"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11,041</w:t>
            </w:r>
          </w:p>
        </w:tc>
        <w:tc>
          <w:tcPr>
            <w:tcW w:w="860" w:type="dxa"/>
            <w:tcBorders>
              <w:top w:val="nil"/>
              <w:left w:val="nil"/>
              <w:bottom w:val="single" w:sz="4" w:space="0" w:color="auto"/>
              <w:right w:val="nil"/>
            </w:tcBorders>
            <w:shd w:val="clear" w:color="auto" w:fill="auto"/>
            <w:noWrap/>
            <w:vAlign w:val="center"/>
            <w:hideMark/>
          </w:tcPr>
          <w:p w14:paraId="76C185F6" w14:textId="4F006D49"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10,657</w:t>
            </w:r>
          </w:p>
        </w:tc>
        <w:tc>
          <w:tcPr>
            <w:tcW w:w="860" w:type="dxa"/>
            <w:tcBorders>
              <w:top w:val="nil"/>
              <w:left w:val="nil"/>
              <w:bottom w:val="single" w:sz="4" w:space="0" w:color="auto"/>
              <w:right w:val="nil"/>
            </w:tcBorders>
            <w:shd w:val="clear" w:color="auto" w:fill="auto"/>
            <w:noWrap/>
            <w:vAlign w:val="center"/>
            <w:hideMark/>
          </w:tcPr>
          <w:p w14:paraId="76C185F7" w14:textId="1FF2B44E" w:rsidR="00710E67" w:rsidRPr="00710E67" w:rsidRDefault="00710E67" w:rsidP="00193161">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10,278</w:t>
            </w:r>
          </w:p>
        </w:tc>
      </w:tr>
    </w:tbl>
    <w:p w14:paraId="76C185F9" w14:textId="77777777" w:rsidR="00DF20CF" w:rsidRDefault="00DF20CF" w:rsidP="003732E1">
      <w:pPr>
        <w:pStyle w:val="Source"/>
        <w:spacing w:before="120"/>
        <w:jc w:val="left"/>
        <w:rPr>
          <w:rFonts w:cs="Arial"/>
        </w:rPr>
      </w:pPr>
      <w:r w:rsidRPr="0050239D">
        <w:rPr>
          <w:rFonts w:cs="Arial"/>
        </w:rPr>
        <w:t>*Equity is the residual interest in assets after the deduction of liabilities.</w:t>
      </w:r>
    </w:p>
    <w:p w14:paraId="76C185FA" w14:textId="77777777" w:rsidR="0061075E" w:rsidRDefault="0061075E" w:rsidP="003732E1">
      <w:pPr>
        <w:pStyle w:val="Source"/>
        <w:spacing w:before="120"/>
        <w:jc w:val="left"/>
        <w:rPr>
          <w:rFonts w:cs="Arial"/>
        </w:rPr>
      </w:pPr>
      <w:r w:rsidRPr="00132F9E">
        <w:rPr>
          <w:rFonts w:cs="Arial"/>
        </w:rPr>
        <w:t>Prepared on Australian Accounting Standards basis.</w:t>
      </w:r>
    </w:p>
    <w:p w14:paraId="76C185FB" w14:textId="77777777" w:rsidR="0061075E" w:rsidRPr="0050239D" w:rsidRDefault="0061075E" w:rsidP="0050239D">
      <w:pPr>
        <w:pStyle w:val="TableHeading"/>
        <w:spacing w:before="120" w:after="0"/>
        <w:rPr>
          <w:rFonts w:cs="Arial"/>
        </w:rPr>
      </w:pPr>
      <w:r>
        <w:br w:type="page"/>
      </w:r>
      <w:r w:rsidRPr="00AD42E2">
        <w:t>Table 3.3: Departmental statement of changes in equity—summary of</w:t>
      </w:r>
      <w:r>
        <w:t xml:space="preserve"> movement (Budget year </w:t>
      </w:r>
      <w:r w:rsidR="009A4174">
        <w:t>2019–20</w:t>
      </w:r>
      <w:r w:rsidRPr="00D30CBA">
        <w:t>)</w:t>
      </w:r>
    </w:p>
    <w:tbl>
      <w:tblPr>
        <w:tblW w:w="7220" w:type="dxa"/>
        <w:tblLook w:val="04A0" w:firstRow="1" w:lastRow="0" w:firstColumn="1" w:lastColumn="0" w:noHBand="0" w:noVBand="1"/>
      </w:tblPr>
      <w:tblGrid>
        <w:gridCol w:w="3700"/>
        <w:gridCol w:w="857"/>
        <w:gridCol w:w="999"/>
        <w:gridCol w:w="1044"/>
        <w:gridCol w:w="820"/>
      </w:tblGrid>
      <w:tr w:rsidR="00710E67" w:rsidRPr="00710E67" w14:paraId="76C18601" w14:textId="77777777" w:rsidTr="00803AC9">
        <w:trPr>
          <w:trHeight w:val="813"/>
        </w:trPr>
        <w:tc>
          <w:tcPr>
            <w:tcW w:w="3700" w:type="dxa"/>
            <w:tcBorders>
              <w:top w:val="single" w:sz="4" w:space="0" w:color="auto"/>
              <w:left w:val="nil"/>
              <w:bottom w:val="nil"/>
              <w:right w:val="nil"/>
            </w:tcBorders>
            <w:shd w:val="clear" w:color="auto" w:fill="auto"/>
            <w:noWrap/>
            <w:vAlign w:val="center"/>
            <w:hideMark/>
          </w:tcPr>
          <w:p w14:paraId="76C185FC"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w:t>
            </w:r>
          </w:p>
        </w:tc>
        <w:tc>
          <w:tcPr>
            <w:tcW w:w="820" w:type="dxa"/>
            <w:tcBorders>
              <w:top w:val="single" w:sz="4" w:space="0" w:color="auto"/>
              <w:left w:val="nil"/>
              <w:bottom w:val="single" w:sz="4" w:space="0" w:color="auto"/>
              <w:right w:val="nil"/>
            </w:tcBorders>
            <w:shd w:val="clear" w:color="auto" w:fill="auto"/>
            <w:hideMark/>
          </w:tcPr>
          <w:p w14:paraId="76C185FD"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Retained</w:t>
            </w:r>
            <w:r w:rsidRPr="00710E67">
              <w:rPr>
                <w:rFonts w:ascii="Arial" w:hAnsi="Arial" w:cs="Arial"/>
                <w:color w:val="000000"/>
                <w:sz w:val="16"/>
                <w:szCs w:val="16"/>
              </w:rPr>
              <w:br/>
              <w:t>earnings</w:t>
            </w:r>
            <w:r w:rsidRPr="00710E67">
              <w:rPr>
                <w:rFonts w:ascii="Arial" w:hAnsi="Arial" w:cs="Arial"/>
                <w:color w:val="000000"/>
                <w:sz w:val="16"/>
                <w:szCs w:val="16"/>
              </w:rPr>
              <w:br/>
            </w:r>
            <w:r w:rsidRPr="00710E67">
              <w:rPr>
                <w:rFonts w:ascii="Arial" w:hAnsi="Arial" w:cs="Arial"/>
                <w:color w:val="000000"/>
                <w:sz w:val="16"/>
                <w:szCs w:val="16"/>
              </w:rPr>
              <w:br/>
              <w:t>$'000</w:t>
            </w:r>
          </w:p>
        </w:tc>
        <w:tc>
          <w:tcPr>
            <w:tcW w:w="920" w:type="dxa"/>
            <w:tcBorders>
              <w:top w:val="single" w:sz="4" w:space="0" w:color="auto"/>
              <w:left w:val="nil"/>
              <w:bottom w:val="single" w:sz="4" w:space="0" w:color="auto"/>
              <w:right w:val="nil"/>
            </w:tcBorders>
            <w:shd w:val="clear" w:color="auto" w:fill="auto"/>
            <w:hideMark/>
          </w:tcPr>
          <w:p w14:paraId="76C185FE"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Asset</w:t>
            </w:r>
            <w:r w:rsidRPr="00710E67">
              <w:rPr>
                <w:rFonts w:ascii="Arial" w:hAnsi="Arial" w:cs="Arial"/>
                <w:color w:val="000000"/>
                <w:sz w:val="16"/>
                <w:szCs w:val="16"/>
              </w:rPr>
              <w:br/>
              <w:t>revaluation</w:t>
            </w:r>
            <w:r w:rsidRPr="00710E67">
              <w:rPr>
                <w:rFonts w:ascii="Arial" w:hAnsi="Arial" w:cs="Arial"/>
                <w:color w:val="000000"/>
                <w:sz w:val="16"/>
                <w:szCs w:val="16"/>
              </w:rPr>
              <w:br/>
              <w:t>reserve</w:t>
            </w:r>
            <w:r w:rsidRPr="00710E67">
              <w:rPr>
                <w:rFonts w:ascii="Arial" w:hAnsi="Arial" w:cs="Arial"/>
                <w:color w:val="000000"/>
                <w:sz w:val="16"/>
                <w:szCs w:val="16"/>
              </w:rPr>
              <w:br/>
              <w:t>$'000</w:t>
            </w:r>
          </w:p>
        </w:tc>
        <w:tc>
          <w:tcPr>
            <w:tcW w:w="960" w:type="dxa"/>
            <w:tcBorders>
              <w:top w:val="single" w:sz="4" w:space="0" w:color="auto"/>
              <w:left w:val="nil"/>
              <w:bottom w:val="single" w:sz="4" w:space="0" w:color="auto"/>
              <w:right w:val="nil"/>
            </w:tcBorders>
            <w:shd w:val="clear" w:color="auto" w:fill="auto"/>
            <w:hideMark/>
          </w:tcPr>
          <w:p w14:paraId="76C185FF"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Contributed</w:t>
            </w:r>
            <w:r w:rsidRPr="00710E67">
              <w:rPr>
                <w:rFonts w:ascii="Arial" w:hAnsi="Arial" w:cs="Arial"/>
                <w:color w:val="000000"/>
                <w:sz w:val="16"/>
                <w:szCs w:val="16"/>
              </w:rPr>
              <w:br/>
              <w:t>equity/</w:t>
            </w:r>
            <w:r w:rsidRPr="00710E67">
              <w:rPr>
                <w:rFonts w:ascii="Arial" w:hAnsi="Arial" w:cs="Arial"/>
                <w:color w:val="000000"/>
                <w:sz w:val="16"/>
                <w:szCs w:val="16"/>
              </w:rPr>
              <w:br/>
              <w:t>capital</w:t>
            </w:r>
            <w:r w:rsidRPr="00710E67">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hideMark/>
          </w:tcPr>
          <w:p w14:paraId="76C18600"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Total</w:t>
            </w:r>
            <w:r w:rsidRPr="00710E67">
              <w:rPr>
                <w:rFonts w:ascii="Arial" w:hAnsi="Arial" w:cs="Arial"/>
                <w:color w:val="000000"/>
                <w:sz w:val="16"/>
                <w:szCs w:val="16"/>
              </w:rPr>
              <w:br/>
              <w:t xml:space="preserve">equity </w:t>
            </w:r>
            <w:r w:rsidRPr="00710E67">
              <w:rPr>
                <w:rFonts w:ascii="Arial" w:hAnsi="Arial" w:cs="Arial"/>
                <w:color w:val="000000"/>
                <w:sz w:val="16"/>
                <w:szCs w:val="16"/>
              </w:rPr>
              <w:br/>
            </w:r>
            <w:r w:rsidRPr="00710E67">
              <w:rPr>
                <w:rFonts w:ascii="Arial" w:hAnsi="Arial" w:cs="Arial"/>
                <w:color w:val="000000"/>
                <w:sz w:val="16"/>
                <w:szCs w:val="16"/>
              </w:rPr>
              <w:br/>
              <w:t>$'000</w:t>
            </w:r>
          </w:p>
        </w:tc>
      </w:tr>
      <w:tr w:rsidR="00710E67" w:rsidRPr="00710E67" w14:paraId="76C18607" w14:textId="77777777" w:rsidTr="00710E67">
        <w:trPr>
          <w:trHeight w:val="225"/>
        </w:trPr>
        <w:tc>
          <w:tcPr>
            <w:tcW w:w="3700" w:type="dxa"/>
            <w:tcBorders>
              <w:top w:val="nil"/>
              <w:left w:val="nil"/>
              <w:bottom w:val="nil"/>
              <w:right w:val="nil"/>
            </w:tcBorders>
            <w:shd w:val="clear" w:color="auto" w:fill="auto"/>
            <w:vAlign w:val="center"/>
            <w:hideMark/>
          </w:tcPr>
          <w:p w14:paraId="76C18602"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Opening balance as at 1 July 2019</w:t>
            </w:r>
          </w:p>
        </w:tc>
        <w:tc>
          <w:tcPr>
            <w:tcW w:w="820" w:type="dxa"/>
            <w:tcBorders>
              <w:top w:val="nil"/>
              <w:left w:val="nil"/>
              <w:bottom w:val="nil"/>
              <w:right w:val="nil"/>
            </w:tcBorders>
            <w:shd w:val="clear" w:color="auto" w:fill="auto"/>
            <w:noWrap/>
            <w:vAlign w:val="center"/>
            <w:hideMark/>
          </w:tcPr>
          <w:p w14:paraId="76C18603" w14:textId="77777777" w:rsidR="00710E67" w:rsidRPr="00710E67" w:rsidRDefault="00710E67" w:rsidP="00710E67">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center"/>
            <w:hideMark/>
          </w:tcPr>
          <w:p w14:paraId="76C18604" w14:textId="77777777" w:rsidR="00710E67" w:rsidRPr="00710E67" w:rsidRDefault="00710E67" w:rsidP="00710E67">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8605" w14:textId="77777777" w:rsidR="00710E67" w:rsidRPr="00710E67" w:rsidRDefault="00710E67" w:rsidP="00710E67">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606" w14:textId="77777777" w:rsidR="00710E67" w:rsidRPr="00710E67" w:rsidRDefault="00710E67" w:rsidP="00710E67">
            <w:pPr>
              <w:spacing w:after="0" w:line="240" w:lineRule="auto"/>
              <w:jc w:val="left"/>
              <w:rPr>
                <w:rFonts w:ascii="Times New Roman" w:hAnsi="Times New Roman"/>
              </w:rPr>
            </w:pPr>
          </w:p>
        </w:tc>
      </w:tr>
      <w:tr w:rsidR="00710E67" w:rsidRPr="00710E67" w14:paraId="76C1860D" w14:textId="77777777" w:rsidTr="00B86D9C">
        <w:trPr>
          <w:trHeight w:val="186"/>
        </w:trPr>
        <w:tc>
          <w:tcPr>
            <w:tcW w:w="3700" w:type="dxa"/>
            <w:tcBorders>
              <w:top w:val="nil"/>
              <w:left w:val="nil"/>
              <w:bottom w:val="nil"/>
              <w:right w:val="nil"/>
            </w:tcBorders>
            <w:shd w:val="clear" w:color="auto" w:fill="auto"/>
            <w:vAlign w:val="center"/>
            <w:hideMark/>
          </w:tcPr>
          <w:p w14:paraId="76C18608"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Balance carried forward from previous period</w:t>
            </w:r>
          </w:p>
        </w:tc>
        <w:tc>
          <w:tcPr>
            <w:tcW w:w="820" w:type="dxa"/>
            <w:tcBorders>
              <w:top w:val="nil"/>
              <w:left w:val="nil"/>
              <w:bottom w:val="nil"/>
              <w:right w:val="nil"/>
            </w:tcBorders>
            <w:shd w:val="clear" w:color="auto" w:fill="auto"/>
            <w:noWrap/>
            <w:vAlign w:val="center"/>
            <w:hideMark/>
          </w:tcPr>
          <w:p w14:paraId="76C18609"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5,968 </w:t>
            </w:r>
          </w:p>
        </w:tc>
        <w:tc>
          <w:tcPr>
            <w:tcW w:w="920" w:type="dxa"/>
            <w:tcBorders>
              <w:top w:val="nil"/>
              <w:left w:val="nil"/>
              <w:bottom w:val="nil"/>
              <w:right w:val="nil"/>
            </w:tcBorders>
            <w:shd w:val="clear" w:color="auto" w:fill="auto"/>
            <w:noWrap/>
            <w:vAlign w:val="center"/>
            <w:hideMark/>
          </w:tcPr>
          <w:p w14:paraId="76C1860A"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776 </w:t>
            </w:r>
          </w:p>
        </w:tc>
        <w:tc>
          <w:tcPr>
            <w:tcW w:w="960" w:type="dxa"/>
            <w:tcBorders>
              <w:top w:val="nil"/>
              <w:left w:val="nil"/>
              <w:bottom w:val="nil"/>
              <w:right w:val="nil"/>
            </w:tcBorders>
            <w:shd w:val="clear" w:color="auto" w:fill="auto"/>
            <w:noWrap/>
            <w:vAlign w:val="center"/>
            <w:hideMark/>
          </w:tcPr>
          <w:p w14:paraId="76C1860B"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5,209 </w:t>
            </w:r>
          </w:p>
        </w:tc>
        <w:tc>
          <w:tcPr>
            <w:tcW w:w="820" w:type="dxa"/>
            <w:tcBorders>
              <w:top w:val="nil"/>
              <w:left w:val="nil"/>
              <w:bottom w:val="nil"/>
              <w:right w:val="nil"/>
            </w:tcBorders>
            <w:shd w:val="clear" w:color="auto" w:fill="auto"/>
            <w:noWrap/>
            <w:vAlign w:val="center"/>
            <w:hideMark/>
          </w:tcPr>
          <w:p w14:paraId="76C1860C"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11,953 </w:t>
            </w:r>
          </w:p>
        </w:tc>
      </w:tr>
      <w:tr w:rsidR="00710E67" w:rsidRPr="00710E67" w14:paraId="76C18613" w14:textId="77777777" w:rsidTr="00710E67">
        <w:trPr>
          <w:trHeight w:val="210"/>
        </w:trPr>
        <w:tc>
          <w:tcPr>
            <w:tcW w:w="3700" w:type="dxa"/>
            <w:tcBorders>
              <w:top w:val="nil"/>
              <w:left w:val="nil"/>
              <w:bottom w:val="nil"/>
              <w:right w:val="nil"/>
            </w:tcBorders>
            <w:shd w:val="clear" w:color="auto" w:fill="auto"/>
            <w:vAlign w:val="center"/>
            <w:hideMark/>
          </w:tcPr>
          <w:p w14:paraId="76C1860E"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Adjusted opening balance</w:t>
            </w:r>
          </w:p>
        </w:tc>
        <w:tc>
          <w:tcPr>
            <w:tcW w:w="820" w:type="dxa"/>
            <w:tcBorders>
              <w:top w:val="single" w:sz="4" w:space="0" w:color="auto"/>
              <w:left w:val="nil"/>
              <w:bottom w:val="single" w:sz="4" w:space="0" w:color="auto"/>
              <w:right w:val="nil"/>
            </w:tcBorders>
            <w:shd w:val="clear" w:color="auto" w:fill="auto"/>
            <w:noWrap/>
            <w:vAlign w:val="center"/>
            <w:hideMark/>
          </w:tcPr>
          <w:p w14:paraId="76C1860F"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5,968 </w:t>
            </w:r>
          </w:p>
        </w:tc>
        <w:tc>
          <w:tcPr>
            <w:tcW w:w="920" w:type="dxa"/>
            <w:tcBorders>
              <w:top w:val="single" w:sz="4" w:space="0" w:color="auto"/>
              <w:left w:val="nil"/>
              <w:bottom w:val="single" w:sz="4" w:space="0" w:color="auto"/>
              <w:right w:val="nil"/>
            </w:tcBorders>
            <w:shd w:val="clear" w:color="auto" w:fill="auto"/>
            <w:noWrap/>
            <w:vAlign w:val="center"/>
            <w:hideMark/>
          </w:tcPr>
          <w:p w14:paraId="76C18610"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776 </w:t>
            </w:r>
          </w:p>
        </w:tc>
        <w:tc>
          <w:tcPr>
            <w:tcW w:w="960" w:type="dxa"/>
            <w:tcBorders>
              <w:top w:val="single" w:sz="4" w:space="0" w:color="auto"/>
              <w:left w:val="nil"/>
              <w:bottom w:val="single" w:sz="4" w:space="0" w:color="auto"/>
              <w:right w:val="nil"/>
            </w:tcBorders>
            <w:shd w:val="clear" w:color="auto" w:fill="auto"/>
            <w:noWrap/>
            <w:vAlign w:val="center"/>
            <w:hideMark/>
          </w:tcPr>
          <w:p w14:paraId="76C18611"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5,209 </w:t>
            </w:r>
          </w:p>
        </w:tc>
        <w:tc>
          <w:tcPr>
            <w:tcW w:w="820" w:type="dxa"/>
            <w:tcBorders>
              <w:top w:val="single" w:sz="4" w:space="0" w:color="auto"/>
              <w:left w:val="nil"/>
              <w:bottom w:val="single" w:sz="4" w:space="0" w:color="auto"/>
              <w:right w:val="nil"/>
            </w:tcBorders>
            <w:shd w:val="clear" w:color="auto" w:fill="auto"/>
            <w:noWrap/>
            <w:vAlign w:val="center"/>
            <w:hideMark/>
          </w:tcPr>
          <w:p w14:paraId="76C18612"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11,953 </w:t>
            </w:r>
          </w:p>
        </w:tc>
      </w:tr>
      <w:tr w:rsidR="00710E67" w:rsidRPr="00710E67" w14:paraId="76C18619" w14:textId="77777777" w:rsidTr="00710E67">
        <w:trPr>
          <w:trHeight w:val="225"/>
        </w:trPr>
        <w:tc>
          <w:tcPr>
            <w:tcW w:w="3700" w:type="dxa"/>
            <w:tcBorders>
              <w:top w:val="nil"/>
              <w:left w:val="nil"/>
              <w:bottom w:val="nil"/>
              <w:right w:val="nil"/>
            </w:tcBorders>
            <w:shd w:val="clear" w:color="auto" w:fill="auto"/>
            <w:noWrap/>
            <w:vAlign w:val="center"/>
            <w:hideMark/>
          </w:tcPr>
          <w:p w14:paraId="76C18614"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Comprehensive income</w:t>
            </w:r>
          </w:p>
        </w:tc>
        <w:tc>
          <w:tcPr>
            <w:tcW w:w="820" w:type="dxa"/>
            <w:tcBorders>
              <w:top w:val="nil"/>
              <w:left w:val="nil"/>
              <w:bottom w:val="nil"/>
              <w:right w:val="nil"/>
            </w:tcBorders>
            <w:shd w:val="clear" w:color="auto" w:fill="auto"/>
            <w:noWrap/>
            <w:vAlign w:val="center"/>
            <w:hideMark/>
          </w:tcPr>
          <w:p w14:paraId="76C18615" w14:textId="77777777" w:rsidR="00710E67" w:rsidRPr="00710E67" w:rsidRDefault="00710E67" w:rsidP="00710E67">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center"/>
            <w:hideMark/>
          </w:tcPr>
          <w:p w14:paraId="76C18616" w14:textId="77777777" w:rsidR="00710E67" w:rsidRPr="00710E67" w:rsidRDefault="00710E67" w:rsidP="00710E67">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8617" w14:textId="77777777" w:rsidR="00710E67" w:rsidRPr="00710E67" w:rsidRDefault="00710E67" w:rsidP="00710E67">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618" w14:textId="77777777" w:rsidR="00710E67" w:rsidRPr="00710E67" w:rsidRDefault="00710E67" w:rsidP="00710E67">
            <w:pPr>
              <w:spacing w:after="0" w:line="240" w:lineRule="auto"/>
              <w:jc w:val="left"/>
              <w:rPr>
                <w:rFonts w:ascii="Times New Roman" w:hAnsi="Times New Roman"/>
              </w:rPr>
            </w:pPr>
          </w:p>
        </w:tc>
      </w:tr>
      <w:tr w:rsidR="00710E67" w:rsidRPr="00710E67" w14:paraId="76C1861F" w14:textId="77777777" w:rsidTr="00710E67">
        <w:trPr>
          <w:trHeight w:val="225"/>
        </w:trPr>
        <w:tc>
          <w:tcPr>
            <w:tcW w:w="3700" w:type="dxa"/>
            <w:tcBorders>
              <w:top w:val="nil"/>
              <w:left w:val="nil"/>
              <w:bottom w:val="nil"/>
              <w:right w:val="nil"/>
            </w:tcBorders>
            <w:shd w:val="clear" w:color="auto" w:fill="auto"/>
            <w:noWrap/>
            <w:vAlign w:val="center"/>
            <w:hideMark/>
          </w:tcPr>
          <w:p w14:paraId="76C1861A"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Other comprehensive income</w:t>
            </w:r>
          </w:p>
        </w:tc>
        <w:tc>
          <w:tcPr>
            <w:tcW w:w="820" w:type="dxa"/>
            <w:tcBorders>
              <w:top w:val="nil"/>
              <w:left w:val="nil"/>
              <w:bottom w:val="nil"/>
              <w:right w:val="nil"/>
            </w:tcBorders>
            <w:shd w:val="clear" w:color="auto" w:fill="auto"/>
            <w:noWrap/>
            <w:vAlign w:val="center"/>
            <w:hideMark/>
          </w:tcPr>
          <w:p w14:paraId="76C1861B"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920" w:type="dxa"/>
            <w:tcBorders>
              <w:top w:val="nil"/>
              <w:left w:val="nil"/>
              <w:bottom w:val="nil"/>
              <w:right w:val="nil"/>
            </w:tcBorders>
            <w:shd w:val="clear" w:color="auto" w:fill="auto"/>
            <w:noWrap/>
            <w:vAlign w:val="center"/>
            <w:hideMark/>
          </w:tcPr>
          <w:p w14:paraId="76C1861C"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861D"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861E"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r>
      <w:tr w:rsidR="00710E67" w:rsidRPr="00710E67" w14:paraId="76C18625" w14:textId="77777777" w:rsidTr="00710E67">
        <w:trPr>
          <w:trHeight w:val="225"/>
        </w:trPr>
        <w:tc>
          <w:tcPr>
            <w:tcW w:w="3700" w:type="dxa"/>
            <w:tcBorders>
              <w:top w:val="nil"/>
              <w:left w:val="nil"/>
              <w:bottom w:val="nil"/>
              <w:right w:val="nil"/>
            </w:tcBorders>
            <w:shd w:val="clear" w:color="auto" w:fill="auto"/>
            <w:noWrap/>
            <w:vAlign w:val="center"/>
            <w:hideMark/>
          </w:tcPr>
          <w:p w14:paraId="76C18620" w14:textId="77777777" w:rsidR="00710E67" w:rsidRPr="00B86D9C" w:rsidRDefault="00710E67"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Deficit for the period</w:t>
            </w:r>
          </w:p>
        </w:tc>
        <w:tc>
          <w:tcPr>
            <w:tcW w:w="820" w:type="dxa"/>
            <w:tcBorders>
              <w:top w:val="nil"/>
              <w:left w:val="nil"/>
              <w:bottom w:val="nil"/>
              <w:right w:val="nil"/>
            </w:tcBorders>
            <w:shd w:val="clear" w:color="auto" w:fill="auto"/>
            <w:noWrap/>
            <w:vAlign w:val="center"/>
            <w:hideMark/>
          </w:tcPr>
          <w:p w14:paraId="76C18621"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(630)</w:t>
            </w:r>
          </w:p>
        </w:tc>
        <w:tc>
          <w:tcPr>
            <w:tcW w:w="920" w:type="dxa"/>
            <w:tcBorders>
              <w:top w:val="nil"/>
              <w:left w:val="nil"/>
              <w:bottom w:val="nil"/>
              <w:right w:val="nil"/>
            </w:tcBorders>
            <w:shd w:val="clear" w:color="auto" w:fill="auto"/>
            <w:noWrap/>
            <w:vAlign w:val="center"/>
            <w:hideMark/>
          </w:tcPr>
          <w:p w14:paraId="76C18622"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8623"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8624"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(630)</w:t>
            </w:r>
          </w:p>
        </w:tc>
      </w:tr>
      <w:tr w:rsidR="00710E67" w:rsidRPr="00710E67" w14:paraId="76C1862B" w14:textId="77777777" w:rsidTr="00710E67">
        <w:trPr>
          <w:trHeight w:val="210"/>
        </w:trPr>
        <w:tc>
          <w:tcPr>
            <w:tcW w:w="3700" w:type="dxa"/>
            <w:tcBorders>
              <w:top w:val="nil"/>
              <w:left w:val="nil"/>
              <w:bottom w:val="nil"/>
              <w:right w:val="nil"/>
            </w:tcBorders>
            <w:shd w:val="clear" w:color="auto" w:fill="auto"/>
            <w:vAlign w:val="center"/>
            <w:hideMark/>
          </w:tcPr>
          <w:p w14:paraId="76C18626" w14:textId="77777777" w:rsidR="00710E67" w:rsidRPr="00710E67" w:rsidRDefault="00710E67" w:rsidP="00B86D9C">
            <w:pPr>
              <w:spacing w:after="0" w:line="240" w:lineRule="auto"/>
              <w:ind w:left="180" w:hanging="180"/>
              <w:jc w:val="left"/>
              <w:rPr>
                <w:rFonts w:ascii="Arial" w:hAnsi="Arial" w:cs="Arial"/>
                <w:b/>
                <w:bCs/>
                <w:i/>
                <w:iCs/>
                <w:color w:val="000000"/>
                <w:sz w:val="16"/>
                <w:szCs w:val="16"/>
              </w:rPr>
            </w:pPr>
            <w:r w:rsidRPr="00710E67">
              <w:rPr>
                <w:rFonts w:ascii="Arial" w:hAnsi="Arial" w:cs="Arial"/>
                <w:b/>
                <w:bCs/>
                <w:i/>
                <w:iCs/>
                <w:color w:val="000000"/>
                <w:sz w:val="16"/>
                <w:szCs w:val="16"/>
              </w:rPr>
              <w:t>Total comprehensive income</w:t>
            </w:r>
          </w:p>
        </w:tc>
        <w:tc>
          <w:tcPr>
            <w:tcW w:w="820" w:type="dxa"/>
            <w:tcBorders>
              <w:top w:val="single" w:sz="4" w:space="0" w:color="auto"/>
              <w:left w:val="nil"/>
              <w:bottom w:val="single" w:sz="4" w:space="0" w:color="auto"/>
              <w:right w:val="nil"/>
            </w:tcBorders>
            <w:shd w:val="clear" w:color="auto" w:fill="auto"/>
            <w:noWrap/>
            <w:vAlign w:val="center"/>
            <w:hideMark/>
          </w:tcPr>
          <w:p w14:paraId="76C18627"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(630)</w:t>
            </w:r>
          </w:p>
        </w:tc>
        <w:tc>
          <w:tcPr>
            <w:tcW w:w="920" w:type="dxa"/>
            <w:tcBorders>
              <w:top w:val="single" w:sz="4" w:space="0" w:color="auto"/>
              <w:left w:val="nil"/>
              <w:bottom w:val="single" w:sz="4" w:space="0" w:color="auto"/>
              <w:right w:val="nil"/>
            </w:tcBorders>
            <w:shd w:val="clear" w:color="auto" w:fill="auto"/>
            <w:noWrap/>
            <w:vAlign w:val="center"/>
            <w:hideMark/>
          </w:tcPr>
          <w:p w14:paraId="76C18628"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center"/>
            <w:hideMark/>
          </w:tcPr>
          <w:p w14:paraId="76C18629"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20" w:type="dxa"/>
            <w:tcBorders>
              <w:top w:val="single" w:sz="4" w:space="0" w:color="auto"/>
              <w:left w:val="nil"/>
              <w:bottom w:val="single" w:sz="4" w:space="0" w:color="auto"/>
              <w:right w:val="nil"/>
            </w:tcBorders>
            <w:shd w:val="clear" w:color="auto" w:fill="auto"/>
            <w:noWrap/>
            <w:vAlign w:val="center"/>
            <w:hideMark/>
          </w:tcPr>
          <w:p w14:paraId="76C1862A"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(630)</w:t>
            </w:r>
          </w:p>
        </w:tc>
      </w:tr>
      <w:tr w:rsidR="00710E67" w:rsidRPr="00710E67" w14:paraId="76C18631" w14:textId="77777777" w:rsidTr="00710E67">
        <w:trPr>
          <w:trHeight w:val="225"/>
        </w:trPr>
        <w:tc>
          <w:tcPr>
            <w:tcW w:w="3700" w:type="dxa"/>
            <w:tcBorders>
              <w:top w:val="nil"/>
              <w:left w:val="nil"/>
              <w:bottom w:val="nil"/>
              <w:right w:val="nil"/>
            </w:tcBorders>
            <w:shd w:val="clear" w:color="auto" w:fill="auto"/>
            <w:noWrap/>
            <w:vAlign w:val="center"/>
            <w:hideMark/>
          </w:tcPr>
          <w:p w14:paraId="76C1862C"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of which:</w:t>
            </w:r>
          </w:p>
        </w:tc>
        <w:tc>
          <w:tcPr>
            <w:tcW w:w="820" w:type="dxa"/>
            <w:tcBorders>
              <w:top w:val="nil"/>
              <w:left w:val="nil"/>
              <w:bottom w:val="nil"/>
              <w:right w:val="nil"/>
            </w:tcBorders>
            <w:shd w:val="clear" w:color="auto" w:fill="auto"/>
            <w:noWrap/>
            <w:vAlign w:val="center"/>
            <w:hideMark/>
          </w:tcPr>
          <w:p w14:paraId="76C1862D" w14:textId="77777777" w:rsidR="00710E67" w:rsidRPr="00710E67" w:rsidRDefault="00710E67" w:rsidP="00710E67">
            <w:pPr>
              <w:spacing w:after="0" w:line="240" w:lineRule="auto"/>
              <w:ind w:firstLineChars="100" w:firstLine="160"/>
              <w:jc w:val="left"/>
              <w:rPr>
                <w:rFonts w:ascii="Arial" w:hAnsi="Arial" w:cs="Arial"/>
                <w:color w:val="000000"/>
                <w:sz w:val="16"/>
                <w:szCs w:val="16"/>
              </w:rPr>
            </w:pPr>
          </w:p>
        </w:tc>
        <w:tc>
          <w:tcPr>
            <w:tcW w:w="920" w:type="dxa"/>
            <w:tcBorders>
              <w:top w:val="nil"/>
              <w:left w:val="nil"/>
              <w:bottom w:val="nil"/>
              <w:right w:val="nil"/>
            </w:tcBorders>
            <w:shd w:val="clear" w:color="auto" w:fill="auto"/>
            <w:noWrap/>
            <w:vAlign w:val="center"/>
            <w:hideMark/>
          </w:tcPr>
          <w:p w14:paraId="76C1862E" w14:textId="77777777" w:rsidR="00710E67" w:rsidRPr="00710E67" w:rsidRDefault="00710E67" w:rsidP="00710E67">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862F" w14:textId="77777777" w:rsidR="00710E67" w:rsidRPr="00710E67" w:rsidRDefault="00710E67" w:rsidP="00710E67">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630" w14:textId="77777777" w:rsidR="00710E67" w:rsidRPr="00710E67" w:rsidRDefault="00710E67" w:rsidP="00710E67">
            <w:pPr>
              <w:spacing w:after="0" w:line="240" w:lineRule="auto"/>
              <w:jc w:val="left"/>
              <w:rPr>
                <w:rFonts w:ascii="Times New Roman" w:hAnsi="Times New Roman"/>
              </w:rPr>
            </w:pPr>
          </w:p>
        </w:tc>
      </w:tr>
      <w:tr w:rsidR="00710E67" w:rsidRPr="00710E67" w14:paraId="76C18637" w14:textId="77777777" w:rsidTr="00B86D9C">
        <w:trPr>
          <w:trHeight w:val="211"/>
        </w:trPr>
        <w:tc>
          <w:tcPr>
            <w:tcW w:w="3700" w:type="dxa"/>
            <w:tcBorders>
              <w:top w:val="nil"/>
              <w:left w:val="nil"/>
              <w:bottom w:val="nil"/>
              <w:right w:val="nil"/>
            </w:tcBorders>
            <w:shd w:val="clear" w:color="auto" w:fill="auto"/>
            <w:vAlign w:val="center"/>
            <w:hideMark/>
          </w:tcPr>
          <w:p w14:paraId="76C18632" w14:textId="77777777" w:rsidR="00710E67" w:rsidRPr="00710E67" w:rsidRDefault="00710E67" w:rsidP="00B86D9C">
            <w:pPr>
              <w:spacing w:after="0" w:line="240" w:lineRule="auto"/>
              <w:ind w:firstLineChars="200" w:firstLine="320"/>
              <w:jc w:val="left"/>
              <w:rPr>
                <w:rFonts w:ascii="Arial" w:hAnsi="Arial" w:cs="Arial"/>
                <w:color w:val="000000"/>
                <w:sz w:val="16"/>
                <w:szCs w:val="16"/>
              </w:rPr>
            </w:pPr>
            <w:r w:rsidRPr="00710E67">
              <w:rPr>
                <w:rFonts w:ascii="Arial" w:hAnsi="Arial" w:cs="Arial"/>
                <w:color w:val="000000"/>
                <w:sz w:val="16"/>
                <w:szCs w:val="16"/>
              </w:rPr>
              <w:t>Attributable to the Australian Government</w:t>
            </w:r>
          </w:p>
        </w:tc>
        <w:tc>
          <w:tcPr>
            <w:tcW w:w="820" w:type="dxa"/>
            <w:tcBorders>
              <w:top w:val="nil"/>
              <w:left w:val="nil"/>
              <w:bottom w:val="nil"/>
              <w:right w:val="nil"/>
            </w:tcBorders>
            <w:shd w:val="clear" w:color="auto" w:fill="auto"/>
            <w:noWrap/>
            <w:vAlign w:val="center"/>
            <w:hideMark/>
          </w:tcPr>
          <w:p w14:paraId="76C18633"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(630)</w:t>
            </w:r>
          </w:p>
        </w:tc>
        <w:tc>
          <w:tcPr>
            <w:tcW w:w="920" w:type="dxa"/>
            <w:tcBorders>
              <w:top w:val="nil"/>
              <w:left w:val="nil"/>
              <w:bottom w:val="nil"/>
              <w:right w:val="nil"/>
            </w:tcBorders>
            <w:shd w:val="clear" w:color="auto" w:fill="auto"/>
            <w:noWrap/>
            <w:vAlign w:val="center"/>
            <w:hideMark/>
          </w:tcPr>
          <w:p w14:paraId="76C18634"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8635"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76C18636"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(630)</w:t>
            </w:r>
          </w:p>
        </w:tc>
      </w:tr>
      <w:tr w:rsidR="00710E67" w:rsidRPr="00710E67" w14:paraId="76C1863D" w14:textId="77777777" w:rsidTr="00710E67">
        <w:trPr>
          <w:trHeight w:val="225"/>
        </w:trPr>
        <w:tc>
          <w:tcPr>
            <w:tcW w:w="3700" w:type="dxa"/>
            <w:tcBorders>
              <w:top w:val="nil"/>
              <w:left w:val="nil"/>
              <w:bottom w:val="nil"/>
              <w:right w:val="nil"/>
            </w:tcBorders>
            <w:shd w:val="clear" w:color="auto" w:fill="auto"/>
            <w:noWrap/>
            <w:vAlign w:val="center"/>
            <w:hideMark/>
          </w:tcPr>
          <w:p w14:paraId="76C18638"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Transactions with owners</w:t>
            </w:r>
          </w:p>
        </w:tc>
        <w:tc>
          <w:tcPr>
            <w:tcW w:w="820" w:type="dxa"/>
            <w:tcBorders>
              <w:top w:val="nil"/>
              <w:left w:val="nil"/>
              <w:bottom w:val="nil"/>
              <w:right w:val="nil"/>
            </w:tcBorders>
            <w:shd w:val="clear" w:color="auto" w:fill="auto"/>
            <w:noWrap/>
            <w:vAlign w:val="center"/>
            <w:hideMark/>
          </w:tcPr>
          <w:p w14:paraId="76C18639" w14:textId="77777777" w:rsidR="00710E67" w:rsidRPr="00710E67" w:rsidRDefault="00710E67" w:rsidP="00710E67">
            <w:pPr>
              <w:spacing w:after="0" w:line="240" w:lineRule="auto"/>
              <w:jc w:val="left"/>
              <w:rPr>
                <w:rFonts w:ascii="Arial" w:hAnsi="Arial" w:cs="Arial"/>
                <w:b/>
                <w:bCs/>
                <w:color w:val="000000"/>
                <w:sz w:val="16"/>
                <w:szCs w:val="16"/>
              </w:rPr>
            </w:pPr>
          </w:p>
        </w:tc>
        <w:tc>
          <w:tcPr>
            <w:tcW w:w="920" w:type="dxa"/>
            <w:tcBorders>
              <w:top w:val="nil"/>
              <w:left w:val="nil"/>
              <w:bottom w:val="nil"/>
              <w:right w:val="nil"/>
            </w:tcBorders>
            <w:shd w:val="clear" w:color="auto" w:fill="auto"/>
            <w:noWrap/>
            <w:vAlign w:val="center"/>
            <w:hideMark/>
          </w:tcPr>
          <w:p w14:paraId="76C1863A" w14:textId="77777777" w:rsidR="00710E67" w:rsidRPr="00710E67" w:rsidRDefault="00710E67" w:rsidP="00710E67">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863B" w14:textId="77777777" w:rsidR="00710E67" w:rsidRPr="00710E67" w:rsidRDefault="00710E67" w:rsidP="00710E67">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63C" w14:textId="77777777" w:rsidR="00710E67" w:rsidRPr="00710E67" w:rsidRDefault="00710E67" w:rsidP="00710E67">
            <w:pPr>
              <w:spacing w:after="0" w:line="240" w:lineRule="auto"/>
              <w:jc w:val="left"/>
              <w:rPr>
                <w:rFonts w:ascii="Times New Roman" w:hAnsi="Times New Roman"/>
              </w:rPr>
            </w:pPr>
          </w:p>
        </w:tc>
      </w:tr>
      <w:tr w:rsidR="00710E67" w:rsidRPr="00710E67" w14:paraId="76C18643" w14:textId="77777777" w:rsidTr="00710E67">
        <w:trPr>
          <w:trHeight w:val="225"/>
        </w:trPr>
        <w:tc>
          <w:tcPr>
            <w:tcW w:w="3700" w:type="dxa"/>
            <w:tcBorders>
              <w:top w:val="nil"/>
              <w:left w:val="nil"/>
              <w:bottom w:val="nil"/>
              <w:right w:val="nil"/>
            </w:tcBorders>
            <w:shd w:val="clear" w:color="auto" w:fill="auto"/>
            <w:noWrap/>
            <w:vAlign w:val="center"/>
            <w:hideMark/>
          </w:tcPr>
          <w:p w14:paraId="76C1863E"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Contributions by owners</w:t>
            </w:r>
          </w:p>
        </w:tc>
        <w:tc>
          <w:tcPr>
            <w:tcW w:w="820" w:type="dxa"/>
            <w:tcBorders>
              <w:top w:val="nil"/>
              <w:left w:val="nil"/>
              <w:bottom w:val="nil"/>
              <w:right w:val="nil"/>
            </w:tcBorders>
            <w:shd w:val="clear" w:color="auto" w:fill="auto"/>
            <w:noWrap/>
            <w:vAlign w:val="center"/>
            <w:hideMark/>
          </w:tcPr>
          <w:p w14:paraId="76C1863F" w14:textId="77777777" w:rsidR="00710E67" w:rsidRPr="00710E67" w:rsidRDefault="00710E67" w:rsidP="00710E67">
            <w:pPr>
              <w:spacing w:after="0" w:line="240" w:lineRule="auto"/>
              <w:jc w:val="left"/>
              <w:rPr>
                <w:rFonts w:ascii="Arial" w:hAnsi="Arial" w:cs="Arial"/>
                <w:b/>
                <w:bCs/>
                <w:i/>
                <w:iCs/>
                <w:color w:val="000000"/>
                <w:sz w:val="16"/>
                <w:szCs w:val="16"/>
              </w:rPr>
            </w:pPr>
          </w:p>
        </w:tc>
        <w:tc>
          <w:tcPr>
            <w:tcW w:w="920" w:type="dxa"/>
            <w:tcBorders>
              <w:top w:val="nil"/>
              <w:left w:val="nil"/>
              <w:bottom w:val="nil"/>
              <w:right w:val="nil"/>
            </w:tcBorders>
            <w:shd w:val="clear" w:color="auto" w:fill="auto"/>
            <w:noWrap/>
            <w:vAlign w:val="center"/>
            <w:hideMark/>
          </w:tcPr>
          <w:p w14:paraId="76C18640" w14:textId="77777777" w:rsidR="00710E67" w:rsidRPr="00710E67" w:rsidRDefault="00710E67" w:rsidP="00710E67">
            <w:pPr>
              <w:spacing w:after="0" w:line="240" w:lineRule="auto"/>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76C18641" w14:textId="77777777" w:rsidR="00710E67" w:rsidRPr="00710E67" w:rsidRDefault="00710E67" w:rsidP="00710E67">
            <w:pPr>
              <w:spacing w:after="0" w:line="240" w:lineRule="auto"/>
              <w:jc w:val="left"/>
              <w:rPr>
                <w:rFonts w:ascii="Times New Roman" w:hAnsi="Times New Roman"/>
              </w:rPr>
            </w:pPr>
          </w:p>
        </w:tc>
        <w:tc>
          <w:tcPr>
            <w:tcW w:w="820" w:type="dxa"/>
            <w:tcBorders>
              <w:top w:val="nil"/>
              <w:left w:val="nil"/>
              <w:bottom w:val="nil"/>
              <w:right w:val="nil"/>
            </w:tcBorders>
            <w:shd w:val="clear" w:color="auto" w:fill="auto"/>
            <w:noWrap/>
            <w:vAlign w:val="center"/>
            <w:hideMark/>
          </w:tcPr>
          <w:p w14:paraId="76C18642" w14:textId="77777777" w:rsidR="00710E67" w:rsidRPr="00710E67" w:rsidRDefault="00710E67" w:rsidP="00710E67">
            <w:pPr>
              <w:spacing w:after="0" w:line="240" w:lineRule="auto"/>
              <w:jc w:val="left"/>
              <w:rPr>
                <w:rFonts w:ascii="Times New Roman" w:hAnsi="Times New Roman"/>
              </w:rPr>
            </w:pPr>
          </w:p>
        </w:tc>
      </w:tr>
      <w:tr w:rsidR="00710E67" w:rsidRPr="00710E67" w14:paraId="76C18649" w14:textId="77777777" w:rsidTr="00710E67">
        <w:trPr>
          <w:trHeight w:val="225"/>
        </w:trPr>
        <w:tc>
          <w:tcPr>
            <w:tcW w:w="3700" w:type="dxa"/>
            <w:tcBorders>
              <w:top w:val="nil"/>
              <w:left w:val="nil"/>
              <w:bottom w:val="nil"/>
              <w:right w:val="nil"/>
            </w:tcBorders>
            <w:shd w:val="clear" w:color="auto" w:fill="auto"/>
            <w:noWrap/>
            <w:vAlign w:val="center"/>
            <w:hideMark/>
          </w:tcPr>
          <w:p w14:paraId="76C18644" w14:textId="77777777" w:rsidR="00710E67" w:rsidRPr="00710E67" w:rsidRDefault="00710E67" w:rsidP="00710E67">
            <w:pPr>
              <w:spacing w:after="0" w:line="240" w:lineRule="auto"/>
              <w:ind w:firstLineChars="200" w:firstLine="320"/>
              <w:jc w:val="left"/>
              <w:rPr>
                <w:rFonts w:ascii="Arial" w:hAnsi="Arial" w:cs="Arial"/>
                <w:color w:val="000000"/>
                <w:sz w:val="16"/>
                <w:szCs w:val="16"/>
              </w:rPr>
            </w:pPr>
            <w:r w:rsidRPr="00710E67">
              <w:rPr>
                <w:rFonts w:ascii="Arial" w:hAnsi="Arial" w:cs="Arial"/>
                <w:color w:val="000000"/>
                <w:sz w:val="16"/>
                <w:szCs w:val="16"/>
              </w:rPr>
              <w:t>Departmental Capital Budget (DCB)</w:t>
            </w:r>
          </w:p>
        </w:tc>
        <w:tc>
          <w:tcPr>
            <w:tcW w:w="820" w:type="dxa"/>
            <w:tcBorders>
              <w:top w:val="nil"/>
              <w:left w:val="nil"/>
              <w:bottom w:val="nil"/>
              <w:right w:val="nil"/>
            </w:tcBorders>
            <w:shd w:val="clear" w:color="auto" w:fill="auto"/>
            <w:noWrap/>
            <w:vAlign w:val="center"/>
            <w:hideMark/>
          </w:tcPr>
          <w:p w14:paraId="76C18645"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920" w:type="dxa"/>
            <w:tcBorders>
              <w:top w:val="nil"/>
              <w:left w:val="nil"/>
              <w:bottom w:val="nil"/>
              <w:right w:val="nil"/>
            </w:tcBorders>
            <w:shd w:val="clear" w:color="auto" w:fill="auto"/>
            <w:noWrap/>
            <w:vAlign w:val="center"/>
            <w:hideMark/>
          </w:tcPr>
          <w:p w14:paraId="76C18646"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960" w:type="dxa"/>
            <w:tcBorders>
              <w:top w:val="nil"/>
              <w:left w:val="nil"/>
              <w:bottom w:val="nil"/>
              <w:right w:val="nil"/>
            </w:tcBorders>
            <w:shd w:val="clear" w:color="auto" w:fill="auto"/>
            <w:noWrap/>
            <w:vAlign w:val="center"/>
            <w:hideMark/>
          </w:tcPr>
          <w:p w14:paraId="76C18647"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99 </w:t>
            </w:r>
          </w:p>
        </w:tc>
        <w:tc>
          <w:tcPr>
            <w:tcW w:w="820" w:type="dxa"/>
            <w:tcBorders>
              <w:top w:val="nil"/>
              <w:left w:val="nil"/>
              <w:bottom w:val="nil"/>
              <w:right w:val="nil"/>
            </w:tcBorders>
            <w:shd w:val="clear" w:color="auto" w:fill="auto"/>
            <w:noWrap/>
            <w:vAlign w:val="center"/>
            <w:hideMark/>
          </w:tcPr>
          <w:p w14:paraId="76C18648"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99 </w:t>
            </w:r>
          </w:p>
        </w:tc>
      </w:tr>
      <w:tr w:rsidR="00710E67" w:rsidRPr="00710E67" w14:paraId="76C1864F" w14:textId="77777777" w:rsidTr="00B86D9C">
        <w:trPr>
          <w:trHeight w:val="267"/>
        </w:trPr>
        <w:tc>
          <w:tcPr>
            <w:tcW w:w="3700" w:type="dxa"/>
            <w:tcBorders>
              <w:top w:val="nil"/>
              <w:left w:val="nil"/>
              <w:bottom w:val="nil"/>
              <w:right w:val="nil"/>
            </w:tcBorders>
            <w:shd w:val="clear" w:color="auto" w:fill="auto"/>
            <w:vAlign w:val="center"/>
            <w:hideMark/>
          </w:tcPr>
          <w:p w14:paraId="76C1864A"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Sub-total transactions with owners</w:t>
            </w:r>
          </w:p>
        </w:tc>
        <w:tc>
          <w:tcPr>
            <w:tcW w:w="820" w:type="dxa"/>
            <w:tcBorders>
              <w:top w:val="single" w:sz="4" w:space="0" w:color="auto"/>
              <w:left w:val="nil"/>
              <w:bottom w:val="single" w:sz="4" w:space="0" w:color="auto"/>
              <w:right w:val="nil"/>
            </w:tcBorders>
            <w:shd w:val="clear" w:color="auto" w:fill="auto"/>
            <w:noWrap/>
            <w:vAlign w:val="bottom"/>
            <w:hideMark/>
          </w:tcPr>
          <w:p w14:paraId="76C1864B"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920" w:type="dxa"/>
            <w:tcBorders>
              <w:top w:val="single" w:sz="4" w:space="0" w:color="auto"/>
              <w:left w:val="nil"/>
              <w:bottom w:val="single" w:sz="4" w:space="0" w:color="auto"/>
              <w:right w:val="nil"/>
            </w:tcBorders>
            <w:shd w:val="clear" w:color="auto" w:fill="auto"/>
            <w:noWrap/>
            <w:vAlign w:val="bottom"/>
            <w:hideMark/>
          </w:tcPr>
          <w:p w14:paraId="76C1864C"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noWrap/>
            <w:vAlign w:val="bottom"/>
            <w:hideMark/>
          </w:tcPr>
          <w:p w14:paraId="76C1864D"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99 </w:t>
            </w:r>
          </w:p>
        </w:tc>
        <w:tc>
          <w:tcPr>
            <w:tcW w:w="820" w:type="dxa"/>
            <w:tcBorders>
              <w:top w:val="single" w:sz="4" w:space="0" w:color="auto"/>
              <w:left w:val="nil"/>
              <w:bottom w:val="single" w:sz="4" w:space="0" w:color="auto"/>
              <w:right w:val="nil"/>
            </w:tcBorders>
            <w:shd w:val="clear" w:color="auto" w:fill="auto"/>
            <w:noWrap/>
            <w:vAlign w:val="bottom"/>
            <w:hideMark/>
          </w:tcPr>
          <w:p w14:paraId="76C1864E"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99 </w:t>
            </w:r>
          </w:p>
        </w:tc>
      </w:tr>
      <w:tr w:rsidR="00710E67" w:rsidRPr="00710E67" w14:paraId="76C18655" w14:textId="77777777" w:rsidTr="00B86D9C">
        <w:trPr>
          <w:trHeight w:val="130"/>
        </w:trPr>
        <w:tc>
          <w:tcPr>
            <w:tcW w:w="3700" w:type="dxa"/>
            <w:tcBorders>
              <w:top w:val="nil"/>
              <w:left w:val="nil"/>
              <w:bottom w:val="nil"/>
              <w:right w:val="nil"/>
            </w:tcBorders>
            <w:shd w:val="clear" w:color="auto" w:fill="auto"/>
            <w:vAlign w:val="center"/>
            <w:hideMark/>
          </w:tcPr>
          <w:p w14:paraId="76C18650"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Estimated closing balance as at 30 June 2020</w:t>
            </w:r>
          </w:p>
        </w:tc>
        <w:tc>
          <w:tcPr>
            <w:tcW w:w="820" w:type="dxa"/>
            <w:tcBorders>
              <w:top w:val="nil"/>
              <w:left w:val="nil"/>
              <w:bottom w:val="single" w:sz="4" w:space="0" w:color="auto"/>
              <w:right w:val="nil"/>
            </w:tcBorders>
            <w:shd w:val="clear" w:color="auto" w:fill="auto"/>
            <w:noWrap/>
            <w:vAlign w:val="bottom"/>
            <w:hideMark/>
          </w:tcPr>
          <w:p w14:paraId="76C18651"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5,338 </w:t>
            </w:r>
          </w:p>
        </w:tc>
        <w:tc>
          <w:tcPr>
            <w:tcW w:w="920" w:type="dxa"/>
            <w:tcBorders>
              <w:top w:val="nil"/>
              <w:left w:val="nil"/>
              <w:bottom w:val="single" w:sz="4" w:space="0" w:color="auto"/>
              <w:right w:val="nil"/>
            </w:tcBorders>
            <w:shd w:val="clear" w:color="auto" w:fill="auto"/>
            <w:noWrap/>
            <w:vAlign w:val="bottom"/>
            <w:hideMark/>
          </w:tcPr>
          <w:p w14:paraId="76C18652"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776 </w:t>
            </w:r>
          </w:p>
        </w:tc>
        <w:tc>
          <w:tcPr>
            <w:tcW w:w="960" w:type="dxa"/>
            <w:tcBorders>
              <w:top w:val="nil"/>
              <w:left w:val="nil"/>
              <w:bottom w:val="single" w:sz="4" w:space="0" w:color="auto"/>
              <w:right w:val="nil"/>
            </w:tcBorders>
            <w:shd w:val="clear" w:color="auto" w:fill="auto"/>
            <w:noWrap/>
            <w:vAlign w:val="bottom"/>
            <w:hideMark/>
          </w:tcPr>
          <w:p w14:paraId="76C18653"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5,308 </w:t>
            </w:r>
          </w:p>
        </w:tc>
        <w:tc>
          <w:tcPr>
            <w:tcW w:w="820" w:type="dxa"/>
            <w:tcBorders>
              <w:top w:val="nil"/>
              <w:left w:val="nil"/>
              <w:bottom w:val="single" w:sz="4" w:space="0" w:color="auto"/>
              <w:right w:val="nil"/>
            </w:tcBorders>
            <w:shd w:val="clear" w:color="auto" w:fill="auto"/>
            <w:noWrap/>
            <w:vAlign w:val="bottom"/>
            <w:hideMark/>
          </w:tcPr>
          <w:p w14:paraId="76C18654"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11,422 </w:t>
            </w:r>
          </w:p>
        </w:tc>
      </w:tr>
      <w:tr w:rsidR="00710E67" w:rsidRPr="00710E67" w14:paraId="76C1865B" w14:textId="77777777" w:rsidTr="00710E67">
        <w:trPr>
          <w:trHeight w:val="450"/>
        </w:trPr>
        <w:tc>
          <w:tcPr>
            <w:tcW w:w="3700" w:type="dxa"/>
            <w:tcBorders>
              <w:top w:val="nil"/>
              <w:left w:val="nil"/>
              <w:bottom w:val="single" w:sz="4" w:space="0" w:color="auto"/>
              <w:right w:val="nil"/>
            </w:tcBorders>
            <w:shd w:val="clear" w:color="auto" w:fill="auto"/>
            <w:vAlign w:val="center"/>
            <w:hideMark/>
          </w:tcPr>
          <w:p w14:paraId="76C18656"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Closing balance attributable to the Australian Government</w:t>
            </w:r>
          </w:p>
        </w:tc>
        <w:tc>
          <w:tcPr>
            <w:tcW w:w="820" w:type="dxa"/>
            <w:tcBorders>
              <w:top w:val="nil"/>
              <w:left w:val="nil"/>
              <w:bottom w:val="single" w:sz="4" w:space="0" w:color="auto"/>
              <w:right w:val="nil"/>
            </w:tcBorders>
            <w:shd w:val="clear" w:color="auto" w:fill="auto"/>
            <w:noWrap/>
            <w:vAlign w:val="bottom"/>
            <w:hideMark/>
          </w:tcPr>
          <w:p w14:paraId="76C18657"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5,338 </w:t>
            </w:r>
          </w:p>
        </w:tc>
        <w:tc>
          <w:tcPr>
            <w:tcW w:w="920" w:type="dxa"/>
            <w:tcBorders>
              <w:top w:val="nil"/>
              <w:left w:val="nil"/>
              <w:bottom w:val="single" w:sz="4" w:space="0" w:color="auto"/>
              <w:right w:val="nil"/>
            </w:tcBorders>
            <w:shd w:val="clear" w:color="auto" w:fill="auto"/>
            <w:noWrap/>
            <w:vAlign w:val="bottom"/>
            <w:hideMark/>
          </w:tcPr>
          <w:p w14:paraId="76C18658"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776 </w:t>
            </w:r>
          </w:p>
        </w:tc>
        <w:tc>
          <w:tcPr>
            <w:tcW w:w="960" w:type="dxa"/>
            <w:tcBorders>
              <w:top w:val="nil"/>
              <w:left w:val="nil"/>
              <w:bottom w:val="single" w:sz="4" w:space="0" w:color="auto"/>
              <w:right w:val="nil"/>
            </w:tcBorders>
            <w:shd w:val="clear" w:color="auto" w:fill="auto"/>
            <w:noWrap/>
            <w:vAlign w:val="bottom"/>
            <w:hideMark/>
          </w:tcPr>
          <w:p w14:paraId="76C18659"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5,308 </w:t>
            </w:r>
          </w:p>
        </w:tc>
        <w:tc>
          <w:tcPr>
            <w:tcW w:w="820" w:type="dxa"/>
            <w:tcBorders>
              <w:top w:val="nil"/>
              <w:left w:val="nil"/>
              <w:bottom w:val="single" w:sz="4" w:space="0" w:color="auto"/>
              <w:right w:val="nil"/>
            </w:tcBorders>
            <w:shd w:val="clear" w:color="auto" w:fill="auto"/>
            <w:noWrap/>
            <w:vAlign w:val="bottom"/>
            <w:hideMark/>
          </w:tcPr>
          <w:p w14:paraId="76C1865A"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11,422 </w:t>
            </w:r>
          </w:p>
        </w:tc>
      </w:tr>
    </w:tbl>
    <w:p w14:paraId="76C1865C" w14:textId="77777777" w:rsidR="0061075E" w:rsidRPr="00132F9E" w:rsidRDefault="0061075E" w:rsidP="003732E1">
      <w:pPr>
        <w:pStyle w:val="TableGraphic"/>
        <w:spacing w:before="120"/>
        <w:jc w:val="left"/>
        <w:rPr>
          <w:rFonts w:ascii="Arial" w:hAnsi="Arial" w:cs="Arial"/>
          <w:sz w:val="16"/>
          <w:szCs w:val="16"/>
        </w:rPr>
      </w:pPr>
      <w:r w:rsidRPr="00D606C2">
        <w:rPr>
          <w:rFonts w:ascii="Arial" w:hAnsi="Arial" w:cs="Arial"/>
          <w:sz w:val="16"/>
        </w:rPr>
        <w:t>Prepared on Australian Accounting Standards basis</w:t>
      </w:r>
      <w:r w:rsidR="008121F6">
        <w:rPr>
          <w:rFonts w:ascii="Arial" w:hAnsi="Arial" w:cs="Arial"/>
          <w:sz w:val="16"/>
        </w:rPr>
        <w:t>.</w:t>
      </w:r>
    </w:p>
    <w:p w14:paraId="76C1865D" w14:textId="77777777" w:rsidR="0061075E" w:rsidRDefault="0061075E" w:rsidP="0061075E">
      <w:pPr>
        <w:pStyle w:val="TableHeading"/>
      </w:pPr>
      <w:r>
        <w:br w:type="page"/>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240" w:type="dxa"/>
        <w:tblLook w:val="04A0" w:firstRow="1" w:lastRow="0" w:firstColumn="1" w:lastColumn="0" w:noHBand="0" w:noVBand="1"/>
      </w:tblPr>
      <w:tblGrid>
        <w:gridCol w:w="2840"/>
        <w:gridCol w:w="928"/>
        <w:gridCol w:w="880"/>
        <w:gridCol w:w="880"/>
        <w:gridCol w:w="880"/>
        <w:gridCol w:w="880"/>
      </w:tblGrid>
      <w:tr w:rsidR="00710E67" w:rsidRPr="00710E67" w14:paraId="76C18664" w14:textId="77777777" w:rsidTr="00803AC9">
        <w:trPr>
          <w:trHeight w:val="785"/>
        </w:trPr>
        <w:tc>
          <w:tcPr>
            <w:tcW w:w="2840" w:type="dxa"/>
            <w:tcBorders>
              <w:top w:val="single" w:sz="4" w:space="0" w:color="auto"/>
              <w:left w:val="nil"/>
              <w:bottom w:val="nil"/>
              <w:right w:val="nil"/>
            </w:tcBorders>
            <w:shd w:val="clear" w:color="auto" w:fill="auto"/>
            <w:noWrap/>
            <w:hideMark/>
          </w:tcPr>
          <w:p w14:paraId="76C1865E" w14:textId="77777777" w:rsidR="00710E67" w:rsidRPr="00710E67" w:rsidRDefault="00710E67" w:rsidP="00710E67">
            <w:pPr>
              <w:spacing w:after="0" w:line="240" w:lineRule="auto"/>
              <w:jc w:val="left"/>
              <w:rPr>
                <w:rFonts w:ascii="Arial" w:hAnsi="Arial" w:cs="Arial"/>
                <w:b/>
                <w:bCs/>
                <w:sz w:val="16"/>
                <w:szCs w:val="16"/>
              </w:rPr>
            </w:pPr>
            <w:r w:rsidRPr="00710E67">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76C1865F" w14:textId="77777777" w:rsidR="00710E67" w:rsidRPr="00710E67" w:rsidRDefault="009A4174" w:rsidP="00710E67">
            <w:pPr>
              <w:spacing w:after="0" w:line="240" w:lineRule="auto"/>
              <w:jc w:val="right"/>
              <w:rPr>
                <w:rFonts w:ascii="Arial" w:hAnsi="Arial" w:cs="Arial"/>
                <w:sz w:val="16"/>
                <w:szCs w:val="16"/>
              </w:rPr>
            </w:pPr>
            <w:r>
              <w:rPr>
                <w:rFonts w:ascii="Arial" w:hAnsi="Arial" w:cs="Arial"/>
                <w:sz w:val="16"/>
                <w:szCs w:val="16"/>
              </w:rPr>
              <w:t xml:space="preserve">2018–19 </w:t>
            </w:r>
            <w:r w:rsidR="00710E67" w:rsidRPr="00710E67">
              <w:rPr>
                <w:rFonts w:ascii="Arial" w:hAnsi="Arial" w:cs="Arial"/>
                <w:sz w:val="16"/>
                <w:szCs w:val="16"/>
              </w:rPr>
              <w:t xml:space="preserve"> Estimated actual</w:t>
            </w:r>
            <w:r w:rsidR="00710E67" w:rsidRPr="00710E6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8660"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2019–20</w:t>
            </w:r>
            <w:r w:rsidRPr="00710E67">
              <w:rPr>
                <w:rFonts w:ascii="Arial" w:hAnsi="Arial" w:cs="Arial"/>
                <w:sz w:val="16"/>
                <w:szCs w:val="16"/>
              </w:rPr>
              <w:br/>
              <w:t>Budget</w:t>
            </w:r>
            <w:r w:rsidRPr="00710E67">
              <w:rPr>
                <w:rFonts w:ascii="Arial" w:hAnsi="Arial" w:cs="Arial"/>
                <w:sz w:val="16"/>
                <w:szCs w:val="16"/>
              </w:rPr>
              <w:br/>
            </w:r>
            <w:r w:rsidRPr="00710E6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8661"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2020–21 Forward estimate</w:t>
            </w:r>
            <w:r w:rsidRPr="00710E6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8662"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2021–22 Forward estimate</w:t>
            </w:r>
            <w:r w:rsidRPr="00710E6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8663"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2022–23</w:t>
            </w:r>
            <w:r w:rsidRPr="00710E67">
              <w:rPr>
                <w:rFonts w:ascii="Arial" w:hAnsi="Arial" w:cs="Arial"/>
                <w:sz w:val="16"/>
                <w:szCs w:val="16"/>
              </w:rPr>
              <w:br/>
              <w:t>Forward estimate</w:t>
            </w:r>
            <w:r w:rsidRPr="00710E67">
              <w:rPr>
                <w:rFonts w:ascii="Arial" w:hAnsi="Arial" w:cs="Arial"/>
                <w:sz w:val="16"/>
                <w:szCs w:val="16"/>
              </w:rPr>
              <w:br/>
              <w:t>$'000</w:t>
            </w:r>
          </w:p>
        </w:tc>
      </w:tr>
      <w:tr w:rsidR="00710E67" w:rsidRPr="00710E67" w14:paraId="76C1866B" w14:textId="77777777" w:rsidTr="00710E67">
        <w:trPr>
          <w:trHeight w:val="225"/>
        </w:trPr>
        <w:tc>
          <w:tcPr>
            <w:tcW w:w="2840" w:type="dxa"/>
            <w:tcBorders>
              <w:top w:val="nil"/>
              <w:left w:val="nil"/>
              <w:bottom w:val="nil"/>
              <w:right w:val="nil"/>
            </w:tcBorders>
            <w:shd w:val="clear" w:color="auto" w:fill="auto"/>
            <w:noWrap/>
            <w:vAlign w:val="center"/>
            <w:hideMark/>
          </w:tcPr>
          <w:p w14:paraId="76C18665"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OPERATING ACTIVITIES</w:t>
            </w:r>
          </w:p>
        </w:tc>
        <w:tc>
          <w:tcPr>
            <w:tcW w:w="880" w:type="dxa"/>
            <w:tcBorders>
              <w:top w:val="nil"/>
              <w:left w:val="nil"/>
              <w:bottom w:val="nil"/>
              <w:right w:val="nil"/>
            </w:tcBorders>
            <w:shd w:val="clear" w:color="auto" w:fill="auto"/>
            <w:noWrap/>
            <w:vAlign w:val="center"/>
            <w:hideMark/>
          </w:tcPr>
          <w:p w14:paraId="76C18666"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667"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668"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669"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66A" w14:textId="77777777" w:rsidR="00710E67" w:rsidRPr="00710E67" w:rsidRDefault="00710E67" w:rsidP="00710E67">
            <w:pPr>
              <w:spacing w:after="0" w:line="240" w:lineRule="auto"/>
              <w:jc w:val="left"/>
              <w:rPr>
                <w:rFonts w:ascii="Times New Roman" w:hAnsi="Times New Roman"/>
              </w:rPr>
            </w:pPr>
          </w:p>
        </w:tc>
      </w:tr>
      <w:tr w:rsidR="00710E67" w:rsidRPr="00710E67" w14:paraId="76C18672" w14:textId="77777777" w:rsidTr="00710E67">
        <w:trPr>
          <w:trHeight w:val="225"/>
        </w:trPr>
        <w:tc>
          <w:tcPr>
            <w:tcW w:w="2840" w:type="dxa"/>
            <w:tcBorders>
              <w:top w:val="nil"/>
              <w:left w:val="nil"/>
              <w:bottom w:val="nil"/>
              <w:right w:val="nil"/>
            </w:tcBorders>
            <w:shd w:val="clear" w:color="auto" w:fill="auto"/>
            <w:noWrap/>
            <w:vAlign w:val="center"/>
            <w:hideMark/>
          </w:tcPr>
          <w:p w14:paraId="76C1866C"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866D"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66E"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66F"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670"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671" w14:textId="77777777" w:rsidR="00710E67" w:rsidRPr="00710E67" w:rsidRDefault="00710E67" w:rsidP="00710E67">
            <w:pPr>
              <w:spacing w:after="0" w:line="240" w:lineRule="auto"/>
              <w:jc w:val="left"/>
              <w:rPr>
                <w:rFonts w:ascii="Times New Roman" w:hAnsi="Times New Roman"/>
              </w:rPr>
            </w:pPr>
          </w:p>
        </w:tc>
      </w:tr>
      <w:tr w:rsidR="00710E67" w:rsidRPr="00710E67" w14:paraId="76C18679" w14:textId="77777777" w:rsidTr="00710E67">
        <w:trPr>
          <w:trHeight w:val="225"/>
        </w:trPr>
        <w:tc>
          <w:tcPr>
            <w:tcW w:w="2840" w:type="dxa"/>
            <w:tcBorders>
              <w:top w:val="nil"/>
              <w:left w:val="nil"/>
              <w:bottom w:val="nil"/>
              <w:right w:val="nil"/>
            </w:tcBorders>
            <w:shd w:val="clear" w:color="auto" w:fill="auto"/>
            <w:noWrap/>
            <w:vAlign w:val="center"/>
            <w:hideMark/>
          </w:tcPr>
          <w:p w14:paraId="76C18673"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Appropriations</w:t>
            </w:r>
          </w:p>
        </w:tc>
        <w:tc>
          <w:tcPr>
            <w:tcW w:w="880" w:type="dxa"/>
            <w:tcBorders>
              <w:top w:val="nil"/>
              <w:left w:val="nil"/>
              <w:bottom w:val="nil"/>
              <w:right w:val="nil"/>
            </w:tcBorders>
            <w:shd w:val="clear" w:color="auto" w:fill="auto"/>
            <w:noWrap/>
            <w:vAlign w:val="center"/>
            <w:hideMark/>
          </w:tcPr>
          <w:p w14:paraId="76C18674"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10,231 </w:t>
            </w:r>
          </w:p>
        </w:tc>
        <w:tc>
          <w:tcPr>
            <w:tcW w:w="880" w:type="dxa"/>
            <w:tcBorders>
              <w:top w:val="nil"/>
              <w:left w:val="nil"/>
              <w:bottom w:val="nil"/>
              <w:right w:val="nil"/>
            </w:tcBorders>
            <w:shd w:val="clear" w:color="000000" w:fill="E6E6E6"/>
            <w:noWrap/>
            <w:vAlign w:val="center"/>
            <w:hideMark/>
          </w:tcPr>
          <w:p w14:paraId="76C18675"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10,422 </w:t>
            </w:r>
          </w:p>
        </w:tc>
        <w:tc>
          <w:tcPr>
            <w:tcW w:w="880" w:type="dxa"/>
            <w:tcBorders>
              <w:top w:val="nil"/>
              <w:left w:val="nil"/>
              <w:bottom w:val="nil"/>
              <w:right w:val="nil"/>
            </w:tcBorders>
            <w:shd w:val="clear" w:color="auto" w:fill="auto"/>
            <w:noWrap/>
            <w:vAlign w:val="center"/>
            <w:hideMark/>
          </w:tcPr>
          <w:p w14:paraId="76C18676"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10,584 </w:t>
            </w:r>
          </w:p>
        </w:tc>
        <w:tc>
          <w:tcPr>
            <w:tcW w:w="880" w:type="dxa"/>
            <w:tcBorders>
              <w:top w:val="nil"/>
              <w:left w:val="nil"/>
              <w:bottom w:val="nil"/>
              <w:right w:val="nil"/>
            </w:tcBorders>
            <w:shd w:val="clear" w:color="auto" w:fill="auto"/>
            <w:noWrap/>
            <w:vAlign w:val="center"/>
            <w:hideMark/>
          </w:tcPr>
          <w:p w14:paraId="76C18677"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10,807 </w:t>
            </w:r>
          </w:p>
        </w:tc>
        <w:tc>
          <w:tcPr>
            <w:tcW w:w="880" w:type="dxa"/>
            <w:tcBorders>
              <w:top w:val="nil"/>
              <w:left w:val="nil"/>
              <w:bottom w:val="nil"/>
              <w:right w:val="nil"/>
            </w:tcBorders>
            <w:shd w:val="clear" w:color="auto" w:fill="auto"/>
            <w:noWrap/>
            <w:vAlign w:val="center"/>
            <w:hideMark/>
          </w:tcPr>
          <w:p w14:paraId="76C18678"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11,077 </w:t>
            </w:r>
          </w:p>
        </w:tc>
      </w:tr>
      <w:tr w:rsidR="00710E67" w:rsidRPr="00710E67" w14:paraId="76C18680" w14:textId="77777777" w:rsidTr="00710E67">
        <w:trPr>
          <w:trHeight w:val="450"/>
        </w:trPr>
        <w:tc>
          <w:tcPr>
            <w:tcW w:w="2840" w:type="dxa"/>
            <w:tcBorders>
              <w:top w:val="nil"/>
              <w:left w:val="nil"/>
              <w:bottom w:val="nil"/>
              <w:right w:val="nil"/>
            </w:tcBorders>
            <w:shd w:val="clear" w:color="auto" w:fill="auto"/>
            <w:vAlign w:val="center"/>
            <w:hideMark/>
          </w:tcPr>
          <w:p w14:paraId="76C1867A"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Sale of goods and rendering of services</w:t>
            </w:r>
          </w:p>
        </w:tc>
        <w:tc>
          <w:tcPr>
            <w:tcW w:w="880" w:type="dxa"/>
            <w:tcBorders>
              <w:top w:val="nil"/>
              <w:left w:val="nil"/>
              <w:bottom w:val="nil"/>
              <w:right w:val="nil"/>
            </w:tcBorders>
            <w:shd w:val="clear" w:color="auto" w:fill="auto"/>
            <w:noWrap/>
            <w:vAlign w:val="center"/>
            <w:hideMark/>
          </w:tcPr>
          <w:p w14:paraId="76C1867B"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11,294 </w:t>
            </w:r>
          </w:p>
        </w:tc>
        <w:tc>
          <w:tcPr>
            <w:tcW w:w="880" w:type="dxa"/>
            <w:tcBorders>
              <w:top w:val="nil"/>
              <w:left w:val="nil"/>
              <w:bottom w:val="nil"/>
              <w:right w:val="nil"/>
            </w:tcBorders>
            <w:shd w:val="clear" w:color="000000" w:fill="E6E6E6"/>
            <w:noWrap/>
            <w:vAlign w:val="center"/>
            <w:hideMark/>
          </w:tcPr>
          <w:p w14:paraId="76C1867C"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11,572 </w:t>
            </w:r>
          </w:p>
        </w:tc>
        <w:tc>
          <w:tcPr>
            <w:tcW w:w="880" w:type="dxa"/>
            <w:tcBorders>
              <w:top w:val="nil"/>
              <w:left w:val="nil"/>
              <w:bottom w:val="nil"/>
              <w:right w:val="nil"/>
            </w:tcBorders>
            <w:shd w:val="clear" w:color="auto" w:fill="auto"/>
            <w:noWrap/>
            <w:vAlign w:val="center"/>
            <w:hideMark/>
          </w:tcPr>
          <w:p w14:paraId="76C1867D"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11,923 </w:t>
            </w:r>
          </w:p>
        </w:tc>
        <w:tc>
          <w:tcPr>
            <w:tcW w:w="880" w:type="dxa"/>
            <w:tcBorders>
              <w:top w:val="nil"/>
              <w:left w:val="nil"/>
              <w:bottom w:val="nil"/>
              <w:right w:val="nil"/>
            </w:tcBorders>
            <w:shd w:val="clear" w:color="auto" w:fill="auto"/>
            <w:noWrap/>
            <w:vAlign w:val="center"/>
            <w:hideMark/>
          </w:tcPr>
          <w:p w14:paraId="76C1867E"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12,173 </w:t>
            </w:r>
          </w:p>
        </w:tc>
        <w:tc>
          <w:tcPr>
            <w:tcW w:w="880" w:type="dxa"/>
            <w:tcBorders>
              <w:top w:val="nil"/>
              <w:left w:val="nil"/>
              <w:bottom w:val="nil"/>
              <w:right w:val="nil"/>
            </w:tcBorders>
            <w:shd w:val="clear" w:color="auto" w:fill="auto"/>
            <w:noWrap/>
            <w:vAlign w:val="center"/>
            <w:hideMark/>
          </w:tcPr>
          <w:p w14:paraId="76C1867F"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12,477 </w:t>
            </w:r>
          </w:p>
        </w:tc>
      </w:tr>
      <w:tr w:rsidR="00710E67" w:rsidRPr="00710E67" w14:paraId="76C18687" w14:textId="77777777" w:rsidTr="00710E67">
        <w:trPr>
          <w:trHeight w:val="210"/>
        </w:trPr>
        <w:tc>
          <w:tcPr>
            <w:tcW w:w="2840" w:type="dxa"/>
            <w:tcBorders>
              <w:top w:val="nil"/>
              <w:left w:val="nil"/>
              <w:bottom w:val="nil"/>
              <w:right w:val="nil"/>
            </w:tcBorders>
            <w:shd w:val="clear" w:color="auto" w:fill="auto"/>
            <w:noWrap/>
            <w:vAlign w:val="center"/>
            <w:hideMark/>
          </w:tcPr>
          <w:p w14:paraId="76C18681"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8682"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21,525 </w:t>
            </w:r>
          </w:p>
        </w:tc>
        <w:tc>
          <w:tcPr>
            <w:tcW w:w="880" w:type="dxa"/>
            <w:tcBorders>
              <w:top w:val="single" w:sz="4" w:space="0" w:color="auto"/>
              <w:left w:val="nil"/>
              <w:bottom w:val="single" w:sz="4" w:space="0" w:color="auto"/>
              <w:right w:val="nil"/>
            </w:tcBorders>
            <w:shd w:val="clear" w:color="000000" w:fill="E6E6E6"/>
            <w:noWrap/>
            <w:vAlign w:val="center"/>
            <w:hideMark/>
          </w:tcPr>
          <w:p w14:paraId="76C18683"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21,994 </w:t>
            </w:r>
          </w:p>
        </w:tc>
        <w:tc>
          <w:tcPr>
            <w:tcW w:w="880" w:type="dxa"/>
            <w:tcBorders>
              <w:top w:val="single" w:sz="4" w:space="0" w:color="auto"/>
              <w:left w:val="nil"/>
              <w:bottom w:val="single" w:sz="4" w:space="0" w:color="auto"/>
              <w:right w:val="nil"/>
            </w:tcBorders>
            <w:shd w:val="clear" w:color="auto" w:fill="auto"/>
            <w:noWrap/>
            <w:vAlign w:val="center"/>
            <w:hideMark/>
          </w:tcPr>
          <w:p w14:paraId="76C18684"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22,507 </w:t>
            </w:r>
          </w:p>
        </w:tc>
        <w:tc>
          <w:tcPr>
            <w:tcW w:w="880" w:type="dxa"/>
            <w:tcBorders>
              <w:top w:val="single" w:sz="4" w:space="0" w:color="auto"/>
              <w:left w:val="nil"/>
              <w:bottom w:val="single" w:sz="4" w:space="0" w:color="auto"/>
              <w:right w:val="nil"/>
            </w:tcBorders>
            <w:shd w:val="clear" w:color="auto" w:fill="auto"/>
            <w:noWrap/>
            <w:vAlign w:val="center"/>
            <w:hideMark/>
          </w:tcPr>
          <w:p w14:paraId="76C18685"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22,980 </w:t>
            </w:r>
          </w:p>
        </w:tc>
        <w:tc>
          <w:tcPr>
            <w:tcW w:w="880" w:type="dxa"/>
            <w:tcBorders>
              <w:top w:val="single" w:sz="4" w:space="0" w:color="auto"/>
              <w:left w:val="nil"/>
              <w:bottom w:val="single" w:sz="4" w:space="0" w:color="auto"/>
              <w:right w:val="nil"/>
            </w:tcBorders>
            <w:shd w:val="clear" w:color="auto" w:fill="auto"/>
            <w:noWrap/>
            <w:vAlign w:val="center"/>
            <w:hideMark/>
          </w:tcPr>
          <w:p w14:paraId="76C18686"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23,554 </w:t>
            </w:r>
          </w:p>
        </w:tc>
      </w:tr>
      <w:tr w:rsidR="00710E67" w:rsidRPr="00710E67" w14:paraId="76C1868E" w14:textId="77777777" w:rsidTr="00710E67">
        <w:trPr>
          <w:trHeight w:val="225"/>
        </w:trPr>
        <w:tc>
          <w:tcPr>
            <w:tcW w:w="2840" w:type="dxa"/>
            <w:tcBorders>
              <w:top w:val="nil"/>
              <w:left w:val="nil"/>
              <w:bottom w:val="nil"/>
              <w:right w:val="nil"/>
            </w:tcBorders>
            <w:shd w:val="clear" w:color="auto" w:fill="auto"/>
            <w:noWrap/>
            <w:vAlign w:val="center"/>
            <w:hideMark/>
          </w:tcPr>
          <w:p w14:paraId="76C18688"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8689"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68A"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68B"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68C"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68D" w14:textId="77777777" w:rsidR="00710E67" w:rsidRPr="00710E67" w:rsidRDefault="00710E67" w:rsidP="00710E67">
            <w:pPr>
              <w:spacing w:after="0" w:line="240" w:lineRule="auto"/>
              <w:jc w:val="left"/>
              <w:rPr>
                <w:rFonts w:ascii="Times New Roman" w:hAnsi="Times New Roman"/>
              </w:rPr>
            </w:pPr>
          </w:p>
        </w:tc>
      </w:tr>
      <w:tr w:rsidR="00710E67" w:rsidRPr="00710E67" w14:paraId="76C18695" w14:textId="77777777" w:rsidTr="00710E67">
        <w:trPr>
          <w:trHeight w:val="225"/>
        </w:trPr>
        <w:tc>
          <w:tcPr>
            <w:tcW w:w="2840" w:type="dxa"/>
            <w:tcBorders>
              <w:top w:val="nil"/>
              <w:left w:val="nil"/>
              <w:bottom w:val="nil"/>
              <w:right w:val="nil"/>
            </w:tcBorders>
            <w:shd w:val="clear" w:color="auto" w:fill="auto"/>
            <w:noWrap/>
            <w:vAlign w:val="center"/>
            <w:hideMark/>
          </w:tcPr>
          <w:p w14:paraId="76C1868F"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Employees</w:t>
            </w:r>
          </w:p>
        </w:tc>
        <w:tc>
          <w:tcPr>
            <w:tcW w:w="880" w:type="dxa"/>
            <w:tcBorders>
              <w:top w:val="nil"/>
              <w:left w:val="nil"/>
              <w:bottom w:val="nil"/>
              <w:right w:val="nil"/>
            </w:tcBorders>
            <w:shd w:val="clear" w:color="auto" w:fill="auto"/>
            <w:noWrap/>
            <w:vAlign w:val="center"/>
            <w:hideMark/>
          </w:tcPr>
          <w:p w14:paraId="76C18690"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13,281 </w:t>
            </w:r>
          </w:p>
        </w:tc>
        <w:tc>
          <w:tcPr>
            <w:tcW w:w="880" w:type="dxa"/>
            <w:tcBorders>
              <w:top w:val="nil"/>
              <w:left w:val="nil"/>
              <w:bottom w:val="nil"/>
              <w:right w:val="nil"/>
            </w:tcBorders>
            <w:shd w:val="clear" w:color="000000" w:fill="E6E6E6"/>
            <w:noWrap/>
            <w:vAlign w:val="center"/>
            <w:hideMark/>
          </w:tcPr>
          <w:p w14:paraId="76C18691"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12,988 </w:t>
            </w:r>
          </w:p>
        </w:tc>
        <w:tc>
          <w:tcPr>
            <w:tcW w:w="880" w:type="dxa"/>
            <w:tcBorders>
              <w:top w:val="nil"/>
              <w:left w:val="nil"/>
              <w:bottom w:val="nil"/>
              <w:right w:val="nil"/>
            </w:tcBorders>
            <w:shd w:val="clear" w:color="auto" w:fill="auto"/>
            <w:noWrap/>
            <w:vAlign w:val="center"/>
            <w:hideMark/>
          </w:tcPr>
          <w:p w14:paraId="76C18692"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13,246 </w:t>
            </w:r>
          </w:p>
        </w:tc>
        <w:tc>
          <w:tcPr>
            <w:tcW w:w="880" w:type="dxa"/>
            <w:tcBorders>
              <w:top w:val="nil"/>
              <w:left w:val="nil"/>
              <w:bottom w:val="nil"/>
              <w:right w:val="nil"/>
            </w:tcBorders>
            <w:shd w:val="clear" w:color="auto" w:fill="auto"/>
            <w:noWrap/>
            <w:vAlign w:val="center"/>
            <w:hideMark/>
          </w:tcPr>
          <w:p w14:paraId="76C18693"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13,574 </w:t>
            </w:r>
          </w:p>
        </w:tc>
        <w:tc>
          <w:tcPr>
            <w:tcW w:w="880" w:type="dxa"/>
            <w:tcBorders>
              <w:top w:val="nil"/>
              <w:left w:val="nil"/>
              <w:bottom w:val="nil"/>
              <w:right w:val="nil"/>
            </w:tcBorders>
            <w:shd w:val="clear" w:color="auto" w:fill="auto"/>
            <w:noWrap/>
            <w:vAlign w:val="center"/>
            <w:hideMark/>
          </w:tcPr>
          <w:p w14:paraId="76C18694"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13,910 </w:t>
            </w:r>
          </w:p>
        </w:tc>
      </w:tr>
      <w:tr w:rsidR="00710E67" w:rsidRPr="00710E67" w14:paraId="76C1869C" w14:textId="77777777" w:rsidTr="00710E67">
        <w:trPr>
          <w:trHeight w:val="225"/>
        </w:trPr>
        <w:tc>
          <w:tcPr>
            <w:tcW w:w="2840" w:type="dxa"/>
            <w:tcBorders>
              <w:top w:val="nil"/>
              <w:left w:val="nil"/>
              <w:bottom w:val="nil"/>
              <w:right w:val="nil"/>
            </w:tcBorders>
            <w:shd w:val="clear" w:color="auto" w:fill="auto"/>
            <w:noWrap/>
            <w:vAlign w:val="center"/>
            <w:hideMark/>
          </w:tcPr>
          <w:p w14:paraId="76C18696"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center"/>
            <w:hideMark/>
          </w:tcPr>
          <w:p w14:paraId="76C18697"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7,871 </w:t>
            </w:r>
          </w:p>
        </w:tc>
        <w:tc>
          <w:tcPr>
            <w:tcW w:w="880" w:type="dxa"/>
            <w:tcBorders>
              <w:top w:val="nil"/>
              <w:left w:val="nil"/>
              <w:bottom w:val="nil"/>
              <w:right w:val="nil"/>
            </w:tcBorders>
            <w:shd w:val="clear" w:color="000000" w:fill="E6E6E6"/>
            <w:noWrap/>
            <w:vAlign w:val="center"/>
            <w:hideMark/>
          </w:tcPr>
          <w:p w14:paraId="76C18698"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8,634 </w:t>
            </w:r>
          </w:p>
        </w:tc>
        <w:tc>
          <w:tcPr>
            <w:tcW w:w="880" w:type="dxa"/>
            <w:tcBorders>
              <w:top w:val="nil"/>
              <w:left w:val="nil"/>
              <w:bottom w:val="nil"/>
              <w:right w:val="nil"/>
            </w:tcBorders>
            <w:shd w:val="clear" w:color="auto" w:fill="auto"/>
            <w:noWrap/>
            <w:vAlign w:val="center"/>
            <w:hideMark/>
          </w:tcPr>
          <w:p w14:paraId="76C18699"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8,877 </w:t>
            </w:r>
          </w:p>
        </w:tc>
        <w:tc>
          <w:tcPr>
            <w:tcW w:w="880" w:type="dxa"/>
            <w:tcBorders>
              <w:top w:val="nil"/>
              <w:left w:val="nil"/>
              <w:bottom w:val="nil"/>
              <w:right w:val="nil"/>
            </w:tcBorders>
            <w:shd w:val="clear" w:color="auto" w:fill="auto"/>
            <w:noWrap/>
            <w:vAlign w:val="center"/>
            <w:hideMark/>
          </w:tcPr>
          <w:p w14:paraId="76C1869A"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9,027 </w:t>
            </w:r>
          </w:p>
        </w:tc>
        <w:tc>
          <w:tcPr>
            <w:tcW w:w="880" w:type="dxa"/>
            <w:tcBorders>
              <w:top w:val="nil"/>
              <w:left w:val="nil"/>
              <w:bottom w:val="nil"/>
              <w:right w:val="nil"/>
            </w:tcBorders>
            <w:shd w:val="clear" w:color="auto" w:fill="auto"/>
            <w:noWrap/>
            <w:vAlign w:val="center"/>
            <w:hideMark/>
          </w:tcPr>
          <w:p w14:paraId="76C1869B"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9,133 </w:t>
            </w:r>
          </w:p>
        </w:tc>
      </w:tr>
      <w:tr w:rsidR="00710E67" w:rsidRPr="00710E67" w14:paraId="76C186A3" w14:textId="77777777" w:rsidTr="00710E67">
        <w:trPr>
          <w:trHeight w:val="225"/>
        </w:trPr>
        <w:tc>
          <w:tcPr>
            <w:tcW w:w="2840" w:type="dxa"/>
            <w:tcBorders>
              <w:top w:val="nil"/>
              <w:left w:val="nil"/>
              <w:bottom w:val="nil"/>
              <w:right w:val="nil"/>
            </w:tcBorders>
            <w:shd w:val="clear" w:color="auto" w:fill="auto"/>
            <w:noWrap/>
            <w:vAlign w:val="center"/>
            <w:hideMark/>
          </w:tcPr>
          <w:p w14:paraId="76C1869D" w14:textId="77777777" w:rsidR="00710E67" w:rsidRPr="00B86D9C" w:rsidRDefault="00710E67"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Grants</w:t>
            </w:r>
          </w:p>
        </w:tc>
        <w:tc>
          <w:tcPr>
            <w:tcW w:w="880" w:type="dxa"/>
            <w:tcBorders>
              <w:top w:val="nil"/>
              <w:left w:val="nil"/>
              <w:bottom w:val="nil"/>
              <w:right w:val="nil"/>
            </w:tcBorders>
            <w:shd w:val="clear" w:color="auto" w:fill="auto"/>
            <w:noWrap/>
            <w:vAlign w:val="center"/>
            <w:hideMark/>
          </w:tcPr>
          <w:p w14:paraId="76C1869E"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154 </w:t>
            </w:r>
          </w:p>
        </w:tc>
        <w:tc>
          <w:tcPr>
            <w:tcW w:w="880" w:type="dxa"/>
            <w:tcBorders>
              <w:top w:val="nil"/>
              <w:left w:val="nil"/>
              <w:bottom w:val="nil"/>
              <w:right w:val="nil"/>
            </w:tcBorders>
            <w:shd w:val="clear" w:color="000000" w:fill="E6E6E6"/>
            <w:noWrap/>
            <w:vAlign w:val="center"/>
            <w:hideMark/>
          </w:tcPr>
          <w:p w14:paraId="76C1869F"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154 </w:t>
            </w:r>
          </w:p>
        </w:tc>
        <w:tc>
          <w:tcPr>
            <w:tcW w:w="880" w:type="dxa"/>
            <w:tcBorders>
              <w:top w:val="nil"/>
              <w:left w:val="nil"/>
              <w:bottom w:val="nil"/>
              <w:right w:val="nil"/>
            </w:tcBorders>
            <w:shd w:val="clear" w:color="auto" w:fill="auto"/>
            <w:noWrap/>
            <w:vAlign w:val="center"/>
            <w:hideMark/>
          </w:tcPr>
          <w:p w14:paraId="76C186A0"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154 </w:t>
            </w:r>
          </w:p>
        </w:tc>
        <w:tc>
          <w:tcPr>
            <w:tcW w:w="880" w:type="dxa"/>
            <w:tcBorders>
              <w:top w:val="nil"/>
              <w:left w:val="nil"/>
              <w:bottom w:val="nil"/>
              <w:right w:val="nil"/>
            </w:tcBorders>
            <w:shd w:val="clear" w:color="auto" w:fill="auto"/>
            <w:noWrap/>
            <w:vAlign w:val="center"/>
            <w:hideMark/>
          </w:tcPr>
          <w:p w14:paraId="76C186A1"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154 </w:t>
            </w:r>
          </w:p>
        </w:tc>
        <w:tc>
          <w:tcPr>
            <w:tcW w:w="880" w:type="dxa"/>
            <w:tcBorders>
              <w:top w:val="nil"/>
              <w:left w:val="nil"/>
              <w:bottom w:val="nil"/>
              <w:right w:val="nil"/>
            </w:tcBorders>
            <w:shd w:val="clear" w:color="auto" w:fill="auto"/>
            <w:noWrap/>
            <w:vAlign w:val="center"/>
            <w:hideMark/>
          </w:tcPr>
          <w:p w14:paraId="76C186A2"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154 </w:t>
            </w:r>
          </w:p>
        </w:tc>
      </w:tr>
      <w:tr w:rsidR="00710E67" w:rsidRPr="00710E67" w14:paraId="76C186AA" w14:textId="77777777" w:rsidTr="00710E67">
        <w:trPr>
          <w:trHeight w:val="225"/>
        </w:trPr>
        <w:tc>
          <w:tcPr>
            <w:tcW w:w="2840" w:type="dxa"/>
            <w:tcBorders>
              <w:top w:val="nil"/>
              <w:left w:val="nil"/>
              <w:bottom w:val="nil"/>
              <w:right w:val="nil"/>
            </w:tcBorders>
            <w:shd w:val="clear" w:color="auto" w:fill="auto"/>
            <w:noWrap/>
            <w:vAlign w:val="center"/>
            <w:hideMark/>
          </w:tcPr>
          <w:p w14:paraId="76C186A4" w14:textId="77777777" w:rsidR="00710E67" w:rsidRPr="00B86D9C" w:rsidRDefault="00710E67"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Net GST paid</w:t>
            </w:r>
          </w:p>
        </w:tc>
        <w:tc>
          <w:tcPr>
            <w:tcW w:w="880" w:type="dxa"/>
            <w:tcBorders>
              <w:top w:val="nil"/>
              <w:left w:val="nil"/>
              <w:bottom w:val="nil"/>
              <w:right w:val="nil"/>
            </w:tcBorders>
            <w:shd w:val="clear" w:color="auto" w:fill="auto"/>
            <w:noWrap/>
            <w:vAlign w:val="center"/>
            <w:hideMark/>
          </w:tcPr>
          <w:p w14:paraId="76C186A5"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219 </w:t>
            </w:r>
          </w:p>
        </w:tc>
        <w:tc>
          <w:tcPr>
            <w:tcW w:w="880" w:type="dxa"/>
            <w:tcBorders>
              <w:top w:val="nil"/>
              <w:left w:val="nil"/>
              <w:bottom w:val="nil"/>
              <w:right w:val="nil"/>
            </w:tcBorders>
            <w:shd w:val="clear" w:color="000000" w:fill="E6E6E6"/>
            <w:noWrap/>
            <w:vAlign w:val="center"/>
            <w:hideMark/>
          </w:tcPr>
          <w:p w14:paraId="76C186A6"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218 </w:t>
            </w:r>
          </w:p>
        </w:tc>
        <w:tc>
          <w:tcPr>
            <w:tcW w:w="880" w:type="dxa"/>
            <w:tcBorders>
              <w:top w:val="nil"/>
              <w:left w:val="nil"/>
              <w:bottom w:val="nil"/>
              <w:right w:val="nil"/>
            </w:tcBorders>
            <w:shd w:val="clear" w:color="auto" w:fill="auto"/>
            <w:noWrap/>
            <w:vAlign w:val="center"/>
            <w:hideMark/>
          </w:tcPr>
          <w:p w14:paraId="76C186A7"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230 </w:t>
            </w:r>
          </w:p>
        </w:tc>
        <w:tc>
          <w:tcPr>
            <w:tcW w:w="880" w:type="dxa"/>
            <w:tcBorders>
              <w:top w:val="nil"/>
              <w:left w:val="nil"/>
              <w:bottom w:val="nil"/>
              <w:right w:val="nil"/>
            </w:tcBorders>
            <w:shd w:val="clear" w:color="auto" w:fill="auto"/>
            <w:noWrap/>
            <w:vAlign w:val="center"/>
            <w:hideMark/>
          </w:tcPr>
          <w:p w14:paraId="76C186A8"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225 </w:t>
            </w:r>
          </w:p>
        </w:tc>
        <w:tc>
          <w:tcPr>
            <w:tcW w:w="880" w:type="dxa"/>
            <w:tcBorders>
              <w:top w:val="nil"/>
              <w:left w:val="nil"/>
              <w:bottom w:val="nil"/>
              <w:right w:val="nil"/>
            </w:tcBorders>
            <w:shd w:val="clear" w:color="auto" w:fill="auto"/>
            <w:noWrap/>
            <w:vAlign w:val="center"/>
            <w:hideMark/>
          </w:tcPr>
          <w:p w14:paraId="76C186A9"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357 </w:t>
            </w:r>
          </w:p>
        </w:tc>
      </w:tr>
      <w:tr w:rsidR="00710E67" w:rsidRPr="00710E67" w14:paraId="76C186B1" w14:textId="77777777" w:rsidTr="00710E67">
        <w:trPr>
          <w:trHeight w:val="210"/>
        </w:trPr>
        <w:tc>
          <w:tcPr>
            <w:tcW w:w="2840" w:type="dxa"/>
            <w:tcBorders>
              <w:top w:val="nil"/>
              <w:left w:val="nil"/>
              <w:bottom w:val="nil"/>
              <w:right w:val="nil"/>
            </w:tcBorders>
            <w:shd w:val="clear" w:color="auto" w:fill="auto"/>
            <w:noWrap/>
            <w:vAlign w:val="center"/>
            <w:hideMark/>
          </w:tcPr>
          <w:p w14:paraId="76C186AB"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86AC"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21,525 </w:t>
            </w:r>
          </w:p>
        </w:tc>
        <w:tc>
          <w:tcPr>
            <w:tcW w:w="880" w:type="dxa"/>
            <w:tcBorders>
              <w:top w:val="single" w:sz="4" w:space="0" w:color="auto"/>
              <w:left w:val="nil"/>
              <w:bottom w:val="single" w:sz="4" w:space="0" w:color="auto"/>
              <w:right w:val="nil"/>
            </w:tcBorders>
            <w:shd w:val="clear" w:color="000000" w:fill="E6E6E6"/>
            <w:noWrap/>
            <w:vAlign w:val="center"/>
            <w:hideMark/>
          </w:tcPr>
          <w:p w14:paraId="76C186AD"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21,994 </w:t>
            </w:r>
          </w:p>
        </w:tc>
        <w:tc>
          <w:tcPr>
            <w:tcW w:w="880" w:type="dxa"/>
            <w:tcBorders>
              <w:top w:val="single" w:sz="4" w:space="0" w:color="auto"/>
              <w:left w:val="nil"/>
              <w:bottom w:val="single" w:sz="4" w:space="0" w:color="auto"/>
              <w:right w:val="nil"/>
            </w:tcBorders>
            <w:shd w:val="clear" w:color="auto" w:fill="auto"/>
            <w:noWrap/>
            <w:vAlign w:val="center"/>
            <w:hideMark/>
          </w:tcPr>
          <w:p w14:paraId="76C186AE"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22,507 </w:t>
            </w:r>
          </w:p>
        </w:tc>
        <w:tc>
          <w:tcPr>
            <w:tcW w:w="880" w:type="dxa"/>
            <w:tcBorders>
              <w:top w:val="single" w:sz="4" w:space="0" w:color="auto"/>
              <w:left w:val="nil"/>
              <w:bottom w:val="single" w:sz="4" w:space="0" w:color="auto"/>
              <w:right w:val="nil"/>
            </w:tcBorders>
            <w:shd w:val="clear" w:color="auto" w:fill="auto"/>
            <w:noWrap/>
            <w:vAlign w:val="center"/>
            <w:hideMark/>
          </w:tcPr>
          <w:p w14:paraId="76C186AF"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22,980 </w:t>
            </w:r>
          </w:p>
        </w:tc>
        <w:tc>
          <w:tcPr>
            <w:tcW w:w="880" w:type="dxa"/>
            <w:tcBorders>
              <w:top w:val="single" w:sz="4" w:space="0" w:color="auto"/>
              <w:left w:val="nil"/>
              <w:bottom w:val="single" w:sz="4" w:space="0" w:color="auto"/>
              <w:right w:val="nil"/>
            </w:tcBorders>
            <w:shd w:val="clear" w:color="auto" w:fill="auto"/>
            <w:noWrap/>
            <w:vAlign w:val="center"/>
            <w:hideMark/>
          </w:tcPr>
          <w:p w14:paraId="76C186B0"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23,554 </w:t>
            </w:r>
          </w:p>
        </w:tc>
      </w:tr>
      <w:tr w:rsidR="00710E67" w:rsidRPr="00710E67" w14:paraId="76C186B8" w14:textId="77777777" w:rsidTr="00710E67">
        <w:trPr>
          <w:trHeight w:val="450"/>
        </w:trPr>
        <w:tc>
          <w:tcPr>
            <w:tcW w:w="2840" w:type="dxa"/>
            <w:tcBorders>
              <w:top w:val="nil"/>
              <w:left w:val="nil"/>
              <w:bottom w:val="nil"/>
              <w:right w:val="nil"/>
            </w:tcBorders>
            <w:shd w:val="clear" w:color="auto" w:fill="auto"/>
            <w:vAlign w:val="center"/>
            <w:hideMark/>
          </w:tcPr>
          <w:p w14:paraId="76C186B2"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Net cash from/(used by) operating activities</w:t>
            </w:r>
          </w:p>
        </w:tc>
        <w:tc>
          <w:tcPr>
            <w:tcW w:w="880" w:type="dxa"/>
            <w:tcBorders>
              <w:top w:val="single" w:sz="4" w:space="0" w:color="auto"/>
              <w:left w:val="nil"/>
              <w:bottom w:val="single" w:sz="4" w:space="0" w:color="auto"/>
              <w:right w:val="nil"/>
            </w:tcBorders>
            <w:shd w:val="clear" w:color="auto" w:fill="auto"/>
            <w:noWrap/>
            <w:vAlign w:val="bottom"/>
            <w:hideMark/>
          </w:tcPr>
          <w:p w14:paraId="76C186B3"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bottom"/>
            <w:hideMark/>
          </w:tcPr>
          <w:p w14:paraId="76C186B4"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86B5"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86B6"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86B7"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r>
      <w:tr w:rsidR="00710E67" w:rsidRPr="00710E67" w14:paraId="76C186BF" w14:textId="77777777" w:rsidTr="00710E67">
        <w:trPr>
          <w:trHeight w:val="225"/>
        </w:trPr>
        <w:tc>
          <w:tcPr>
            <w:tcW w:w="2840" w:type="dxa"/>
            <w:tcBorders>
              <w:top w:val="nil"/>
              <w:left w:val="nil"/>
              <w:bottom w:val="nil"/>
              <w:right w:val="nil"/>
            </w:tcBorders>
            <w:shd w:val="clear" w:color="auto" w:fill="auto"/>
            <w:noWrap/>
            <w:vAlign w:val="center"/>
            <w:hideMark/>
          </w:tcPr>
          <w:p w14:paraId="76C186B9"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INVESTING ACTIVITIES</w:t>
            </w:r>
          </w:p>
        </w:tc>
        <w:tc>
          <w:tcPr>
            <w:tcW w:w="880" w:type="dxa"/>
            <w:tcBorders>
              <w:top w:val="nil"/>
              <w:left w:val="nil"/>
              <w:bottom w:val="nil"/>
              <w:right w:val="nil"/>
            </w:tcBorders>
            <w:shd w:val="clear" w:color="auto" w:fill="auto"/>
            <w:noWrap/>
            <w:vAlign w:val="center"/>
            <w:hideMark/>
          </w:tcPr>
          <w:p w14:paraId="76C186BA"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6BB"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6BC"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6BD"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6BE" w14:textId="77777777" w:rsidR="00710E67" w:rsidRPr="00710E67" w:rsidRDefault="00710E67" w:rsidP="00710E67">
            <w:pPr>
              <w:spacing w:after="0" w:line="240" w:lineRule="auto"/>
              <w:jc w:val="left"/>
              <w:rPr>
                <w:rFonts w:ascii="Times New Roman" w:hAnsi="Times New Roman"/>
              </w:rPr>
            </w:pPr>
          </w:p>
        </w:tc>
      </w:tr>
      <w:tr w:rsidR="00710E67" w:rsidRPr="00710E67" w14:paraId="76C186C6" w14:textId="77777777" w:rsidTr="00710E67">
        <w:trPr>
          <w:trHeight w:val="225"/>
        </w:trPr>
        <w:tc>
          <w:tcPr>
            <w:tcW w:w="2840" w:type="dxa"/>
            <w:tcBorders>
              <w:top w:val="nil"/>
              <w:left w:val="nil"/>
              <w:bottom w:val="nil"/>
              <w:right w:val="nil"/>
            </w:tcBorders>
            <w:shd w:val="clear" w:color="auto" w:fill="auto"/>
            <w:noWrap/>
            <w:vAlign w:val="center"/>
            <w:hideMark/>
          </w:tcPr>
          <w:p w14:paraId="76C186C0"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86C1"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6C2"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6C3"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6C4"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6C5" w14:textId="77777777" w:rsidR="00710E67" w:rsidRPr="00710E67" w:rsidRDefault="00710E67" w:rsidP="00710E67">
            <w:pPr>
              <w:spacing w:after="0" w:line="240" w:lineRule="auto"/>
              <w:jc w:val="left"/>
              <w:rPr>
                <w:rFonts w:ascii="Times New Roman" w:hAnsi="Times New Roman"/>
              </w:rPr>
            </w:pPr>
          </w:p>
        </w:tc>
      </w:tr>
      <w:tr w:rsidR="00710E67" w:rsidRPr="00710E67" w14:paraId="76C186CD" w14:textId="77777777" w:rsidTr="00710E67">
        <w:trPr>
          <w:trHeight w:val="225"/>
        </w:trPr>
        <w:tc>
          <w:tcPr>
            <w:tcW w:w="2840" w:type="dxa"/>
            <w:tcBorders>
              <w:top w:val="nil"/>
              <w:left w:val="nil"/>
              <w:bottom w:val="nil"/>
              <w:right w:val="nil"/>
            </w:tcBorders>
            <w:shd w:val="clear" w:color="auto" w:fill="auto"/>
            <w:noWrap/>
            <w:vAlign w:val="center"/>
            <w:hideMark/>
          </w:tcPr>
          <w:p w14:paraId="76C186C7"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86C8"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86C9"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6CA"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6CB"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6CC"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r>
      <w:tr w:rsidR="00710E67" w:rsidRPr="00710E67" w14:paraId="76C186D4" w14:textId="77777777" w:rsidTr="00710E67">
        <w:trPr>
          <w:trHeight w:val="210"/>
        </w:trPr>
        <w:tc>
          <w:tcPr>
            <w:tcW w:w="2840" w:type="dxa"/>
            <w:tcBorders>
              <w:top w:val="nil"/>
              <w:left w:val="nil"/>
              <w:bottom w:val="nil"/>
              <w:right w:val="nil"/>
            </w:tcBorders>
            <w:shd w:val="clear" w:color="auto" w:fill="auto"/>
            <w:noWrap/>
            <w:vAlign w:val="center"/>
            <w:hideMark/>
          </w:tcPr>
          <w:p w14:paraId="76C186CE"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cash received</w:t>
            </w:r>
          </w:p>
        </w:tc>
        <w:tc>
          <w:tcPr>
            <w:tcW w:w="880" w:type="dxa"/>
            <w:tcBorders>
              <w:top w:val="single" w:sz="4" w:space="0" w:color="000000"/>
              <w:left w:val="nil"/>
              <w:bottom w:val="single" w:sz="4" w:space="0" w:color="000000"/>
              <w:right w:val="nil"/>
            </w:tcBorders>
            <w:shd w:val="clear" w:color="auto" w:fill="auto"/>
            <w:noWrap/>
            <w:vAlign w:val="center"/>
            <w:hideMark/>
          </w:tcPr>
          <w:p w14:paraId="76C186CF"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76C186D0"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86D1"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86D2"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86D3"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r>
      <w:tr w:rsidR="00710E67" w:rsidRPr="00710E67" w14:paraId="76C186DB" w14:textId="77777777" w:rsidTr="00710E67">
        <w:trPr>
          <w:trHeight w:val="225"/>
        </w:trPr>
        <w:tc>
          <w:tcPr>
            <w:tcW w:w="2840" w:type="dxa"/>
            <w:tcBorders>
              <w:top w:val="nil"/>
              <w:left w:val="nil"/>
              <w:bottom w:val="nil"/>
              <w:right w:val="nil"/>
            </w:tcBorders>
            <w:shd w:val="clear" w:color="auto" w:fill="auto"/>
            <w:noWrap/>
            <w:vAlign w:val="center"/>
            <w:hideMark/>
          </w:tcPr>
          <w:p w14:paraId="76C186D5"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86D6"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6D7"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6D8"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6D9"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6DA" w14:textId="77777777" w:rsidR="00710E67" w:rsidRPr="00710E67" w:rsidRDefault="00710E67" w:rsidP="00710E67">
            <w:pPr>
              <w:spacing w:after="0" w:line="240" w:lineRule="auto"/>
              <w:jc w:val="left"/>
              <w:rPr>
                <w:rFonts w:ascii="Times New Roman" w:hAnsi="Times New Roman"/>
              </w:rPr>
            </w:pPr>
          </w:p>
        </w:tc>
      </w:tr>
      <w:tr w:rsidR="00710E67" w:rsidRPr="00710E67" w14:paraId="76C186E2" w14:textId="77777777" w:rsidTr="00710E67">
        <w:trPr>
          <w:trHeight w:val="450"/>
        </w:trPr>
        <w:tc>
          <w:tcPr>
            <w:tcW w:w="2840" w:type="dxa"/>
            <w:tcBorders>
              <w:top w:val="nil"/>
              <w:left w:val="nil"/>
              <w:bottom w:val="nil"/>
              <w:right w:val="nil"/>
            </w:tcBorders>
            <w:shd w:val="clear" w:color="auto" w:fill="auto"/>
            <w:vAlign w:val="center"/>
            <w:hideMark/>
          </w:tcPr>
          <w:p w14:paraId="76C186DC"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Purchase of property, plant and equipment and intangibles</w:t>
            </w:r>
          </w:p>
        </w:tc>
        <w:tc>
          <w:tcPr>
            <w:tcW w:w="880" w:type="dxa"/>
            <w:tcBorders>
              <w:top w:val="nil"/>
              <w:left w:val="nil"/>
              <w:bottom w:val="nil"/>
              <w:right w:val="nil"/>
            </w:tcBorders>
            <w:shd w:val="clear" w:color="auto" w:fill="auto"/>
            <w:noWrap/>
            <w:vAlign w:val="center"/>
            <w:hideMark/>
          </w:tcPr>
          <w:p w14:paraId="76C186DD"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427 </w:t>
            </w:r>
          </w:p>
        </w:tc>
        <w:tc>
          <w:tcPr>
            <w:tcW w:w="880" w:type="dxa"/>
            <w:tcBorders>
              <w:top w:val="nil"/>
              <w:left w:val="nil"/>
              <w:bottom w:val="nil"/>
              <w:right w:val="nil"/>
            </w:tcBorders>
            <w:shd w:val="clear" w:color="000000" w:fill="E6E6E6"/>
            <w:noWrap/>
            <w:vAlign w:val="center"/>
            <w:hideMark/>
          </w:tcPr>
          <w:p w14:paraId="76C186DE"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99 </w:t>
            </w:r>
          </w:p>
        </w:tc>
        <w:tc>
          <w:tcPr>
            <w:tcW w:w="880" w:type="dxa"/>
            <w:tcBorders>
              <w:top w:val="nil"/>
              <w:left w:val="nil"/>
              <w:bottom w:val="nil"/>
              <w:right w:val="nil"/>
            </w:tcBorders>
            <w:shd w:val="clear" w:color="auto" w:fill="auto"/>
            <w:noWrap/>
            <w:vAlign w:val="center"/>
            <w:hideMark/>
          </w:tcPr>
          <w:p w14:paraId="76C186DF"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20 </w:t>
            </w:r>
          </w:p>
        </w:tc>
        <w:tc>
          <w:tcPr>
            <w:tcW w:w="880" w:type="dxa"/>
            <w:tcBorders>
              <w:top w:val="nil"/>
              <w:left w:val="nil"/>
              <w:bottom w:val="nil"/>
              <w:right w:val="nil"/>
            </w:tcBorders>
            <w:shd w:val="clear" w:color="auto" w:fill="auto"/>
            <w:noWrap/>
            <w:vAlign w:val="center"/>
            <w:hideMark/>
          </w:tcPr>
          <w:p w14:paraId="76C186E0"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264 </w:t>
            </w:r>
          </w:p>
        </w:tc>
        <w:tc>
          <w:tcPr>
            <w:tcW w:w="880" w:type="dxa"/>
            <w:tcBorders>
              <w:top w:val="nil"/>
              <w:left w:val="nil"/>
              <w:bottom w:val="nil"/>
              <w:right w:val="nil"/>
            </w:tcBorders>
            <w:shd w:val="clear" w:color="auto" w:fill="auto"/>
            <w:noWrap/>
            <w:vAlign w:val="center"/>
            <w:hideMark/>
          </w:tcPr>
          <w:p w14:paraId="76C186E1"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609 </w:t>
            </w:r>
          </w:p>
        </w:tc>
      </w:tr>
      <w:tr w:rsidR="00710E67" w:rsidRPr="00710E67" w14:paraId="76C186E9" w14:textId="77777777" w:rsidTr="00710E67">
        <w:trPr>
          <w:trHeight w:val="210"/>
        </w:trPr>
        <w:tc>
          <w:tcPr>
            <w:tcW w:w="2840" w:type="dxa"/>
            <w:tcBorders>
              <w:top w:val="nil"/>
              <w:left w:val="nil"/>
              <w:bottom w:val="nil"/>
              <w:right w:val="nil"/>
            </w:tcBorders>
            <w:shd w:val="clear" w:color="auto" w:fill="auto"/>
            <w:noWrap/>
            <w:vAlign w:val="center"/>
            <w:hideMark/>
          </w:tcPr>
          <w:p w14:paraId="76C186E3"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86E4"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427 </w:t>
            </w:r>
          </w:p>
        </w:tc>
        <w:tc>
          <w:tcPr>
            <w:tcW w:w="880" w:type="dxa"/>
            <w:tcBorders>
              <w:top w:val="single" w:sz="4" w:space="0" w:color="auto"/>
              <w:left w:val="nil"/>
              <w:bottom w:val="single" w:sz="4" w:space="0" w:color="auto"/>
              <w:right w:val="nil"/>
            </w:tcBorders>
            <w:shd w:val="clear" w:color="000000" w:fill="E6E6E6"/>
            <w:noWrap/>
            <w:vAlign w:val="center"/>
            <w:hideMark/>
          </w:tcPr>
          <w:p w14:paraId="76C186E5"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99 </w:t>
            </w:r>
          </w:p>
        </w:tc>
        <w:tc>
          <w:tcPr>
            <w:tcW w:w="880" w:type="dxa"/>
            <w:tcBorders>
              <w:top w:val="single" w:sz="4" w:space="0" w:color="auto"/>
              <w:left w:val="nil"/>
              <w:bottom w:val="single" w:sz="4" w:space="0" w:color="auto"/>
              <w:right w:val="nil"/>
            </w:tcBorders>
            <w:shd w:val="clear" w:color="auto" w:fill="auto"/>
            <w:noWrap/>
            <w:vAlign w:val="center"/>
            <w:hideMark/>
          </w:tcPr>
          <w:p w14:paraId="76C186E6"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20 </w:t>
            </w:r>
          </w:p>
        </w:tc>
        <w:tc>
          <w:tcPr>
            <w:tcW w:w="880" w:type="dxa"/>
            <w:tcBorders>
              <w:top w:val="single" w:sz="4" w:space="0" w:color="auto"/>
              <w:left w:val="nil"/>
              <w:bottom w:val="single" w:sz="4" w:space="0" w:color="auto"/>
              <w:right w:val="nil"/>
            </w:tcBorders>
            <w:shd w:val="clear" w:color="auto" w:fill="auto"/>
            <w:noWrap/>
            <w:vAlign w:val="center"/>
            <w:hideMark/>
          </w:tcPr>
          <w:p w14:paraId="76C186E7"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264 </w:t>
            </w:r>
          </w:p>
        </w:tc>
        <w:tc>
          <w:tcPr>
            <w:tcW w:w="880" w:type="dxa"/>
            <w:tcBorders>
              <w:top w:val="single" w:sz="4" w:space="0" w:color="auto"/>
              <w:left w:val="nil"/>
              <w:bottom w:val="single" w:sz="4" w:space="0" w:color="auto"/>
              <w:right w:val="nil"/>
            </w:tcBorders>
            <w:shd w:val="clear" w:color="auto" w:fill="auto"/>
            <w:noWrap/>
            <w:vAlign w:val="center"/>
            <w:hideMark/>
          </w:tcPr>
          <w:p w14:paraId="76C186E8"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609 </w:t>
            </w:r>
          </w:p>
        </w:tc>
      </w:tr>
      <w:tr w:rsidR="00710E67" w:rsidRPr="00710E67" w14:paraId="76C186F0" w14:textId="77777777" w:rsidTr="00710E67">
        <w:trPr>
          <w:trHeight w:val="450"/>
        </w:trPr>
        <w:tc>
          <w:tcPr>
            <w:tcW w:w="2840" w:type="dxa"/>
            <w:tcBorders>
              <w:top w:val="nil"/>
              <w:left w:val="nil"/>
              <w:bottom w:val="nil"/>
              <w:right w:val="nil"/>
            </w:tcBorders>
            <w:shd w:val="clear" w:color="auto" w:fill="auto"/>
            <w:vAlign w:val="center"/>
            <w:hideMark/>
          </w:tcPr>
          <w:p w14:paraId="76C186EA"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Net cash from/(used by) investing activities</w:t>
            </w:r>
          </w:p>
        </w:tc>
        <w:tc>
          <w:tcPr>
            <w:tcW w:w="880" w:type="dxa"/>
            <w:tcBorders>
              <w:top w:val="nil"/>
              <w:left w:val="nil"/>
              <w:bottom w:val="single" w:sz="4" w:space="0" w:color="auto"/>
              <w:right w:val="nil"/>
            </w:tcBorders>
            <w:shd w:val="clear" w:color="auto" w:fill="auto"/>
            <w:noWrap/>
            <w:vAlign w:val="bottom"/>
            <w:hideMark/>
          </w:tcPr>
          <w:p w14:paraId="76C186EB"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(427)</w:t>
            </w:r>
          </w:p>
        </w:tc>
        <w:tc>
          <w:tcPr>
            <w:tcW w:w="880" w:type="dxa"/>
            <w:tcBorders>
              <w:top w:val="nil"/>
              <w:left w:val="nil"/>
              <w:bottom w:val="single" w:sz="4" w:space="0" w:color="auto"/>
              <w:right w:val="nil"/>
            </w:tcBorders>
            <w:shd w:val="clear" w:color="000000" w:fill="E6E6E6"/>
            <w:noWrap/>
            <w:vAlign w:val="bottom"/>
            <w:hideMark/>
          </w:tcPr>
          <w:p w14:paraId="76C186EC"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(99)</w:t>
            </w:r>
          </w:p>
        </w:tc>
        <w:tc>
          <w:tcPr>
            <w:tcW w:w="880" w:type="dxa"/>
            <w:tcBorders>
              <w:top w:val="nil"/>
              <w:left w:val="nil"/>
              <w:bottom w:val="single" w:sz="4" w:space="0" w:color="auto"/>
              <w:right w:val="nil"/>
            </w:tcBorders>
            <w:shd w:val="clear" w:color="auto" w:fill="auto"/>
            <w:noWrap/>
            <w:vAlign w:val="bottom"/>
            <w:hideMark/>
          </w:tcPr>
          <w:p w14:paraId="76C186ED"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(20)</w:t>
            </w:r>
          </w:p>
        </w:tc>
        <w:tc>
          <w:tcPr>
            <w:tcW w:w="880" w:type="dxa"/>
            <w:tcBorders>
              <w:top w:val="nil"/>
              <w:left w:val="nil"/>
              <w:bottom w:val="single" w:sz="4" w:space="0" w:color="auto"/>
              <w:right w:val="nil"/>
            </w:tcBorders>
            <w:shd w:val="clear" w:color="auto" w:fill="auto"/>
            <w:noWrap/>
            <w:vAlign w:val="bottom"/>
            <w:hideMark/>
          </w:tcPr>
          <w:p w14:paraId="76C186EE"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(264)</w:t>
            </w:r>
          </w:p>
        </w:tc>
        <w:tc>
          <w:tcPr>
            <w:tcW w:w="880" w:type="dxa"/>
            <w:tcBorders>
              <w:top w:val="nil"/>
              <w:left w:val="nil"/>
              <w:bottom w:val="single" w:sz="4" w:space="0" w:color="auto"/>
              <w:right w:val="nil"/>
            </w:tcBorders>
            <w:shd w:val="clear" w:color="auto" w:fill="auto"/>
            <w:noWrap/>
            <w:vAlign w:val="bottom"/>
            <w:hideMark/>
          </w:tcPr>
          <w:p w14:paraId="76C186EF"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(609)</w:t>
            </w:r>
          </w:p>
        </w:tc>
      </w:tr>
      <w:tr w:rsidR="00710E67" w:rsidRPr="00710E67" w14:paraId="76C186F7" w14:textId="77777777" w:rsidTr="00710E67">
        <w:trPr>
          <w:trHeight w:val="225"/>
        </w:trPr>
        <w:tc>
          <w:tcPr>
            <w:tcW w:w="2840" w:type="dxa"/>
            <w:tcBorders>
              <w:top w:val="nil"/>
              <w:left w:val="nil"/>
              <w:bottom w:val="nil"/>
              <w:right w:val="nil"/>
            </w:tcBorders>
            <w:shd w:val="clear" w:color="auto" w:fill="auto"/>
            <w:noWrap/>
            <w:vAlign w:val="center"/>
            <w:hideMark/>
          </w:tcPr>
          <w:p w14:paraId="76C186F1"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FINANCING ACTIVITIES</w:t>
            </w:r>
          </w:p>
        </w:tc>
        <w:tc>
          <w:tcPr>
            <w:tcW w:w="880" w:type="dxa"/>
            <w:tcBorders>
              <w:top w:val="nil"/>
              <w:left w:val="nil"/>
              <w:bottom w:val="nil"/>
              <w:right w:val="nil"/>
            </w:tcBorders>
            <w:shd w:val="clear" w:color="auto" w:fill="auto"/>
            <w:noWrap/>
            <w:vAlign w:val="center"/>
            <w:hideMark/>
          </w:tcPr>
          <w:p w14:paraId="76C186F2"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6F3"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6F4"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6F5"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6F6" w14:textId="77777777" w:rsidR="00710E67" w:rsidRPr="00710E67" w:rsidRDefault="00710E67" w:rsidP="00710E67">
            <w:pPr>
              <w:spacing w:after="0" w:line="240" w:lineRule="auto"/>
              <w:jc w:val="left"/>
              <w:rPr>
                <w:rFonts w:ascii="Times New Roman" w:hAnsi="Times New Roman"/>
              </w:rPr>
            </w:pPr>
          </w:p>
        </w:tc>
      </w:tr>
      <w:tr w:rsidR="00710E67" w:rsidRPr="00710E67" w14:paraId="76C186FE" w14:textId="77777777" w:rsidTr="00710E67">
        <w:trPr>
          <w:trHeight w:val="225"/>
        </w:trPr>
        <w:tc>
          <w:tcPr>
            <w:tcW w:w="2840" w:type="dxa"/>
            <w:tcBorders>
              <w:top w:val="nil"/>
              <w:left w:val="nil"/>
              <w:bottom w:val="nil"/>
              <w:right w:val="nil"/>
            </w:tcBorders>
            <w:shd w:val="clear" w:color="auto" w:fill="auto"/>
            <w:noWrap/>
            <w:vAlign w:val="center"/>
            <w:hideMark/>
          </w:tcPr>
          <w:p w14:paraId="76C186F8"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86F9"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6FA"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6FB"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6FC"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6FD" w14:textId="77777777" w:rsidR="00710E67" w:rsidRPr="00710E67" w:rsidRDefault="00710E67" w:rsidP="00710E67">
            <w:pPr>
              <w:spacing w:after="0" w:line="240" w:lineRule="auto"/>
              <w:jc w:val="left"/>
              <w:rPr>
                <w:rFonts w:ascii="Times New Roman" w:hAnsi="Times New Roman"/>
              </w:rPr>
            </w:pPr>
          </w:p>
        </w:tc>
      </w:tr>
      <w:tr w:rsidR="00710E67" w:rsidRPr="00710E67" w14:paraId="76C18705" w14:textId="77777777" w:rsidTr="00710E67">
        <w:trPr>
          <w:trHeight w:val="225"/>
        </w:trPr>
        <w:tc>
          <w:tcPr>
            <w:tcW w:w="2840" w:type="dxa"/>
            <w:tcBorders>
              <w:top w:val="nil"/>
              <w:left w:val="nil"/>
              <w:bottom w:val="nil"/>
              <w:right w:val="nil"/>
            </w:tcBorders>
            <w:shd w:val="clear" w:color="auto" w:fill="auto"/>
            <w:noWrap/>
            <w:vAlign w:val="center"/>
            <w:hideMark/>
          </w:tcPr>
          <w:p w14:paraId="76C186FF"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Contributed equity</w:t>
            </w:r>
          </w:p>
        </w:tc>
        <w:tc>
          <w:tcPr>
            <w:tcW w:w="880" w:type="dxa"/>
            <w:tcBorders>
              <w:top w:val="nil"/>
              <w:left w:val="nil"/>
              <w:bottom w:val="nil"/>
              <w:right w:val="nil"/>
            </w:tcBorders>
            <w:shd w:val="clear" w:color="auto" w:fill="auto"/>
            <w:noWrap/>
            <w:vAlign w:val="center"/>
            <w:hideMark/>
          </w:tcPr>
          <w:p w14:paraId="76C18700"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148 </w:t>
            </w:r>
          </w:p>
        </w:tc>
        <w:tc>
          <w:tcPr>
            <w:tcW w:w="880" w:type="dxa"/>
            <w:tcBorders>
              <w:top w:val="nil"/>
              <w:left w:val="nil"/>
              <w:bottom w:val="nil"/>
              <w:right w:val="nil"/>
            </w:tcBorders>
            <w:shd w:val="clear" w:color="000000" w:fill="E6E6E6"/>
            <w:noWrap/>
            <w:vAlign w:val="center"/>
            <w:hideMark/>
          </w:tcPr>
          <w:p w14:paraId="76C18701"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99 </w:t>
            </w:r>
          </w:p>
        </w:tc>
        <w:tc>
          <w:tcPr>
            <w:tcW w:w="880" w:type="dxa"/>
            <w:tcBorders>
              <w:top w:val="nil"/>
              <w:left w:val="nil"/>
              <w:bottom w:val="nil"/>
              <w:right w:val="nil"/>
            </w:tcBorders>
            <w:shd w:val="clear" w:color="auto" w:fill="auto"/>
            <w:noWrap/>
            <w:vAlign w:val="center"/>
            <w:hideMark/>
          </w:tcPr>
          <w:p w14:paraId="76C18702"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20 </w:t>
            </w:r>
          </w:p>
        </w:tc>
        <w:tc>
          <w:tcPr>
            <w:tcW w:w="880" w:type="dxa"/>
            <w:tcBorders>
              <w:top w:val="nil"/>
              <w:left w:val="nil"/>
              <w:bottom w:val="nil"/>
              <w:right w:val="nil"/>
            </w:tcBorders>
            <w:shd w:val="clear" w:color="auto" w:fill="auto"/>
            <w:noWrap/>
            <w:vAlign w:val="center"/>
            <w:hideMark/>
          </w:tcPr>
          <w:p w14:paraId="76C18703"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259 </w:t>
            </w:r>
          </w:p>
        </w:tc>
        <w:tc>
          <w:tcPr>
            <w:tcW w:w="880" w:type="dxa"/>
            <w:tcBorders>
              <w:top w:val="nil"/>
              <w:left w:val="nil"/>
              <w:bottom w:val="nil"/>
              <w:right w:val="nil"/>
            </w:tcBorders>
            <w:shd w:val="clear" w:color="auto" w:fill="auto"/>
            <w:noWrap/>
            <w:vAlign w:val="center"/>
            <w:hideMark/>
          </w:tcPr>
          <w:p w14:paraId="76C18704"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499 </w:t>
            </w:r>
          </w:p>
        </w:tc>
      </w:tr>
      <w:tr w:rsidR="00710E67" w:rsidRPr="00710E67" w14:paraId="76C1870C" w14:textId="77777777" w:rsidTr="00710E67">
        <w:trPr>
          <w:trHeight w:val="210"/>
        </w:trPr>
        <w:tc>
          <w:tcPr>
            <w:tcW w:w="2840" w:type="dxa"/>
            <w:tcBorders>
              <w:top w:val="nil"/>
              <w:left w:val="nil"/>
              <w:bottom w:val="nil"/>
              <w:right w:val="nil"/>
            </w:tcBorders>
            <w:shd w:val="clear" w:color="auto" w:fill="auto"/>
            <w:noWrap/>
            <w:vAlign w:val="center"/>
            <w:hideMark/>
          </w:tcPr>
          <w:p w14:paraId="76C18706"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8707"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148 </w:t>
            </w:r>
          </w:p>
        </w:tc>
        <w:tc>
          <w:tcPr>
            <w:tcW w:w="880" w:type="dxa"/>
            <w:tcBorders>
              <w:top w:val="single" w:sz="4" w:space="0" w:color="auto"/>
              <w:left w:val="nil"/>
              <w:bottom w:val="single" w:sz="4" w:space="0" w:color="auto"/>
              <w:right w:val="nil"/>
            </w:tcBorders>
            <w:shd w:val="clear" w:color="000000" w:fill="E6E6E6"/>
            <w:noWrap/>
            <w:vAlign w:val="center"/>
            <w:hideMark/>
          </w:tcPr>
          <w:p w14:paraId="76C18708"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99 </w:t>
            </w:r>
          </w:p>
        </w:tc>
        <w:tc>
          <w:tcPr>
            <w:tcW w:w="880" w:type="dxa"/>
            <w:tcBorders>
              <w:top w:val="single" w:sz="4" w:space="0" w:color="auto"/>
              <w:left w:val="nil"/>
              <w:bottom w:val="single" w:sz="4" w:space="0" w:color="auto"/>
              <w:right w:val="nil"/>
            </w:tcBorders>
            <w:shd w:val="clear" w:color="auto" w:fill="auto"/>
            <w:noWrap/>
            <w:vAlign w:val="center"/>
            <w:hideMark/>
          </w:tcPr>
          <w:p w14:paraId="76C18709"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20 </w:t>
            </w:r>
          </w:p>
        </w:tc>
        <w:tc>
          <w:tcPr>
            <w:tcW w:w="880" w:type="dxa"/>
            <w:tcBorders>
              <w:top w:val="single" w:sz="4" w:space="0" w:color="auto"/>
              <w:left w:val="nil"/>
              <w:bottom w:val="single" w:sz="4" w:space="0" w:color="auto"/>
              <w:right w:val="nil"/>
            </w:tcBorders>
            <w:shd w:val="clear" w:color="auto" w:fill="auto"/>
            <w:noWrap/>
            <w:vAlign w:val="center"/>
            <w:hideMark/>
          </w:tcPr>
          <w:p w14:paraId="76C1870A"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259 </w:t>
            </w:r>
          </w:p>
        </w:tc>
        <w:tc>
          <w:tcPr>
            <w:tcW w:w="880" w:type="dxa"/>
            <w:tcBorders>
              <w:top w:val="single" w:sz="4" w:space="0" w:color="auto"/>
              <w:left w:val="nil"/>
              <w:bottom w:val="single" w:sz="4" w:space="0" w:color="auto"/>
              <w:right w:val="nil"/>
            </w:tcBorders>
            <w:shd w:val="clear" w:color="auto" w:fill="auto"/>
            <w:noWrap/>
            <w:vAlign w:val="center"/>
            <w:hideMark/>
          </w:tcPr>
          <w:p w14:paraId="76C1870B"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499 </w:t>
            </w:r>
          </w:p>
        </w:tc>
      </w:tr>
      <w:tr w:rsidR="00710E67" w:rsidRPr="00710E67" w14:paraId="76C18713" w14:textId="77777777" w:rsidTr="00710E67">
        <w:trPr>
          <w:trHeight w:val="225"/>
        </w:trPr>
        <w:tc>
          <w:tcPr>
            <w:tcW w:w="2840" w:type="dxa"/>
            <w:tcBorders>
              <w:top w:val="nil"/>
              <w:left w:val="nil"/>
              <w:bottom w:val="nil"/>
              <w:right w:val="nil"/>
            </w:tcBorders>
            <w:shd w:val="clear" w:color="auto" w:fill="auto"/>
            <w:noWrap/>
            <w:vAlign w:val="center"/>
            <w:hideMark/>
          </w:tcPr>
          <w:p w14:paraId="76C1870D"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870E" w14:textId="77777777" w:rsidR="00710E67" w:rsidRPr="00710E67" w:rsidRDefault="00710E67" w:rsidP="00710E67">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870F" w14:textId="77777777" w:rsidR="00710E67" w:rsidRPr="00710E67" w:rsidRDefault="00710E67" w:rsidP="00710E67">
            <w:pPr>
              <w:spacing w:after="0" w:line="240" w:lineRule="auto"/>
              <w:jc w:val="left"/>
              <w:rPr>
                <w:rFonts w:ascii="Arial" w:hAnsi="Arial" w:cs="Arial"/>
                <w:color w:val="000000"/>
                <w:sz w:val="16"/>
                <w:szCs w:val="16"/>
              </w:rPr>
            </w:pPr>
            <w:r w:rsidRPr="00710E6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8710" w14:textId="77777777" w:rsidR="00710E67" w:rsidRPr="00710E67" w:rsidRDefault="00710E67" w:rsidP="00710E67">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8711" w14:textId="77777777" w:rsidR="00710E67" w:rsidRPr="00710E67" w:rsidRDefault="00710E67" w:rsidP="00710E67">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8712" w14:textId="77777777" w:rsidR="00710E67" w:rsidRPr="00710E67" w:rsidRDefault="00710E67" w:rsidP="00710E67">
            <w:pPr>
              <w:spacing w:after="0" w:line="240" w:lineRule="auto"/>
              <w:jc w:val="left"/>
              <w:rPr>
                <w:rFonts w:ascii="Times New Roman" w:hAnsi="Times New Roman"/>
              </w:rPr>
            </w:pPr>
          </w:p>
        </w:tc>
      </w:tr>
      <w:tr w:rsidR="00710E67" w:rsidRPr="00710E67" w14:paraId="76C1871A" w14:textId="77777777" w:rsidTr="00710E67">
        <w:trPr>
          <w:trHeight w:val="225"/>
        </w:trPr>
        <w:tc>
          <w:tcPr>
            <w:tcW w:w="2840" w:type="dxa"/>
            <w:tcBorders>
              <w:top w:val="nil"/>
              <w:left w:val="nil"/>
              <w:bottom w:val="nil"/>
              <w:right w:val="nil"/>
            </w:tcBorders>
            <w:shd w:val="clear" w:color="auto" w:fill="auto"/>
            <w:noWrap/>
            <w:vAlign w:val="center"/>
            <w:hideMark/>
          </w:tcPr>
          <w:p w14:paraId="76C18714"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8715"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8716"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717"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718"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8719"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 </w:t>
            </w:r>
          </w:p>
        </w:tc>
      </w:tr>
      <w:tr w:rsidR="00710E67" w:rsidRPr="00710E67" w14:paraId="76C18721" w14:textId="77777777" w:rsidTr="00710E67">
        <w:trPr>
          <w:trHeight w:val="210"/>
        </w:trPr>
        <w:tc>
          <w:tcPr>
            <w:tcW w:w="2840" w:type="dxa"/>
            <w:tcBorders>
              <w:top w:val="nil"/>
              <w:left w:val="nil"/>
              <w:bottom w:val="nil"/>
              <w:right w:val="nil"/>
            </w:tcBorders>
            <w:shd w:val="clear" w:color="auto" w:fill="auto"/>
            <w:noWrap/>
            <w:vAlign w:val="center"/>
            <w:hideMark/>
          </w:tcPr>
          <w:p w14:paraId="76C1871B" w14:textId="77777777" w:rsidR="00710E67" w:rsidRPr="00710E67" w:rsidRDefault="00710E67" w:rsidP="00710E67">
            <w:pPr>
              <w:spacing w:after="0" w:line="240" w:lineRule="auto"/>
              <w:jc w:val="left"/>
              <w:rPr>
                <w:rFonts w:ascii="Arial" w:hAnsi="Arial" w:cs="Arial"/>
                <w:b/>
                <w:bCs/>
                <w:i/>
                <w:iCs/>
                <w:color w:val="000000"/>
                <w:sz w:val="16"/>
                <w:szCs w:val="16"/>
              </w:rPr>
            </w:pPr>
            <w:r w:rsidRPr="00710E67">
              <w:rPr>
                <w:rFonts w:ascii="Arial" w:hAnsi="Arial" w:cs="Arial"/>
                <w:b/>
                <w:bCs/>
                <w:i/>
                <w:i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center"/>
            <w:hideMark/>
          </w:tcPr>
          <w:p w14:paraId="76C1871C"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76C1871D"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871E"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871F"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8720" w14:textId="77777777" w:rsidR="00710E67" w:rsidRPr="00710E67" w:rsidRDefault="00710E67" w:rsidP="00710E67">
            <w:pPr>
              <w:spacing w:after="0" w:line="240" w:lineRule="auto"/>
              <w:jc w:val="right"/>
              <w:rPr>
                <w:rFonts w:ascii="Arial" w:hAnsi="Arial" w:cs="Arial"/>
                <w:b/>
                <w:bCs/>
                <w:i/>
                <w:iCs/>
                <w:color w:val="000000"/>
                <w:sz w:val="16"/>
                <w:szCs w:val="16"/>
              </w:rPr>
            </w:pPr>
            <w:r w:rsidRPr="00710E67">
              <w:rPr>
                <w:rFonts w:ascii="Arial" w:hAnsi="Arial" w:cs="Arial"/>
                <w:b/>
                <w:bCs/>
                <w:i/>
                <w:iCs/>
                <w:color w:val="000000"/>
                <w:sz w:val="16"/>
                <w:szCs w:val="16"/>
              </w:rPr>
              <w:t xml:space="preserve">- </w:t>
            </w:r>
          </w:p>
        </w:tc>
      </w:tr>
      <w:tr w:rsidR="00710E67" w:rsidRPr="00710E67" w14:paraId="76C18728" w14:textId="77777777" w:rsidTr="00710E67">
        <w:trPr>
          <w:trHeight w:val="450"/>
        </w:trPr>
        <w:tc>
          <w:tcPr>
            <w:tcW w:w="2840" w:type="dxa"/>
            <w:tcBorders>
              <w:top w:val="nil"/>
              <w:left w:val="nil"/>
              <w:bottom w:val="nil"/>
              <w:right w:val="nil"/>
            </w:tcBorders>
            <w:shd w:val="clear" w:color="auto" w:fill="auto"/>
            <w:vAlign w:val="center"/>
            <w:hideMark/>
          </w:tcPr>
          <w:p w14:paraId="76C18722" w14:textId="77777777" w:rsidR="00710E67" w:rsidRPr="00710E67" w:rsidRDefault="00710E67" w:rsidP="00B86D9C">
            <w:pPr>
              <w:spacing w:after="0" w:line="240" w:lineRule="auto"/>
              <w:ind w:left="180" w:hanging="180"/>
              <w:jc w:val="left"/>
              <w:rPr>
                <w:rFonts w:ascii="Arial" w:hAnsi="Arial" w:cs="Arial"/>
                <w:b/>
                <w:bCs/>
                <w:color w:val="000000"/>
                <w:sz w:val="16"/>
                <w:szCs w:val="16"/>
              </w:rPr>
            </w:pPr>
            <w:r w:rsidRPr="00710E67">
              <w:rPr>
                <w:rFonts w:ascii="Arial" w:hAnsi="Arial" w:cs="Arial"/>
                <w:b/>
                <w:bCs/>
                <w:color w:val="000000"/>
                <w:sz w:val="16"/>
                <w:szCs w:val="16"/>
              </w:rPr>
              <w:t>Net cash from/(used by) financing activities</w:t>
            </w:r>
          </w:p>
        </w:tc>
        <w:tc>
          <w:tcPr>
            <w:tcW w:w="880" w:type="dxa"/>
            <w:tcBorders>
              <w:top w:val="single" w:sz="4" w:space="0" w:color="auto"/>
              <w:left w:val="nil"/>
              <w:bottom w:val="single" w:sz="4" w:space="0" w:color="auto"/>
              <w:right w:val="nil"/>
            </w:tcBorders>
            <w:shd w:val="clear" w:color="auto" w:fill="auto"/>
            <w:noWrap/>
            <w:vAlign w:val="bottom"/>
            <w:hideMark/>
          </w:tcPr>
          <w:p w14:paraId="76C18723"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148 </w:t>
            </w:r>
          </w:p>
        </w:tc>
        <w:tc>
          <w:tcPr>
            <w:tcW w:w="880" w:type="dxa"/>
            <w:tcBorders>
              <w:top w:val="single" w:sz="4" w:space="0" w:color="auto"/>
              <w:left w:val="nil"/>
              <w:bottom w:val="single" w:sz="4" w:space="0" w:color="auto"/>
              <w:right w:val="nil"/>
            </w:tcBorders>
            <w:shd w:val="clear" w:color="000000" w:fill="E6E6E6"/>
            <w:noWrap/>
            <w:vAlign w:val="bottom"/>
            <w:hideMark/>
          </w:tcPr>
          <w:p w14:paraId="76C18724"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99 </w:t>
            </w:r>
          </w:p>
        </w:tc>
        <w:tc>
          <w:tcPr>
            <w:tcW w:w="880" w:type="dxa"/>
            <w:tcBorders>
              <w:top w:val="single" w:sz="4" w:space="0" w:color="auto"/>
              <w:left w:val="nil"/>
              <w:bottom w:val="single" w:sz="4" w:space="0" w:color="auto"/>
              <w:right w:val="nil"/>
            </w:tcBorders>
            <w:shd w:val="clear" w:color="auto" w:fill="auto"/>
            <w:noWrap/>
            <w:vAlign w:val="bottom"/>
            <w:hideMark/>
          </w:tcPr>
          <w:p w14:paraId="76C18725"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20 </w:t>
            </w:r>
          </w:p>
        </w:tc>
        <w:tc>
          <w:tcPr>
            <w:tcW w:w="880" w:type="dxa"/>
            <w:tcBorders>
              <w:top w:val="single" w:sz="4" w:space="0" w:color="auto"/>
              <w:left w:val="nil"/>
              <w:bottom w:val="single" w:sz="4" w:space="0" w:color="auto"/>
              <w:right w:val="nil"/>
            </w:tcBorders>
            <w:shd w:val="clear" w:color="auto" w:fill="auto"/>
            <w:noWrap/>
            <w:vAlign w:val="bottom"/>
            <w:hideMark/>
          </w:tcPr>
          <w:p w14:paraId="76C18726"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259 </w:t>
            </w:r>
          </w:p>
        </w:tc>
        <w:tc>
          <w:tcPr>
            <w:tcW w:w="880" w:type="dxa"/>
            <w:tcBorders>
              <w:top w:val="single" w:sz="4" w:space="0" w:color="auto"/>
              <w:left w:val="nil"/>
              <w:bottom w:val="single" w:sz="4" w:space="0" w:color="auto"/>
              <w:right w:val="nil"/>
            </w:tcBorders>
            <w:shd w:val="clear" w:color="auto" w:fill="auto"/>
            <w:noWrap/>
            <w:vAlign w:val="bottom"/>
            <w:hideMark/>
          </w:tcPr>
          <w:p w14:paraId="76C18727"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499 </w:t>
            </w:r>
          </w:p>
        </w:tc>
      </w:tr>
      <w:tr w:rsidR="00710E67" w:rsidRPr="00710E67" w14:paraId="76C1872F" w14:textId="77777777" w:rsidTr="00710E67">
        <w:trPr>
          <w:trHeight w:val="450"/>
        </w:trPr>
        <w:tc>
          <w:tcPr>
            <w:tcW w:w="2840" w:type="dxa"/>
            <w:tcBorders>
              <w:top w:val="nil"/>
              <w:left w:val="nil"/>
              <w:bottom w:val="nil"/>
              <w:right w:val="nil"/>
            </w:tcBorders>
            <w:shd w:val="clear" w:color="auto" w:fill="auto"/>
            <w:vAlign w:val="center"/>
            <w:hideMark/>
          </w:tcPr>
          <w:p w14:paraId="76C18729"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Net increase/(decrease) in cash held</w:t>
            </w:r>
          </w:p>
        </w:tc>
        <w:tc>
          <w:tcPr>
            <w:tcW w:w="880" w:type="dxa"/>
            <w:tcBorders>
              <w:top w:val="nil"/>
              <w:left w:val="nil"/>
              <w:bottom w:val="single" w:sz="4" w:space="0" w:color="auto"/>
              <w:right w:val="nil"/>
            </w:tcBorders>
            <w:shd w:val="clear" w:color="auto" w:fill="auto"/>
            <w:noWrap/>
            <w:vAlign w:val="bottom"/>
            <w:hideMark/>
          </w:tcPr>
          <w:p w14:paraId="76C1872A"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(279)</w:t>
            </w:r>
          </w:p>
        </w:tc>
        <w:tc>
          <w:tcPr>
            <w:tcW w:w="880" w:type="dxa"/>
            <w:tcBorders>
              <w:top w:val="nil"/>
              <w:left w:val="nil"/>
              <w:bottom w:val="single" w:sz="4" w:space="0" w:color="auto"/>
              <w:right w:val="nil"/>
            </w:tcBorders>
            <w:shd w:val="clear" w:color="000000" w:fill="E6E6E6"/>
            <w:noWrap/>
            <w:vAlign w:val="bottom"/>
            <w:hideMark/>
          </w:tcPr>
          <w:p w14:paraId="76C1872B"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872C"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872D"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(5)</w:t>
            </w:r>
          </w:p>
        </w:tc>
        <w:tc>
          <w:tcPr>
            <w:tcW w:w="880" w:type="dxa"/>
            <w:tcBorders>
              <w:top w:val="nil"/>
              <w:left w:val="nil"/>
              <w:bottom w:val="single" w:sz="4" w:space="0" w:color="auto"/>
              <w:right w:val="nil"/>
            </w:tcBorders>
            <w:shd w:val="clear" w:color="auto" w:fill="auto"/>
            <w:noWrap/>
            <w:vAlign w:val="bottom"/>
            <w:hideMark/>
          </w:tcPr>
          <w:p w14:paraId="76C1872E" w14:textId="77777777" w:rsidR="00710E67" w:rsidRPr="00710E67" w:rsidRDefault="00710E67" w:rsidP="00710E67">
            <w:pPr>
              <w:spacing w:after="0" w:line="240" w:lineRule="auto"/>
              <w:jc w:val="right"/>
              <w:rPr>
                <w:rFonts w:ascii="Arial" w:hAnsi="Arial" w:cs="Arial"/>
                <w:b/>
                <w:bCs/>
                <w:color w:val="000000"/>
                <w:sz w:val="16"/>
                <w:szCs w:val="16"/>
              </w:rPr>
            </w:pPr>
            <w:r w:rsidRPr="00710E67">
              <w:rPr>
                <w:rFonts w:ascii="Arial" w:hAnsi="Arial" w:cs="Arial"/>
                <w:b/>
                <w:bCs/>
                <w:color w:val="000000"/>
                <w:sz w:val="16"/>
                <w:szCs w:val="16"/>
              </w:rPr>
              <w:t>(110)</w:t>
            </w:r>
          </w:p>
        </w:tc>
      </w:tr>
      <w:tr w:rsidR="00710E67" w:rsidRPr="00710E67" w14:paraId="76C18736" w14:textId="77777777" w:rsidTr="00710E67">
        <w:trPr>
          <w:trHeight w:val="450"/>
        </w:trPr>
        <w:tc>
          <w:tcPr>
            <w:tcW w:w="2840" w:type="dxa"/>
            <w:tcBorders>
              <w:top w:val="nil"/>
              <w:left w:val="nil"/>
              <w:bottom w:val="nil"/>
              <w:right w:val="nil"/>
            </w:tcBorders>
            <w:shd w:val="clear" w:color="auto" w:fill="auto"/>
            <w:vAlign w:val="center"/>
            <w:hideMark/>
          </w:tcPr>
          <w:p w14:paraId="76C18730" w14:textId="77777777" w:rsidR="00710E67" w:rsidRPr="00710E67" w:rsidRDefault="00710E67" w:rsidP="00B86D9C">
            <w:pPr>
              <w:spacing w:after="0" w:line="240" w:lineRule="auto"/>
              <w:ind w:left="316" w:hanging="142"/>
              <w:jc w:val="left"/>
              <w:rPr>
                <w:rFonts w:ascii="Arial" w:hAnsi="Arial" w:cs="Arial"/>
                <w:color w:val="000000"/>
                <w:sz w:val="16"/>
                <w:szCs w:val="16"/>
              </w:rPr>
            </w:pPr>
            <w:r w:rsidRPr="00710E67">
              <w:rPr>
                <w:rFonts w:ascii="Arial" w:hAnsi="Arial" w:cs="Arial"/>
                <w:color w:val="000000"/>
                <w:sz w:val="16"/>
                <w:szCs w:val="16"/>
              </w:rPr>
              <w:t>Cash and cash equivalents at the</w:t>
            </w:r>
            <w:r w:rsidR="00B86D9C">
              <w:rPr>
                <w:rFonts w:ascii="Arial" w:hAnsi="Arial" w:cs="Arial"/>
                <w:color w:val="000000"/>
                <w:sz w:val="16"/>
                <w:szCs w:val="16"/>
              </w:rPr>
              <w:t xml:space="preserve"> </w:t>
            </w:r>
            <w:r w:rsidRPr="00710E67">
              <w:rPr>
                <w:rFonts w:ascii="Arial" w:hAnsi="Arial" w:cs="Arial"/>
                <w:color w:val="000000"/>
                <w:sz w:val="16"/>
                <w:szCs w:val="16"/>
              </w:rPr>
              <w:t>beginning of the reporting period</w:t>
            </w:r>
          </w:p>
        </w:tc>
        <w:tc>
          <w:tcPr>
            <w:tcW w:w="880" w:type="dxa"/>
            <w:tcBorders>
              <w:top w:val="nil"/>
              <w:left w:val="nil"/>
              <w:bottom w:val="single" w:sz="4" w:space="0" w:color="auto"/>
              <w:right w:val="nil"/>
            </w:tcBorders>
            <w:shd w:val="clear" w:color="auto" w:fill="auto"/>
            <w:noWrap/>
            <w:vAlign w:val="center"/>
            <w:hideMark/>
          </w:tcPr>
          <w:p w14:paraId="76C18731"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14,454 </w:t>
            </w:r>
          </w:p>
        </w:tc>
        <w:tc>
          <w:tcPr>
            <w:tcW w:w="880" w:type="dxa"/>
            <w:tcBorders>
              <w:top w:val="nil"/>
              <w:left w:val="nil"/>
              <w:bottom w:val="single" w:sz="4" w:space="0" w:color="auto"/>
              <w:right w:val="nil"/>
            </w:tcBorders>
            <w:shd w:val="clear" w:color="000000" w:fill="E6E6E6"/>
            <w:noWrap/>
            <w:vAlign w:val="center"/>
            <w:hideMark/>
          </w:tcPr>
          <w:p w14:paraId="76C18732"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14,175 </w:t>
            </w:r>
          </w:p>
        </w:tc>
        <w:tc>
          <w:tcPr>
            <w:tcW w:w="880" w:type="dxa"/>
            <w:tcBorders>
              <w:top w:val="nil"/>
              <w:left w:val="nil"/>
              <w:bottom w:val="single" w:sz="4" w:space="0" w:color="auto"/>
              <w:right w:val="nil"/>
            </w:tcBorders>
            <w:shd w:val="clear" w:color="auto" w:fill="auto"/>
            <w:noWrap/>
            <w:vAlign w:val="center"/>
            <w:hideMark/>
          </w:tcPr>
          <w:p w14:paraId="76C18733"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14,175 </w:t>
            </w:r>
          </w:p>
        </w:tc>
        <w:tc>
          <w:tcPr>
            <w:tcW w:w="880" w:type="dxa"/>
            <w:tcBorders>
              <w:top w:val="nil"/>
              <w:left w:val="nil"/>
              <w:bottom w:val="single" w:sz="4" w:space="0" w:color="auto"/>
              <w:right w:val="nil"/>
            </w:tcBorders>
            <w:shd w:val="clear" w:color="auto" w:fill="auto"/>
            <w:noWrap/>
            <w:vAlign w:val="center"/>
            <w:hideMark/>
          </w:tcPr>
          <w:p w14:paraId="76C18734"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14,175 </w:t>
            </w:r>
          </w:p>
        </w:tc>
        <w:tc>
          <w:tcPr>
            <w:tcW w:w="880" w:type="dxa"/>
            <w:tcBorders>
              <w:top w:val="nil"/>
              <w:left w:val="nil"/>
              <w:bottom w:val="single" w:sz="4" w:space="0" w:color="auto"/>
              <w:right w:val="nil"/>
            </w:tcBorders>
            <w:shd w:val="clear" w:color="auto" w:fill="auto"/>
            <w:noWrap/>
            <w:vAlign w:val="center"/>
            <w:hideMark/>
          </w:tcPr>
          <w:p w14:paraId="76C18735" w14:textId="77777777" w:rsidR="00710E67" w:rsidRPr="00710E67" w:rsidRDefault="00710E67" w:rsidP="00710E67">
            <w:pPr>
              <w:spacing w:after="0" w:line="240" w:lineRule="auto"/>
              <w:jc w:val="right"/>
              <w:rPr>
                <w:rFonts w:ascii="Arial" w:hAnsi="Arial" w:cs="Arial"/>
                <w:color w:val="000000"/>
                <w:sz w:val="16"/>
                <w:szCs w:val="16"/>
              </w:rPr>
            </w:pPr>
            <w:r w:rsidRPr="00710E67">
              <w:rPr>
                <w:rFonts w:ascii="Arial" w:hAnsi="Arial" w:cs="Arial"/>
                <w:color w:val="000000"/>
                <w:sz w:val="16"/>
                <w:szCs w:val="16"/>
              </w:rPr>
              <w:t xml:space="preserve">14,170 </w:t>
            </w:r>
          </w:p>
        </w:tc>
      </w:tr>
      <w:tr w:rsidR="00710E67" w:rsidRPr="00710E67" w14:paraId="76C1873D" w14:textId="77777777" w:rsidTr="00710E67">
        <w:trPr>
          <w:trHeight w:val="450"/>
        </w:trPr>
        <w:tc>
          <w:tcPr>
            <w:tcW w:w="2840" w:type="dxa"/>
            <w:tcBorders>
              <w:top w:val="nil"/>
              <w:left w:val="nil"/>
              <w:bottom w:val="single" w:sz="4" w:space="0" w:color="auto"/>
              <w:right w:val="nil"/>
            </w:tcBorders>
            <w:shd w:val="clear" w:color="auto" w:fill="auto"/>
            <w:vAlign w:val="center"/>
            <w:hideMark/>
          </w:tcPr>
          <w:p w14:paraId="76C18737" w14:textId="77777777" w:rsidR="00710E67" w:rsidRPr="00B86D9C" w:rsidRDefault="00710E67" w:rsidP="00B86D9C">
            <w:pPr>
              <w:spacing w:after="0" w:line="240" w:lineRule="auto"/>
              <w:ind w:left="180" w:hanging="180"/>
              <w:jc w:val="left"/>
              <w:rPr>
                <w:rFonts w:ascii="Arial" w:hAnsi="Arial" w:cs="Arial"/>
                <w:b/>
                <w:bCs/>
                <w:sz w:val="16"/>
                <w:szCs w:val="16"/>
              </w:rPr>
            </w:pPr>
            <w:r w:rsidRPr="00B86D9C">
              <w:rPr>
                <w:rFonts w:ascii="Arial" w:hAnsi="Arial" w:cs="Arial"/>
                <w:b/>
                <w:bCs/>
                <w:sz w:val="16"/>
                <w:szCs w:val="16"/>
              </w:rPr>
              <w:t>Cash and cash equivalents at the end of the reporting period</w:t>
            </w:r>
          </w:p>
        </w:tc>
        <w:tc>
          <w:tcPr>
            <w:tcW w:w="880" w:type="dxa"/>
            <w:tcBorders>
              <w:top w:val="single" w:sz="4" w:space="0" w:color="000000"/>
              <w:left w:val="nil"/>
              <w:bottom w:val="single" w:sz="4" w:space="0" w:color="auto"/>
              <w:right w:val="nil"/>
            </w:tcBorders>
            <w:shd w:val="clear" w:color="auto" w:fill="auto"/>
            <w:noWrap/>
            <w:vAlign w:val="bottom"/>
            <w:hideMark/>
          </w:tcPr>
          <w:p w14:paraId="76C18738" w14:textId="77777777" w:rsidR="00710E67" w:rsidRPr="00B86D9C" w:rsidRDefault="00710E67" w:rsidP="00710E67">
            <w:pPr>
              <w:spacing w:after="0" w:line="240" w:lineRule="auto"/>
              <w:jc w:val="right"/>
              <w:rPr>
                <w:rFonts w:ascii="Arial" w:hAnsi="Arial" w:cs="Arial"/>
                <w:b/>
                <w:color w:val="000000"/>
                <w:sz w:val="16"/>
                <w:szCs w:val="16"/>
              </w:rPr>
            </w:pPr>
            <w:r w:rsidRPr="00B86D9C">
              <w:rPr>
                <w:rFonts w:ascii="Arial" w:hAnsi="Arial" w:cs="Arial"/>
                <w:b/>
                <w:color w:val="000000"/>
                <w:sz w:val="16"/>
                <w:szCs w:val="16"/>
              </w:rPr>
              <w:t xml:space="preserve">14,175 </w:t>
            </w:r>
          </w:p>
        </w:tc>
        <w:tc>
          <w:tcPr>
            <w:tcW w:w="880" w:type="dxa"/>
            <w:tcBorders>
              <w:top w:val="single" w:sz="4" w:space="0" w:color="000000"/>
              <w:left w:val="nil"/>
              <w:bottom w:val="single" w:sz="4" w:space="0" w:color="auto"/>
              <w:right w:val="nil"/>
            </w:tcBorders>
            <w:shd w:val="clear" w:color="000000" w:fill="E6E6E6"/>
            <w:noWrap/>
            <w:vAlign w:val="bottom"/>
            <w:hideMark/>
          </w:tcPr>
          <w:p w14:paraId="76C18739" w14:textId="77777777" w:rsidR="00710E67" w:rsidRPr="00B86D9C" w:rsidRDefault="00710E67" w:rsidP="00710E67">
            <w:pPr>
              <w:spacing w:after="0" w:line="240" w:lineRule="auto"/>
              <w:jc w:val="right"/>
              <w:rPr>
                <w:rFonts w:ascii="Arial" w:hAnsi="Arial" w:cs="Arial"/>
                <w:b/>
                <w:color w:val="000000"/>
                <w:sz w:val="16"/>
                <w:szCs w:val="16"/>
              </w:rPr>
            </w:pPr>
            <w:r w:rsidRPr="00B86D9C">
              <w:rPr>
                <w:rFonts w:ascii="Arial" w:hAnsi="Arial" w:cs="Arial"/>
                <w:b/>
                <w:color w:val="000000"/>
                <w:sz w:val="16"/>
                <w:szCs w:val="16"/>
              </w:rPr>
              <w:t xml:space="preserve">14,175 </w:t>
            </w:r>
          </w:p>
        </w:tc>
        <w:tc>
          <w:tcPr>
            <w:tcW w:w="880" w:type="dxa"/>
            <w:tcBorders>
              <w:top w:val="single" w:sz="4" w:space="0" w:color="000000"/>
              <w:left w:val="nil"/>
              <w:bottom w:val="single" w:sz="4" w:space="0" w:color="auto"/>
              <w:right w:val="nil"/>
            </w:tcBorders>
            <w:shd w:val="clear" w:color="auto" w:fill="auto"/>
            <w:noWrap/>
            <w:vAlign w:val="bottom"/>
            <w:hideMark/>
          </w:tcPr>
          <w:p w14:paraId="76C1873A" w14:textId="77777777" w:rsidR="00710E67" w:rsidRPr="00B86D9C" w:rsidRDefault="00710E67" w:rsidP="00710E67">
            <w:pPr>
              <w:spacing w:after="0" w:line="240" w:lineRule="auto"/>
              <w:jc w:val="right"/>
              <w:rPr>
                <w:rFonts w:ascii="Arial" w:hAnsi="Arial" w:cs="Arial"/>
                <w:b/>
                <w:color w:val="000000"/>
                <w:sz w:val="16"/>
                <w:szCs w:val="16"/>
              </w:rPr>
            </w:pPr>
            <w:r w:rsidRPr="00B86D9C">
              <w:rPr>
                <w:rFonts w:ascii="Arial" w:hAnsi="Arial" w:cs="Arial"/>
                <w:b/>
                <w:color w:val="000000"/>
                <w:sz w:val="16"/>
                <w:szCs w:val="16"/>
              </w:rPr>
              <w:t xml:space="preserve">14,175 </w:t>
            </w:r>
          </w:p>
        </w:tc>
        <w:tc>
          <w:tcPr>
            <w:tcW w:w="880" w:type="dxa"/>
            <w:tcBorders>
              <w:top w:val="single" w:sz="4" w:space="0" w:color="000000"/>
              <w:left w:val="nil"/>
              <w:bottom w:val="single" w:sz="4" w:space="0" w:color="auto"/>
              <w:right w:val="nil"/>
            </w:tcBorders>
            <w:shd w:val="clear" w:color="auto" w:fill="auto"/>
            <w:noWrap/>
            <w:vAlign w:val="bottom"/>
            <w:hideMark/>
          </w:tcPr>
          <w:p w14:paraId="76C1873B" w14:textId="77777777" w:rsidR="00710E67" w:rsidRPr="00B86D9C" w:rsidRDefault="00710E67" w:rsidP="00710E67">
            <w:pPr>
              <w:spacing w:after="0" w:line="240" w:lineRule="auto"/>
              <w:jc w:val="right"/>
              <w:rPr>
                <w:rFonts w:ascii="Arial" w:hAnsi="Arial" w:cs="Arial"/>
                <w:b/>
                <w:color w:val="000000"/>
                <w:sz w:val="16"/>
                <w:szCs w:val="16"/>
              </w:rPr>
            </w:pPr>
            <w:r w:rsidRPr="00B86D9C">
              <w:rPr>
                <w:rFonts w:ascii="Arial" w:hAnsi="Arial" w:cs="Arial"/>
                <w:b/>
                <w:color w:val="000000"/>
                <w:sz w:val="16"/>
                <w:szCs w:val="16"/>
              </w:rPr>
              <w:t xml:space="preserve">14,170 </w:t>
            </w:r>
          </w:p>
        </w:tc>
        <w:tc>
          <w:tcPr>
            <w:tcW w:w="880" w:type="dxa"/>
            <w:tcBorders>
              <w:top w:val="single" w:sz="4" w:space="0" w:color="000000"/>
              <w:left w:val="nil"/>
              <w:bottom w:val="single" w:sz="4" w:space="0" w:color="auto"/>
              <w:right w:val="nil"/>
            </w:tcBorders>
            <w:shd w:val="clear" w:color="auto" w:fill="auto"/>
            <w:noWrap/>
            <w:vAlign w:val="bottom"/>
            <w:hideMark/>
          </w:tcPr>
          <w:p w14:paraId="76C1873C" w14:textId="77777777" w:rsidR="00710E67" w:rsidRPr="00B86D9C" w:rsidRDefault="00710E67" w:rsidP="00710E67">
            <w:pPr>
              <w:spacing w:after="0" w:line="240" w:lineRule="auto"/>
              <w:jc w:val="right"/>
              <w:rPr>
                <w:rFonts w:ascii="Arial" w:hAnsi="Arial" w:cs="Arial"/>
                <w:b/>
                <w:color w:val="000000"/>
                <w:sz w:val="16"/>
                <w:szCs w:val="16"/>
              </w:rPr>
            </w:pPr>
            <w:r w:rsidRPr="00B86D9C">
              <w:rPr>
                <w:rFonts w:ascii="Arial" w:hAnsi="Arial" w:cs="Arial"/>
                <w:b/>
                <w:color w:val="000000"/>
                <w:sz w:val="16"/>
                <w:szCs w:val="16"/>
              </w:rPr>
              <w:t xml:space="preserve">14,060 </w:t>
            </w:r>
          </w:p>
        </w:tc>
      </w:tr>
    </w:tbl>
    <w:p w14:paraId="76C1873E" w14:textId="77777777" w:rsidR="0061075E" w:rsidRPr="00132F9E" w:rsidRDefault="0061075E" w:rsidP="003732E1">
      <w:pPr>
        <w:pStyle w:val="TableGraphic"/>
        <w:spacing w:before="120"/>
        <w:jc w:val="left"/>
        <w:rPr>
          <w:rFonts w:ascii="Arial" w:hAnsi="Arial" w:cs="Arial"/>
          <w:sz w:val="16"/>
          <w:szCs w:val="16"/>
        </w:rPr>
      </w:pPr>
      <w:r w:rsidRPr="00132F9E">
        <w:rPr>
          <w:rFonts w:ascii="Arial" w:hAnsi="Arial" w:cs="Arial"/>
          <w:sz w:val="16"/>
          <w:szCs w:val="16"/>
        </w:rPr>
        <w:t>Prepared on Australian Accounting Standards basis.</w:t>
      </w:r>
    </w:p>
    <w:p w14:paraId="76C1873F" w14:textId="77777777" w:rsidR="0061075E" w:rsidRPr="0041404E" w:rsidRDefault="0061075E" w:rsidP="0061075E">
      <w:pPr>
        <w:pStyle w:val="TableHeading"/>
      </w:pPr>
      <w:r>
        <w:br w:type="page"/>
      </w:r>
      <w:r w:rsidRPr="00D30CBA">
        <w:t>Table</w:t>
      </w:r>
      <w:r>
        <w:t xml:space="preserve"> 3.5</w:t>
      </w:r>
      <w:r w:rsidRPr="00D30CBA">
        <w:t xml:space="preserve">: </w:t>
      </w:r>
      <w:r>
        <w:t>Departmental capital budget statement (for the period ended 30 June)</w:t>
      </w:r>
    </w:p>
    <w:tbl>
      <w:tblPr>
        <w:tblW w:w="7280" w:type="dxa"/>
        <w:tblLook w:val="04A0" w:firstRow="1" w:lastRow="0" w:firstColumn="1" w:lastColumn="0" w:noHBand="0" w:noVBand="1"/>
      </w:tblPr>
      <w:tblGrid>
        <w:gridCol w:w="2980"/>
        <w:gridCol w:w="928"/>
        <w:gridCol w:w="860"/>
        <w:gridCol w:w="860"/>
        <w:gridCol w:w="860"/>
        <w:gridCol w:w="860"/>
      </w:tblGrid>
      <w:tr w:rsidR="00710E67" w:rsidRPr="00710E67" w14:paraId="76C18746" w14:textId="77777777" w:rsidTr="00803AC9">
        <w:trPr>
          <w:trHeight w:val="726"/>
        </w:trPr>
        <w:tc>
          <w:tcPr>
            <w:tcW w:w="2980" w:type="dxa"/>
            <w:tcBorders>
              <w:top w:val="single" w:sz="4" w:space="0" w:color="auto"/>
              <w:left w:val="nil"/>
              <w:bottom w:val="nil"/>
              <w:right w:val="nil"/>
            </w:tcBorders>
            <w:shd w:val="clear" w:color="auto" w:fill="auto"/>
            <w:noWrap/>
            <w:hideMark/>
          </w:tcPr>
          <w:p w14:paraId="76C18740" w14:textId="77777777" w:rsidR="00710E67" w:rsidRPr="00710E67" w:rsidRDefault="00710E67" w:rsidP="00710E67">
            <w:pPr>
              <w:spacing w:after="0" w:line="240" w:lineRule="auto"/>
              <w:jc w:val="left"/>
              <w:rPr>
                <w:rFonts w:ascii="Arial" w:hAnsi="Arial" w:cs="Arial"/>
                <w:b/>
                <w:bCs/>
                <w:sz w:val="16"/>
                <w:szCs w:val="16"/>
              </w:rPr>
            </w:pPr>
            <w:r w:rsidRPr="00710E67">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auto" w:fill="auto"/>
            <w:hideMark/>
          </w:tcPr>
          <w:p w14:paraId="76C18741" w14:textId="77777777" w:rsidR="00710E67" w:rsidRPr="00710E67" w:rsidRDefault="009A4174" w:rsidP="00710E67">
            <w:pPr>
              <w:spacing w:after="0" w:line="240" w:lineRule="auto"/>
              <w:jc w:val="right"/>
              <w:rPr>
                <w:rFonts w:ascii="Arial" w:hAnsi="Arial" w:cs="Arial"/>
                <w:sz w:val="16"/>
                <w:szCs w:val="16"/>
              </w:rPr>
            </w:pPr>
            <w:r>
              <w:rPr>
                <w:rFonts w:ascii="Arial" w:hAnsi="Arial" w:cs="Arial"/>
                <w:sz w:val="16"/>
                <w:szCs w:val="16"/>
              </w:rPr>
              <w:t xml:space="preserve">2018–19 </w:t>
            </w:r>
            <w:r w:rsidR="00710E67" w:rsidRPr="00710E67">
              <w:rPr>
                <w:rFonts w:ascii="Arial" w:hAnsi="Arial" w:cs="Arial"/>
                <w:sz w:val="16"/>
                <w:szCs w:val="16"/>
              </w:rPr>
              <w:t xml:space="preserve"> Estimated actual</w:t>
            </w:r>
            <w:r w:rsidR="00710E67" w:rsidRPr="00710E6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8742"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2019–20</w:t>
            </w:r>
            <w:r w:rsidRPr="00710E67">
              <w:rPr>
                <w:rFonts w:ascii="Arial" w:hAnsi="Arial" w:cs="Arial"/>
                <w:sz w:val="16"/>
                <w:szCs w:val="16"/>
              </w:rPr>
              <w:br/>
              <w:t>Budget</w:t>
            </w:r>
            <w:r w:rsidRPr="00710E67">
              <w:rPr>
                <w:rFonts w:ascii="Arial" w:hAnsi="Arial" w:cs="Arial"/>
                <w:sz w:val="16"/>
                <w:szCs w:val="16"/>
              </w:rPr>
              <w:br/>
            </w:r>
            <w:r w:rsidRPr="00710E6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743"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2020–21 Forward estimate</w:t>
            </w:r>
            <w:r w:rsidRPr="00710E6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744"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2021–22 Forward estimate</w:t>
            </w:r>
            <w:r w:rsidRPr="00710E67">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8745"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2022–23</w:t>
            </w:r>
            <w:r w:rsidRPr="00710E67">
              <w:rPr>
                <w:rFonts w:ascii="Arial" w:hAnsi="Arial" w:cs="Arial"/>
                <w:sz w:val="16"/>
                <w:szCs w:val="16"/>
              </w:rPr>
              <w:br/>
              <w:t>Forward estimate</w:t>
            </w:r>
            <w:r w:rsidRPr="00710E67">
              <w:rPr>
                <w:rFonts w:ascii="Arial" w:hAnsi="Arial" w:cs="Arial"/>
                <w:sz w:val="16"/>
                <w:szCs w:val="16"/>
              </w:rPr>
              <w:br/>
              <w:t>$'000</w:t>
            </w:r>
          </w:p>
        </w:tc>
      </w:tr>
      <w:tr w:rsidR="00710E67" w:rsidRPr="00710E67" w14:paraId="76C1874D" w14:textId="77777777" w:rsidTr="00710E67">
        <w:trPr>
          <w:trHeight w:val="225"/>
        </w:trPr>
        <w:tc>
          <w:tcPr>
            <w:tcW w:w="2980" w:type="dxa"/>
            <w:tcBorders>
              <w:top w:val="nil"/>
              <w:left w:val="nil"/>
              <w:bottom w:val="nil"/>
              <w:right w:val="nil"/>
            </w:tcBorders>
            <w:shd w:val="clear" w:color="auto" w:fill="auto"/>
            <w:noWrap/>
            <w:vAlign w:val="bottom"/>
            <w:hideMark/>
          </w:tcPr>
          <w:p w14:paraId="76C18747" w14:textId="77777777" w:rsidR="00710E67" w:rsidRPr="00710E67" w:rsidRDefault="00710E67" w:rsidP="00710E67">
            <w:pPr>
              <w:spacing w:after="0" w:line="240" w:lineRule="auto"/>
              <w:jc w:val="left"/>
              <w:rPr>
                <w:rFonts w:ascii="Arial" w:hAnsi="Arial" w:cs="Arial"/>
                <w:b/>
                <w:bCs/>
                <w:sz w:val="16"/>
                <w:szCs w:val="16"/>
              </w:rPr>
            </w:pPr>
            <w:r w:rsidRPr="00710E67">
              <w:rPr>
                <w:rFonts w:ascii="Arial" w:hAnsi="Arial" w:cs="Arial"/>
                <w:b/>
                <w:bCs/>
                <w:sz w:val="16"/>
                <w:szCs w:val="16"/>
              </w:rPr>
              <w:t>NEW CAPITAL APPROPRIATIONS</w:t>
            </w:r>
          </w:p>
        </w:tc>
        <w:tc>
          <w:tcPr>
            <w:tcW w:w="860" w:type="dxa"/>
            <w:tcBorders>
              <w:top w:val="nil"/>
              <w:left w:val="nil"/>
              <w:bottom w:val="nil"/>
              <w:right w:val="nil"/>
            </w:tcBorders>
            <w:shd w:val="clear" w:color="auto" w:fill="auto"/>
            <w:noWrap/>
            <w:vAlign w:val="center"/>
            <w:hideMark/>
          </w:tcPr>
          <w:p w14:paraId="76C18748" w14:textId="77777777" w:rsidR="00710E67" w:rsidRPr="00710E67" w:rsidRDefault="00710E67" w:rsidP="00710E67">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8749" w14:textId="77777777" w:rsidR="00710E67" w:rsidRPr="00710E67" w:rsidRDefault="00710E67" w:rsidP="00710E67">
            <w:pPr>
              <w:spacing w:after="0" w:line="240" w:lineRule="auto"/>
              <w:jc w:val="left"/>
              <w:rPr>
                <w:rFonts w:ascii="Arial" w:hAnsi="Arial" w:cs="Arial"/>
                <w:sz w:val="16"/>
                <w:szCs w:val="16"/>
              </w:rPr>
            </w:pPr>
            <w:r w:rsidRPr="00710E67">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874A" w14:textId="77777777" w:rsidR="00710E67" w:rsidRPr="00710E67" w:rsidRDefault="00710E67" w:rsidP="00710E67">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874B" w14:textId="77777777" w:rsidR="00710E67" w:rsidRPr="00710E67" w:rsidRDefault="00710E67" w:rsidP="00710E67">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74C" w14:textId="77777777" w:rsidR="00710E67" w:rsidRPr="00710E67" w:rsidRDefault="00710E67" w:rsidP="00710E67">
            <w:pPr>
              <w:spacing w:after="0" w:line="240" w:lineRule="auto"/>
              <w:jc w:val="left"/>
              <w:rPr>
                <w:rFonts w:ascii="Times New Roman" w:hAnsi="Times New Roman"/>
              </w:rPr>
            </w:pPr>
          </w:p>
        </w:tc>
      </w:tr>
      <w:tr w:rsidR="00710E67" w:rsidRPr="00710E67" w14:paraId="76C18754" w14:textId="77777777" w:rsidTr="00710E67">
        <w:trPr>
          <w:trHeight w:val="225"/>
        </w:trPr>
        <w:tc>
          <w:tcPr>
            <w:tcW w:w="2980" w:type="dxa"/>
            <w:tcBorders>
              <w:top w:val="nil"/>
              <w:left w:val="nil"/>
              <w:bottom w:val="nil"/>
              <w:right w:val="nil"/>
            </w:tcBorders>
            <w:shd w:val="clear" w:color="auto" w:fill="auto"/>
            <w:noWrap/>
            <w:vAlign w:val="center"/>
            <w:hideMark/>
          </w:tcPr>
          <w:p w14:paraId="76C1874E" w14:textId="5B5E77A6" w:rsidR="00710E67" w:rsidRPr="00B86D9C" w:rsidRDefault="00710E67" w:rsidP="007C3E8E">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 xml:space="preserve">Capital budget </w:t>
            </w:r>
            <w:r w:rsidR="007C3E8E">
              <w:rPr>
                <w:rFonts w:ascii="Arial" w:hAnsi="Arial" w:cs="Arial"/>
                <w:color w:val="000000"/>
                <w:sz w:val="16"/>
                <w:szCs w:val="16"/>
              </w:rPr>
              <w:t>—</w:t>
            </w:r>
            <w:r w:rsidRPr="00B86D9C">
              <w:rPr>
                <w:rFonts w:ascii="Arial" w:hAnsi="Arial" w:cs="Arial"/>
                <w:color w:val="000000"/>
                <w:sz w:val="16"/>
                <w:szCs w:val="16"/>
              </w:rPr>
              <w:t xml:space="preserve"> Bill 1 (DCB)</w:t>
            </w:r>
          </w:p>
        </w:tc>
        <w:tc>
          <w:tcPr>
            <w:tcW w:w="860" w:type="dxa"/>
            <w:tcBorders>
              <w:top w:val="nil"/>
              <w:left w:val="nil"/>
              <w:bottom w:val="nil"/>
              <w:right w:val="nil"/>
            </w:tcBorders>
            <w:shd w:val="clear" w:color="auto" w:fill="auto"/>
            <w:noWrap/>
            <w:vAlign w:val="center"/>
            <w:hideMark/>
          </w:tcPr>
          <w:p w14:paraId="76C1874F"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92 </w:t>
            </w:r>
          </w:p>
        </w:tc>
        <w:tc>
          <w:tcPr>
            <w:tcW w:w="860" w:type="dxa"/>
            <w:tcBorders>
              <w:top w:val="nil"/>
              <w:left w:val="nil"/>
              <w:bottom w:val="nil"/>
              <w:right w:val="nil"/>
            </w:tcBorders>
            <w:shd w:val="clear" w:color="000000" w:fill="E6E6E6"/>
            <w:noWrap/>
            <w:vAlign w:val="center"/>
            <w:hideMark/>
          </w:tcPr>
          <w:p w14:paraId="76C18750"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99 </w:t>
            </w:r>
          </w:p>
        </w:tc>
        <w:tc>
          <w:tcPr>
            <w:tcW w:w="860" w:type="dxa"/>
            <w:tcBorders>
              <w:top w:val="nil"/>
              <w:left w:val="nil"/>
              <w:bottom w:val="nil"/>
              <w:right w:val="nil"/>
            </w:tcBorders>
            <w:shd w:val="clear" w:color="auto" w:fill="auto"/>
            <w:noWrap/>
            <w:vAlign w:val="center"/>
            <w:hideMark/>
          </w:tcPr>
          <w:p w14:paraId="76C18751"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254 </w:t>
            </w:r>
          </w:p>
        </w:tc>
        <w:tc>
          <w:tcPr>
            <w:tcW w:w="860" w:type="dxa"/>
            <w:tcBorders>
              <w:top w:val="nil"/>
              <w:left w:val="nil"/>
              <w:bottom w:val="nil"/>
              <w:right w:val="nil"/>
            </w:tcBorders>
            <w:shd w:val="clear" w:color="auto" w:fill="auto"/>
            <w:noWrap/>
            <w:vAlign w:val="center"/>
            <w:hideMark/>
          </w:tcPr>
          <w:p w14:paraId="76C18752"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259 </w:t>
            </w:r>
          </w:p>
        </w:tc>
        <w:tc>
          <w:tcPr>
            <w:tcW w:w="860" w:type="dxa"/>
            <w:tcBorders>
              <w:top w:val="nil"/>
              <w:left w:val="nil"/>
              <w:bottom w:val="nil"/>
              <w:right w:val="nil"/>
            </w:tcBorders>
            <w:shd w:val="clear" w:color="auto" w:fill="auto"/>
            <w:noWrap/>
            <w:vAlign w:val="center"/>
            <w:hideMark/>
          </w:tcPr>
          <w:p w14:paraId="76C18753"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265 </w:t>
            </w:r>
          </w:p>
        </w:tc>
      </w:tr>
      <w:tr w:rsidR="00710E67" w:rsidRPr="00710E67" w14:paraId="76C1875B" w14:textId="77777777" w:rsidTr="00710E67">
        <w:trPr>
          <w:trHeight w:val="225"/>
        </w:trPr>
        <w:tc>
          <w:tcPr>
            <w:tcW w:w="2980" w:type="dxa"/>
            <w:tcBorders>
              <w:top w:val="nil"/>
              <w:left w:val="nil"/>
              <w:bottom w:val="nil"/>
              <w:right w:val="nil"/>
            </w:tcBorders>
            <w:shd w:val="clear" w:color="auto" w:fill="auto"/>
            <w:noWrap/>
            <w:vAlign w:val="center"/>
            <w:hideMark/>
          </w:tcPr>
          <w:p w14:paraId="76C18755" w14:textId="77777777" w:rsidR="00710E67" w:rsidRPr="00710E67" w:rsidRDefault="00710E67" w:rsidP="00710E67">
            <w:pPr>
              <w:spacing w:after="0" w:line="240" w:lineRule="auto"/>
              <w:jc w:val="left"/>
              <w:rPr>
                <w:rFonts w:ascii="Arial" w:hAnsi="Arial" w:cs="Arial"/>
                <w:b/>
                <w:bCs/>
                <w:sz w:val="16"/>
                <w:szCs w:val="16"/>
              </w:rPr>
            </w:pPr>
            <w:r w:rsidRPr="00710E67">
              <w:rPr>
                <w:rFonts w:ascii="Arial" w:hAnsi="Arial" w:cs="Arial"/>
                <w:b/>
                <w:bCs/>
                <w:sz w:val="16"/>
                <w:szCs w:val="16"/>
              </w:rPr>
              <w:t>Total new capital appropriations</w:t>
            </w:r>
          </w:p>
        </w:tc>
        <w:tc>
          <w:tcPr>
            <w:tcW w:w="860" w:type="dxa"/>
            <w:tcBorders>
              <w:top w:val="single" w:sz="4" w:space="0" w:color="auto"/>
              <w:left w:val="nil"/>
              <w:bottom w:val="single" w:sz="4" w:space="0" w:color="auto"/>
              <w:right w:val="nil"/>
            </w:tcBorders>
            <w:shd w:val="clear" w:color="auto" w:fill="auto"/>
            <w:noWrap/>
            <w:vAlign w:val="center"/>
            <w:hideMark/>
          </w:tcPr>
          <w:p w14:paraId="76C18756"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92 </w:t>
            </w:r>
          </w:p>
        </w:tc>
        <w:tc>
          <w:tcPr>
            <w:tcW w:w="860" w:type="dxa"/>
            <w:tcBorders>
              <w:top w:val="single" w:sz="4" w:space="0" w:color="auto"/>
              <w:left w:val="nil"/>
              <w:bottom w:val="single" w:sz="4" w:space="0" w:color="auto"/>
              <w:right w:val="nil"/>
            </w:tcBorders>
            <w:shd w:val="clear" w:color="000000" w:fill="E6E6E6"/>
            <w:noWrap/>
            <w:vAlign w:val="center"/>
            <w:hideMark/>
          </w:tcPr>
          <w:p w14:paraId="76C18757"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99 </w:t>
            </w:r>
          </w:p>
        </w:tc>
        <w:tc>
          <w:tcPr>
            <w:tcW w:w="860" w:type="dxa"/>
            <w:tcBorders>
              <w:top w:val="single" w:sz="4" w:space="0" w:color="auto"/>
              <w:left w:val="nil"/>
              <w:bottom w:val="single" w:sz="4" w:space="0" w:color="auto"/>
              <w:right w:val="nil"/>
            </w:tcBorders>
            <w:shd w:val="clear" w:color="auto" w:fill="auto"/>
            <w:noWrap/>
            <w:vAlign w:val="center"/>
            <w:hideMark/>
          </w:tcPr>
          <w:p w14:paraId="76C18758"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254 </w:t>
            </w:r>
          </w:p>
        </w:tc>
        <w:tc>
          <w:tcPr>
            <w:tcW w:w="860" w:type="dxa"/>
            <w:tcBorders>
              <w:top w:val="single" w:sz="4" w:space="0" w:color="auto"/>
              <w:left w:val="nil"/>
              <w:bottom w:val="single" w:sz="4" w:space="0" w:color="auto"/>
              <w:right w:val="nil"/>
            </w:tcBorders>
            <w:shd w:val="clear" w:color="auto" w:fill="auto"/>
            <w:noWrap/>
            <w:vAlign w:val="center"/>
            <w:hideMark/>
          </w:tcPr>
          <w:p w14:paraId="76C18759"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259 </w:t>
            </w:r>
          </w:p>
        </w:tc>
        <w:tc>
          <w:tcPr>
            <w:tcW w:w="860" w:type="dxa"/>
            <w:tcBorders>
              <w:top w:val="single" w:sz="4" w:space="0" w:color="auto"/>
              <w:left w:val="nil"/>
              <w:bottom w:val="single" w:sz="4" w:space="0" w:color="auto"/>
              <w:right w:val="nil"/>
            </w:tcBorders>
            <w:shd w:val="clear" w:color="auto" w:fill="auto"/>
            <w:noWrap/>
            <w:vAlign w:val="center"/>
            <w:hideMark/>
          </w:tcPr>
          <w:p w14:paraId="76C1875A"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265 </w:t>
            </w:r>
          </w:p>
        </w:tc>
      </w:tr>
      <w:tr w:rsidR="00710E67" w:rsidRPr="00710E67" w14:paraId="76C18762" w14:textId="77777777" w:rsidTr="00710E67">
        <w:trPr>
          <w:trHeight w:val="225"/>
        </w:trPr>
        <w:tc>
          <w:tcPr>
            <w:tcW w:w="2980" w:type="dxa"/>
            <w:tcBorders>
              <w:top w:val="nil"/>
              <w:left w:val="nil"/>
              <w:bottom w:val="nil"/>
              <w:right w:val="nil"/>
            </w:tcBorders>
            <w:shd w:val="clear" w:color="auto" w:fill="auto"/>
            <w:noWrap/>
            <w:vAlign w:val="center"/>
            <w:hideMark/>
          </w:tcPr>
          <w:p w14:paraId="76C1875C" w14:textId="77777777" w:rsidR="00710E67" w:rsidRPr="00710E67" w:rsidRDefault="00710E67" w:rsidP="00710E67">
            <w:pPr>
              <w:spacing w:after="0" w:line="240" w:lineRule="auto"/>
              <w:jc w:val="left"/>
              <w:rPr>
                <w:rFonts w:ascii="Arial" w:hAnsi="Arial" w:cs="Arial"/>
                <w:b/>
                <w:bCs/>
                <w:i/>
                <w:iCs/>
                <w:sz w:val="16"/>
                <w:szCs w:val="16"/>
              </w:rPr>
            </w:pPr>
            <w:r w:rsidRPr="00710E67">
              <w:rPr>
                <w:rFonts w:ascii="Arial" w:hAnsi="Arial" w:cs="Arial"/>
                <w:b/>
                <w:bCs/>
                <w:i/>
                <w:iCs/>
                <w:sz w:val="16"/>
                <w:szCs w:val="16"/>
              </w:rPr>
              <w:t>Provided for:</w:t>
            </w:r>
          </w:p>
        </w:tc>
        <w:tc>
          <w:tcPr>
            <w:tcW w:w="860" w:type="dxa"/>
            <w:tcBorders>
              <w:top w:val="nil"/>
              <w:left w:val="nil"/>
              <w:bottom w:val="nil"/>
              <w:right w:val="nil"/>
            </w:tcBorders>
            <w:shd w:val="clear" w:color="auto" w:fill="auto"/>
            <w:noWrap/>
            <w:vAlign w:val="center"/>
            <w:hideMark/>
          </w:tcPr>
          <w:p w14:paraId="76C1875D" w14:textId="77777777" w:rsidR="00710E67" w:rsidRPr="00710E67" w:rsidRDefault="00710E67" w:rsidP="00710E67">
            <w:pPr>
              <w:spacing w:after="0" w:line="240" w:lineRule="auto"/>
              <w:jc w:val="left"/>
              <w:rPr>
                <w:rFonts w:ascii="Arial" w:hAnsi="Arial" w:cs="Arial"/>
                <w:b/>
                <w:bCs/>
                <w:i/>
                <w:iCs/>
                <w:sz w:val="16"/>
                <w:szCs w:val="16"/>
              </w:rPr>
            </w:pPr>
          </w:p>
        </w:tc>
        <w:tc>
          <w:tcPr>
            <w:tcW w:w="860" w:type="dxa"/>
            <w:tcBorders>
              <w:top w:val="nil"/>
              <w:left w:val="nil"/>
              <w:bottom w:val="nil"/>
              <w:right w:val="nil"/>
            </w:tcBorders>
            <w:shd w:val="clear" w:color="000000" w:fill="E6E6E6"/>
            <w:noWrap/>
            <w:vAlign w:val="center"/>
            <w:hideMark/>
          </w:tcPr>
          <w:p w14:paraId="76C1875E" w14:textId="77777777" w:rsidR="00710E67" w:rsidRPr="00710E67" w:rsidRDefault="00710E67" w:rsidP="00710E67">
            <w:pPr>
              <w:spacing w:after="0" w:line="240" w:lineRule="auto"/>
              <w:jc w:val="left"/>
              <w:rPr>
                <w:rFonts w:ascii="Arial" w:hAnsi="Arial" w:cs="Arial"/>
                <w:i/>
                <w:iCs/>
                <w:sz w:val="16"/>
                <w:szCs w:val="16"/>
              </w:rPr>
            </w:pPr>
            <w:r w:rsidRPr="00710E67">
              <w:rPr>
                <w:rFonts w:ascii="Arial" w:hAnsi="Arial" w:cs="Arial"/>
                <w:i/>
                <w:iCs/>
                <w:sz w:val="16"/>
                <w:szCs w:val="16"/>
              </w:rPr>
              <w:t> </w:t>
            </w:r>
          </w:p>
        </w:tc>
        <w:tc>
          <w:tcPr>
            <w:tcW w:w="860" w:type="dxa"/>
            <w:tcBorders>
              <w:top w:val="nil"/>
              <w:left w:val="nil"/>
              <w:bottom w:val="nil"/>
              <w:right w:val="nil"/>
            </w:tcBorders>
            <w:shd w:val="clear" w:color="auto" w:fill="auto"/>
            <w:noWrap/>
            <w:vAlign w:val="center"/>
            <w:hideMark/>
          </w:tcPr>
          <w:p w14:paraId="76C1875F" w14:textId="77777777" w:rsidR="00710E67" w:rsidRPr="00710E67" w:rsidRDefault="00710E67" w:rsidP="00710E67">
            <w:pPr>
              <w:spacing w:after="0" w:line="240" w:lineRule="auto"/>
              <w:jc w:val="left"/>
              <w:rPr>
                <w:rFonts w:ascii="Arial" w:hAnsi="Arial" w:cs="Arial"/>
                <w:i/>
                <w:iCs/>
                <w:sz w:val="16"/>
                <w:szCs w:val="16"/>
              </w:rPr>
            </w:pPr>
          </w:p>
        </w:tc>
        <w:tc>
          <w:tcPr>
            <w:tcW w:w="860" w:type="dxa"/>
            <w:tcBorders>
              <w:top w:val="nil"/>
              <w:left w:val="nil"/>
              <w:bottom w:val="nil"/>
              <w:right w:val="nil"/>
            </w:tcBorders>
            <w:shd w:val="clear" w:color="auto" w:fill="auto"/>
            <w:noWrap/>
            <w:vAlign w:val="center"/>
            <w:hideMark/>
          </w:tcPr>
          <w:p w14:paraId="76C18760" w14:textId="77777777" w:rsidR="00710E67" w:rsidRPr="00710E67" w:rsidRDefault="00710E67" w:rsidP="00710E67">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761" w14:textId="77777777" w:rsidR="00710E67" w:rsidRPr="00710E67" w:rsidRDefault="00710E67" w:rsidP="00710E67">
            <w:pPr>
              <w:spacing w:after="0" w:line="240" w:lineRule="auto"/>
              <w:jc w:val="left"/>
              <w:rPr>
                <w:rFonts w:ascii="Times New Roman" w:hAnsi="Times New Roman"/>
              </w:rPr>
            </w:pPr>
          </w:p>
        </w:tc>
      </w:tr>
      <w:tr w:rsidR="00710E67" w:rsidRPr="00710E67" w14:paraId="76C18769" w14:textId="77777777" w:rsidTr="00710E67">
        <w:trPr>
          <w:trHeight w:val="225"/>
        </w:trPr>
        <w:tc>
          <w:tcPr>
            <w:tcW w:w="2980" w:type="dxa"/>
            <w:tcBorders>
              <w:top w:val="nil"/>
              <w:left w:val="nil"/>
              <w:bottom w:val="nil"/>
              <w:right w:val="nil"/>
            </w:tcBorders>
            <w:shd w:val="clear" w:color="auto" w:fill="auto"/>
            <w:noWrap/>
            <w:vAlign w:val="center"/>
            <w:hideMark/>
          </w:tcPr>
          <w:p w14:paraId="76C18763" w14:textId="77777777" w:rsidR="00710E67" w:rsidRPr="00710E67" w:rsidRDefault="00710E67" w:rsidP="00710E67">
            <w:pPr>
              <w:spacing w:after="0" w:line="240" w:lineRule="auto"/>
              <w:ind w:firstLineChars="100" w:firstLine="160"/>
              <w:jc w:val="left"/>
              <w:rPr>
                <w:rFonts w:ascii="Arial" w:hAnsi="Arial" w:cs="Arial"/>
                <w:i/>
                <w:iCs/>
                <w:sz w:val="16"/>
                <w:szCs w:val="16"/>
              </w:rPr>
            </w:pPr>
            <w:r w:rsidRPr="00710E67">
              <w:rPr>
                <w:rFonts w:ascii="Arial" w:hAnsi="Arial" w:cs="Arial"/>
                <w:i/>
                <w:iCs/>
                <w:sz w:val="16"/>
                <w:szCs w:val="16"/>
              </w:rPr>
              <w:t>Purchase of non-financial assets</w:t>
            </w:r>
          </w:p>
        </w:tc>
        <w:tc>
          <w:tcPr>
            <w:tcW w:w="860" w:type="dxa"/>
            <w:tcBorders>
              <w:top w:val="nil"/>
              <w:left w:val="nil"/>
              <w:bottom w:val="nil"/>
              <w:right w:val="nil"/>
            </w:tcBorders>
            <w:shd w:val="clear" w:color="auto" w:fill="auto"/>
            <w:noWrap/>
            <w:vAlign w:val="center"/>
            <w:hideMark/>
          </w:tcPr>
          <w:p w14:paraId="76C18764" w14:textId="77777777" w:rsidR="00710E67" w:rsidRPr="00710E67" w:rsidRDefault="00710E67" w:rsidP="00710E67">
            <w:pPr>
              <w:spacing w:after="0" w:line="240" w:lineRule="auto"/>
              <w:jc w:val="right"/>
              <w:rPr>
                <w:rFonts w:ascii="Arial" w:hAnsi="Arial" w:cs="Arial"/>
                <w:i/>
                <w:iCs/>
                <w:sz w:val="16"/>
                <w:szCs w:val="16"/>
              </w:rPr>
            </w:pPr>
            <w:r w:rsidRPr="00710E67">
              <w:rPr>
                <w:rFonts w:ascii="Arial" w:hAnsi="Arial" w:cs="Arial"/>
                <w:i/>
                <w:iCs/>
                <w:sz w:val="16"/>
                <w:szCs w:val="16"/>
              </w:rPr>
              <w:t xml:space="preserve">92 </w:t>
            </w:r>
          </w:p>
        </w:tc>
        <w:tc>
          <w:tcPr>
            <w:tcW w:w="860" w:type="dxa"/>
            <w:tcBorders>
              <w:top w:val="nil"/>
              <w:left w:val="nil"/>
              <w:bottom w:val="nil"/>
              <w:right w:val="nil"/>
            </w:tcBorders>
            <w:shd w:val="clear" w:color="000000" w:fill="E6E6E6"/>
            <w:noWrap/>
            <w:vAlign w:val="center"/>
            <w:hideMark/>
          </w:tcPr>
          <w:p w14:paraId="76C18765" w14:textId="77777777" w:rsidR="00710E67" w:rsidRPr="00710E67" w:rsidRDefault="00710E67" w:rsidP="00710E67">
            <w:pPr>
              <w:spacing w:after="0" w:line="240" w:lineRule="auto"/>
              <w:jc w:val="right"/>
              <w:rPr>
                <w:rFonts w:ascii="Arial" w:hAnsi="Arial" w:cs="Arial"/>
                <w:i/>
                <w:iCs/>
                <w:sz w:val="16"/>
                <w:szCs w:val="16"/>
              </w:rPr>
            </w:pPr>
            <w:r w:rsidRPr="00710E67">
              <w:rPr>
                <w:rFonts w:ascii="Arial" w:hAnsi="Arial" w:cs="Arial"/>
                <w:i/>
                <w:iCs/>
                <w:sz w:val="16"/>
                <w:szCs w:val="16"/>
              </w:rPr>
              <w:t xml:space="preserve">99 </w:t>
            </w:r>
          </w:p>
        </w:tc>
        <w:tc>
          <w:tcPr>
            <w:tcW w:w="860" w:type="dxa"/>
            <w:tcBorders>
              <w:top w:val="nil"/>
              <w:left w:val="nil"/>
              <w:bottom w:val="nil"/>
              <w:right w:val="nil"/>
            </w:tcBorders>
            <w:shd w:val="clear" w:color="auto" w:fill="auto"/>
            <w:noWrap/>
            <w:vAlign w:val="center"/>
            <w:hideMark/>
          </w:tcPr>
          <w:p w14:paraId="76C18766" w14:textId="77777777" w:rsidR="00710E67" w:rsidRPr="00710E67" w:rsidRDefault="00710E67" w:rsidP="00710E67">
            <w:pPr>
              <w:spacing w:after="0" w:line="240" w:lineRule="auto"/>
              <w:jc w:val="right"/>
              <w:rPr>
                <w:rFonts w:ascii="Arial" w:hAnsi="Arial" w:cs="Arial"/>
                <w:i/>
                <w:iCs/>
                <w:sz w:val="16"/>
                <w:szCs w:val="16"/>
              </w:rPr>
            </w:pPr>
            <w:r w:rsidRPr="00710E67">
              <w:rPr>
                <w:rFonts w:ascii="Arial" w:hAnsi="Arial" w:cs="Arial"/>
                <w:i/>
                <w:iCs/>
                <w:sz w:val="16"/>
                <w:szCs w:val="16"/>
              </w:rPr>
              <w:t xml:space="preserve">254 </w:t>
            </w:r>
          </w:p>
        </w:tc>
        <w:tc>
          <w:tcPr>
            <w:tcW w:w="860" w:type="dxa"/>
            <w:tcBorders>
              <w:top w:val="nil"/>
              <w:left w:val="nil"/>
              <w:bottom w:val="nil"/>
              <w:right w:val="nil"/>
            </w:tcBorders>
            <w:shd w:val="clear" w:color="auto" w:fill="auto"/>
            <w:noWrap/>
            <w:vAlign w:val="center"/>
            <w:hideMark/>
          </w:tcPr>
          <w:p w14:paraId="76C18767" w14:textId="77777777" w:rsidR="00710E67" w:rsidRPr="00710E67" w:rsidRDefault="00710E67" w:rsidP="00710E67">
            <w:pPr>
              <w:spacing w:after="0" w:line="240" w:lineRule="auto"/>
              <w:jc w:val="right"/>
              <w:rPr>
                <w:rFonts w:ascii="Arial" w:hAnsi="Arial" w:cs="Arial"/>
                <w:i/>
                <w:iCs/>
                <w:sz w:val="16"/>
                <w:szCs w:val="16"/>
              </w:rPr>
            </w:pPr>
            <w:r w:rsidRPr="00710E67">
              <w:rPr>
                <w:rFonts w:ascii="Arial" w:hAnsi="Arial" w:cs="Arial"/>
                <w:i/>
                <w:iCs/>
                <w:sz w:val="16"/>
                <w:szCs w:val="16"/>
              </w:rPr>
              <w:t xml:space="preserve">259 </w:t>
            </w:r>
          </w:p>
        </w:tc>
        <w:tc>
          <w:tcPr>
            <w:tcW w:w="860" w:type="dxa"/>
            <w:tcBorders>
              <w:top w:val="nil"/>
              <w:left w:val="nil"/>
              <w:bottom w:val="nil"/>
              <w:right w:val="nil"/>
            </w:tcBorders>
            <w:shd w:val="clear" w:color="auto" w:fill="auto"/>
            <w:noWrap/>
            <w:vAlign w:val="center"/>
            <w:hideMark/>
          </w:tcPr>
          <w:p w14:paraId="76C18768" w14:textId="77777777" w:rsidR="00710E67" w:rsidRPr="00710E67" w:rsidRDefault="00710E67" w:rsidP="00710E67">
            <w:pPr>
              <w:spacing w:after="0" w:line="240" w:lineRule="auto"/>
              <w:jc w:val="right"/>
              <w:rPr>
                <w:rFonts w:ascii="Arial" w:hAnsi="Arial" w:cs="Arial"/>
                <w:i/>
                <w:iCs/>
                <w:sz w:val="16"/>
                <w:szCs w:val="16"/>
              </w:rPr>
            </w:pPr>
            <w:r w:rsidRPr="00710E67">
              <w:rPr>
                <w:rFonts w:ascii="Arial" w:hAnsi="Arial" w:cs="Arial"/>
                <w:i/>
                <w:iCs/>
                <w:sz w:val="16"/>
                <w:szCs w:val="16"/>
              </w:rPr>
              <w:t xml:space="preserve">265 </w:t>
            </w:r>
          </w:p>
        </w:tc>
      </w:tr>
      <w:tr w:rsidR="00710E67" w:rsidRPr="00710E67" w14:paraId="76C18770" w14:textId="77777777" w:rsidTr="00710E67">
        <w:trPr>
          <w:trHeight w:val="225"/>
        </w:trPr>
        <w:tc>
          <w:tcPr>
            <w:tcW w:w="2980" w:type="dxa"/>
            <w:tcBorders>
              <w:top w:val="nil"/>
              <w:left w:val="nil"/>
              <w:bottom w:val="nil"/>
              <w:right w:val="nil"/>
            </w:tcBorders>
            <w:shd w:val="clear" w:color="auto" w:fill="auto"/>
            <w:noWrap/>
            <w:vAlign w:val="center"/>
            <w:hideMark/>
          </w:tcPr>
          <w:p w14:paraId="76C1876A" w14:textId="77777777" w:rsidR="00710E67" w:rsidRPr="00710E67" w:rsidRDefault="00710E67" w:rsidP="00710E67">
            <w:pPr>
              <w:spacing w:after="0" w:line="240" w:lineRule="auto"/>
              <w:jc w:val="left"/>
              <w:rPr>
                <w:rFonts w:ascii="Arial" w:hAnsi="Arial" w:cs="Arial"/>
                <w:b/>
                <w:bCs/>
                <w:i/>
                <w:iCs/>
                <w:sz w:val="16"/>
                <w:szCs w:val="16"/>
              </w:rPr>
            </w:pPr>
            <w:r w:rsidRPr="00710E67">
              <w:rPr>
                <w:rFonts w:ascii="Arial" w:hAnsi="Arial" w:cs="Arial"/>
                <w:b/>
                <w:bCs/>
                <w:i/>
                <w:iCs/>
                <w:sz w:val="16"/>
                <w:szCs w:val="16"/>
              </w:rPr>
              <w:t>Total items</w:t>
            </w:r>
          </w:p>
        </w:tc>
        <w:tc>
          <w:tcPr>
            <w:tcW w:w="860" w:type="dxa"/>
            <w:tcBorders>
              <w:top w:val="single" w:sz="4" w:space="0" w:color="auto"/>
              <w:left w:val="nil"/>
              <w:bottom w:val="single" w:sz="4" w:space="0" w:color="auto"/>
              <w:right w:val="nil"/>
            </w:tcBorders>
            <w:shd w:val="clear" w:color="auto" w:fill="auto"/>
            <w:noWrap/>
            <w:vAlign w:val="center"/>
            <w:hideMark/>
          </w:tcPr>
          <w:p w14:paraId="76C1876B" w14:textId="77777777" w:rsidR="00710E67" w:rsidRPr="00710E67" w:rsidRDefault="00710E67" w:rsidP="00710E67">
            <w:pPr>
              <w:spacing w:after="0" w:line="240" w:lineRule="auto"/>
              <w:jc w:val="right"/>
              <w:rPr>
                <w:rFonts w:ascii="Arial" w:hAnsi="Arial" w:cs="Arial"/>
                <w:b/>
                <w:bCs/>
                <w:i/>
                <w:iCs/>
                <w:sz w:val="16"/>
                <w:szCs w:val="16"/>
              </w:rPr>
            </w:pPr>
            <w:r w:rsidRPr="00710E67">
              <w:rPr>
                <w:rFonts w:ascii="Arial" w:hAnsi="Arial" w:cs="Arial"/>
                <w:b/>
                <w:bCs/>
                <w:i/>
                <w:iCs/>
                <w:sz w:val="16"/>
                <w:szCs w:val="16"/>
              </w:rPr>
              <w:t xml:space="preserve">92 </w:t>
            </w:r>
          </w:p>
        </w:tc>
        <w:tc>
          <w:tcPr>
            <w:tcW w:w="860" w:type="dxa"/>
            <w:tcBorders>
              <w:top w:val="single" w:sz="4" w:space="0" w:color="auto"/>
              <w:left w:val="nil"/>
              <w:bottom w:val="single" w:sz="4" w:space="0" w:color="auto"/>
              <w:right w:val="nil"/>
            </w:tcBorders>
            <w:shd w:val="clear" w:color="000000" w:fill="E6E6E6"/>
            <w:noWrap/>
            <w:vAlign w:val="center"/>
            <w:hideMark/>
          </w:tcPr>
          <w:p w14:paraId="76C1876C" w14:textId="77777777" w:rsidR="00710E67" w:rsidRPr="00710E67" w:rsidRDefault="00710E67" w:rsidP="00710E67">
            <w:pPr>
              <w:spacing w:after="0" w:line="240" w:lineRule="auto"/>
              <w:jc w:val="right"/>
              <w:rPr>
                <w:rFonts w:ascii="Arial" w:hAnsi="Arial" w:cs="Arial"/>
                <w:b/>
                <w:bCs/>
                <w:i/>
                <w:iCs/>
                <w:sz w:val="16"/>
                <w:szCs w:val="16"/>
              </w:rPr>
            </w:pPr>
            <w:r w:rsidRPr="00710E67">
              <w:rPr>
                <w:rFonts w:ascii="Arial" w:hAnsi="Arial" w:cs="Arial"/>
                <w:b/>
                <w:bCs/>
                <w:i/>
                <w:iCs/>
                <w:sz w:val="16"/>
                <w:szCs w:val="16"/>
              </w:rPr>
              <w:t xml:space="preserve">99 </w:t>
            </w:r>
          </w:p>
        </w:tc>
        <w:tc>
          <w:tcPr>
            <w:tcW w:w="860" w:type="dxa"/>
            <w:tcBorders>
              <w:top w:val="single" w:sz="4" w:space="0" w:color="auto"/>
              <w:left w:val="nil"/>
              <w:bottom w:val="single" w:sz="4" w:space="0" w:color="auto"/>
              <w:right w:val="nil"/>
            </w:tcBorders>
            <w:shd w:val="clear" w:color="auto" w:fill="auto"/>
            <w:noWrap/>
            <w:vAlign w:val="center"/>
            <w:hideMark/>
          </w:tcPr>
          <w:p w14:paraId="76C1876D" w14:textId="77777777" w:rsidR="00710E67" w:rsidRPr="00710E67" w:rsidRDefault="00710E67" w:rsidP="00710E67">
            <w:pPr>
              <w:spacing w:after="0" w:line="240" w:lineRule="auto"/>
              <w:jc w:val="right"/>
              <w:rPr>
                <w:rFonts w:ascii="Arial" w:hAnsi="Arial" w:cs="Arial"/>
                <w:b/>
                <w:bCs/>
                <w:i/>
                <w:iCs/>
                <w:sz w:val="16"/>
                <w:szCs w:val="16"/>
              </w:rPr>
            </w:pPr>
            <w:r w:rsidRPr="00710E67">
              <w:rPr>
                <w:rFonts w:ascii="Arial" w:hAnsi="Arial" w:cs="Arial"/>
                <w:b/>
                <w:bCs/>
                <w:i/>
                <w:iCs/>
                <w:sz w:val="16"/>
                <w:szCs w:val="16"/>
              </w:rPr>
              <w:t xml:space="preserve">254 </w:t>
            </w:r>
          </w:p>
        </w:tc>
        <w:tc>
          <w:tcPr>
            <w:tcW w:w="860" w:type="dxa"/>
            <w:tcBorders>
              <w:top w:val="single" w:sz="4" w:space="0" w:color="auto"/>
              <w:left w:val="nil"/>
              <w:bottom w:val="single" w:sz="4" w:space="0" w:color="auto"/>
              <w:right w:val="nil"/>
            </w:tcBorders>
            <w:shd w:val="clear" w:color="auto" w:fill="auto"/>
            <w:noWrap/>
            <w:vAlign w:val="center"/>
            <w:hideMark/>
          </w:tcPr>
          <w:p w14:paraId="76C1876E" w14:textId="77777777" w:rsidR="00710E67" w:rsidRPr="00710E67" w:rsidRDefault="00710E67" w:rsidP="00710E67">
            <w:pPr>
              <w:spacing w:after="0" w:line="240" w:lineRule="auto"/>
              <w:jc w:val="right"/>
              <w:rPr>
                <w:rFonts w:ascii="Arial" w:hAnsi="Arial" w:cs="Arial"/>
                <w:b/>
                <w:bCs/>
                <w:i/>
                <w:iCs/>
                <w:sz w:val="16"/>
                <w:szCs w:val="16"/>
              </w:rPr>
            </w:pPr>
            <w:r w:rsidRPr="00710E67">
              <w:rPr>
                <w:rFonts w:ascii="Arial" w:hAnsi="Arial" w:cs="Arial"/>
                <w:b/>
                <w:bCs/>
                <w:i/>
                <w:iCs/>
                <w:sz w:val="16"/>
                <w:szCs w:val="16"/>
              </w:rPr>
              <w:t xml:space="preserve">259 </w:t>
            </w:r>
          </w:p>
        </w:tc>
        <w:tc>
          <w:tcPr>
            <w:tcW w:w="860" w:type="dxa"/>
            <w:tcBorders>
              <w:top w:val="single" w:sz="4" w:space="0" w:color="auto"/>
              <w:left w:val="nil"/>
              <w:bottom w:val="single" w:sz="4" w:space="0" w:color="auto"/>
              <w:right w:val="nil"/>
            </w:tcBorders>
            <w:shd w:val="clear" w:color="auto" w:fill="auto"/>
            <w:noWrap/>
            <w:vAlign w:val="center"/>
            <w:hideMark/>
          </w:tcPr>
          <w:p w14:paraId="76C1876F" w14:textId="77777777" w:rsidR="00710E67" w:rsidRPr="00710E67" w:rsidRDefault="00710E67" w:rsidP="00710E67">
            <w:pPr>
              <w:spacing w:after="0" w:line="240" w:lineRule="auto"/>
              <w:jc w:val="right"/>
              <w:rPr>
                <w:rFonts w:ascii="Arial" w:hAnsi="Arial" w:cs="Arial"/>
                <w:b/>
                <w:bCs/>
                <w:i/>
                <w:iCs/>
                <w:sz w:val="16"/>
                <w:szCs w:val="16"/>
              </w:rPr>
            </w:pPr>
            <w:r w:rsidRPr="00710E67">
              <w:rPr>
                <w:rFonts w:ascii="Arial" w:hAnsi="Arial" w:cs="Arial"/>
                <w:b/>
                <w:bCs/>
                <w:i/>
                <w:iCs/>
                <w:sz w:val="16"/>
                <w:szCs w:val="16"/>
              </w:rPr>
              <w:t xml:space="preserve">265 </w:t>
            </w:r>
          </w:p>
        </w:tc>
      </w:tr>
      <w:tr w:rsidR="00710E67" w:rsidRPr="00710E67" w14:paraId="76C18777" w14:textId="77777777" w:rsidTr="00710E67">
        <w:trPr>
          <w:trHeight w:val="450"/>
        </w:trPr>
        <w:tc>
          <w:tcPr>
            <w:tcW w:w="2980" w:type="dxa"/>
            <w:tcBorders>
              <w:top w:val="nil"/>
              <w:left w:val="nil"/>
              <w:bottom w:val="nil"/>
              <w:right w:val="nil"/>
            </w:tcBorders>
            <w:shd w:val="clear" w:color="auto" w:fill="auto"/>
            <w:vAlign w:val="center"/>
            <w:hideMark/>
          </w:tcPr>
          <w:p w14:paraId="76C18771" w14:textId="77777777" w:rsidR="00710E67" w:rsidRPr="00710E67" w:rsidRDefault="00710E67" w:rsidP="00B86D9C">
            <w:pPr>
              <w:spacing w:after="0" w:line="240" w:lineRule="auto"/>
              <w:ind w:left="180" w:hanging="180"/>
              <w:jc w:val="left"/>
              <w:rPr>
                <w:rFonts w:ascii="Arial" w:hAnsi="Arial" w:cs="Arial"/>
                <w:b/>
                <w:bCs/>
                <w:sz w:val="16"/>
                <w:szCs w:val="16"/>
              </w:rPr>
            </w:pPr>
            <w:r w:rsidRPr="00710E67">
              <w:rPr>
                <w:rFonts w:ascii="Arial" w:hAnsi="Arial" w:cs="Arial"/>
                <w:b/>
                <w:bCs/>
                <w:sz w:val="16"/>
                <w:szCs w:val="16"/>
              </w:rPr>
              <w:t>PURCHASE OF NON-FINANCIAL ASSETS</w:t>
            </w:r>
          </w:p>
        </w:tc>
        <w:tc>
          <w:tcPr>
            <w:tcW w:w="860" w:type="dxa"/>
            <w:tcBorders>
              <w:top w:val="nil"/>
              <w:left w:val="nil"/>
              <w:bottom w:val="nil"/>
              <w:right w:val="nil"/>
            </w:tcBorders>
            <w:shd w:val="clear" w:color="auto" w:fill="auto"/>
            <w:vAlign w:val="center"/>
            <w:hideMark/>
          </w:tcPr>
          <w:p w14:paraId="76C18772" w14:textId="77777777" w:rsidR="00710E67" w:rsidRPr="00710E67" w:rsidRDefault="00710E67" w:rsidP="00710E67">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vAlign w:val="center"/>
            <w:hideMark/>
          </w:tcPr>
          <w:p w14:paraId="76C18773" w14:textId="77777777" w:rsidR="00710E67" w:rsidRPr="00710E67" w:rsidRDefault="00710E67" w:rsidP="00710E67">
            <w:pPr>
              <w:spacing w:after="0" w:line="240" w:lineRule="auto"/>
              <w:jc w:val="left"/>
              <w:rPr>
                <w:rFonts w:ascii="Arial" w:hAnsi="Arial" w:cs="Arial"/>
                <w:sz w:val="16"/>
                <w:szCs w:val="16"/>
              </w:rPr>
            </w:pPr>
            <w:r w:rsidRPr="00710E67">
              <w:rPr>
                <w:rFonts w:ascii="Arial" w:hAnsi="Arial" w:cs="Arial"/>
                <w:sz w:val="16"/>
                <w:szCs w:val="16"/>
              </w:rPr>
              <w:t> </w:t>
            </w:r>
          </w:p>
        </w:tc>
        <w:tc>
          <w:tcPr>
            <w:tcW w:w="860" w:type="dxa"/>
            <w:tcBorders>
              <w:top w:val="nil"/>
              <w:left w:val="nil"/>
              <w:bottom w:val="nil"/>
              <w:right w:val="nil"/>
            </w:tcBorders>
            <w:shd w:val="clear" w:color="auto" w:fill="auto"/>
            <w:vAlign w:val="center"/>
            <w:hideMark/>
          </w:tcPr>
          <w:p w14:paraId="76C18774" w14:textId="77777777" w:rsidR="00710E67" w:rsidRPr="00710E67" w:rsidRDefault="00710E67" w:rsidP="00710E67">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vAlign w:val="center"/>
            <w:hideMark/>
          </w:tcPr>
          <w:p w14:paraId="76C18775" w14:textId="77777777" w:rsidR="00710E67" w:rsidRPr="00710E67" w:rsidRDefault="00710E67" w:rsidP="00710E67">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vAlign w:val="center"/>
            <w:hideMark/>
          </w:tcPr>
          <w:p w14:paraId="76C18776" w14:textId="77777777" w:rsidR="00710E67" w:rsidRPr="00710E67" w:rsidRDefault="00710E67" w:rsidP="00710E67">
            <w:pPr>
              <w:spacing w:after="0" w:line="240" w:lineRule="auto"/>
              <w:jc w:val="left"/>
              <w:rPr>
                <w:rFonts w:ascii="Times New Roman" w:hAnsi="Times New Roman"/>
              </w:rPr>
            </w:pPr>
          </w:p>
        </w:tc>
      </w:tr>
      <w:tr w:rsidR="00710E67" w:rsidRPr="00710E67" w14:paraId="76C1877E" w14:textId="77777777" w:rsidTr="00710E67">
        <w:trPr>
          <w:trHeight w:val="450"/>
        </w:trPr>
        <w:tc>
          <w:tcPr>
            <w:tcW w:w="2980" w:type="dxa"/>
            <w:tcBorders>
              <w:top w:val="nil"/>
              <w:left w:val="nil"/>
              <w:bottom w:val="nil"/>
              <w:right w:val="nil"/>
            </w:tcBorders>
            <w:shd w:val="clear" w:color="auto" w:fill="auto"/>
            <w:vAlign w:val="center"/>
            <w:hideMark/>
          </w:tcPr>
          <w:p w14:paraId="76C18778" w14:textId="77777777" w:rsidR="00710E67" w:rsidRPr="00B86D9C" w:rsidRDefault="00710E67"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F</w:t>
            </w:r>
            <w:r w:rsidR="00B86D9C">
              <w:rPr>
                <w:rFonts w:ascii="Arial" w:hAnsi="Arial" w:cs="Arial"/>
                <w:color w:val="000000"/>
                <w:sz w:val="16"/>
                <w:szCs w:val="16"/>
              </w:rPr>
              <w:t>unded by capital appropriation —</w:t>
            </w:r>
            <w:r w:rsidRPr="00B86D9C">
              <w:rPr>
                <w:rFonts w:ascii="Arial" w:hAnsi="Arial" w:cs="Arial"/>
                <w:color w:val="000000"/>
                <w:sz w:val="16"/>
                <w:szCs w:val="16"/>
              </w:rPr>
              <w:t xml:space="preserve"> DCB (a)</w:t>
            </w:r>
          </w:p>
        </w:tc>
        <w:tc>
          <w:tcPr>
            <w:tcW w:w="860" w:type="dxa"/>
            <w:tcBorders>
              <w:top w:val="nil"/>
              <w:left w:val="nil"/>
              <w:bottom w:val="nil"/>
              <w:right w:val="nil"/>
            </w:tcBorders>
            <w:shd w:val="clear" w:color="auto" w:fill="auto"/>
            <w:noWrap/>
            <w:vAlign w:val="center"/>
            <w:hideMark/>
          </w:tcPr>
          <w:p w14:paraId="76C18779"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148 </w:t>
            </w:r>
          </w:p>
        </w:tc>
        <w:tc>
          <w:tcPr>
            <w:tcW w:w="860" w:type="dxa"/>
            <w:tcBorders>
              <w:top w:val="nil"/>
              <w:left w:val="nil"/>
              <w:bottom w:val="nil"/>
              <w:right w:val="nil"/>
            </w:tcBorders>
            <w:shd w:val="clear" w:color="000000" w:fill="E6E6E6"/>
            <w:noWrap/>
            <w:vAlign w:val="center"/>
            <w:hideMark/>
          </w:tcPr>
          <w:p w14:paraId="76C1877A"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99 </w:t>
            </w:r>
          </w:p>
        </w:tc>
        <w:tc>
          <w:tcPr>
            <w:tcW w:w="860" w:type="dxa"/>
            <w:tcBorders>
              <w:top w:val="nil"/>
              <w:left w:val="nil"/>
              <w:bottom w:val="nil"/>
              <w:right w:val="nil"/>
            </w:tcBorders>
            <w:shd w:val="clear" w:color="auto" w:fill="auto"/>
            <w:noWrap/>
            <w:vAlign w:val="center"/>
            <w:hideMark/>
          </w:tcPr>
          <w:p w14:paraId="76C1877B"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20 </w:t>
            </w:r>
          </w:p>
        </w:tc>
        <w:tc>
          <w:tcPr>
            <w:tcW w:w="860" w:type="dxa"/>
            <w:tcBorders>
              <w:top w:val="nil"/>
              <w:left w:val="nil"/>
              <w:bottom w:val="nil"/>
              <w:right w:val="nil"/>
            </w:tcBorders>
            <w:shd w:val="clear" w:color="auto" w:fill="auto"/>
            <w:noWrap/>
            <w:vAlign w:val="center"/>
            <w:hideMark/>
          </w:tcPr>
          <w:p w14:paraId="76C1877C"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259 </w:t>
            </w:r>
          </w:p>
        </w:tc>
        <w:tc>
          <w:tcPr>
            <w:tcW w:w="860" w:type="dxa"/>
            <w:tcBorders>
              <w:top w:val="nil"/>
              <w:left w:val="nil"/>
              <w:bottom w:val="nil"/>
              <w:right w:val="nil"/>
            </w:tcBorders>
            <w:shd w:val="clear" w:color="auto" w:fill="auto"/>
            <w:noWrap/>
            <w:vAlign w:val="center"/>
            <w:hideMark/>
          </w:tcPr>
          <w:p w14:paraId="76C1877D"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499 </w:t>
            </w:r>
          </w:p>
        </w:tc>
      </w:tr>
      <w:tr w:rsidR="00710E67" w:rsidRPr="00710E67" w14:paraId="76C18785" w14:textId="77777777" w:rsidTr="00710E67">
        <w:trPr>
          <w:trHeight w:val="450"/>
        </w:trPr>
        <w:tc>
          <w:tcPr>
            <w:tcW w:w="2980" w:type="dxa"/>
            <w:tcBorders>
              <w:top w:val="nil"/>
              <w:left w:val="nil"/>
              <w:bottom w:val="nil"/>
              <w:right w:val="nil"/>
            </w:tcBorders>
            <w:shd w:val="clear" w:color="auto" w:fill="auto"/>
            <w:vAlign w:val="center"/>
            <w:hideMark/>
          </w:tcPr>
          <w:p w14:paraId="76C1877F" w14:textId="77777777" w:rsidR="00710E67" w:rsidRPr="00B86D9C" w:rsidRDefault="00710E67"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 xml:space="preserve">Funded internally from departmental resources </w:t>
            </w:r>
          </w:p>
        </w:tc>
        <w:tc>
          <w:tcPr>
            <w:tcW w:w="860" w:type="dxa"/>
            <w:tcBorders>
              <w:top w:val="nil"/>
              <w:left w:val="nil"/>
              <w:bottom w:val="nil"/>
              <w:right w:val="nil"/>
            </w:tcBorders>
            <w:shd w:val="clear" w:color="auto" w:fill="auto"/>
            <w:noWrap/>
            <w:vAlign w:val="center"/>
            <w:hideMark/>
          </w:tcPr>
          <w:p w14:paraId="76C18780"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279 </w:t>
            </w:r>
          </w:p>
        </w:tc>
        <w:tc>
          <w:tcPr>
            <w:tcW w:w="860" w:type="dxa"/>
            <w:tcBorders>
              <w:top w:val="nil"/>
              <w:left w:val="nil"/>
              <w:bottom w:val="nil"/>
              <w:right w:val="nil"/>
            </w:tcBorders>
            <w:shd w:val="clear" w:color="000000" w:fill="E6E6E6"/>
            <w:noWrap/>
            <w:vAlign w:val="center"/>
            <w:hideMark/>
          </w:tcPr>
          <w:p w14:paraId="76C18781" w14:textId="77777777" w:rsidR="00710E67" w:rsidRPr="00710E67" w:rsidRDefault="00710E67" w:rsidP="00E16C05">
            <w:pPr>
              <w:spacing w:after="0" w:line="240" w:lineRule="auto"/>
              <w:jc w:val="right"/>
              <w:rPr>
                <w:rFonts w:ascii="Arial" w:hAnsi="Arial" w:cs="Arial"/>
                <w:sz w:val="16"/>
                <w:szCs w:val="16"/>
              </w:rPr>
            </w:pPr>
            <w:r w:rsidRPr="00710E67">
              <w:rPr>
                <w:rFonts w:ascii="Arial" w:hAnsi="Arial" w:cs="Arial"/>
                <w:sz w:val="16"/>
                <w:szCs w:val="16"/>
              </w:rPr>
              <w:t> </w:t>
            </w:r>
            <w:r w:rsidR="00E16C05">
              <w:rPr>
                <w:rFonts w:ascii="Arial" w:hAnsi="Arial" w:cs="Arial"/>
                <w:sz w:val="16"/>
                <w:szCs w:val="16"/>
              </w:rPr>
              <w:t>-</w:t>
            </w:r>
          </w:p>
        </w:tc>
        <w:tc>
          <w:tcPr>
            <w:tcW w:w="860" w:type="dxa"/>
            <w:tcBorders>
              <w:top w:val="nil"/>
              <w:left w:val="nil"/>
              <w:bottom w:val="nil"/>
              <w:right w:val="nil"/>
            </w:tcBorders>
            <w:shd w:val="clear" w:color="auto" w:fill="auto"/>
            <w:noWrap/>
            <w:vAlign w:val="center"/>
            <w:hideMark/>
          </w:tcPr>
          <w:p w14:paraId="76C18782" w14:textId="77777777" w:rsidR="00710E67" w:rsidRPr="00710E67" w:rsidRDefault="00E16C05" w:rsidP="00E16C05">
            <w:pPr>
              <w:spacing w:after="0" w:line="240" w:lineRule="auto"/>
              <w:jc w:val="right"/>
              <w:rPr>
                <w:rFonts w:ascii="Arial" w:hAnsi="Arial" w:cs="Arial"/>
                <w:sz w:val="16"/>
                <w:szCs w:val="16"/>
              </w:rPr>
            </w:pPr>
            <w:r>
              <w:rPr>
                <w:rFonts w:ascii="Arial" w:hAnsi="Arial" w:cs="Arial"/>
                <w:sz w:val="16"/>
                <w:szCs w:val="16"/>
              </w:rPr>
              <w:t>-</w:t>
            </w:r>
          </w:p>
        </w:tc>
        <w:tc>
          <w:tcPr>
            <w:tcW w:w="860" w:type="dxa"/>
            <w:tcBorders>
              <w:top w:val="nil"/>
              <w:left w:val="nil"/>
              <w:bottom w:val="nil"/>
              <w:right w:val="nil"/>
            </w:tcBorders>
            <w:shd w:val="clear" w:color="auto" w:fill="auto"/>
            <w:noWrap/>
            <w:vAlign w:val="center"/>
            <w:hideMark/>
          </w:tcPr>
          <w:p w14:paraId="76C18783"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5 </w:t>
            </w:r>
          </w:p>
        </w:tc>
        <w:tc>
          <w:tcPr>
            <w:tcW w:w="860" w:type="dxa"/>
            <w:tcBorders>
              <w:top w:val="nil"/>
              <w:left w:val="nil"/>
              <w:bottom w:val="nil"/>
              <w:right w:val="nil"/>
            </w:tcBorders>
            <w:shd w:val="clear" w:color="auto" w:fill="auto"/>
            <w:noWrap/>
            <w:vAlign w:val="center"/>
            <w:hideMark/>
          </w:tcPr>
          <w:p w14:paraId="76C18784"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110 </w:t>
            </w:r>
          </w:p>
        </w:tc>
      </w:tr>
      <w:tr w:rsidR="00710E67" w:rsidRPr="00710E67" w14:paraId="76C1878C" w14:textId="77777777" w:rsidTr="00710E67">
        <w:trPr>
          <w:trHeight w:val="225"/>
        </w:trPr>
        <w:tc>
          <w:tcPr>
            <w:tcW w:w="2980" w:type="dxa"/>
            <w:tcBorders>
              <w:top w:val="nil"/>
              <w:left w:val="nil"/>
              <w:bottom w:val="nil"/>
              <w:right w:val="nil"/>
            </w:tcBorders>
            <w:shd w:val="clear" w:color="auto" w:fill="auto"/>
            <w:noWrap/>
            <w:vAlign w:val="center"/>
            <w:hideMark/>
          </w:tcPr>
          <w:p w14:paraId="76C18786" w14:textId="77777777" w:rsidR="00710E67" w:rsidRPr="00710E67" w:rsidRDefault="00710E67" w:rsidP="00B86D9C">
            <w:pPr>
              <w:spacing w:after="0" w:line="240" w:lineRule="auto"/>
              <w:ind w:left="180" w:hanging="180"/>
              <w:jc w:val="left"/>
              <w:rPr>
                <w:rFonts w:ascii="Arial" w:hAnsi="Arial" w:cs="Arial"/>
                <w:b/>
                <w:bCs/>
                <w:sz w:val="16"/>
                <w:szCs w:val="16"/>
              </w:rPr>
            </w:pPr>
            <w:r w:rsidRPr="00710E67">
              <w:rPr>
                <w:rFonts w:ascii="Arial" w:hAnsi="Arial" w:cs="Arial"/>
                <w:b/>
                <w:bCs/>
                <w:sz w:val="16"/>
                <w:szCs w:val="16"/>
              </w:rPr>
              <w:t>TOTAL</w:t>
            </w:r>
          </w:p>
        </w:tc>
        <w:tc>
          <w:tcPr>
            <w:tcW w:w="860" w:type="dxa"/>
            <w:tcBorders>
              <w:top w:val="single" w:sz="4" w:space="0" w:color="auto"/>
              <w:left w:val="nil"/>
              <w:bottom w:val="single" w:sz="4" w:space="0" w:color="auto"/>
              <w:right w:val="nil"/>
            </w:tcBorders>
            <w:shd w:val="clear" w:color="auto" w:fill="auto"/>
            <w:noWrap/>
            <w:vAlign w:val="center"/>
            <w:hideMark/>
          </w:tcPr>
          <w:p w14:paraId="76C18787"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427 </w:t>
            </w:r>
          </w:p>
        </w:tc>
        <w:tc>
          <w:tcPr>
            <w:tcW w:w="860" w:type="dxa"/>
            <w:tcBorders>
              <w:top w:val="single" w:sz="4" w:space="0" w:color="auto"/>
              <w:left w:val="nil"/>
              <w:bottom w:val="single" w:sz="4" w:space="0" w:color="auto"/>
              <w:right w:val="nil"/>
            </w:tcBorders>
            <w:shd w:val="clear" w:color="000000" w:fill="E6E6E6"/>
            <w:noWrap/>
            <w:vAlign w:val="center"/>
            <w:hideMark/>
          </w:tcPr>
          <w:p w14:paraId="76C18788"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99 </w:t>
            </w:r>
          </w:p>
        </w:tc>
        <w:tc>
          <w:tcPr>
            <w:tcW w:w="860" w:type="dxa"/>
            <w:tcBorders>
              <w:top w:val="single" w:sz="4" w:space="0" w:color="auto"/>
              <w:left w:val="nil"/>
              <w:bottom w:val="single" w:sz="4" w:space="0" w:color="auto"/>
              <w:right w:val="nil"/>
            </w:tcBorders>
            <w:shd w:val="clear" w:color="auto" w:fill="auto"/>
            <w:noWrap/>
            <w:vAlign w:val="center"/>
            <w:hideMark/>
          </w:tcPr>
          <w:p w14:paraId="76C18789"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20 </w:t>
            </w:r>
          </w:p>
        </w:tc>
        <w:tc>
          <w:tcPr>
            <w:tcW w:w="860" w:type="dxa"/>
            <w:tcBorders>
              <w:top w:val="single" w:sz="4" w:space="0" w:color="auto"/>
              <w:left w:val="nil"/>
              <w:bottom w:val="single" w:sz="4" w:space="0" w:color="auto"/>
              <w:right w:val="nil"/>
            </w:tcBorders>
            <w:shd w:val="clear" w:color="auto" w:fill="auto"/>
            <w:noWrap/>
            <w:vAlign w:val="center"/>
            <w:hideMark/>
          </w:tcPr>
          <w:p w14:paraId="76C1878A"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264 </w:t>
            </w:r>
          </w:p>
        </w:tc>
        <w:tc>
          <w:tcPr>
            <w:tcW w:w="860" w:type="dxa"/>
            <w:tcBorders>
              <w:top w:val="single" w:sz="4" w:space="0" w:color="auto"/>
              <w:left w:val="nil"/>
              <w:bottom w:val="single" w:sz="4" w:space="0" w:color="auto"/>
              <w:right w:val="nil"/>
            </w:tcBorders>
            <w:shd w:val="clear" w:color="auto" w:fill="auto"/>
            <w:noWrap/>
            <w:vAlign w:val="center"/>
            <w:hideMark/>
          </w:tcPr>
          <w:p w14:paraId="76C1878B"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609 </w:t>
            </w:r>
          </w:p>
        </w:tc>
      </w:tr>
      <w:tr w:rsidR="00710E67" w:rsidRPr="00710E67" w14:paraId="76C18793" w14:textId="77777777" w:rsidTr="00710E67">
        <w:trPr>
          <w:trHeight w:val="675"/>
        </w:trPr>
        <w:tc>
          <w:tcPr>
            <w:tcW w:w="2980" w:type="dxa"/>
            <w:tcBorders>
              <w:top w:val="nil"/>
              <w:left w:val="nil"/>
              <w:bottom w:val="nil"/>
              <w:right w:val="nil"/>
            </w:tcBorders>
            <w:shd w:val="clear" w:color="auto" w:fill="auto"/>
            <w:vAlign w:val="center"/>
            <w:hideMark/>
          </w:tcPr>
          <w:p w14:paraId="76C1878D" w14:textId="77777777" w:rsidR="00710E67" w:rsidRPr="00710E67" w:rsidRDefault="00B86D9C" w:rsidP="00B86D9C">
            <w:pPr>
              <w:spacing w:after="0" w:line="240" w:lineRule="auto"/>
              <w:ind w:left="180" w:hanging="180"/>
              <w:jc w:val="left"/>
              <w:rPr>
                <w:rFonts w:ascii="Arial" w:hAnsi="Arial" w:cs="Arial"/>
                <w:b/>
                <w:bCs/>
                <w:sz w:val="16"/>
                <w:szCs w:val="16"/>
              </w:rPr>
            </w:pPr>
            <w:r>
              <w:rPr>
                <w:rFonts w:ascii="Arial" w:hAnsi="Arial" w:cs="Arial"/>
                <w:b/>
                <w:bCs/>
                <w:sz w:val="16"/>
                <w:szCs w:val="16"/>
              </w:rPr>
              <w:t>RECONCILIATION OF CASH USED</w:t>
            </w:r>
            <w:r w:rsidR="00710E67" w:rsidRPr="00710E67">
              <w:rPr>
                <w:rFonts w:ascii="Arial" w:hAnsi="Arial" w:cs="Arial"/>
                <w:b/>
                <w:bCs/>
                <w:sz w:val="16"/>
                <w:szCs w:val="16"/>
              </w:rPr>
              <w:t xml:space="preserve"> TO ACQUIRE ASSETS TO ASSET MOVEMENT TABLE</w:t>
            </w:r>
          </w:p>
        </w:tc>
        <w:tc>
          <w:tcPr>
            <w:tcW w:w="860" w:type="dxa"/>
            <w:tcBorders>
              <w:top w:val="nil"/>
              <w:left w:val="nil"/>
              <w:bottom w:val="nil"/>
              <w:right w:val="nil"/>
            </w:tcBorders>
            <w:shd w:val="clear" w:color="auto" w:fill="auto"/>
            <w:noWrap/>
            <w:vAlign w:val="center"/>
            <w:hideMark/>
          </w:tcPr>
          <w:p w14:paraId="76C1878E" w14:textId="77777777" w:rsidR="00710E67" w:rsidRPr="00710E67" w:rsidRDefault="00710E67" w:rsidP="00710E67">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878F" w14:textId="77777777" w:rsidR="00710E67" w:rsidRPr="00710E67" w:rsidRDefault="00710E67" w:rsidP="00710E67">
            <w:pPr>
              <w:spacing w:after="0" w:line="240" w:lineRule="auto"/>
              <w:jc w:val="left"/>
              <w:rPr>
                <w:rFonts w:ascii="Arial" w:hAnsi="Arial" w:cs="Arial"/>
                <w:sz w:val="16"/>
                <w:szCs w:val="16"/>
              </w:rPr>
            </w:pPr>
            <w:r w:rsidRPr="00710E67">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8790" w14:textId="77777777" w:rsidR="00710E67" w:rsidRPr="00710E67" w:rsidRDefault="00710E67" w:rsidP="00710E67">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8791" w14:textId="77777777" w:rsidR="00710E67" w:rsidRPr="00710E67" w:rsidRDefault="00710E67" w:rsidP="00710E67">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8792" w14:textId="77777777" w:rsidR="00710E67" w:rsidRPr="00710E67" w:rsidRDefault="00710E67" w:rsidP="00710E67">
            <w:pPr>
              <w:spacing w:after="0" w:line="240" w:lineRule="auto"/>
              <w:jc w:val="left"/>
              <w:rPr>
                <w:rFonts w:ascii="Times New Roman" w:hAnsi="Times New Roman"/>
              </w:rPr>
            </w:pPr>
          </w:p>
        </w:tc>
      </w:tr>
      <w:tr w:rsidR="00710E67" w:rsidRPr="00710E67" w14:paraId="76C1879A" w14:textId="77777777" w:rsidTr="00710E67">
        <w:trPr>
          <w:trHeight w:val="225"/>
        </w:trPr>
        <w:tc>
          <w:tcPr>
            <w:tcW w:w="2980" w:type="dxa"/>
            <w:tcBorders>
              <w:top w:val="nil"/>
              <w:left w:val="nil"/>
              <w:bottom w:val="nil"/>
              <w:right w:val="nil"/>
            </w:tcBorders>
            <w:shd w:val="clear" w:color="auto" w:fill="auto"/>
            <w:noWrap/>
            <w:vAlign w:val="center"/>
            <w:hideMark/>
          </w:tcPr>
          <w:p w14:paraId="76C18794" w14:textId="77777777" w:rsidR="00710E67" w:rsidRPr="00B86D9C" w:rsidRDefault="00710E67"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Total purchases</w:t>
            </w:r>
          </w:p>
        </w:tc>
        <w:tc>
          <w:tcPr>
            <w:tcW w:w="860" w:type="dxa"/>
            <w:tcBorders>
              <w:top w:val="nil"/>
              <w:left w:val="nil"/>
              <w:bottom w:val="nil"/>
              <w:right w:val="nil"/>
            </w:tcBorders>
            <w:shd w:val="clear" w:color="auto" w:fill="auto"/>
            <w:noWrap/>
            <w:vAlign w:val="center"/>
            <w:hideMark/>
          </w:tcPr>
          <w:p w14:paraId="76C18795"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427 </w:t>
            </w:r>
          </w:p>
        </w:tc>
        <w:tc>
          <w:tcPr>
            <w:tcW w:w="860" w:type="dxa"/>
            <w:tcBorders>
              <w:top w:val="nil"/>
              <w:left w:val="nil"/>
              <w:bottom w:val="nil"/>
              <w:right w:val="nil"/>
            </w:tcBorders>
            <w:shd w:val="clear" w:color="000000" w:fill="E6E6E6"/>
            <w:noWrap/>
            <w:vAlign w:val="center"/>
            <w:hideMark/>
          </w:tcPr>
          <w:p w14:paraId="76C18796"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99 </w:t>
            </w:r>
          </w:p>
        </w:tc>
        <w:tc>
          <w:tcPr>
            <w:tcW w:w="860" w:type="dxa"/>
            <w:tcBorders>
              <w:top w:val="nil"/>
              <w:left w:val="nil"/>
              <w:bottom w:val="nil"/>
              <w:right w:val="nil"/>
            </w:tcBorders>
            <w:shd w:val="clear" w:color="auto" w:fill="auto"/>
            <w:noWrap/>
            <w:vAlign w:val="center"/>
            <w:hideMark/>
          </w:tcPr>
          <w:p w14:paraId="76C18797"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20 </w:t>
            </w:r>
          </w:p>
        </w:tc>
        <w:tc>
          <w:tcPr>
            <w:tcW w:w="860" w:type="dxa"/>
            <w:tcBorders>
              <w:top w:val="nil"/>
              <w:left w:val="nil"/>
              <w:bottom w:val="nil"/>
              <w:right w:val="nil"/>
            </w:tcBorders>
            <w:shd w:val="clear" w:color="auto" w:fill="auto"/>
            <w:noWrap/>
            <w:vAlign w:val="center"/>
            <w:hideMark/>
          </w:tcPr>
          <w:p w14:paraId="76C18798"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264 </w:t>
            </w:r>
          </w:p>
        </w:tc>
        <w:tc>
          <w:tcPr>
            <w:tcW w:w="860" w:type="dxa"/>
            <w:tcBorders>
              <w:top w:val="nil"/>
              <w:left w:val="nil"/>
              <w:bottom w:val="nil"/>
              <w:right w:val="nil"/>
            </w:tcBorders>
            <w:shd w:val="clear" w:color="auto" w:fill="auto"/>
            <w:noWrap/>
            <w:vAlign w:val="center"/>
            <w:hideMark/>
          </w:tcPr>
          <w:p w14:paraId="76C18799" w14:textId="77777777" w:rsidR="00710E67" w:rsidRPr="00710E67" w:rsidRDefault="00710E67" w:rsidP="00710E67">
            <w:pPr>
              <w:spacing w:after="0" w:line="240" w:lineRule="auto"/>
              <w:jc w:val="right"/>
              <w:rPr>
                <w:rFonts w:ascii="Arial" w:hAnsi="Arial" w:cs="Arial"/>
                <w:sz w:val="16"/>
                <w:szCs w:val="16"/>
              </w:rPr>
            </w:pPr>
            <w:r w:rsidRPr="00710E67">
              <w:rPr>
                <w:rFonts w:ascii="Arial" w:hAnsi="Arial" w:cs="Arial"/>
                <w:sz w:val="16"/>
                <w:szCs w:val="16"/>
              </w:rPr>
              <w:t xml:space="preserve">609 </w:t>
            </w:r>
          </w:p>
        </w:tc>
      </w:tr>
      <w:tr w:rsidR="00710E67" w:rsidRPr="00710E67" w14:paraId="76C187A1" w14:textId="77777777" w:rsidTr="00710E67">
        <w:trPr>
          <w:trHeight w:val="225"/>
        </w:trPr>
        <w:tc>
          <w:tcPr>
            <w:tcW w:w="2980" w:type="dxa"/>
            <w:tcBorders>
              <w:top w:val="nil"/>
              <w:left w:val="nil"/>
              <w:bottom w:val="single" w:sz="4" w:space="0" w:color="auto"/>
              <w:right w:val="nil"/>
            </w:tcBorders>
            <w:shd w:val="clear" w:color="auto" w:fill="auto"/>
            <w:vAlign w:val="center"/>
            <w:hideMark/>
          </w:tcPr>
          <w:p w14:paraId="76C1879B" w14:textId="77777777" w:rsidR="00710E67" w:rsidRPr="00710E67" w:rsidRDefault="00710E67" w:rsidP="00B86D9C">
            <w:pPr>
              <w:spacing w:after="0" w:line="240" w:lineRule="auto"/>
              <w:ind w:left="180" w:hanging="180"/>
              <w:jc w:val="left"/>
              <w:rPr>
                <w:rFonts w:ascii="Arial" w:hAnsi="Arial" w:cs="Arial"/>
                <w:b/>
                <w:bCs/>
                <w:sz w:val="16"/>
                <w:szCs w:val="16"/>
              </w:rPr>
            </w:pPr>
            <w:r w:rsidRPr="00710E67">
              <w:rPr>
                <w:rFonts w:ascii="Arial" w:hAnsi="Arial" w:cs="Arial"/>
                <w:b/>
                <w:bCs/>
                <w:sz w:val="16"/>
                <w:szCs w:val="16"/>
              </w:rPr>
              <w:t>Total cash used to acquire assets</w:t>
            </w:r>
          </w:p>
        </w:tc>
        <w:tc>
          <w:tcPr>
            <w:tcW w:w="860" w:type="dxa"/>
            <w:tcBorders>
              <w:top w:val="single" w:sz="4" w:space="0" w:color="auto"/>
              <w:left w:val="nil"/>
              <w:bottom w:val="single" w:sz="4" w:space="0" w:color="auto"/>
              <w:right w:val="nil"/>
            </w:tcBorders>
            <w:shd w:val="clear" w:color="auto" w:fill="auto"/>
            <w:noWrap/>
            <w:vAlign w:val="center"/>
            <w:hideMark/>
          </w:tcPr>
          <w:p w14:paraId="76C1879C"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427 </w:t>
            </w:r>
          </w:p>
        </w:tc>
        <w:tc>
          <w:tcPr>
            <w:tcW w:w="860" w:type="dxa"/>
            <w:tcBorders>
              <w:top w:val="single" w:sz="4" w:space="0" w:color="auto"/>
              <w:left w:val="nil"/>
              <w:bottom w:val="single" w:sz="4" w:space="0" w:color="auto"/>
              <w:right w:val="nil"/>
            </w:tcBorders>
            <w:shd w:val="clear" w:color="000000" w:fill="E6E6E6"/>
            <w:noWrap/>
            <w:vAlign w:val="center"/>
            <w:hideMark/>
          </w:tcPr>
          <w:p w14:paraId="76C1879D"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99 </w:t>
            </w:r>
          </w:p>
        </w:tc>
        <w:tc>
          <w:tcPr>
            <w:tcW w:w="860" w:type="dxa"/>
            <w:tcBorders>
              <w:top w:val="single" w:sz="4" w:space="0" w:color="auto"/>
              <w:left w:val="nil"/>
              <w:bottom w:val="single" w:sz="4" w:space="0" w:color="auto"/>
              <w:right w:val="nil"/>
            </w:tcBorders>
            <w:shd w:val="clear" w:color="auto" w:fill="auto"/>
            <w:noWrap/>
            <w:vAlign w:val="center"/>
            <w:hideMark/>
          </w:tcPr>
          <w:p w14:paraId="76C1879E"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20 </w:t>
            </w:r>
          </w:p>
        </w:tc>
        <w:tc>
          <w:tcPr>
            <w:tcW w:w="860" w:type="dxa"/>
            <w:tcBorders>
              <w:top w:val="single" w:sz="4" w:space="0" w:color="auto"/>
              <w:left w:val="nil"/>
              <w:bottom w:val="single" w:sz="4" w:space="0" w:color="auto"/>
              <w:right w:val="nil"/>
            </w:tcBorders>
            <w:shd w:val="clear" w:color="auto" w:fill="auto"/>
            <w:noWrap/>
            <w:vAlign w:val="center"/>
            <w:hideMark/>
          </w:tcPr>
          <w:p w14:paraId="76C1879F"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264 </w:t>
            </w:r>
          </w:p>
        </w:tc>
        <w:tc>
          <w:tcPr>
            <w:tcW w:w="860" w:type="dxa"/>
            <w:tcBorders>
              <w:top w:val="single" w:sz="4" w:space="0" w:color="auto"/>
              <w:left w:val="nil"/>
              <w:bottom w:val="single" w:sz="4" w:space="0" w:color="auto"/>
              <w:right w:val="nil"/>
            </w:tcBorders>
            <w:shd w:val="clear" w:color="auto" w:fill="auto"/>
            <w:noWrap/>
            <w:vAlign w:val="center"/>
            <w:hideMark/>
          </w:tcPr>
          <w:p w14:paraId="76C187A0" w14:textId="77777777" w:rsidR="00710E67" w:rsidRPr="00710E67" w:rsidRDefault="00710E67" w:rsidP="00710E67">
            <w:pPr>
              <w:spacing w:after="0" w:line="240" w:lineRule="auto"/>
              <w:jc w:val="right"/>
              <w:rPr>
                <w:rFonts w:ascii="Arial" w:hAnsi="Arial" w:cs="Arial"/>
                <w:b/>
                <w:bCs/>
                <w:sz w:val="16"/>
                <w:szCs w:val="16"/>
              </w:rPr>
            </w:pPr>
            <w:r w:rsidRPr="00710E67">
              <w:rPr>
                <w:rFonts w:ascii="Arial" w:hAnsi="Arial" w:cs="Arial"/>
                <w:b/>
                <w:bCs/>
                <w:sz w:val="16"/>
                <w:szCs w:val="16"/>
              </w:rPr>
              <w:t xml:space="preserve">609 </w:t>
            </w:r>
          </w:p>
        </w:tc>
      </w:tr>
    </w:tbl>
    <w:p w14:paraId="76C187A2" w14:textId="77777777" w:rsidR="006C5A6D" w:rsidRPr="006C5A6D" w:rsidRDefault="006C5A6D" w:rsidP="003732E1">
      <w:pPr>
        <w:pStyle w:val="ListParagraph"/>
        <w:numPr>
          <w:ilvl w:val="0"/>
          <w:numId w:val="43"/>
        </w:numPr>
        <w:spacing w:before="120" w:after="0" w:line="240" w:lineRule="auto"/>
        <w:rPr>
          <w:rFonts w:ascii="Arial" w:hAnsi="Arial" w:cs="Arial"/>
          <w:sz w:val="16"/>
          <w:szCs w:val="16"/>
        </w:rPr>
      </w:pPr>
      <w:r w:rsidRPr="006C5A6D">
        <w:rPr>
          <w:rFonts w:ascii="Arial" w:hAnsi="Arial" w:cs="Arial"/>
          <w:sz w:val="16"/>
          <w:szCs w:val="16"/>
        </w:rPr>
        <w:t>Does not include annual finance lease costs. Includes purchases from current and previous years' Departmental Capital Budgets (DCBs).</w:t>
      </w:r>
    </w:p>
    <w:p w14:paraId="76C187A3" w14:textId="77777777" w:rsidR="00FB410E" w:rsidRPr="00FB410E" w:rsidRDefault="00FB410E" w:rsidP="003732E1">
      <w:pPr>
        <w:pStyle w:val="TableGraphic"/>
        <w:spacing w:before="120"/>
        <w:jc w:val="left"/>
        <w:rPr>
          <w:rFonts w:ascii="Arial" w:hAnsi="Arial" w:cs="Arial"/>
          <w:sz w:val="16"/>
          <w:szCs w:val="16"/>
        </w:rPr>
        <w:sectPr w:rsidR="00FB410E" w:rsidRPr="00FB410E" w:rsidSect="00674CD9">
          <w:headerReference w:type="even" r:id="rId22"/>
          <w:headerReference w:type="default" r:id="rId23"/>
          <w:footerReference w:type="default" r:id="rId24"/>
          <w:headerReference w:type="first" r:id="rId25"/>
          <w:pgSz w:w="11906" w:h="16838" w:code="9"/>
          <w:pgMar w:top="2466" w:right="2098" w:bottom="2466" w:left="2098" w:header="1899" w:footer="1899" w:gutter="0"/>
          <w:cols w:space="708"/>
          <w:titlePg/>
          <w:docGrid w:linePitch="360"/>
        </w:sectPr>
      </w:pPr>
      <w:r w:rsidRPr="00132F9E">
        <w:rPr>
          <w:rFonts w:ascii="Arial" w:hAnsi="Arial" w:cs="Arial"/>
          <w:sz w:val="16"/>
          <w:szCs w:val="16"/>
        </w:rPr>
        <w:t>Prepared on Australian Accounting Standards basis.</w:t>
      </w:r>
    </w:p>
    <w:p w14:paraId="76C187A4" w14:textId="77777777" w:rsidR="0061075E" w:rsidRDefault="0061075E" w:rsidP="0061075E">
      <w:pPr>
        <w:pStyle w:val="TableHeading"/>
      </w:pPr>
      <w:r w:rsidRPr="00D30CBA">
        <w:t>Table</w:t>
      </w:r>
      <w:r>
        <w:t xml:space="preserve"> 3.6</w:t>
      </w:r>
      <w:r w:rsidRPr="00D30CBA">
        <w:t xml:space="preserve">: </w:t>
      </w:r>
      <w:r>
        <w:t xml:space="preserve">Statement of asset movements (Budget year </w:t>
      </w:r>
      <w:r w:rsidR="009A4174">
        <w:t>2019–20</w:t>
      </w:r>
      <w:r>
        <w:t>)</w:t>
      </w:r>
    </w:p>
    <w:tbl>
      <w:tblPr>
        <w:tblW w:w="6912" w:type="dxa"/>
        <w:tblLook w:val="04A0" w:firstRow="1" w:lastRow="0" w:firstColumn="1" w:lastColumn="0" w:noHBand="0" w:noVBand="1"/>
      </w:tblPr>
      <w:tblGrid>
        <w:gridCol w:w="3644"/>
        <w:gridCol w:w="1064"/>
        <w:gridCol w:w="1140"/>
        <w:gridCol w:w="1064"/>
      </w:tblGrid>
      <w:tr w:rsidR="006C5A6D" w:rsidRPr="006C5A6D" w14:paraId="76C187A9" w14:textId="77777777" w:rsidTr="00803AC9">
        <w:trPr>
          <w:trHeight w:val="1009"/>
        </w:trPr>
        <w:tc>
          <w:tcPr>
            <w:tcW w:w="3080" w:type="dxa"/>
            <w:tcBorders>
              <w:top w:val="single" w:sz="4" w:space="0" w:color="auto"/>
              <w:left w:val="nil"/>
              <w:bottom w:val="nil"/>
              <w:right w:val="nil"/>
            </w:tcBorders>
            <w:shd w:val="clear" w:color="auto" w:fill="auto"/>
            <w:noWrap/>
            <w:vAlign w:val="center"/>
            <w:hideMark/>
          </w:tcPr>
          <w:p w14:paraId="76C187A5" w14:textId="77777777" w:rsidR="006C5A6D" w:rsidRPr="006C5A6D" w:rsidRDefault="006C5A6D" w:rsidP="006C5A6D">
            <w:pPr>
              <w:spacing w:after="0" w:line="240" w:lineRule="auto"/>
              <w:jc w:val="left"/>
              <w:rPr>
                <w:rFonts w:ascii="Arial" w:hAnsi="Arial" w:cs="Arial"/>
                <w:sz w:val="16"/>
                <w:szCs w:val="16"/>
              </w:rPr>
            </w:pPr>
            <w:r w:rsidRPr="006C5A6D">
              <w:rPr>
                <w:rFonts w:ascii="Arial" w:hAnsi="Arial" w:cs="Arial"/>
                <w:sz w:val="16"/>
                <w:szCs w:val="16"/>
              </w:rPr>
              <w:t> </w:t>
            </w:r>
          </w:p>
        </w:tc>
        <w:tc>
          <w:tcPr>
            <w:tcW w:w="900" w:type="dxa"/>
            <w:tcBorders>
              <w:top w:val="single" w:sz="4" w:space="0" w:color="auto"/>
              <w:left w:val="nil"/>
              <w:bottom w:val="single" w:sz="4" w:space="0" w:color="auto"/>
              <w:right w:val="nil"/>
            </w:tcBorders>
            <w:shd w:val="clear" w:color="auto" w:fill="auto"/>
            <w:vAlign w:val="center"/>
            <w:hideMark/>
          </w:tcPr>
          <w:p w14:paraId="76C187A6"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Buildings</w:t>
            </w:r>
            <w:r w:rsidRPr="006C5A6D">
              <w:rPr>
                <w:rFonts w:ascii="Arial" w:hAnsi="Arial" w:cs="Arial"/>
                <w:sz w:val="16"/>
                <w:szCs w:val="16"/>
              </w:rPr>
              <w:br/>
            </w:r>
            <w:r w:rsidRPr="006C5A6D">
              <w:rPr>
                <w:rFonts w:ascii="Arial" w:hAnsi="Arial" w:cs="Arial"/>
                <w:sz w:val="16"/>
                <w:szCs w:val="16"/>
              </w:rPr>
              <w:br/>
            </w:r>
            <w:r w:rsidRPr="006C5A6D">
              <w:rPr>
                <w:rFonts w:ascii="Arial" w:hAnsi="Arial" w:cs="Arial"/>
                <w:sz w:val="16"/>
                <w:szCs w:val="16"/>
              </w:rPr>
              <w:br/>
            </w:r>
            <w:r w:rsidRPr="006C5A6D">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center"/>
            <w:hideMark/>
          </w:tcPr>
          <w:p w14:paraId="76C187A7"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Other</w:t>
            </w:r>
            <w:r w:rsidRPr="006C5A6D">
              <w:rPr>
                <w:rFonts w:ascii="Arial" w:hAnsi="Arial" w:cs="Arial"/>
                <w:sz w:val="16"/>
                <w:szCs w:val="16"/>
              </w:rPr>
              <w:br/>
              <w:t>property,</w:t>
            </w:r>
            <w:r w:rsidRPr="006C5A6D">
              <w:rPr>
                <w:rFonts w:ascii="Arial" w:hAnsi="Arial" w:cs="Arial"/>
                <w:sz w:val="16"/>
                <w:szCs w:val="16"/>
              </w:rPr>
              <w:br/>
              <w:t>plant and</w:t>
            </w:r>
            <w:r w:rsidRPr="006C5A6D">
              <w:rPr>
                <w:rFonts w:ascii="Arial" w:hAnsi="Arial" w:cs="Arial"/>
                <w:sz w:val="16"/>
                <w:szCs w:val="16"/>
              </w:rPr>
              <w:br/>
              <w:t>equipment</w:t>
            </w:r>
            <w:r w:rsidRPr="006C5A6D">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vAlign w:val="center"/>
            <w:hideMark/>
          </w:tcPr>
          <w:p w14:paraId="76C187A8"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Total</w:t>
            </w:r>
            <w:r w:rsidRPr="006C5A6D">
              <w:rPr>
                <w:rFonts w:ascii="Arial" w:hAnsi="Arial" w:cs="Arial"/>
                <w:sz w:val="16"/>
                <w:szCs w:val="16"/>
              </w:rPr>
              <w:br/>
            </w:r>
            <w:r w:rsidRPr="006C5A6D">
              <w:rPr>
                <w:rFonts w:ascii="Arial" w:hAnsi="Arial" w:cs="Arial"/>
                <w:sz w:val="16"/>
                <w:szCs w:val="16"/>
              </w:rPr>
              <w:br/>
            </w:r>
            <w:r w:rsidRPr="006C5A6D">
              <w:rPr>
                <w:rFonts w:ascii="Arial" w:hAnsi="Arial" w:cs="Arial"/>
                <w:sz w:val="16"/>
                <w:szCs w:val="16"/>
              </w:rPr>
              <w:br/>
            </w:r>
            <w:r w:rsidRPr="006C5A6D">
              <w:rPr>
                <w:rFonts w:ascii="Arial" w:hAnsi="Arial" w:cs="Arial"/>
                <w:sz w:val="16"/>
                <w:szCs w:val="16"/>
              </w:rPr>
              <w:br/>
              <w:t>$'000</w:t>
            </w:r>
          </w:p>
        </w:tc>
      </w:tr>
      <w:tr w:rsidR="006C5A6D" w:rsidRPr="006C5A6D" w14:paraId="76C187AE" w14:textId="77777777" w:rsidTr="00803AC9">
        <w:trPr>
          <w:trHeight w:val="225"/>
        </w:trPr>
        <w:tc>
          <w:tcPr>
            <w:tcW w:w="3080" w:type="dxa"/>
            <w:tcBorders>
              <w:top w:val="nil"/>
              <w:left w:val="nil"/>
              <w:bottom w:val="nil"/>
              <w:right w:val="nil"/>
            </w:tcBorders>
            <w:shd w:val="clear" w:color="auto" w:fill="auto"/>
            <w:vAlign w:val="bottom"/>
            <w:hideMark/>
          </w:tcPr>
          <w:p w14:paraId="76C187AA" w14:textId="77777777" w:rsidR="006C5A6D" w:rsidRPr="006C5A6D" w:rsidRDefault="006C5A6D" w:rsidP="006C5A6D">
            <w:pPr>
              <w:spacing w:after="0" w:line="240" w:lineRule="auto"/>
              <w:jc w:val="left"/>
              <w:rPr>
                <w:rFonts w:ascii="Arial" w:hAnsi="Arial" w:cs="Arial"/>
                <w:b/>
                <w:bCs/>
                <w:sz w:val="16"/>
                <w:szCs w:val="16"/>
              </w:rPr>
            </w:pPr>
            <w:r w:rsidRPr="006C5A6D">
              <w:rPr>
                <w:rFonts w:ascii="Arial" w:hAnsi="Arial" w:cs="Arial"/>
                <w:b/>
                <w:bCs/>
                <w:sz w:val="16"/>
                <w:szCs w:val="16"/>
              </w:rPr>
              <w:t>As at 1 July 2019</w:t>
            </w:r>
          </w:p>
        </w:tc>
        <w:tc>
          <w:tcPr>
            <w:tcW w:w="900" w:type="dxa"/>
            <w:tcBorders>
              <w:top w:val="nil"/>
              <w:left w:val="nil"/>
              <w:bottom w:val="nil"/>
              <w:right w:val="nil"/>
            </w:tcBorders>
            <w:shd w:val="clear" w:color="auto" w:fill="auto"/>
            <w:noWrap/>
            <w:vAlign w:val="bottom"/>
            <w:hideMark/>
          </w:tcPr>
          <w:p w14:paraId="76C187AB" w14:textId="77777777" w:rsidR="006C5A6D" w:rsidRPr="006C5A6D" w:rsidRDefault="006C5A6D" w:rsidP="006C5A6D">
            <w:pPr>
              <w:spacing w:after="0" w:line="240" w:lineRule="auto"/>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87AC" w14:textId="77777777" w:rsidR="006C5A6D" w:rsidRPr="006C5A6D" w:rsidRDefault="006C5A6D" w:rsidP="006C5A6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7AD" w14:textId="77777777" w:rsidR="006C5A6D" w:rsidRPr="006C5A6D" w:rsidRDefault="006C5A6D" w:rsidP="006C5A6D">
            <w:pPr>
              <w:spacing w:after="0" w:line="240" w:lineRule="auto"/>
              <w:jc w:val="left"/>
              <w:rPr>
                <w:rFonts w:ascii="Times New Roman" w:hAnsi="Times New Roman"/>
              </w:rPr>
            </w:pPr>
          </w:p>
        </w:tc>
      </w:tr>
      <w:tr w:rsidR="006C5A6D" w:rsidRPr="006C5A6D" w14:paraId="76C187B3" w14:textId="77777777" w:rsidTr="00803AC9">
        <w:trPr>
          <w:trHeight w:val="225"/>
        </w:trPr>
        <w:tc>
          <w:tcPr>
            <w:tcW w:w="3080" w:type="dxa"/>
            <w:tcBorders>
              <w:top w:val="nil"/>
              <w:left w:val="nil"/>
              <w:bottom w:val="nil"/>
              <w:right w:val="nil"/>
            </w:tcBorders>
            <w:shd w:val="clear" w:color="auto" w:fill="auto"/>
            <w:vAlign w:val="bottom"/>
            <w:hideMark/>
          </w:tcPr>
          <w:p w14:paraId="76C187AF" w14:textId="77777777" w:rsidR="006C5A6D" w:rsidRPr="00B86D9C" w:rsidRDefault="006C5A6D"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 xml:space="preserve">Gross book value </w:t>
            </w:r>
          </w:p>
        </w:tc>
        <w:tc>
          <w:tcPr>
            <w:tcW w:w="900" w:type="dxa"/>
            <w:tcBorders>
              <w:top w:val="nil"/>
              <w:left w:val="nil"/>
              <w:bottom w:val="nil"/>
              <w:right w:val="nil"/>
            </w:tcBorders>
            <w:shd w:val="clear" w:color="auto" w:fill="auto"/>
            <w:noWrap/>
            <w:vAlign w:val="bottom"/>
            <w:hideMark/>
          </w:tcPr>
          <w:p w14:paraId="76C187B0"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 xml:space="preserve">3,114 </w:t>
            </w:r>
          </w:p>
        </w:tc>
        <w:tc>
          <w:tcPr>
            <w:tcW w:w="900" w:type="dxa"/>
            <w:tcBorders>
              <w:top w:val="nil"/>
              <w:left w:val="nil"/>
              <w:bottom w:val="nil"/>
              <w:right w:val="nil"/>
            </w:tcBorders>
            <w:shd w:val="clear" w:color="auto" w:fill="auto"/>
            <w:noWrap/>
            <w:vAlign w:val="bottom"/>
            <w:hideMark/>
          </w:tcPr>
          <w:p w14:paraId="76C187B1"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 xml:space="preserve">600 </w:t>
            </w:r>
          </w:p>
        </w:tc>
        <w:tc>
          <w:tcPr>
            <w:tcW w:w="900" w:type="dxa"/>
            <w:tcBorders>
              <w:top w:val="nil"/>
              <w:left w:val="nil"/>
              <w:bottom w:val="nil"/>
              <w:right w:val="nil"/>
            </w:tcBorders>
            <w:shd w:val="clear" w:color="auto" w:fill="auto"/>
            <w:noWrap/>
            <w:vAlign w:val="bottom"/>
            <w:hideMark/>
          </w:tcPr>
          <w:p w14:paraId="76C187B2"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 xml:space="preserve">3,714 </w:t>
            </w:r>
          </w:p>
        </w:tc>
      </w:tr>
      <w:tr w:rsidR="006C5A6D" w:rsidRPr="006C5A6D" w14:paraId="76C187B8" w14:textId="77777777" w:rsidTr="00B86D9C">
        <w:trPr>
          <w:trHeight w:val="450"/>
        </w:trPr>
        <w:tc>
          <w:tcPr>
            <w:tcW w:w="3080" w:type="dxa"/>
            <w:tcBorders>
              <w:top w:val="nil"/>
              <w:left w:val="nil"/>
              <w:bottom w:val="nil"/>
              <w:right w:val="nil"/>
            </w:tcBorders>
            <w:shd w:val="clear" w:color="auto" w:fill="auto"/>
            <w:vAlign w:val="bottom"/>
            <w:hideMark/>
          </w:tcPr>
          <w:p w14:paraId="76C187B4" w14:textId="77777777" w:rsidR="006C5A6D" w:rsidRPr="00B86D9C" w:rsidRDefault="006C5A6D"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Accumulated depreciation/</w:t>
            </w:r>
            <w:r w:rsidR="00B86D9C" w:rsidRPr="00B86D9C">
              <w:rPr>
                <w:rFonts w:ascii="Arial" w:hAnsi="Arial" w:cs="Arial"/>
                <w:color w:val="000000"/>
                <w:sz w:val="16"/>
                <w:szCs w:val="16"/>
              </w:rPr>
              <w:t>amortisation</w:t>
            </w:r>
            <w:r w:rsidRPr="00B86D9C">
              <w:rPr>
                <w:rFonts w:ascii="Arial" w:hAnsi="Arial" w:cs="Arial"/>
                <w:color w:val="000000"/>
                <w:sz w:val="16"/>
                <w:szCs w:val="16"/>
              </w:rPr>
              <w:t xml:space="preserve"> and impairment</w:t>
            </w:r>
          </w:p>
        </w:tc>
        <w:tc>
          <w:tcPr>
            <w:tcW w:w="900" w:type="dxa"/>
            <w:tcBorders>
              <w:top w:val="nil"/>
              <w:left w:val="nil"/>
              <w:bottom w:val="nil"/>
              <w:right w:val="nil"/>
            </w:tcBorders>
            <w:shd w:val="clear" w:color="auto" w:fill="auto"/>
            <w:noWrap/>
            <w:vAlign w:val="center"/>
            <w:hideMark/>
          </w:tcPr>
          <w:p w14:paraId="76C187B5"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(1,497)</w:t>
            </w:r>
          </w:p>
        </w:tc>
        <w:tc>
          <w:tcPr>
            <w:tcW w:w="900" w:type="dxa"/>
            <w:tcBorders>
              <w:top w:val="nil"/>
              <w:left w:val="nil"/>
              <w:bottom w:val="nil"/>
              <w:right w:val="nil"/>
            </w:tcBorders>
            <w:shd w:val="clear" w:color="auto" w:fill="auto"/>
            <w:noWrap/>
            <w:vAlign w:val="center"/>
            <w:hideMark/>
          </w:tcPr>
          <w:p w14:paraId="76C187B6"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(235)</w:t>
            </w:r>
          </w:p>
        </w:tc>
        <w:tc>
          <w:tcPr>
            <w:tcW w:w="900" w:type="dxa"/>
            <w:tcBorders>
              <w:top w:val="nil"/>
              <w:left w:val="nil"/>
              <w:bottom w:val="nil"/>
              <w:right w:val="nil"/>
            </w:tcBorders>
            <w:shd w:val="clear" w:color="auto" w:fill="auto"/>
            <w:noWrap/>
            <w:vAlign w:val="center"/>
            <w:hideMark/>
          </w:tcPr>
          <w:p w14:paraId="76C187B7"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(1,732)</w:t>
            </w:r>
          </w:p>
        </w:tc>
      </w:tr>
      <w:tr w:rsidR="006C5A6D" w:rsidRPr="006C5A6D" w14:paraId="76C187BD" w14:textId="77777777" w:rsidTr="00803AC9">
        <w:trPr>
          <w:trHeight w:val="225"/>
        </w:trPr>
        <w:tc>
          <w:tcPr>
            <w:tcW w:w="3080" w:type="dxa"/>
            <w:tcBorders>
              <w:top w:val="nil"/>
              <w:left w:val="nil"/>
              <w:bottom w:val="nil"/>
              <w:right w:val="nil"/>
            </w:tcBorders>
            <w:shd w:val="clear" w:color="auto" w:fill="auto"/>
            <w:vAlign w:val="bottom"/>
            <w:hideMark/>
          </w:tcPr>
          <w:p w14:paraId="76C187B9" w14:textId="77777777" w:rsidR="006C5A6D" w:rsidRPr="006C5A6D" w:rsidRDefault="006C5A6D" w:rsidP="006C5A6D">
            <w:pPr>
              <w:spacing w:after="0" w:line="240" w:lineRule="auto"/>
              <w:jc w:val="left"/>
              <w:rPr>
                <w:rFonts w:ascii="Arial" w:hAnsi="Arial" w:cs="Arial"/>
                <w:b/>
                <w:bCs/>
                <w:sz w:val="16"/>
                <w:szCs w:val="16"/>
              </w:rPr>
            </w:pPr>
            <w:r w:rsidRPr="006C5A6D">
              <w:rPr>
                <w:rFonts w:ascii="Arial" w:hAnsi="Arial" w:cs="Arial"/>
                <w:b/>
                <w:bCs/>
                <w:sz w:val="16"/>
                <w:szCs w:val="16"/>
              </w:rPr>
              <w:t>Opening net book balance</w:t>
            </w:r>
          </w:p>
        </w:tc>
        <w:tc>
          <w:tcPr>
            <w:tcW w:w="900" w:type="dxa"/>
            <w:tcBorders>
              <w:top w:val="single" w:sz="4" w:space="0" w:color="auto"/>
              <w:left w:val="nil"/>
              <w:bottom w:val="single" w:sz="4" w:space="0" w:color="auto"/>
              <w:right w:val="nil"/>
            </w:tcBorders>
            <w:shd w:val="clear" w:color="auto" w:fill="auto"/>
            <w:noWrap/>
            <w:vAlign w:val="bottom"/>
            <w:hideMark/>
          </w:tcPr>
          <w:p w14:paraId="76C187BA"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1,617 </w:t>
            </w:r>
          </w:p>
        </w:tc>
        <w:tc>
          <w:tcPr>
            <w:tcW w:w="900" w:type="dxa"/>
            <w:tcBorders>
              <w:top w:val="single" w:sz="4" w:space="0" w:color="auto"/>
              <w:left w:val="nil"/>
              <w:bottom w:val="single" w:sz="4" w:space="0" w:color="auto"/>
              <w:right w:val="nil"/>
            </w:tcBorders>
            <w:shd w:val="clear" w:color="auto" w:fill="auto"/>
            <w:noWrap/>
            <w:vAlign w:val="bottom"/>
            <w:hideMark/>
          </w:tcPr>
          <w:p w14:paraId="76C187BB"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365 </w:t>
            </w:r>
          </w:p>
        </w:tc>
        <w:tc>
          <w:tcPr>
            <w:tcW w:w="900" w:type="dxa"/>
            <w:tcBorders>
              <w:top w:val="single" w:sz="4" w:space="0" w:color="auto"/>
              <w:left w:val="nil"/>
              <w:bottom w:val="single" w:sz="4" w:space="0" w:color="auto"/>
              <w:right w:val="nil"/>
            </w:tcBorders>
            <w:shd w:val="clear" w:color="auto" w:fill="auto"/>
            <w:noWrap/>
            <w:vAlign w:val="bottom"/>
            <w:hideMark/>
          </w:tcPr>
          <w:p w14:paraId="76C187BC"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1,982 </w:t>
            </w:r>
          </w:p>
        </w:tc>
      </w:tr>
      <w:tr w:rsidR="006C5A6D" w:rsidRPr="006C5A6D" w14:paraId="76C187C2" w14:textId="77777777" w:rsidTr="00803AC9">
        <w:trPr>
          <w:trHeight w:val="225"/>
        </w:trPr>
        <w:tc>
          <w:tcPr>
            <w:tcW w:w="3080" w:type="dxa"/>
            <w:tcBorders>
              <w:top w:val="nil"/>
              <w:left w:val="nil"/>
              <w:bottom w:val="nil"/>
              <w:right w:val="nil"/>
            </w:tcBorders>
            <w:shd w:val="clear" w:color="auto" w:fill="auto"/>
            <w:vAlign w:val="bottom"/>
            <w:hideMark/>
          </w:tcPr>
          <w:p w14:paraId="76C187BE" w14:textId="77777777" w:rsidR="006C5A6D" w:rsidRPr="006C5A6D" w:rsidRDefault="006C5A6D" w:rsidP="006C5A6D">
            <w:pPr>
              <w:spacing w:after="0" w:line="240" w:lineRule="auto"/>
              <w:jc w:val="left"/>
              <w:rPr>
                <w:rFonts w:ascii="Arial" w:hAnsi="Arial" w:cs="Arial"/>
                <w:b/>
                <w:bCs/>
                <w:sz w:val="16"/>
                <w:szCs w:val="16"/>
              </w:rPr>
            </w:pPr>
            <w:r w:rsidRPr="006C5A6D">
              <w:rPr>
                <w:rFonts w:ascii="Arial" w:hAnsi="Arial" w:cs="Arial"/>
                <w:b/>
                <w:bCs/>
                <w:sz w:val="16"/>
                <w:szCs w:val="16"/>
              </w:rPr>
              <w:t>Capital asset additions</w:t>
            </w:r>
          </w:p>
        </w:tc>
        <w:tc>
          <w:tcPr>
            <w:tcW w:w="900" w:type="dxa"/>
            <w:tcBorders>
              <w:top w:val="nil"/>
              <w:left w:val="nil"/>
              <w:bottom w:val="nil"/>
              <w:right w:val="nil"/>
            </w:tcBorders>
            <w:shd w:val="clear" w:color="auto" w:fill="auto"/>
            <w:noWrap/>
            <w:vAlign w:val="bottom"/>
            <w:hideMark/>
          </w:tcPr>
          <w:p w14:paraId="76C187BF" w14:textId="77777777" w:rsidR="006C5A6D" w:rsidRPr="006C5A6D" w:rsidRDefault="006C5A6D" w:rsidP="006C5A6D">
            <w:pPr>
              <w:spacing w:after="0" w:line="240" w:lineRule="auto"/>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87C0" w14:textId="77777777" w:rsidR="006C5A6D" w:rsidRPr="006C5A6D" w:rsidRDefault="006C5A6D" w:rsidP="006C5A6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7C1" w14:textId="77777777" w:rsidR="006C5A6D" w:rsidRPr="006C5A6D" w:rsidRDefault="006C5A6D" w:rsidP="006C5A6D">
            <w:pPr>
              <w:spacing w:after="0" w:line="240" w:lineRule="auto"/>
              <w:jc w:val="left"/>
              <w:rPr>
                <w:rFonts w:ascii="Times New Roman" w:hAnsi="Times New Roman"/>
              </w:rPr>
            </w:pPr>
          </w:p>
        </w:tc>
      </w:tr>
      <w:tr w:rsidR="006C5A6D" w:rsidRPr="006C5A6D" w14:paraId="76C187C7" w14:textId="77777777" w:rsidTr="00803AC9">
        <w:trPr>
          <w:trHeight w:val="450"/>
        </w:trPr>
        <w:tc>
          <w:tcPr>
            <w:tcW w:w="3080" w:type="dxa"/>
            <w:tcBorders>
              <w:top w:val="nil"/>
              <w:left w:val="nil"/>
              <w:bottom w:val="nil"/>
              <w:right w:val="nil"/>
            </w:tcBorders>
            <w:shd w:val="clear" w:color="auto" w:fill="auto"/>
            <w:vAlign w:val="bottom"/>
            <w:hideMark/>
          </w:tcPr>
          <w:p w14:paraId="76C187C3" w14:textId="77777777" w:rsidR="006C5A6D" w:rsidRPr="00B86D9C" w:rsidRDefault="006C5A6D" w:rsidP="00B86D9C">
            <w:pPr>
              <w:spacing w:after="0" w:line="240" w:lineRule="auto"/>
              <w:ind w:left="316" w:hanging="142"/>
              <w:jc w:val="left"/>
              <w:rPr>
                <w:rFonts w:ascii="Arial" w:hAnsi="Arial" w:cs="Arial"/>
                <w:b/>
                <w:color w:val="000000"/>
                <w:sz w:val="16"/>
                <w:szCs w:val="16"/>
              </w:rPr>
            </w:pPr>
            <w:r w:rsidRPr="00B86D9C">
              <w:rPr>
                <w:rFonts w:ascii="Arial" w:hAnsi="Arial" w:cs="Arial"/>
                <w:b/>
                <w:color w:val="000000"/>
                <w:sz w:val="16"/>
                <w:szCs w:val="16"/>
              </w:rPr>
              <w:t>Estimated expenditure on new or replacement assets</w:t>
            </w:r>
          </w:p>
        </w:tc>
        <w:tc>
          <w:tcPr>
            <w:tcW w:w="900" w:type="dxa"/>
            <w:tcBorders>
              <w:top w:val="nil"/>
              <w:left w:val="nil"/>
              <w:bottom w:val="nil"/>
              <w:right w:val="nil"/>
            </w:tcBorders>
            <w:shd w:val="clear" w:color="auto" w:fill="auto"/>
            <w:noWrap/>
            <w:vAlign w:val="bottom"/>
            <w:hideMark/>
          </w:tcPr>
          <w:p w14:paraId="76C187C4" w14:textId="77777777" w:rsidR="006C5A6D" w:rsidRPr="006C5A6D" w:rsidRDefault="006C5A6D" w:rsidP="006C5A6D">
            <w:pPr>
              <w:spacing w:after="0" w:line="240" w:lineRule="auto"/>
              <w:ind w:firstLineChars="100" w:firstLine="161"/>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87C5" w14:textId="77777777" w:rsidR="006C5A6D" w:rsidRPr="006C5A6D" w:rsidRDefault="006C5A6D" w:rsidP="006C5A6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7C6" w14:textId="77777777" w:rsidR="006C5A6D" w:rsidRPr="006C5A6D" w:rsidRDefault="006C5A6D" w:rsidP="006C5A6D">
            <w:pPr>
              <w:spacing w:after="0" w:line="240" w:lineRule="auto"/>
              <w:jc w:val="left"/>
              <w:rPr>
                <w:rFonts w:ascii="Times New Roman" w:hAnsi="Times New Roman"/>
              </w:rPr>
            </w:pPr>
          </w:p>
        </w:tc>
      </w:tr>
      <w:tr w:rsidR="006C5A6D" w:rsidRPr="006C5A6D" w14:paraId="76C187CC" w14:textId="77777777" w:rsidTr="00B86D9C">
        <w:trPr>
          <w:trHeight w:val="450"/>
        </w:trPr>
        <w:tc>
          <w:tcPr>
            <w:tcW w:w="3080" w:type="dxa"/>
            <w:tcBorders>
              <w:top w:val="nil"/>
              <w:left w:val="nil"/>
              <w:bottom w:val="nil"/>
              <w:right w:val="nil"/>
            </w:tcBorders>
            <w:shd w:val="clear" w:color="auto" w:fill="auto"/>
            <w:vAlign w:val="bottom"/>
            <w:hideMark/>
          </w:tcPr>
          <w:p w14:paraId="76C187C8" w14:textId="30820836" w:rsidR="006C5A6D" w:rsidRPr="00B86D9C" w:rsidRDefault="00FC6E2F" w:rsidP="00B86D9C">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By purchase —</w:t>
            </w:r>
            <w:r w:rsidR="006C5A6D" w:rsidRPr="00B86D9C">
              <w:rPr>
                <w:rFonts w:ascii="Arial" w:hAnsi="Arial" w:cs="Arial"/>
                <w:color w:val="000000"/>
                <w:sz w:val="16"/>
                <w:szCs w:val="16"/>
              </w:rPr>
              <w:t xml:space="preserve"> appropriation ordinary annual services (a)</w:t>
            </w:r>
          </w:p>
        </w:tc>
        <w:tc>
          <w:tcPr>
            <w:tcW w:w="900" w:type="dxa"/>
            <w:tcBorders>
              <w:top w:val="nil"/>
              <w:left w:val="nil"/>
              <w:bottom w:val="nil"/>
              <w:right w:val="nil"/>
            </w:tcBorders>
            <w:shd w:val="clear" w:color="auto" w:fill="auto"/>
            <w:noWrap/>
            <w:vAlign w:val="center"/>
            <w:hideMark/>
          </w:tcPr>
          <w:p w14:paraId="76C187C9"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 xml:space="preserve">- </w:t>
            </w:r>
          </w:p>
        </w:tc>
        <w:tc>
          <w:tcPr>
            <w:tcW w:w="900" w:type="dxa"/>
            <w:tcBorders>
              <w:top w:val="nil"/>
              <w:left w:val="nil"/>
              <w:bottom w:val="nil"/>
              <w:right w:val="nil"/>
            </w:tcBorders>
            <w:shd w:val="clear" w:color="auto" w:fill="auto"/>
            <w:noWrap/>
            <w:vAlign w:val="center"/>
            <w:hideMark/>
          </w:tcPr>
          <w:p w14:paraId="76C187CA"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 xml:space="preserve">99 </w:t>
            </w:r>
          </w:p>
        </w:tc>
        <w:tc>
          <w:tcPr>
            <w:tcW w:w="900" w:type="dxa"/>
            <w:tcBorders>
              <w:top w:val="nil"/>
              <w:left w:val="nil"/>
              <w:bottom w:val="nil"/>
              <w:right w:val="nil"/>
            </w:tcBorders>
            <w:shd w:val="clear" w:color="auto" w:fill="auto"/>
            <w:noWrap/>
            <w:vAlign w:val="center"/>
            <w:hideMark/>
          </w:tcPr>
          <w:p w14:paraId="76C187CB"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 xml:space="preserve">99 </w:t>
            </w:r>
          </w:p>
        </w:tc>
      </w:tr>
      <w:tr w:rsidR="006C5A6D" w:rsidRPr="006C5A6D" w14:paraId="76C187D1" w14:textId="77777777" w:rsidTr="00803AC9">
        <w:trPr>
          <w:trHeight w:val="225"/>
        </w:trPr>
        <w:tc>
          <w:tcPr>
            <w:tcW w:w="3080" w:type="dxa"/>
            <w:tcBorders>
              <w:top w:val="nil"/>
              <w:left w:val="nil"/>
              <w:bottom w:val="nil"/>
              <w:right w:val="nil"/>
            </w:tcBorders>
            <w:shd w:val="clear" w:color="auto" w:fill="auto"/>
            <w:vAlign w:val="bottom"/>
            <w:hideMark/>
          </w:tcPr>
          <w:p w14:paraId="76C187CD" w14:textId="77777777" w:rsidR="006C5A6D" w:rsidRPr="006C5A6D" w:rsidRDefault="006C5A6D" w:rsidP="006C5A6D">
            <w:pPr>
              <w:spacing w:after="0" w:line="240" w:lineRule="auto"/>
              <w:ind w:firstLineChars="100" w:firstLine="161"/>
              <w:jc w:val="left"/>
              <w:rPr>
                <w:rFonts w:ascii="Arial" w:hAnsi="Arial" w:cs="Arial"/>
                <w:b/>
                <w:bCs/>
                <w:sz w:val="16"/>
                <w:szCs w:val="16"/>
              </w:rPr>
            </w:pPr>
            <w:r w:rsidRPr="006C5A6D">
              <w:rPr>
                <w:rFonts w:ascii="Arial" w:hAnsi="Arial" w:cs="Arial"/>
                <w:b/>
                <w:bCs/>
                <w:sz w:val="16"/>
                <w:szCs w:val="16"/>
              </w:rPr>
              <w:t>Total additions</w:t>
            </w:r>
          </w:p>
        </w:tc>
        <w:tc>
          <w:tcPr>
            <w:tcW w:w="900" w:type="dxa"/>
            <w:tcBorders>
              <w:top w:val="single" w:sz="4" w:space="0" w:color="auto"/>
              <w:left w:val="nil"/>
              <w:bottom w:val="single" w:sz="4" w:space="0" w:color="auto"/>
              <w:right w:val="nil"/>
            </w:tcBorders>
            <w:shd w:val="clear" w:color="auto" w:fill="auto"/>
            <w:noWrap/>
            <w:vAlign w:val="bottom"/>
            <w:hideMark/>
          </w:tcPr>
          <w:p w14:paraId="76C187CE"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 </w:t>
            </w:r>
          </w:p>
        </w:tc>
        <w:tc>
          <w:tcPr>
            <w:tcW w:w="900" w:type="dxa"/>
            <w:tcBorders>
              <w:top w:val="single" w:sz="4" w:space="0" w:color="auto"/>
              <w:left w:val="nil"/>
              <w:bottom w:val="single" w:sz="4" w:space="0" w:color="auto"/>
              <w:right w:val="nil"/>
            </w:tcBorders>
            <w:shd w:val="clear" w:color="auto" w:fill="auto"/>
            <w:noWrap/>
            <w:vAlign w:val="bottom"/>
            <w:hideMark/>
          </w:tcPr>
          <w:p w14:paraId="76C187CF"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99 </w:t>
            </w:r>
          </w:p>
        </w:tc>
        <w:tc>
          <w:tcPr>
            <w:tcW w:w="900" w:type="dxa"/>
            <w:tcBorders>
              <w:top w:val="single" w:sz="4" w:space="0" w:color="auto"/>
              <w:left w:val="nil"/>
              <w:bottom w:val="single" w:sz="4" w:space="0" w:color="auto"/>
              <w:right w:val="nil"/>
            </w:tcBorders>
            <w:shd w:val="clear" w:color="auto" w:fill="auto"/>
            <w:noWrap/>
            <w:vAlign w:val="bottom"/>
            <w:hideMark/>
          </w:tcPr>
          <w:p w14:paraId="76C187D0"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99 </w:t>
            </w:r>
          </w:p>
        </w:tc>
      </w:tr>
      <w:tr w:rsidR="006C5A6D" w:rsidRPr="006C5A6D" w14:paraId="76C187D6" w14:textId="77777777" w:rsidTr="00803AC9">
        <w:trPr>
          <w:trHeight w:val="225"/>
        </w:trPr>
        <w:tc>
          <w:tcPr>
            <w:tcW w:w="3080" w:type="dxa"/>
            <w:tcBorders>
              <w:top w:val="nil"/>
              <w:left w:val="nil"/>
              <w:bottom w:val="nil"/>
              <w:right w:val="nil"/>
            </w:tcBorders>
            <w:shd w:val="clear" w:color="auto" w:fill="auto"/>
            <w:vAlign w:val="bottom"/>
            <w:hideMark/>
          </w:tcPr>
          <w:p w14:paraId="76C187D2" w14:textId="77777777" w:rsidR="006C5A6D" w:rsidRPr="006C5A6D" w:rsidRDefault="006C5A6D" w:rsidP="006C5A6D">
            <w:pPr>
              <w:spacing w:after="0" w:line="240" w:lineRule="auto"/>
              <w:ind w:firstLineChars="100" w:firstLine="161"/>
              <w:jc w:val="left"/>
              <w:rPr>
                <w:rFonts w:ascii="Arial" w:hAnsi="Arial" w:cs="Arial"/>
                <w:b/>
                <w:bCs/>
                <w:sz w:val="16"/>
                <w:szCs w:val="16"/>
              </w:rPr>
            </w:pPr>
            <w:r w:rsidRPr="006C5A6D">
              <w:rPr>
                <w:rFonts w:ascii="Arial" w:hAnsi="Arial" w:cs="Arial"/>
                <w:b/>
                <w:bCs/>
                <w:sz w:val="16"/>
                <w:szCs w:val="16"/>
              </w:rPr>
              <w:t>Other movements</w:t>
            </w:r>
          </w:p>
        </w:tc>
        <w:tc>
          <w:tcPr>
            <w:tcW w:w="900" w:type="dxa"/>
            <w:tcBorders>
              <w:top w:val="nil"/>
              <w:left w:val="nil"/>
              <w:bottom w:val="nil"/>
              <w:right w:val="nil"/>
            </w:tcBorders>
            <w:shd w:val="clear" w:color="auto" w:fill="auto"/>
            <w:noWrap/>
            <w:vAlign w:val="bottom"/>
            <w:hideMark/>
          </w:tcPr>
          <w:p w14:paraId="76C187D3" w14:textId="77777777" w:rsidR="006C5A6D" w:rsidRPr="006C5A6D" w:rsidRDefault="006C5A6D" w:rsidP="006C5A6D">
            <w:pPr>
              <w:spacing w:after="0" w:line="240" w:lineRule="auto"/>
              <w:ind w:firstLineChars="100" w:firstLine="161"/>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87D4" w14:textId="77777777" w:rsidR="006C5A6D" w:rsidRPr="006C5A6D" w:rsidRDefault="006C5A6D" w:rsidP="006C5A6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7D5" w14:textId="77777777" w:rsidR="006C5A6D" w:rsidRPr="006C5A6D" w:rsidRDefault="006C5A6D" w:rsidP="006C5A6D">
            <w:pPr>
              <w:spacing w:after="0" w:line="240" w:lineRule="auto"/>
              <w:jc w:val="left"/>
              <w:rPr>
                <w:rFonts w:ascii="Times New Roman" w:hAnsi="Times New Roman"/>
              </w:rPr>
            </w:pPr>
          </w:p>
        </w:tc>
      </w:tr>
      <w:tr w:rsidR="006C5A6D" w:rsidRPr="006C5A6D" w14:paraId="76C187DB" w14:textId="77777777" w:rsidTr="00803AC9">
        <w:trPr>
          <w:trHeight w:val="225"/>
        </w:trPr>
        <w:tc>
          <w:tcPr>
            <w:tcW w:w="3080" w:type="dxa"/>
            <w:tcBorders>
              <w:top w:val="nil"/>
              <w:left w:val="nil"/>
              <w:bottom w:val="nil"/>
              <w:right w:val="nil"/>
            </w:tcBorders>
            <w:shd w:val="clear" w:color="auto" w:fill="auto"/>
            <w:vAlign w:val="bottom"/>
            <w:hideMark/>
          </w:tcPr>
          <w:p w14:paraId="76C187D7" w14:textId="77777777" w:rsidR="006C5A6D" w:rsidRPr="00B86D9C" w:rsidRDefault="006C5A6D"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Depreciation/amortisation expense</w:t>
            </w:r>
          </w:p>
        </w:tc>
        <w:tc>
          <w:tcPr>
            <w:tcW w:w="900" w:type="dxa"/>
            <w:tcBorders>
              <w:top w:val="nil"/>
              <w:left w:val="nil"/>
              <w:bottom w:val="nil"/>
              <w:right w:val="nil"/>
            </w:tcBorders>
            <w:shd w:val="clear" w:color="auto" w:fill="auto"/>
            <w:noWrap/>
            <w:vAlign w:val="bottom"/>
            <w:hideMark/>
          </w:tcPr>
          <w:p w14:paraId="76C187D8"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(511)</w:t>
            </w:r>
          </w:p>
        </w:tc>
        <w:tc>
          <w:tcPr>
            <w:tcW w:w="900" w:type="dxa"/>
            <w:tcBorders>
              <w:top w:val="nil"/>
              <w:left w:val="nil"/>
              <w:bottom w:val="nil"/>
              <w:right w:val="nil"/>
            </w:tcBorders>
            <w:shd w:val="clear" w:color="auto" w:fill="auto"/>
            <w:noWrap/>
            <w:vAlign w:val="bottom"/>
            <w:hideMark/>
          </w:tcPr>
          <w:p w14:paraId="76C187D9"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(119)</w:t>
            </w:r>
          </w:p>
        </w:tc>
        <w:tc>
          <w:tcPr>
            <w:tcW w:w="900" w:type="dxa"/>
            <w:tcBorders>
              <w:top w:val="nil"/>
              <w:left w:val="nil"/>
              <w:bottom w:val="nil"/>
              <w:right w:val="nil"/>
            </w:tcBorders>
            <w:shd w:val="clear" w:color="auto" w:fill="auto"/>
            <w:noWrap/>
            <w:vAlign w:val="bottom"/>
            <w:hideMark/>
          </w:tcPr>
          <w:p w14:paraId="76C187DA"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(630)</w:t>
            </w:r>
          </w:p>
        </w:tc>
      </w:tr>
      <w:tr w:rsidR="006C5A6D" w:rsidRPr="006C5A6D" w14:paraId="76C187E0" w14:textId="77777777" w:rsidTr="00803AC9">
        <w:trPr>
          <w:trHeight w:val="225"/>
        </w:trPr>
        <w:tc>
          <w:tcPr>
            <w:tcW w:w="3080" w:type="dxa"/>
            <w:tcBorders>
              <w:top w:val="nil"/>
              <w:left w:val="nil"/>
              <w:bottom w:val="nil"/>
              <w:right w:val="nil"/>
            </w:tcBorders>
            <w:shd w:val="clear" w:color="auto" w:fill="auto"/>
            <w:vAlign w:val="bottom"/>
            <w:hideMark/>
          </w:tcPr>
          <w:p w14:paraId="76C187DC" w14:textId="77777777" w:rsidR="006C5A6D" w:rsidRPr="006C5A6D" w:rsidRDefault="006C5A6D" w:rsidP="006C5A6D">
            <w:pPr>
              <w:spacing w:after="0" w:line="240" w:lineRule="auto"/>
              <w:ind w:firstLineChars="100" w:firstLine="161"/>
              <w:jc w:val="left"/>
              <w:rPr>
                <w:rFonts w:ascii="Arial" w:hAnsi="Arial" w:cs="Arial"/>
                <w:b/>
                <w:bCs/>
                <w:sz w:val="16"/>
                <w:szCs w:val="16"/>
              </w:rPr>
            </w:pPr>
            <w:r w:rsidRPr="006C5A6D">
              <w:rPr>
                <w:rFonts w:ascii="Arial" w:hAnsi="Arial" w:cs="Arial"/>
                <w:b/>
                <w:bCs/>
                <w:sz w:val="16"/>
                <w:szCs w:val="16"/>
              </w:rPr>
              <w:t>Total other movements</w:t>
            </w:r>
          </w:p>
        </w:tc>
        <w:tc>
          <w:tcPr>
            <w:tcW w:w="900" w:type="dxa"/>
            <w:tcBorders>
              <w:top w:val="single" w:sz="4" w:space="0" w:color="auto"/>
              <w:left w:val="nil"/>
              <w:bottom w:val="single" w:sz="4" w:space="0" w:color="auto"/>
              <w:right w:val="nil"/>
            </w:tcBorders>
            <w:shd w:val="clear" w:color="auto" w:fill="auto"/>
            <w:noWrap/>
            <w:vAlign w:val="bottom"/>
            <w:hideMark/>
          </w:tcPr>
          <w:p w14:paraId="76C187DD"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(511)</w:t>
            </w:r>
          </w:p>
        </w:tc>
        <w:tc>
          <w:tcPr>
            <w:tcW w:w="900" w:type="dxa"/>
            <w:tcBorders>
              <w:top w:val="single" w:sz="4" w:space="0" w:color="auto"/>
              <w:left w:val="nil"/>
              <w:bottom w:val="single" w:sz="4" w:space="0" w:color="auto"/>
              <w:right w:val="nil"/>
            </w:tcBorders>
            <w:shd w:val="clear" w:color="auto" w:fill="auto"/>
            <w:noWrap/>
            <w:vAlign w:val="bottom"/>
            <w:hideMark/>
          </w:tcPr>
          <w:p w14:paraId="76C187DE"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(119)</w:t>
            </w:r>
          </w:p>
        </w:tc>
        <w:tc>
          <w:tcPr>
            <w:tcW w:w="900" w:type="dxa"/>
            <w:tcBorders>
              <w:top w:val="single" w:sz="4" w:space="0" w:color="auto"/>
              <w:left w:val="nil"/>
              <w:bottom w:val="single" w:sz="4" w:space="0" w:color="auto"/>
              <w:right w:val="nil"/>
            </w:tcBorders>
            <w:shd w:val="clear" w:color="auto" w:fill="auto"/>
            <w:noWrap/>
            <w:vAlign w:val="bottom"/>
            <w:hideMark/>
          </w:tcPr>
          <w:p w14:paraId="76C187DF"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(630)</w:t>
            </w:r>
          </w:p>
        </w:tc>
      </w:tr>
      <w:tr w:rsidR="006C5A6D" w:rsidRPr="006C5A6D" w14:paraId="76C187E5" w14:textId="77777777" w:rsidTr="00803AC9">
        <w:trPr>
          <w:trHeight w:val="225"/>
        </w:trPr>
        <w:tc>
          <w:tcPr>
            <w:tcW w:w="3080" w:type="dxa"/>
            <w:tcBorders>
              <w:top w:val="nil"/>
              <w:left w:val="nil"/>
              <w:bottom w:val="nil"/>
              <w:right w:val="nil"/>
            </w:tcBorders>
            <w:shd w:val="clear" w:color="auto" w:fill="auto"/>
            <w:vAlign w:val="bottom"/>
            <w:hideMark/>
          </w:tcPr>
          <w:p w14:paraId="76C187E1" w14:textId="77777777" w:rsidR="006C5A6D" w:rsidRPr="006C5A6D" w:rsidRDefault="006C5A6D" w:rsidP="006C5A6D">
            <w:pPr>
              <w:spacing w:after="0" w:line="240" w:lineRule="auto"/>
              <w:jc w:val="left"/>
              <w:rPr>
                <w:rFonts w:ascii="Arial" w:hAnsi="Arial" w:cs="Arial"/>
                <w:b/>
                <w:bCs/>
                <w:sz w:val="16"/>
                <w:szCs w:val="16"/>
              </w:rPr>
            </w:pPr>
            <w:r w:rsidRPr="006C5A6D">
              <w:rPr>
                <w:rFonts w:ascii="Arial" w:hAnsi="Arial" w:cs="Arial"/>
                <w:b/>
                <w:bCs/>
                <w:sz w:val="16"/>
                <w:szCs w:val="16"/>
              </w:rPr>
              <w:t>As at 30 June 2020</w:t>
            </w:r>
          </w:p>
        </w:tc>
        <w:tc>
          <w:tcPr>
            <w:tcW w:w="900" w:type="dxa"/>
            <w:tcBorders>
              <w:top w:val="nil"/>
              <w:left w:val="nil"/>
              <w:bottom w:val="nil"/>
              <w:right w:val="nil"/>
            </w:tcBorders>
            <w:shd w:val="clear" w:color="auto" w:fill="auto"/>
            <w:noWrap/>
            <w:vAlign w:val="bottom"/>
            <w:hideMark/>
          </w:tcPr>
          <w:p w14:paraId="76C187E2" w14:textId="77777777" w:rsidR="006C5A6D" w:rsidRPr="006C5A6D" w:rsidRDefault="006C5A6D" w:rsidP="006C5A6D">
            <w:pPr>
              <w:spacing w:after="0" w:line="240" w:lineRule="auto"/>
              <w:jc w:val="left"/>
              <w:rPr>
                <w:rFonts w:ascii="Arial" w:hAnsi="Arial" w:cs="Arial"/>
                <w:b/>
                <w:bCs/>
                <w:sz w:val="16"/>
                <w:szCs w:val="16"/>
              </w:rPr>
            </w:pPr>
          </w:p>
        </w:tc>
        <w:tc>
          <w:tcPr>
            <w:tcW w:w="900" w:type="dxa"/>
            <w:tcBorders>
              <w:top w:val="nil"/>
              <w:left w:val="nil"/>
              <w:bottom w:val="nil"/>
              <w:right w:val="nil"/>
            </w:tcBorders>
            <w:shd w:val="clear" w:color="auto" w:fill="auto"/>
            <w:noWrap/>
            <w:vAlign w:val="bottom"/>
            <w:hideMark/>
          </w:tcPr>
          <w:p w14:paraId="76C187E3" w14:textId="77777777" w:rsidR="006C5A6D" w:rsidRPr="006C5A6D" w:rsidRDefault="006C5A6D" w:rsidP="006C5A6D">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87E4" w14:textId="77777777" w:rsidR="006C5A6D" w:rsidRPr="006C5A6D" w:rsidRDefault="006C5A6D" w:rsidP="006C5A6D">
            <w:pPr>
              <w:spacing w:after="0" w:line="240" w:lineRule="auto"/>
              <w:jc w:val="left"/>
              <w:rPr>
                <w:rFonts w:ascii="Times New Roman" w:hAnsi="Times New Roman"/>
              </w:rPr>
            </w:pPr>
          </w:p>
        </w:tc>
      </w:tr>
      <w:tr w:rsidR="006C5A6D" w:rsidRPr="006C5A6D" w14:paraId="76C187EA" w14:textId="77777777" w:rsidTr="00803AC9">
        <w:trPr>
          <w:trHeight w:val="225"/>
        </w:trPr>
        <w:tc>
          <w:tcPr>
            <w:tcW w:w="3080" w:type="dxa"/>
            <w:tcBorders>
              <w:top w:val="nil"/>
              <w:left w:val="nil"/>
              <w:bottom w:val="nil"/>
              <w:right w:val="nil"/>
            </w:tcBorders>
            <w:shd w:val="clear" w:color="auto" w:fill="auto"/>
            <w:vAlign w:val="bottom"/>
            <w:hideMark/>
          </w:tcPr>
          <w:p w14:paraId="76C187E6" w14:textId="77777777" w:rsidR="006C5A6D" w:rsidRPr="00B86D9C" w:rsidRDefault="006C5A6D"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Gross book value</w:t>
            </w:r>
          </w:p>
        </w:tc>
        <w:tc>
          <w:tcPr>
            <w:tcW w:w="900" w:type="dxa"/>
            <w:tcBorders>
              <w:top w:val="nil"/>
              <w:left w:val="nil"/>
              <w:bottom w:val="nil"/>
              <w:right w:val="nil"/>
            </w:tcBorders>
            <w:shd w:val="clear" w:color="auto" w:fill="auto"/>
            <w:noWrap/>
            <w:vAlign w:val="bottom"/>
            <w:hideMark/>
          </w:tcPr>
          <w:p w14:paraId="76C187E7"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 xml:space="preserve">3,114 </w:t>
            </w:r>
          </w:p>
        </w:tc>
        <w:tc>
          <w:tcPr>
            <w:tcW w:w="900" w:type="dxa"/>
            <w:tcBorders>
              <w:top w:val="nil"/>
              <w:left w:val="nil"/>
              <w:bottom w:val="nil"/>
              <w:right w:val="nil"/>
            </w:tcBorders>
            <w:shd w:val="clear" w:color="auto" w:fill="auto"/>
            <w:noWrap/>
            <w:vAlign w:val="bottom"/>
            <w:hideMark/>
          </w:tcPr>
          <w:p w14:paraId="76C187E8"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 xml:space="preserve">699 </w:t>
            </w:r>
          </w:p>
        </w:tc>
        <w:tc>
          <w:tcPr>
            <w:tcW w:w="900" w:type="dxa"/>
            <w:tcBorders>
              <w:top w:val="nil"/>
              <w:left w:val="nil"/>
              <w:bottom w:val="nil"/>
              <w:right w:val="nil"/>
            </w:tcBorders>
            <w:shd w:val="clear" w:color="auto" w:fill="auto"/>
            <w:noWrap/>
            <w:vAlign w:val="bottom"/>
            <w:hideMark/>
          </w:tcPr>
          <w:p w14:paraId="76C187E9" w14:textId="77777777" w:rsidR="006C5A6D" w:rsidRPr="006C5A6D" w:rsidRDefault="006C5A6D" w:rsidP="006C5A6D">
            <w:pPr>
              <w:spacing w:after="0" w:line="240" w:lineRule="auto"/>
              <w:jc w:val="right"/>
              <w:rPr>
                <w:rFonts w:ascii="Arial" w:hAnsi="Arial" w:cs="Arial"/>
                <w:sz w:val="16"/>
                <w:szCs w:val="16"/>
              </w:rPr>
            </w:pPr>
            <w:r w:rsidRPr="006C5A6D">
              <w:rPr>
                <w:rFonts w:ascii="Arial" w:hAnsi="Arial" w:cs="Arial"/>
                <w:sz w:val="16"/>
                <w:szCs w:val="16"/>
              </w:rPr>
              <w:t xml:space="preserve">3,813 </w:t>
            </w:r>
          </w:p>
        </w:tc>
      </w:tr>
      <w:tr w:rsidR="006C5A6D" w:rsidRPr="006C5A6D" w14:paraId="76C187EF" w14:textId="77777777" w:rsidTr="00B86D9C">
        <w:trPr>
          <w:trHeight w:val="450"/>
        </w:trPr>
        <w:tc>
          <w:tcPr>
            <w:tcW w:w="3080" w:type="dxa"/>
            <w:tcBorders>
              <w:top w:val="nil"/>
              <w:left w:val="nil"/>
              <w:bottom w:val="nil"/>
              <w:right w:val="nil"/>
            </w:tcBorders>
            <w:shd w:val="clear" w:color="auto" w:fill="auto"/>
            <w:vAlign w:val="bottom"/>
            <w:hideMark/>
          </w:tcPr>
          <w:p w14:paraId="76C187EB" w14:textId="77777777" w:rsidR="006C5A6D" w:rsidRPr="00B86D9C" w:rsidRDefault="006C5A6D" w:rsidP="00B86D9C">
            <w:pPr>
              <w:spacing w:after="0" w:line="240" w:lineRule="auto"/>
              <w:ind w:left="316" w:hanging="142"/>
              <w:jc w:val="left"/>
              <w:rPr>
                <w:rFonts w:ascii="Arial" w:hAnsi="Arial" w:cs="Arial"/>
                <w:color w:val="000000"/>
                <w:sz w:val="16"/>
                <w:szCs w:val="16"/>
              </w:rPr>
            </w:pPr>
            <w:r w:rsidRPr="00B86D9C">
              <w:rPr>
                <w:rFonts w:ascii="Arial" w:hAnsi="Arial" w:cs="Arial"/>
                <w:color w:val="000000"/>
                <w:sz w:val="16"/>
                <w:szCs w:val="16"/>
              </w:rPr>
              <w:t>Accumulated depreciation/amortisation and impairment</w:t>
            </w:r>
          </w:p>
        </w:tc>
        <w:tc>
          <w:tcPr>
            <w:tcW w:w="900" w:type="dxa"/>
            <w:tcBorders>
              <w:top w:val="nil"/>
              <w:left w:val="nil"/>
              <w:bottom w:val="nil"/>
              <w:right w:val="nil"/>
            </w:tcBorders>
            <w:shd w:val="clear" w:color="auto" w:fill="auto"/>
            <w:noWrap/>
            <w:vAlign w:val="center"/>
            <w:hideMark/>
          </w:tcPr>
          <w:p w14:paraId="76C187EC"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(2,008)</w:t>
            </w:r>
          </w:p>
        </w:tc>
        <w:tc>
          <w:tcPr>
            <w:tcW w:w="900" w:type="dxa"/>
            <w:tcBorders>
              <w:top w:val="nil"/>
              <w:left w:val="nil"/>
              <w:bottom w:val="nil"/>
              <w:right w:val="nil"/>
            </w:tcBorders>
            <w:shd w:val="clear" w:color="auto" w:fill="auto"/>
            <w:noWrap/>
            <w:vAlign w:val="center"/>
            <w:hideMark/>
          </w:tcPr>
          <w:p w14:paraId="76C187ED"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(354)</w:t>
            </w:r>
          </w:p>
        </w:tc>
        <w:tc>
          <w:tcPr>
            <w:tcW w:w="900" w:type="dxa"/>
            <w:tcBorders>
              <w:top w:val="nil"/>
              <w:left w:val="nil"/>
              <w:bottom w:val="nil"/>
              <w:right w:val="nil"/>
            </w:tcBorders>
            <w:shd w:val="clear" w:color="auto" w:fill="auto"/>
            <w:noWrap/>
            <w:vAlign w:val="center"/>
            <w:hideMark/>
          </w:tcPr>
          <w:p w14:paraId="76C187EE" w14:textId="77777777" w:rsidR="006C5A6D" w:rsidRPr="006C5A6D" w:rsidRDefault="006C5A6D" w:rsidP="00B86D9C">
            <w:pPr>
              <w:spacing w:after="0" w:line="240" w:lineRule="auto"/>
              <w:jc w:val="right"/>
              <w:rPr>
                <w:rFonts w:ascii="Arial" w:hAnsi="Arial" w:cs="Arial"/>
                <w:sz w:val="16"/>
                <w:szCs w:val="16"/>
              </w:rPr>
            </w:pPr>
            <w:r w:rsidRPr="006C5A6D">
              <w:rPr>
                <w:rFonts w:ascii="Arial" w:hAnsi="Arial" w:cs="Arial"/>
                <w:sz w:val="16"/>
                <w:szCs w:val="16"/>
              </w:rPr>
              <w:t>(2,362)</w:t>
            </w:r>
          </w:p>
        </w:tc>
      </w:tr>
      <w:tr w:rsidR="006C5A6D" w:rsidRPr="006C5A6D" w14:paraId="76C187F4" w14:textId="77777777" w:rsidTr="00803AC9">
        <w:trPr>
          <w:trHeight w:val="225"/>
        </w:trPr>
        <w:tc>
          <w:tcPr>
            <w:tcW w:w="3080" w:type="dxa"/>
            <w:tcBorders>
              <w:top w:val="nil"/>
              <w:left w:val="nil"/>
              <w:bottom w:val="single" w:sz="4" w:space="0" w:color="auto"/>
              <w:right w:val="nil"/>
            </w:tcBorders>
            <w:shd w:val="clear" w:color="auto" w:fill="auto"/>
            <w:noWrap/>
            <w:vAlign w:val="bottom"/>
            <w:hideMark/>
          </w:tcPr>
          <w:p w14:paraId="76C187F0" w14:textId="77777777" w:rsidR="006C5A6D" w:rsidRPr="006C5A6D" w:rsidRDefault="006C5A6D" w:rsidP="006C5A6D">
            <w:pPr>
              <w:spacing w:after="0" w:line="240" w:lineRule="auto"/>
              <w:jc w:val="left"/>
              <w:rPr>
                <w:rFonts w:ascii="Arial" w:hAnsi="Arial" w:cs="Arial"/>
                <w:b/>
                <w:bCs/>
                <w:sz w:val="16"/>
                <w:szCs w:val="16"/>
              </w:rPr>
            </w:pPr>
            <w:r w:rsidRPr="006C5A6D">
              <w:rPr>
                <w:rFonts w:ascii="Arial" w:hAnsi="Arial" w:cs="Arial"/>
                <w:b/>
                <w:bCs/>
                <w:sz w:val="16"/>
                <w:szCs w:val="16"/>
              </w:rPr>
              <w:t>Closing net book balance</w:t>
            </w:r>
          </w:p>
        </w:tc>
        <w:tc>
          <w:tcPr>
            <w:tcW w:w="900" w:type="dxa"/>
            <w:tcBorders>
              <w:top w:val="single" w:sz="4" w:space="0" w:color="auto"/>
              <w:left w:val="nil"/>
              <w:bottom w:val="single" w:sz="4" w:space="0" w:color="auto"/>
              <w:right w:val="nil"/>
            </w:tcBorders>
            <w:shd w:val="clear" w:color="auto" w:fill="auto"/>
            <w:noWrap/>
            <w:vAlign w:val="bottom"/>
            <w:hideMark/>
          </w:tcPr>
          <w:p w14:paraId="76C187F1"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1,106 </w:t>
            </w:r>
          </w:p>
        </w:tc>
        <w:tc>
          <w:tcPr>
            <w:tcW w:w="900" w:type="dxa"/>
            <w:tcBorders>
              <w:top w:val="single" w:sz="4" w:space="0" w:color="auto"/>
              <w:left w:val="nil"/>
              <w:bottom w:val="single" w:sz="4" w:space="0" w:color="auto"/>
              <w:right w:val="nil"/>
            </w:tcBorders>
            <w:shd w:val="clear" w:color="auto" w:fill="auto"/>
            <w:noWrap/>
            <w:vAlign w:val="bottom"/>
            <w:hideMark/>
          </w:tcPr>
          <w:p w14:paraId="76C187F2"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345 </w:t>
            </w:r>
          </w:p>
        </w:tc>
        <w:tc>
          <w:tcPr>
            <w:tcW w:w="900" w:type="dxa"/>
            <w:tcBorders>
              <w:top w:val="single" w:sz="4" w:space="0" w:color="auto"/>
              <w:left w:val="nil"/>
              <w:bottom w:val="single" w:sz="4" w:space="0" w:color="auto"/>
              <w:right w:val="nil"/>
            </w:tcBorders>
            <w:shd w:val="clear" w:color="auto" w:fill="auto"/>
            <w:noWrap/>
            <w:vAlign w:val="bottom"/>
            <w:hideMark/>
          </w:tcPr>
          <w:p w14:paraId="76C187F3" w14:textId="77777777" w:rsidR="006C5A6D" w:rsidRPr="006C5A6D" w:rsidRDefault="006C5A6D" w:rsidP="006C5A6D">
            <w:pPr>
              <w:spacing w:after="0" w:line="240" w:lineRule="auto"/>
              <w:jc w:val="right"/>
              <w:rPr>
                <w:rFonts w:ascii="Arial" w:hAnsi="Arial" w:cs="Arial"/>
                <w:b/>
                <w:bCs/>
                <w:sz w:val="16"/>
                <w:szCs w:val="16"/>
              </w:rPr>
            </w:pPr>
            <w:r w:rsidRPr="006C5A6D">
              <w:rPr>
                <w:rFonts w:ascii="Arial" w:hAnsi="Arial" w:cs="Arial"/>
                <w:b/>
                <w:bCs/>
                <w:sz w:val="16"/>
                <w:szCs w:val="16"/>
              </w:rPr>
              <w:t xml:space="preserve">1,451 </w:t>
            </w:r>
          </w:p>
        </w:tc>
      </w:tr>
    </w:tbl>
    <w:p w14:paraId="76C187F5" w14:textId="2B9B84B2" w:rsidR="0061075E" w:rsidRPr="00ED16A4" w:rsidRDefault="0061075E" w:rsidP="008633EE">
      <w:pPr>
        <w:pStyle w:val="ListParagraph"/>
        <w:numPr>
          <w:ilvl w:val="0"/>
          <w:numId w:val="44"/>
        </w:numPr>
        <w:spacing w:before="120" w:after="0" w:line="240" w:lineRule="auto"/>
        <w:rPr>
          <w:rFonts w:ascii="Arial" w:hAnsi="Arial" w:cs="Arial"/>
          <w:sz w:val="16"/>
          <w:szCs w:val="16"/>
        </w:rPr>
      </w:pPr>
      <w:r w:rsidRPr="006C5A6D">
        <w:rPr>
          <w:rFonts w:ascii="Arial" w:hAnsi="Arial" w:cs="Arial"/>
          <w:sz w:val="16"/>
          <w:szCs w:val="16"/>
        </w:rPr>
        <w:t xml:space="preserve">‘Appropriation ordinary annual services’ refers to funding provided through Appropriation Bill (No. 1) </w:t>
      </w:r>
      <w:r w:rsidR="00E16C05">
        <w:rPr>
          <w:rFonts w:ascii="Arial" w:hAnsi="Arial" w:cs="Arial"/>
          <w:sz w:val="16"/>
          <w:szCs w:val="16"/>
        </w:rPr>
        <w:br/>
      </w:r>
      <w:r w:rsidRPr="006C5A6D">
        <w:rPr>
          <w:rFonts w:ascii="Arial" w:hAnsi="Arial" w:cs="Arial"/>
          <w:sz w:val="16"/>
          <w:szCs w:val="16"/>
        </w:rPr>
        <w:t>2019</w:t>
      </w:r>
      <w:r w:rsidR="00144C76" w:rsidRPr="00BC5093">
        <w:rPr>
          <w:rFonts w:ascii="Arial" w:hAnsi="Arial" w:cs="Arial"/>
          <w:sz w:val="16"/>
          <w:szCs w:val="16"/>
        </w:rPr>
        <w:t>–</w:t>
      </w:r>
      <w:r w:rsidRPr="006C5A6D">
        <w:rPr>
          <w:rFonts w:ascii="Arial" w:hAnsi="Arial" w:cs="Arial"/>
          <w:sz w:val="16"/>
          <w:szCs w:val="16"/>
        </w:rPr>
        <w:t>20 depreciation/amortisation expenses, DCB</w:t>
      </w:r>
      <w:r w:rsidR="006C5A6D" w:rsidRPr="006C5A6D">
        <w:rPr>
          <w:rFonts w:ascii="Arial" w:hAnsi="Arial" w:cs="Arial"/>
          <w:sz w:val="16"/>
          <w:szCs w:val="16"/>
        </w:rPr>
        <w:t>s or other operational expenses.</w:t>
      </w:r>
    </w:p>
    <w:p w14:paraId="76C187F6" w14:textId="77777777" w:rsidR="00803AC9" w:rsidRDefault="00ED16A4" w:rsidP="008633EE">
      <w:pPr>
        <w:pStyle w:val="TableGraphic"/>
        <w:spacing w:before="120"/>
        <w:jc w:val="left"/>
        <w:rPr>
          <w:rFonts w:ascii="Arial" w:hAnsi="Arial" w:cs="Arial"/>
          <w:sz w:val="16"/>
          <w:szCs w:val="16"/>
        </w:rPr>
      </w:pPr>
      <w:r w:rsidRPr="00ED16A4">
        <w:rPr>
          <w:rFonts w:ascii="Arial" w:hAnsi="Arial" w:cs="Arial"/>
          <w:sz w:val="16"/>
          <w:szCs w:val="16"/>
        </w:rPr>
        <w:t>Prepared on Australian Accounting Standards basis.</w:t>
      </w:r>
    </w:p>
    <w:p w14:paraId="76C187F7" w14:textId="77777777" w:rsidR="00803AC9" w:rsidRDefault="00803AC9">
      <w:pPr>
        <w:spacing w:after="0" w:line="240" w:lineRule="auto"/>
        <w:jc w:val="left"/>
      </w:pPr>
      <w:r>
        <w:br w:type="page"/>
      </w:r>
    </w:p>
    <w:p w14:paraId="76C187F8" w14:textId="77777777" w:rsidR="0061075E" w:rsidRDefault="0061075E" w:rsidP="0061075E">
      <w:pPr>
        <w:pStyle w:val="TableHeading"/>
      </w:pPr>
      <w:r w:rsidRPr="00D30CBA">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14:paraId="76C187F9" w14:textId="77777777" w:rsidR="006C5A6D" w:rsidRPr="00F10305" w:rsidRDefault="006C5A6D" w:rsidP="006C5A6D">
      <w:r>
        <w:t>Safe Work Australia has no income and expenses administered on behalf of government. For this reason, Table 3.7 is not presented.</w:t>
      </w:r>
    </w:p>
    <w:p w14:paraId="76C187FA" w14:textId="77777777" w:rsidR="006C5A6D" w:rsidRDefault="006C5A6D" w:rsidP="006C5A6D">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76C187FB" w14:textId="77777777" w:rsidR="006C5A6D" w:rsidRDefault="006C5A6D" w:rsidP="006C5A6D">
      <w:r>
        <w:t xml:space="preserve">Safe Work Australia has no administered assets and liabilities. For this reason, Table 3.8 is not presented. </w:t>
      </w:r>
    </w:p>
    <w:p w14:paraId="76C187FC" w14:textId="77777777" w:rsidR="006C5A6D" w:rsidRDefault="006C5A6D" w:rsidP="006C5A6D">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p w14:paraId="76C187FD" w14:textId="77777777" w:rsidR="006C5A6D" w:rsidRDefault="006C5A6D" w:rsidP="006C5A6D">
      <w:r>
        <w:t xml:space="preserve">Safe Work Australia has no administered cash flows. For this reason, Table 3.9 is not presented. </w:t>
      </w:r>
    </w:p>
    <w:p w14:paraId="76C187FE" w14:textId="77777777" w:rsidR="006C5A6D" w:rsidRDefault="006C5A6D" w:rsidP="006C5A6D">
      <w:pPr>
        <w:pStyle w:val="TableHeading"/>
      </w:pPr>
      <w:r w:rsidRPr="00D30CBA">
        <w:t>Table</w:t>
      </w:r>
      <w:r>
        <w:t xml:space="preserve"> 3.10</w:t>
      </w:r>
      <w:r w:rsidRPr="00D30CBA">
        <w:t xml:space="preserve">: </w:t>
      </w:r>
      <w:r>
        <w:t>Administered capital budget statement (for the period ended 30 June)</w:t>
      </w:r>
    </w:p>
    <w:p w14:paraId="76C187FF" w14:textId="77777777" w:rsidR="006C5A6D" w:rsidRDefault="006C5A6D" w:rsidP="006C5A6D">
      <w:r>
        <w:t xml:space="preserve">Safe Work Australia has no administered capital budget. For this reason, Table 3.10 is not presented. </w:t>
      </w:r>
    </w:p>
    <w:p w14:paraId="76C18800" w14:textId="77777777" w:rsidR="006C5A6D" w:rsidRPr="00273D98" w:rsidRDefault="006C5A6D" w:rsidP="006C5A6D">
      <w:pPr>
        <w:pStyle w:val="TableHeading"/>
        <w:spacing w:before="360" w:after="0"/>
        <w:rPr>
          <w:lang w:val="en-AU"/>
        </w:rPr>
      </w:pPr>
      <w:r>
        <w:t>Table 3.11: Statement of administered asset movements (Budget year 201</w:t>
      </w:r>
      <w:r>
        <w:rPr>
          <w:lang w:val="en-AU"/>
        </w:rPr>
        <w:t>9–20</w:t>
      </w:r>
      <w:r>
        <w:t>)</w:t>
      </w:r>
    </w:p>
    <w:p w14:paraId="76C18801" w14:textId="77777777" w:rsidR="0061075E" w:rsidRDefault="006C5A6D" w:rsidP="006C5A6D">
      <w:r>
        <w:t xml:space="preserve">Safe Work Australia has no administered non-financial assets. For this reason, Table 3.11 is not presented. </w:t>
      </w:r>
    </w:p>
    <w:p w14:paraId="76C18802" w14:textId="77777777" w:rsidR="0061075E" w:rsidRDefault="0061075E" w:rsidP="0061075E">
      <w:pPr>
        <w:pStyle w:val="ExampleText0"/>
        <w:sectPr w:rsidR="0061075E" w:rsidSect="0050346A">
          <w:headerReference w:type="default" r:id="rId26"/>
          <w:footerReference w:type="even" r:id="rId27"/>
          <w:footerReference w:type="default" r:id="rId28"/>
          <w:headerReference w:type="first" r:id="rId29"/>
          <w:footerReference w:type="first" r:id="rId30"/>
          <w:pgSz w:w="11906" w:h="16838" w:code="9"/>
          <w:pgMar w:top="2466" w:right="2098" w:bottom="2466" w:left="2098" w:header="1899" w:footer="1899" w:gutter="0"/>
          <w:cols w:space="708"/>
          <w:titlePg/>
          <w:docGrid w:linePitch="360"/>
        </w:sectPr>
      </w:pPr>
    </w:p>
    <w:p w14:paraId="76C18803" w14:textId="77777777" w:rsidR="0061075E" w:rsidRPr="00C17B32" w:rsidRDefault="0061075E" w:rsidP="006C5A6D">
      <w:pPr>
        <w:pStyle w:val="TableGraphic"/>
      </w:pPr>
    </w:p>
    <w:p w14:paraId="76C18804" w14:textId="77777777" w:rsidR="00DF0134" w:rsidRDefault="00DF0134" w:rsidP="00DF0134">
      <w:pPr>
        <w:pStyle w:val="Heading1"/>
      </w:pPr>
      <w:bookmarkStart w:id="3" w:name="_Toc3373947"/>
      <w:r w:rsidRPr="00834F9A">
        <w:t>Portfolio glossary</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5661"/>
      </w:tblGrid>
      <w:tr w:rsidR="006C5A6D" w14:paraId="76C18807"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14:paraId="76C1880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Where amounts appropriated at Budget time are insufficient, Parliament may appropriate more funds to portfolios through the Additional Estimates Acts. </w:t>
            </w:r>
          </w:p>
        </w:tc>
      </w:tr>
      <w:tr w:rsidR="006C5A6D" w14:paraId="76C1880A"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14:paraId="76C1880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These are Appropriation Bills 3 and 4, and a separate Bill for the Parliamentary Departments [Appropriations (Parliamentary Departments) Bill (No. 2)]. These Bills are introduced into Parliament sometime after the Budget Bills.</w:t>
            </w:r>
          </w:p>
        </w:tc>
      </w:tr>
      <w:tr w:rsidR="006C5A6D" w14:paraId="76C1880D"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14:paraId="76C1880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6C5A6D" w14:paraId="76C18810"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14:paraId="76C1880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authorisation by Parliament to spend monies from the Consolidated Revenue Fund for a particular purpose.</w:t>
            </w:r>
          </w:p>
        </w:tc>
      </w:tr>
      <w:tr w:rsidR="006C5A6D" w14:paraId="76C18813"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14:paraId="76C1881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6C5A6D" w14:paraId="76C18816"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14:paraId="76C1881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are physical objects and legal rights expected to provide benefits in the future, or alternatively items of value owned by an Agency. </w:t>
            </w:r>
          </w:p>
        </w:tc>
      </w:tr>
      <w:tr w:rsidR="006C5A6D" w14:paraId="76C18819"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14:paraId="76C1881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Expenditure by an agency on capital projects, for example purchasing a building.</w:t>
            </w:r>
          </w:p>
        </w:tc>
      </w:tr>
      <w:tr w:rsidR="006C5A6D" w14:paraId="76C1881C"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14:paraId="76C1881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6C5A6D" w14:paraId="76C1881F"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14:paraId="76C1881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6C5A6D" w14:paraId="76C18822"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14:paraId="76C1882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Apportionment of an asset’s capital value as an expense over its estimated useful life to take account of normal usage, obsolescence, or the passage of time.</w:t>
            </w:r>
          </w:p>
        </w:tc>
      </w:tr>
      <w:tr w:rsidR="006C5A6D" w14:paraId="76C18825"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14:paraId="76C1882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Residual interest in the assets of an entity after deduction of its liabilities.</w:t>
            </w:r>
          </w:p>
        </w:tc>
      </w:tr>
      <w:tr w:rsidR="006C5A6D" w14:paraId="76C18828"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14:paraId="76C1882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all of the resources consumed in producing goods and services or the loss of future economic benefits in the form of reductions in assets or increases in liabilities of an entity.</w:t>
            </w:r>
          </w:p>
        </w:tc>
      </w:tr>
      <w:tr w:rsidR="006C5A6D" w14:paraId="76C1882B" w14:textId="77777777" w:rsidTr="00665B04">
        <w:trPr>
          <w:trHeight w:val="1057"/>
        </w:trPr>
        <w:tc>
          <w:tcPr>
            <w:tcW w:w="2069" w:type="dxa"/>
            <w:tcBorders>
              <w:top w:val="single" w:sz="4" w:space="0" w:color="auto"/>
              <w:left w:val="single" w:sz="4" w:space="0" w:color="auto"/>
              <w:bottom w:val="single" w:sz="4" w:space="0" w:color="auto"/>
              <w:right w:val="single" w:sz="4" w:space="0" w:color="auto"/>
            </w:tcBorders>
            <w:hideMark/>
          </w:tcPr>
          <w:p w14:paraId="76C1882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Forward estimates</w:t>
            </w:r>
          </w:p>
        </w:tc>
        <w:tc>
          <w:tcPr>
            <w:tcW w:w="5850" w:type="dxa"/>
            <w:tcBorders>
              <w:top w:val="single" w:sz="4" w:space="0" w:color="auto"/>
              <w:left w:val="single" w:sz="4" w:space="0" w:color="auto"/>
              <w:bottom w:val="single" w:sz="4" w:space="0" w:color="auto"/>
              <w:right w:val="single" w:sz="4" w:space="0" w:color="auto"/>
            </w:tcBorders>
            <w:hideMark/>
          </w:tcPr>
          <w:p w14:paraId="76C1882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6C5A6D" w14:paraId="76C1882E" w14:textId="77777777" w:rsidTr="00665B04">
        <w:trPr>
          <w:trHeight w:val="827"/>
        </w:trPr>
        <w:tc>
          <w:tcPr>
            <w:tcW w:w="2069" w:type="dxa"/>
            <w:tcBorders>
              <w:top w:val="single" w:sz="4" w:space="0" w:color="auto"/>
              <w:left w:val="single" w:sz="4" w:space="0" w:color="auto"/>
              <w:bottom w:val="single" w:sz="4" w:space="0" w:color="auto"/>
              <w:right w:val="single" w:sz="4" w:space="0" w:color="auto"/>
            </w:tcBorders>
            <w:hideMark/>
          </w:tcPr>
          <w:p w14:paraId="76C1882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w:t>
            </w:r>
          </w:p>
        </w:tc>
        <w:tc>
          <w:tcPr>
            <w:tcW w:w="5850" w:type="dxa"/>
            <w:tcBorders>
              <w:top w:val="single" w:sz="4" w:space="0" w:color="auto"/>
              <w:left w:val="single" w:sz="4" w:space="0" w:color="auto"/>
              <w:bottom w:val="single" w:sz="4" w:space="0" w:color="auto"/>
              <w:right w:val="single" w:sz="4" w:space="0" w:color="auto"/>
            </w:tcBorders>
            <w:hideMark/>
          </w:tcPr>
          <w:p w14:paraId="76C1882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 represent amounts owing on goods or services that have been received but not yet paid for. A liability shows the future commitment of the Agency’s assets.</w:t>
            </w:r>
          </w:p>
        </w:tc>
      </w:tr>
      <w:tr w:rsidR="006C5A6D" w14:paraId="76C18831"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2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14:paraId="76C1883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new Government policy or savings decision with financial impacts. </w:t>
            </w:r>
          </w:p>
        </w:tc>
      </w:tr>
      <w:tr w:rsidR="006C5A6D" w14:paraId="76C18834" w14:textId="77777777" w:rsidTr="00665B04">
        <w:trPr>
          <w:trHeight w:val="995"/>
        </w:trPr>
        <w:tc>
          <w:tcPr>
            <w:tcW w:w="2069" w:type="dxa"/>
            <w:tcBorders>
              <w:top w:val="single" w:sz="4" w:space="0" w:color="auto"/>
              <w:left w:val="single" w:sz="4" w:space="0" w:color="auto"/>
              <w:bottom w:val="single" w:sz="4" w:space="0" w:color="auto"/>
              <w:right w:val="single" w:sz="4" w:space="0" w:color="auto"/>
            </w:tcBorders>
            <w:hideMark/>
          </w:tcPr>
          <w:p w14:paraId="76C1883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14:paraId="76C1883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6C5A6D" w14:paraId="76C18837"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3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14:paraId="76C1883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Equals revenue less expenses. </w:t>
            </w:r>
          </w:p>
        </w:tc>
      </w:tr>
      <w:tr w:rsidR="006C5A6D" w14:paraId="76C1883A" w14:textId="77777777" w:rsidTr="00665B04">
        <w:trPr>
          <w:cantSplit/>
          <w:trHeight w:val="1014"/>
        </w:trPr>
        <w:tc>
          <w:tcPr>
            <w:tcW w:w="2069" w:type="dxa"/>
            <w:tcBorders>
              <w:top w:val="single" w:sz="4" w:space="0" w:color="auto"/>
              <w:left w:val="single" w:sz="4" w:space="0" w:color="auto"/>
              <w:bottom w:val="single" w:sz="4" w:space="0" w:color="auto"/>
              <w:right w:val="single" w:sz="4" w:space="0" w:color="auto"/>
            </w:tcBorders>
            <w:hideMark/>
          </w:tcPr>
          <w:p w14:paraId="76C1883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14:paraId="76C1883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6C5A6D" w14:paraId="76C1883D" w14:textId="77777777" w:rsidTr="00665B04">
        <w:trPr>
          <w:trHeight w:val="583"/>
        </w:trPr>
        <w:tc>
          <w:tcPr>
            <w:tcW w:w="2069" w:type="dxa"/>
            <w:tcBorders>
              <w:top w:val="single" w:sz="4" w:space="0" w:color="auto"/>
              <w:left w:val="single" w:sz="4" w:space="0" w:color="auto"/>
              <w:bottom w:val="single" w:sz="4" w:space="0" w:color="auto"/>
              <w:right w:val="single" w:sz="4" w:space="0" w:color="auto"/>
            </w:tcBorders>
            <w:hideMark/>
          </w:tcPr>
          <w:p w14:paraId="76C1883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14:paraId="76C1883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Measures the joint or independent contribution of outputs and administered items to the achievement of their specified outcome.</w:t>
            </w:r>
          </w:p>
        </w:tc>
      </w:tr>
      <w:tr w:rsidR="006C5A6D" w14:paraId="76C18840" w14:textId="77777777" w:rsidTr="00665B04">
        <w:trPr>
          <w:trHeight w:val="952"/>
        </w:trPr>
        <w:tc>
          <w:tcPr>
            <w:tcW w:w="2069" w:type="dxa"/>
            <w:tcBorders>
              <w:top w:val="single" w:sz="4" w:space="0" w:color="auto"/>
              <w:left w:val="single" w:sz="4" w:space="0" w:color="auto"/>
              <w:bottom w:val="single" w:sz="4" w:space="0" w:color="auto"/>
              <w:right w:val="single" w:sz="4" w:space="0" w:color="auto"/>
            </w:tcBorders>
            <w:hideMark/>
          </w:tcPr>
          <w:p w14:paraId="76C1883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14:paraId="76C1883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 Minister’s area of responsibility as a member of Cabinet. A portfolio consists of one or more Departments of State (ie the portfolio departments) and a number of entities with similar general objectives and outcomes.</w:t>
            </w:r>
          </w:p>
        </w:tc>
      </w:tr>
      <w:tr w:rsidR="006C5A6D" w14:paraId="76C18843" w14:textId="77777777" w:rsidTr="00665B04">
        <w:trPr>
          <w:trHeight w:val="768"/>
        </w:trPr>
        <w:tc>
          <w:tcPr>
            <w:tcW w:w="2069" w:type="dxa"/>
            <w:tcBorders>
              <w:top w:val="single" w:sz="4" w:space="0" w:color="auto"/>
              <w:left w:val="single" w:sz="4" w:space="0" w:color="auto"/>
              <w:bottom w:val="single" w:sz="4" w:space="0" w:color="auto"/>
              <w:right w:val="single" w:sz="4" w:space="0" w:color="auto"/>
            </w:tcBorders>
            <w:hideMark/>
          </w:tcPr>
          <w:p w14:paraId="76C1884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14:paraId="76C1884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Entities deliver programs, which are government actions taken to deliver the stated outcomes. Entities are required to identify the programs which contribute to government outcomes over the Budget and forward years.</w:t>
            </w:r>
          </w:p>
        </w:tc>
      </w:tr>
      <w:tr w:rsidR="006C5A6D" w14:paraId="76C18846" w14:textId="77777777" w:rsidTr="00665B04">
        <w:trPr>
          <w:trHeight w:val="1301"/>
        </w:trPr>
        <w:tc>
          <w:tcPr>
            <w:tcW w:w="2069" w:type="dxa"/>
            <w:tcBorders>
              <w:top w:val="single" w:sz="4" w:space="0" w:color="auto"/>
              <w:left w:val="single" w:sz="4" w:space="0" w:color="auto"/>
              <w:bottom w:val="single" w:sz="4" w:space="0" w:color="auto"/>
              <w:right w:val="single" w:sz="4" w:space="0" w:color="auto"/>
            </w:tcBorders>
            <w:hideMark/>
          </w:tcPr>
          <w:p w14:paraId="76C1884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14:paraId="76C1884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6C5A6D" w14:paraId="76C18849" w14:textId="77777777" w:rsidTr="00665B04">
        <w:trPr>
          <w:trHeight w:val="597"/>
        </w:trPr>
        <w:tc>
          <w:tcPr>
            <w:tcW w:w="2069" w:type="dxa"/>
            <w:tcBorders>
              <w:top w:val="single" w:sz="4" w:space="0" w:color="auto"/>
              <w:left w:val="single" w:sz="4" w:space="0" w:color="auto"/>
              <w:bottom w:val="single" w:sz="4" w:space="0" w:color="auto"/>
              <w:right w:val="single" w:sz="4" w:space="0" w:color="auto"/>
            </w:tcBorders>
            <w:hideMark/>
          </w:tcPr>
          <w:p w14:paraId="76C1884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14:paraId="76C1884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resources earned or received to cover the production of goods and services.</w:t>
            </w:r>
          </w:p>
        </w:tc>
      </w:tr>
      <w:tr w:rsidR="006C5A6D" w14:paraId="76C1884C" w14:textId="77777777" w:rsidTr="00665B04">
        <w:trPr>
          <w:trHeight w:val="1615"/>
        </w:trPr>
        <w:tc>
          <w:tcPr>
            <w:tcW w:w="2069" w:type="dxa"/>
            <w:tcBorders>
              <w:top w:val="single" w:sz="4" w:space="0" w:color="auto"/>
              <w:left w:val="single" w:sz="4" w:space="0" w:color="auto"/>
              <w:bottom w:val="single" w:sz="4" w:space="0" w:color="auto"/>
              <w:right w:val="single" w:sz="4" w:space="0" w:color="auto"/>
            </w:tcBorders>
            <w:hideMark/>
          </w:tcPr>
          <w:p w14:paraId="76C1884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14:paraId="76C1884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bookmarkEnd w:id="0"/>
    </w:tbl>
    <w:p w14:paraId="76C1884D" w14:textId="77777777" w:rsidR="006C5A6D" w:rsidRPr="006C5A6D" w:rsidRDefault="006C5A6D" w:rsidP="006C5A6D"/>
    <w:sectPr w:rsidR="006C5A6D" w:rsidRPr="006C5A6D" w:rsidSect="0050346A">
      <w:headerReference w:type="even" r:id="rId31"/>
      <w:headerReference w:type="default" r:id="rId32"/>
      <w:headerReference w:type="first" r:id="rId33"/>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9E01" w14:textId="77777777" w:rsidR="002C52D5" w:rsidRDefault="002C52D5" w:rsidP="00C07DEC">
      <w:r>
        <w:separator/>
      </w:r>
    </w:p>
  </w:endnote>
  <w:endnote w:type="continuationSeparator" w:id="0">
    <w:p w14:paraId="5E0E3A8A" w14:textId="77777777" w:rsidR="002C52D5" w:rsidRDefault="002C52D5" w:rsidP="00C07DEC">
      <w:r>
        <w:continuationSeparator/>
      </w:r>
    </w:p>
  </w:endnote>
  <w:endnote w:type="continuationNotice" w:id="1">
    <w:p w14:paraId="153E9F64" w14:textId="77777777" w:rsidR="002C52D5" w:rsidRDefault="002C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470122"/>
      <w:docPartObj>
        <w:docPartGallery w:val="Page Numbers (Bottom of Page)"/>
        <w:docPartUnique/>
      </w:docPartObj>
    </w:sdtPr>
    <w:sdtEndPr>
      <w:rPr>
        <w:noProof/>
      </w:rPr>
    </w:sdtEndPr>
    <w:sdtContent>
      <w:p w14:paraId="090B9401" w14:textId="2833ABEB" w:rsidR="00763C1B" w:rsidRDefault="00AA2D2A" w:rsidP="00AA2D2A">
        <w:pPr>
          <w:pStyle w:val="Footer"/>
        </w:pPr>
        <w:r>
          <w:fldChar w:fldCharType="begin"/>
        </w:r>
        <w:r>
          <w:instrText xml:space="preserve"> PAGE   \* MERGEFORMAT </w:instrText>
        </w:r>
        <w:r>
          <w:fldChar w:fldCharType="separate"/>
        </w:r>
        <w:r>
          <w:rPr>
            <w:noProof/>
          </w:rPr>
          <w:t>170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807725"/>
      <w:docPartObj>
        <w:docPartGallery w:val="Page Numbers (Bottom of Page)"/>
        <w:docPartUnique/>
      </w:docPartObj>
    </w:sdtPr>
    <w:sdtEndPr>
      <w:rPr>
        <w:noProof/>
      </w:rPr>
    </w:sdtEndPr>
    <w:sdtContent>
      <w:p w14:paraId="68EAAF76" w14:textId="6E96EEC7" w:rsidR="00763C1B" w:rsidRDefault="00AA2D2A" w:rsidP="00AA2D2A">
        <w:pPr>
          <w:pStyle w:val="Footer"/>
        </w:pPr>
        <w:r>
          <w:fldChar w:fldCharType="begin"/>
        </w:r>
        <w:r>
          <w:instrText xml:space="preserve"> PAGE   \* MERGEFORMAT </w:instrText>
        </w:r>
        <w:r>
          <w:fldChar w:fldCharType="separate"/>
        </w:r>
        <w:r>
          <w:rPr>
            <w:noProof/>
          </w:rPr>
          <w:t>169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388419"/>
      <w:docPartObj>
        <w:docPartGallery w:val="Page Numbers (Bottom of Page)"/>
        <w:docPartUnique/>
      </w:docPartObj>
    </w:sdtPr>
    <w:sdtEndPr>
      <w:rPr>
        <w:noProof/>
      </w:rPr>
    </w:sdtEndPr>
    <w:sdtContent>
      <w:p w14:paraId="4D0F59A9" w14:textId="00CC6638" w:rsidR="002C52D5" w:rsidRPr="00515CCC" w:rsidRDefault="002C52D5" w:rsidP="00515CCC">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442766"/>
      <w:docPartObj>
        <w:docPartGallery w:val="Page Numbers (Bottom of Page)"/>
        <w:docPartUnique/>
      </w:docPartObj>
    </w:sdtPr>
    <w:sdtEndPr>
      <w:rPr>
        <w:noProof/>
      </w:rPr>
    </w:sdtEndPr>
    <w:sdtContent>
      <w:p w14:paraId="76C18907" w14:textId="17E2C9CC" w:rsidR="002C52D5" w:rsidRPr="001808A4" w:rsidRDefault="002C52D5" w:rsidP="00515CCC">
        <w:pPr>
          <w:pStyle w:val="Footer"/>
        </w:pPr>
        <w:r>
          <w:fldChar w:fldCharType="begin"/>
        </w:r>
        <w:r>
          <w:instrText xml:space="preserve"> PAGE   \* MERGEFORMAT </w:instrText>
        </w:r>
        <w:r>
          <w:fldChar w:fldCharType="separate"/>
        </w:r>
        <w:r w:rsidR="00AA2D2A">
          <w:rPr>
            <w:noProof/>
          </w:rPr>
          <w:t>165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B" w14:textId="68266DAD" w:rsidR="002C52D5" w:rsidRDefault="002C52D5" w:rsidP="001808A4">
    <w:pPr>
      <w:pStyle w:val="Footer"/>
      <w:rPr>
        <w:noProof/>
      </w:rPr>
    </w:pPr>
    <w:r>
      <w:fldChar w:fldCharType="begin"/>
    </w:r>
    <w:r>
      <w:instrText xml:space="preserve"> PAGE   \* MERGEFORMAT </w:instrText>
    </w:r>
    <w:r>
      <w:fldChar w:fldCharType="separate"/>
    </w:r>
    <w:r w:rsidR="00AA2D2A">
      <w:rPr>
        <w:noProof/>
      </w:rPr>
      <w:t>167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E" w14:textId="66998CC9" w:rsidR="002C52D5" w:rsidRPr="00724257" w:rsidRDefault="002C52D5"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AA2D2A">
      <w:rPr>
        <w:rStyle w:val="PageNumber"/>
        <w:noProof/>
      </w:rPr>
      <w:t>179</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2" w14:textId="30807F65" w:rsidR="002C52D5" w:rsidRPr="00C97362" w:rsidRDefault="002C52D5"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AA2D2A">
      <w:rPr>
        <w:rStyle w:val="PageNumber"/>
        <w:noProof/>
      </w:rPr>
      <w:t>184</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3" w14:textId="1EE297C4" w:rsidR="002C52D5" w:rsidRPr="00EC1F39" w:rsidRDefault="002C52D5"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183</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6" w14:textId="0F2DD3C6" w:rsidR="002C52D5" w:rsidRPr="00515CCC" w:rsidRDefault="002C52D5" w:rsidP="00515CCC">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AA2D2A">
      <w:rPr>
        <w:rStyle w:val="PageNumber"/>
        <w:noProof/>
      </w:rPr>
      <w:t>181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902" w14:textId="77777777" w:rsidR="002C52D5" w:rsidRDefault="002C52D5" w:rsidP="00C07DEC">
      <w:r>
        <w:separator/>
      </w:r>
    </w:p>
  </w:footnote>
  <w:footnote w:type="continuationSeparator" w:id="0">
    <w:p w14:paraId="114FA770" w14:textId="77777777" w:rsidR="002C52D5" w:rsidRDefault="002C52D5" w:rsidP="00C07DEC">
      <w:r>
        <w:continuationSeparator/>
      </w:r>
    </w:p>
  </w:footnote>
  <w:footnote w:type="continuationNotice" w:id="1">
    <w:p w14:paraId="53F228D6" w14:textId="77777777" w:rsidR="002C52D5" w:rsidRDefault="002C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6" w14:textId="77777777" w:rsidR="002C52D5" w:rsidRPr="004929C5" w:rsidRDefault="002C52D5" w:rsidP="004929C5">
    <w:pPr>
      <w:pStyle w:val="HeaderEven"/>
      <w:jc w:val="right"/>
    </w:pPr>
    <w:r>
      <w:rPr>
        <w:noProof/>
      </w:rPr>
      <mc:AlternateContent>
        <mc:Choice Requires="wps">
          <w:drawing>
            <wp:anchor distT="0" distB="0" distL="0" distR="0" simplePos="0" relativeHeight="251688960" behindDoc="0" locked="1" layoutInCell="0" allowOverlap="1" wp14:anchorId="76C189A8" wp14:editId="76C189A9">
              <wp:simplePos x="0" y="0"/>
              <wp:positionH relativeFrom="margin">
                <wp:align>center</wp:align>
              </wp:positionH>
              <wp:positionV relativeFrom="page">
                <wp:posOffset>512445</wp:posOffset>
              </wp:positionV>
              <wp:extent cx="4910455" cy="615315"/>
              <wp:effectExtent l="0" t="0" r="4445" b="0"/>
              <wp:wrapSquare wrapText="bothSides"/>
              <wp:docPr id="241" name="Text Box 2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3" w14:textId="77777777" w:rsidR="002C52D5" w:rsidRDefault="002C52D5" w:rsidP="004929C5">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A8" id="_x0000_t202" coordsize="21600,21600" o:spt="202" path="m,l,21600r21600,l21600,xe">
              <v:stroke joinstyle="miter"/>
              <v:path gradientshapeok="t" o:connecttype="rect"/>
            </v:shapetype>
            <v:shape id="Text Box 22" o:spid="_x0000_s1026" type="#_x0000_t202" alt="Portrait Classification Header" style="position:absolute;left:0;text-align:left;margin-left:0;margin-top:40.35pt;width:386.65pt;height:48.45pt;z-index:25168896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LeBeg7NAgAA2wUAAA4AAAAAAAAAAAAAAAAALgIAAGRycy9lMm9Eb2MueG1s&#10;UEsBAi0AFAAGAAgAAAAhAI9b/FvdAAAABwEAAA8AAAAAAAAAAAAAAAAAJwUAAGRycy9kb3ducmV2&#10;LnhtbFBLBQYAAAAABAAEAPMAAAAxBgAAAAA=&#10;" o:allowincell="f" filled="f" stroked="f">
              <v:textbox inset="0,0,0,0">
                <w:txbxContent>
                  <w:p w14:paraId="76C18A23" w14:textId="77777777" w:rsidR="002C52D5" w:rsidRDefault="002C52D5" w:rsidP="004929C5">
                    <w:pPr>
                      <w:pStyle w:val="Classification"/>
                    </w:pPr>
                  </w:p>
                </w:txbxContent>
              </v:textbox>
              <w10:wrap type="square" anchorx="margin" anchory="page"/>
              <w10:anchorlock/>
            </v:shape>
          </w:pict>
        </mc:Fallback>
      </mc:AlternateContent>
    </w:r>
    <w:r w:rsidRPr="004929C5">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7" w14:textId="77777777" w:rsidR="002C52D5" w:rsidRPr="00316DB9" w:rsidRDefault="002C52D5" w:rsidP="00316DB9">
    <w:pPr>
      <w:pStyle w:val="Header"/>
      <w:rPr>
        <w:lang w:val="en-AU"/>
      </w:rPr>
    </w:pPr>
    <w:r>
      <w:rPr>
        <w:lang w:val="en-AU"/>
      </w:rPr>
      <w:t>Glossary</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8" w14:textId="77777777" w:rsidR="002C52D5" w:rsidRPr="00316DB9" w:rsidRDefault="002C52D5" w:rsidP="00316D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9" w14:textId="77777777" w:rsidR="002C52D5" w:rsidRPr="00970E65" w:rsidRDefault="002C52D5" w:rsidP="004461A4">
    <w:pPr>
      <w:pStyle w:val="HeaderOdd"/>
    </w:pPr>
    <w:r>
      <w:rPr>
        <w:noProof/>
      </w:rPr>
      <mc:AlternateContent>
        <mc:Choice Requires="wps">
          <w:drawing>
            <wp:anchor distT="0" distB="0" distL="0" distR="0" simplePos="0" relativeHeight="251630080" behindDoc="0" locked="1" layoutInCell="0" allowOverlap="1" wp14:anchorId="76C189BA" wp14:editId="76C189BB">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C"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A" id="_x0000_t202" coordsize="21600,21600" o:spt="202" path="m,l,21600r21600,l21600,xe">
              <v:stroke joinstyle="miter"/>
              <v:path gradientshapeok="t" o:connecttype="rect"/>
            </v:shapetype>
            <v:shape id="Text Box 28" o:spid="_x0000_s1034" type="#_x0000_t202" alt="Portrait Classification Header" style="position:absolute;left:0;text-align:left;margin-left:0;margin-top:40.35pt;width:386.65pt;height:48.45pt;z-index:2516300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G4wW/KAgAA2QUAAA4AAAAAAAAAAAAAAAAALgIAAGRycy9lMm9Eb2MueG1sUEsB&#10;Ai0AFAAGAAgAAAAhAI9b/FvdAAAABwEAAA8AAAAAAAAAAAAAAAAAJAUAAGRycy9kb3ducmV2Lnht&#10;bFBLBQYAAAAABAAEAPMAAAAuBgAAAAA=&#10;" o:allowincell="f" filled="f" stroked="f">
              <v:textbox inset="0,0,0,0">
                <w:txbxContent>
                  <w:p w14:paraId="76C18A2C" w14:textId="77777777" w:rsidR="002C52D5" w:rsidRDefault="002C52D5" w:rsidP="004461A4">
                    <w:pPr>
                      <w:pStyle w:val="Classification"/>
                    </w:pPr>
                  </w:p>
                </w:txbxContent>
              </v:textbox>
              <w10:wrap type="square" anchorx="margin" anchory="page"/>
              <w10:anchorlock/>
            </v:shape>
          </w:pict>
        </mc:Fallback>
      </mc:AlternateContent>
    </w:r>
    <w:r>
      <w:t>Glossary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8" w14:textId="7B7E5052" w:rsidR="002C52D5" w:rsidRPr="00F00984" w:rsidRDefault="002C52D5" w:rsidP="00F00984">
    <w:pPr>
      <w:pStyle w:val="HeaderEven"/>
    </w:pPr>
    <w:r>
      <w:rPr>
        <w:noProof/>
      </w:rPr>
      <mc:AlternateContent>
        <mc:Choice Requires="wps">
          <w:drawing>
            <wp:anchor distT="0" distB="0" distL="0" distR="0" simplePos="0" relativeHeight="251657216" behindDoc="0" locked="1" layoutInCell="0" allowOverlap="1" wp14:anchorId="76C189AA" wp14:editId="76C189AB">
              <wp:simplePos x="0" y="0"/>
              <wp:positionH relativeFrom="margin">
                <wp:align>center</wp:align>
              </wp:positionH>
              <wp:positionV relativeFrom="page">
                <wp:posOffset>512445</wp:posOffset>
              </wp:positionV>
              <wp:extent cx="4910455" cy="615315"/>
              <wp:effectExtent l="0" t="0" r="4445" b="0"/>
              <wp:wrapSquare wrapText="bothSides"/>
              <wp:docPr id="365"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4"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AA" id="_x0000_t202" coordsize="21600,21600" o:spt="202" path="m,l,21600r21600,l21600,xe">
              <v:stroke joinstyle="miter"/>
              <v:path gradientshapeok="t" o:connecttype="rect"/>
            </v:shapetype>
            <v:shape id="Text Box 19" o:spid="_x0000_s1027" type="#_x0000_t202" alt="Portrait Classification Header" style="position:absolute;margin-left:0;margin-top:40.35pt;width:386.65pt;height:48.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8LAzzcwCAADbBQAADgAAAAAAAAAAAAAAAAAuAgAAZHJzL2Uyb0RvYy54bWxQ&#10;SwECLQAUAAYACAAAACEAj1v8W90AAAAHAQAADwAAAAAAAAAAAAAAAAAmBQAAZHJzL2Rvd25yZXYu&#10;eG1sUEsFBgAAAAAEAAQA8wAAADAGAAAAAA==&#10;" o:allowincell="f" filled="f" stroked="f">
              <v:textbox inset="0,0,0,0">
                <w:txbxContent>
                  <w:p w14:paraId="76C18A24" w14:textId="77777777" w:rsidR="002C52D5" w:rsidRDefault="002C52D5" w:rsidP="0049200C">
                    <w:pPr>
                      <w:pStyle w:val="Classification"/>
                    </w:pPr>
                  </w:p>
                </w:txbxContent>
              </v:textbox>
              <w10:wrap type="square" anchorx="margin" anchory="page"/>
              <w10:anchorlock/>
            </v:shape>
          </w:pict>
        </mc:Fallback>
      </mc:AlternateContent>
    </w:r>
    <w:r>
      <w:t xml:space="preserve">SWA Budget Statements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9" w14:textId="77777777" w:rsidR="002C52D5" w:rsidRPr="00E54EA2" w:rsidRDefault="002C52D5" w:rsidP="00E54EA2">
    <w:pPr>
      <w:pStyle w:val="Header"/>
      <w:jc w:val="right"/>
    </w:pPr>
    <w:r>
      <w:t>SWA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A" w14:textId="77777777" w:rsidR="002C52D5" w:rsidRPr="004929C5" w:rsidRDefault="002C52D5" w:rsidP="004929C5">
    <w:pPr>
      <w:pStyle w:val="HeaderEven"/>
      <w:jc w:val="right"/>
    </w:pPr>
    <w:r>
      <w:rPr>
        <w:noProof/>
      </w:rPr>
      <mc:AlternateContent>
        <mc:Choice Requires="wps">
          <w:drawing>
            <wp:anchor distT="0" distB="0" distL="0" distR="0" simplePos="0" relativeHeight="251703296" behindDoc="0" locked="1" layoutInCell="0" allowOverlap="1" wp14:anchorId="76C189AC" wp14:editId="76C189AD">
              <wp:simplePos x="0" y="0"/>
              <wp:positionH relativeFrom="margin">
                <wp:align>center</wp:align>
              </wp:positionH>
              <wp:positionV relativeFrom="page">
                <wp:posOffset>512445</wp:posOffset>
              </wp:positionV>
              <wp:extent cx="4910455" cy="615315"/>
              <wp:effectExtent l="0" t="0" r="4445" b="0"/>
              <wp:wrapSquare wrapText="bothSides"/>
              <wp:docPr id="238" name="Text Box 2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5" w14:textId="77777777" w:rsidR="002C52D5" w:rsidRDefault="002C52D5" w:rsidP="004929C5">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AC" id="_x0000_t202" coordsize="21600,21600" o:spt="202" path="m,l,21600r21600,l21600,xe">
              <v:stroke joinstyle="miter"/>
              <v:path gradientshapeok="t" o:connecttype="rect"/>
            </v:shapetype>
            <v:shape id="_x0000_s1028" type="#_x0000_t202" alt="Portrait Classification Header" style="position:absolute;left:0;text-align:left;margin-left:0;margin-top:40.35pt;width:386.65pt;height:48.45pt;z-index:25170329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f0QxcwCAADbBQAADgAAAAAAAAAAAAAAAAAuAgAAZHJzL2Uyb0RvYy54bWxQ&#10;SwECLQAUAAYACAAAACEAj1v8W90AAAAHAQAADwAAAAAAAAAAAAAAAAAmBQAAZHJzL2Rvd25yZXYu&#10;eG1sUEsFBgAAAAAEAAQA8wAAADAGAAAAAA==&#10;" o:allowincell="f" filled="f" stroked="f">
              <v:textbox inset="0,0,0,0">
                <w:txbxContent>
                  <w:p w14:paraId="76C18A25" w14:textId="77777777" w:rsidR="002C52D5" w:rsidRDefault="002C52D5" w:rsidP="004929C5">
                    <w:pPr>
                      <w:pStyle w:val="Classification"/>
                    </w:pPr>
                  </w:p>
                </w:txbxContent>
              </v:textbox>
              <w10:wrap type="square" anchorx="margin" anchory="page"/>
              <w10:anchorlock/>
            </v:shape>
          </w:pict>
        </mc:Fallback>
      </mc:AlternateContent>
    </w:r>
    <w:r w:rsidRPr="004929C5">
      <w:t xml:space="preserve"> </w:t>
    </w:r>
    <w:r>
      <w:t>SWA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C" w14:textId="77777777" w:rsidR="002C52D5" w:rsidRPr="00F00984" w:rsidRDefault="002C52D5" w:rsidP="00F00984">
    <w:pPr>
      <w:pStyle w:val="HeaderEven"/>
    </w:pPr>
    <w:r>
      <w:rPr>
        <w:noProof/>
      </w:rPr>
      <mc:AlternateContent>
        <mc:Choice Requires="wps">
          <w:drawing>
            <wp:anchor distT="0" distB="0" distL="0" distR="0" simplePos="0" relativeHeight="251667456" behindDoc="0" locked="1" layoutInCell="0" allowOverlap="1" wp14:anchorId="76C189AE" wp14:editId="76C189AF">
              <wp:simplePos x="0" y="0"/>
              <wp:positionH relativeFrom="margin">
                <wp:align>center</wp:align>
              </wp:positionH>
              <wp:positionV relativeFrom="page">
                <wp:posOffset>512445</wp:posOffset>
              </wp:positionV>
              <wp:extent cx="4910455" cy="615315"/>
              <wp:effectExtent l="0" t="0" r="4445" b="0"/>
              <wp:wrapSquare wrapText="bothSides"/>
              <wp:docPr id="368" name="Text Box 2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6"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AE" id="_x0000_t202" coordsize="21600,21600" o:spt="202" path="m,l,21600r21600,l21600,xe">
              <v:stroke joinstyle="miter"/>
              <v:path gradientshapeok="t" o:connecttype="rect"/>
            </v:shapetype>
            <v:shape id="_x0000_s1029" type="#_x0000_t202" alt="Portrait Classification Header" style="position:absolute;margin-left:0;margin-top:40.35pt;width:386.65pt;height:48.45pt;z-index:25166745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HK3s/vNAgAA2wUAAA4AAAAAAAAAAAAAAAAALgIAAGRycy9lMm9Eb2MueG1s&#10;UEsBAi0AFAAGAAgAAAAhAI9b/FvdAAAABwEAAA8AAAAAAAAAAAAAAAAAJwUAAGRycy9kb3ducmV2&#10;LnhtbFBLBQYAAAAABAAEAPMAAAAxBgAAAAA=&#10;" o:allowincell="f" filled="f" stroked="f">
              <v:textbox inset="0,0,0,0">
                <w:txbxContent>
                  <w:p w14:paraId="76C18A26" w14:textId="77777777" w:rsidR="002C52D5" w:rsidRDefault="002C52D5" w:rsidP="004461A4">
                    <w:pPr>
                      <w:pStyle w:val="Classification"/>
                    </w:pPr>
                  </w:p>
                </w:txbxContent>
              </v:textbox>
              <w10:wrap type="square" anchorx="margin" anchory="page"/>
              <w10:anchorlock/>
            </v:shape>
          </w:pict>
        </mc:Fallback>
      </mc:AlternateContent>
    </w:r>
    <w:r>
      <w:t>SWA</w:t>
    </w:r>
    <w:r w:rsidRPr="00F00984">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D" w14:textId="77777777" w:rsidR="002C52D5" w:rsidRDefault="002C52D5" w:rsidP="00F00984">
    <w:pPr>
      <w:pStyle w:val="HeaderOdd"/>
    </w:pPr>
    <w:r>
      <w:rPr>
        <w:noProof/>
      </w:rPr>
      <mc:AlternateContent>
        <mc:Choice Requires="wps">
          <w:drawing>
            <wp:anchor distT="0" distB="0" distL="0" distR="0" simplePos="0" relativeHeight="251672576" behindDoc="0" locked="1" layoutInCell="0" allowOverlap="1" wp14:anchorId="76C189B0" wp14:editId="76C189B1">
              <wp:simplePos x="0" y="0"/>
              <wp:positionH relativeFrom="margin">
                <wp:align>center</wp:align>
              </wp:positionH>
              <wp:positionV relativeFrom="page">
                <wp:posOffset>512445</wp:posOffset>
              </wp:positionV>
              <wp:extent cx="4910455" cy="615315"/>
              <wp:effectExtent l="0" t="0" r="4445" b="0"/>
              <wp:wrapSquare wrapText="bothSides"/>
              <wp:docPr id="369" name="Text Box 23"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7"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0" id="_x0000_t202" coordsize="21600,21600" o:spt="202" path="m,l,21600r21600,l21600,xe">
              <v:stroke joinstyle="miter"/>
              <v:path gradientshapeok="t" o:connecttype="rect"/>
            </v:shapetype>
            <v:shape id="Text Box 23" o:spid="_x0000_s1030" type="#_x0000_t202" alt="Portrait Classification Header" style="position:absolute;left:0;text-align:left;margin-left:0;margin-top:40.35pt;width:386.65pt;height:48.45pt;z-index:25167257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IsD/MnNAgAA2wUAAA4AAAAAAAAAAAAAAAAALgIAAGRycy9lMm9Eb2MueG1s&#10;UEsBAi0AFAAGAAgAAAAhAI9b/FvdAAAABwEAAA8AAAAAAAAAAAAAAAAAJwUAAGRycy9kb3ducmV2&#10;LnhtbFBLBQYAAAAABAAEAPMAAAAxBgAAAAA=&#10;" o:allowincell="f" filled="f" stroked="f">
              <v:textbox inset="0,0,0,0">
                <w:txbxContent>
                  <w:p w14:paraId="76C18A27" w14:textId="77777777" w:rsidR="002C52D5" w:rsidRDefault="002C52D5" w:rsidP="004461A4">
                    <w:pPr>
                      <w:pStyle w:val="Classification"/>
                    </w:pPr>
                  </w:p>
                </w:txbxContent>
              </v:textbox>
              <w10:wrap type="square" anchorx="margin" anchory="page"/>
              <w10:anchorlock/>
            </v:shape>
          </w:pict>
        </mc:Fallback>
      </mc:AlternateContent>
    </w:r>
    <w:r>
      <w:t>SWA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0F" w14:textId="77777777" w:rsidR="002C52D5" w:rsidRPr="00F00984" w:rsidRDefault="002C52D5" w:rsidP="00B917A0">
    <w:pPr>
      <w:pStyle w:val="HeaderEven"/>
    </w:pPr>
    <w:r>
      <w:rPr>
        <w:noProof/>
      </w:rPr>
      <mc:AlternateContent>
        <mc:Choice Requires="wps">
          <w:drawing>
            <wp:anchor distT="0" distB="0" distL="0" distR="0" simplePos="0" relativeHeight="251662336" behindDoc="0" locked="1" layoutInCell="0" allowOverlap="1" wp14:anchorId="76C189B2" wp14:editId="76C189B3">
              <wp:simplePos x="0" y="0"/>
              <wp:positionH relativeFrom="margin">
                <wp:align>center</wp:align>
              </wp:positionH>
              <wp:positionV relativeFrom="page">
                <wp:posOffset>512445</wp:posOffset>
              </wp:positionV>
              <wp:extent cx="4910455" cy="615315"/>
              <wp:effectExtent l="0" t="0" r="4445" b="0"/>
              <wp:wrapSquare wrapText="bothSides"/>
              <wp:docPr id="370" name="Text Box 2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8"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2" id="_x0000_t202" coordsize="21600,21600" o:spt="202" path="m,l,21600r21600,l21600,xe">
              <v:stroke joinstyle="miter"/>
              <v:path gradientshapeok="t" o:connecttype="rect"/>
            </v:shapetype>
            <v:shape id="Text Box 21" o:spid="_x0000_s1031" type="#_x0000_t202" alt="Portrait Classification Header" style="position:absolute;margin-left:0;margin-top:40.35pt;width:386.65pt;height:48.45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F5GCrjNAgAA2wUAAA4AAAAAAAAAAAAAAAAALgIAAGRycy9lMm9Eb2MueG1s&#10;UEsBAi0AFAAGAAgAAAAhAI9b/FvdAAAABwEAAA8AAAAAAAAAAAAAAAAAJwUAAGRycy9kb3ducmV2&#10;LnhtbFBLBQYAAAAABAAEAPMAAAAxBgAAAAA=&#10;" o:allowincell="f" filled="f" stroked="f">
              <v:textbox inset="0,0,0,0">
                <w:txbxContent>
                  <w:p w14:paraId="76C18A28" w14:textId="77777777" w:rsidR="002C52D5" w:rsidRDefault="002C52D5" w:rsidP="0049200C">
                    <w:pPr>
                      <w:pStyle w:val="Classification"/>
                    </w:pPr>
                  </w:p>
                </w:txbxContent>
              </v:textbox>
              <w10:wrap type="square" anchorx="margin" anchory="page"/>
              <w10:anchorlock/>
            </v:shape>
          </w:pict>
        </mc:Fallback>
      </mc:AlternateContent>
    </w:r>
    <w:r>
      <w:t>SWA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1" w14:textId="0B88EEE0" w:rsidR="002C52D5" w:rsidRPr="000304FC" w:rsidRDefault="002C52D5" w:rsidP="009B180F">
    <w:pPr>
      <w:pStyle w:val="HeaderOdd"/>
    </w:pPr>
    <w:r>
      <w:rPr>
        <w:noProof/>
      </w:rPr>
      <mc:AlternateContent>
        <mc:Choice Requires="wps">
          <w:drawing>
            <wp:anchor distT="0" distB="0" distL="0" distR="0" simplePos="0" relativeHeight="251677696" behindDoc="0" locked="1" layoutInCell="0" allowOverlap="1" wp14:anchorId="76C189B6" wp14:editId="76C189B7">
              <wp:simplePos x="0" y="0"/>
              <wp:positionH relativeFrom="margin">
                <wp:align>center</wp:align>
              </wp:positionH>
              <wp:positionV relativeFrom="page">
                <wp:posOffset>512445</wp:posOffset>
              </wp:positionV>
              <wp:extent cx="4910455" cy="615315"/>
              <wp:effectExtent l="0" t="0" r="4445" b="0"/>
              <wp:wrapSquare wrapText="bothSides"/>
              <wp:docPr id="380" name="Text Box 2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A" w14:textId="77777777" w:rsidR="002C52D5" w:rsidRPr="00152B2B" w:rsidRDefault="002C52D5" w:rsidP="00152B2B">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6" id="_x0000_t202" coordsize="21600,21600" o:spt="202" path="m,l,21600r21600,l21600,xe">
              <v:stroke joinstyle="miter"/>
              <v:path gradientshapeok="t" o:connecttype="rect"/>
            </v:shapetype>
            <v:shape id="Text Box 25" o:spid="_x0000_s1032" type="#_x0000_t202" alt="Portrait Classification Header" style="position:absolute;left:0;text-align:left;margin-left:0;margin-top:40.35pt;width:386.65pt;height:48.45pt;z-index:25167769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CAZTdMwCAADbBQAADgAAAAAAAAAAAAAAAAAuAgAAZHJzL2Uyb0RvYy54bWxQ&#10;SwECLQAUAAYACAAAACEAj1v8W90AAAAHAQAADwAAAAAAAAAAAAAAAAAmBQAAZHJzL2Rvd25yZXYu&#10;eG1sUEsFBgAAAAAEAAQA8wAAADAGAAAAAA==&#10;" o:allowincell="f" filled="f" stroked="f">
              <v:textbox inset="0,0,0,0">
                <w:txbxContent>
                  <w:p w14:paraId="76C18A2A" w14:textId="77777777" w:rsidR="002C52D5" w:rsidRPr="00152B2B" w:rsidRDefault="002C52D5" w:rsidP="00152B2B">
                    <w:pPr>
                      <w:pStyle w:val="Classification"/>
                    </w:pPr>
                  </w:p>
                </w:txbxContent>
              </v:textbox>
              <w10:wrap type="square" anchorx="margin" anchory="page"/>
              <w10:anchorlock/>
            </v:shape>
          </w:pict>
        </mc:Fallback>
      </mc:AlternateContent>
    </w:r>
    <w:fldSimple w:instr=" TITLE   \* MERGEFORMAT ">
      <w:r>
        <w:t>[Department abbreviation] Budget Statements</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4" w14:textId="77777777" w:rsidR="002C52D5" w:rsidRPr="00F00984" w:rsidRDefault="002C52D5" w:rsidP="00AA35A5">
    <w:pPr>
      <w:pStyle w:val="HeaderEven"/>
      <w:jc w:val="right"/>
    </w:pPr>
    <w:r>
      <w:rPr>
        <w:noProof/>
      </w:rPr>
      <mc:AlternateContent>
        <mc:Choice Requires="wps">
          <w:drawing>
            <wp:anchor distT="0" distB="0" distL="0" distR="0" simplePos="0" relativeHeight="251708416" behindDoc="0" locked="1" layoutInCell="0" allowOverlap="1" wp14:anchorId="76C189B8" wp14:editId="76C189B9">
              <wp:simplePos x="0" y="0"/>
              <wp:positionH relativeFrom="margin">
                <wp:align>center</wp:align>
              </wp:positionH>
              <wp:positionV relativeFrom="page">
                <wp:posOffset>512445</wp:posOffset>
              </wp:positionV>
              <wp:extent cx="4910455" cy="615315"/>
              <wp:effectExtent l="0" t="0" r="4445" b="0"/>
              <wp:wrapSquare wrapText="bothSides"/>
              <wp:docPr id="243" name="Text Box 2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B"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8" id="_x0000_t202" coordsize="21600,21600" o:spt="202" path="m,l,21600r21600,l21600,xe">
              <v:stroke joinstyle="miter"/>
              <v:path gradientshapeok="t" o:connecttype="rect"/>
            </v:shapetype>
            <v:shape id="_x0000_s1033" type="#_x0000_t202" alt="Portrait Classification Header" style="position:absolute;left:0;text-align:left;margin-left:0;margin-top:40.35pt;width:386.65pt;height:48.45pt;z-index:2517084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" o:allowincell="f" filled="f" stroked="f">
              <v:textbox inset="0,0,0,0">
                <w:txbxContent>
                  <w:p w14:paraId="76C18A2B" w14:textId="77777777" w:rsidR="002C52D5" w:rsidRDefault="002C52D5" w:rsidP="0049200C">
                    <w:pPr>
                      <w:pStyle w:val="Classification"/>
                    </w:pPr>
                  </w:p>
                </w:txbxContent>
              </v:textbox>
              <w10:wrap type="square" anchorx="margin" anchory="page"/>
              <w10:anchorlock/>
            </v:shape>
          </w:pict>
        </mc:Fallback>
      </mc:AlternateContent>
    </w:r>
    <w:r>
      <w:t>SWA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9EC"/>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7C3C33"/>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96AAD"/>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493B48"/>
    <w:multiLevelType w:val="hybridMultilevel"/>
    <w:tmpl w:val="8B965EAA"/>
    <w:lvl w:ilvl="0" w:tplc="F26EE6BA">
      <w:start w:val="1"/>
      <w:numFmt w:val="lowerLetter"/>
      <w:lvlText w:val="(%1)"/>
      <w:lvlJc w:val="left"/>
      <w:pPr>
        <w:ind w:left="360" w:hanging="360"/>
      </w:pPr>
      <w:rPr>
        <w:rFonts w:ascii="Arial" w:eastAsia="Times New Roman" w:hAnsi="Arial" w:cs="Times New Roman"/>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D74A84"/>
    <w:multiLevelType w:val="hybridMultilevel"/>
    <w:tmpl w:val="18689122"/>
    <w:lvl w:ilvl="0" w:tplc="2402DE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360"/>
        </w:tabs>
        <w:ind w:left="36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EDD6B6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15:restartNumberingAfterBreak="0">
    <w:nsid w:val="15076EF6"/>
    <w:multiLevelType w:val="multilevel"/>
    <w:tmpl w:val="492A3C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36E48"/>
    <w:multiLevelType w:val="hybridMultilevel"/>
    <w:tmpl w:val="0D5A86BC"/>
    <w:lvl w:ilvl="0" w:tplc="A4FA7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2C0C8A"/>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8DF6705"/>
    <w:multiLevelType w:val="hybridMultilevel"/>
    <w:tmpl w:val="E3329342"/>
    <w:lvl w:ilvl="0" w:tplc="E952A4FC">
      <w:start w:val="1"/>
      <w:numFmt w:val="lowerLetter"/>
      <w:lvlText w:val="(%1)"/>
      <w:lvlJc w:val="left"/>
      <w:pPr>
        <w:ind w:left="360" w:hanging="360"/>
      </w:pPr>
      <w:rPr>
        <w:rFonts w:ascii="Arial" w:hAnsi="Arial" w:cs="Arial" w:hint="default"/>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DC76DB"/>
    <w:multiLevelType w:val="hybridMultilevel"/>
    <w:tmpl w:val="0D5A86BC"/>
    <w:lvl w:ilvl="0" w:tplc="A4FA73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8C31D5"/>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1B5287"/>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8706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5915668"/>
    <w:multiLevelType w:val="hybridMultilevel"/>
    <w:tmpl w:val="BEB247B6"/>
    <w:lvl w:ilvl="0" w:tplc="55F8A0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77745F9"/>
    <w:multiLevelType w:val="hybridMultilevel"/>
    <w:tmpl w:val="9D6EFF6E"/>
    <w:lvl w:ilvl="0" w:tplc="8AFC62CC">
      <w:start w:val="1"/>
      <w:numFmt w:val="lowerLetter"/>
      <w:lvlText w:val="(%1)"/>
      <w:lvlJc w:val="left"/>
      <w:pPr>
        <w:ind w:left="360" w:hanging="360"/>
      </w:pPr>
      <w:rPr>
        <w:rFonts w:ascii="Arial" w:hAnsi="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98502C5"/>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2A000E70"/>
    <w:multiLevelType w:val="hybridMultilevel"/>
    <w:tmpl w:val="A6C8C1B4"/>
    <w:lvl w:ilvl="0" w:tplc="8326B13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A07064A"/>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6C1289"/>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9" w15:restartNumberingAfterBreak="0">
    <w:nsid w:val="3C9E3971"/>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15:restartNumberingAfterBreak="0">
    <w:nsid w:val="45952CD4"/>
    <w:multiLevelType w:val="hybridMultilevel"/>
    <w:tmpl w:val="C664A1DC"/>
    <w:lvl w:ilvl="0" w:tplc="906AA3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78A4304"/>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D92BD0"/>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4B6034B"/>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F9662F"/>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BE110F"/>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9D74B4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00023D"/>
    <w:multiLevelType w:val="hybridMultilevel"/>
    <w:tmpl w:val="08805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0D42BE"/>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81137C"/>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25B0631"/>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7" w15:restartNumberingAfterBreak="0">
    <w:nsid w:val="69257198"/>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FF1390E"/>
    <w:multiLevelType w:val="hybridMultilevel"/>
    <w:tmpl w:val="F0940C62"/>
    <w:lvl w:ilvl="0" w:tplc="7A8CECDE">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1D6F83"/>
    <w:multiLevelType w:val="hybridMultilevel"/>
    <w:tmpl w:val="6CF6A1C0"/>
    <w:lvl w:ilvl="0" w:tplc="9FD6461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4865A3"/>
    <w:multiLevelType w:val="hybridMultilevel"/>
    <w:tmpl w:val="2EEEC2E8"/>
    <w:lvl w:ilvl="0" w:tplc="9450638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2" w15:restartNumberingAfterBreak="0">
    <w:nsid w:val="7E3B6E2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7"/>
  </w:num>
  <w:num w:numId="3">
    <w:abstractNumId w:val="46"/>
  </w:num>
  <w:num w:numId="4">
    <w:abstractNumId w:val="28"/>
  </w:num>
  <w:num w:numId="5">
    <w:abstractNumId w:val="51"/>
  </w:num>
  <w:num w:numId="6">
    <w:abstractNumId w:val="25"/>
  </w:num>
  <w:num w:numId="7">
    <w:abstractNumId w:val="38"/>
  </w:num>
  <w:num w:numId="8">
    <w:abstractNumId w:val="28"/>
    <w:lvlOverride w:ilvl="0">
      <w:startOverride w:val="1"/>
    </w:lvlOverride>
  </w:num>
  <w:num w:numId="9">
    <w:abstractNumId w:val="28"/>
    <w:lvlOverride w:ilvl="0">
      <w:startOverride w:val="1"/>
    </w:lvlOverride>
  </w:num>
  <w:num w:numId="10">
    <w:abstractNumId w:val="6"/>
  </w:num>
  <w:num w:numId="11">
    <w:abstractNumId w:val="53"/>
  </w:num>
  <w:num w:numId="12">
    <w:abstractNumId w:val="2"/>
  </w:num>
  <w:num w:numId="13">
    <w:abstractNumId w:val="36"/>
  </w:num>
  <w:num w:numId="14">
    <w:abstractNumId w:val="20"/>
  </w:num>
  <w:num w:numId="15">
    <w:abstractNumId w:val="4"/>
  </w:num>
  <w:num w:numId="16">
    <w:abstractNumId w:val="10"/>
  </w:num>
  <w:num w:numId="17">
    <w:abstractNumId w:val="31"/>
  </w:num>
  <w:num w:numId="18">
    <w:abstractNumId w:val="19"/>
  </w:num>
  <w:num w:numId="19">
    <w:abstractNumId w:val="23"/>
  </w:num>
  <w:num w:numId="20">
    <w:abstractNumId w:val="37"/>
  </w:num>
  <w:num w:numId="21">
    <w:abstractNumId w:val="50"/>
  </w:num>
  <w:num w:numId="22">
    <w:abstractNumId w:val="5"/>
  </w:num>
  <w:num w:numId="23">
    <w:abstractNumId w:val="21"/>
  </w:num>
  <w:num w:numId="24">
    <w:abstractNumId w:val="42"/>
  </w:num>
  <w:num w:numId="25">
    <w:abstractNumId w:val="18"/>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39"/>
  </w:num>
  <w:num w:numId="30">
    <w:abstractNumId w:val="49"/>
  </w:num>
  <w:num w:numId="31">
    <w:abstractNumId w:val="41"/>
  </w:num>
  <w:num w:numId="32">
    <w:abstractNumId w:val="12"/>
  </w:num>
  <w:num w:numId="33">
    <w:abstractNumId w:val="1"/>
  </w:num>
  <w:num w:numId="34">
    <w:abstractNumId w:val="35"/>
  </w:num>
  <w:num w:numId="35">
    <w:abstractNumId w:val="16"/>
  </w:num>
  <w:num w:numId="36">
    <w:abstractNumId w:val="40"/>
  </w:num>
  <w:num w:numId="37">
    <w:abstractNumId w:val="14"/>
  </w:num>
  <w:num w:numId="38">
    <w:abstractNumId w:val="8"/>
  </w:num>
  <w:num w:numId="39">
    <w:abstractNumId w:val="3"/>
  </w:num>
  <w:num w:numId="40">
    <w:abstractNumId w:val="43"/>
  </w:num>
  <w:num w:numId="41">
    <w:abstractNumId w:val="27"/>
  </w:num>
  <w:num w:numId="42">
    <w:abstractNumId w:val="34"/>
  </w:num>
  <w:num w:numId="43">
    <w:abstractNumId w:val="0"/>
  </w:num>
  <w:num w:numId="44">
    <w:abstractNumId w:val="29"/>
  </w:num>
  <w:num w:numId="45">
    <w:abstractNumId w:val="13"/>
  </w:num>
  <w:num w:numId="46">
    <w:abstractNumId w:val="32"/>
  </w:num>
  <w:num w:numId="47">
    <w:abstractNumId w:val="17"/>
  </w:num>
  <w:num w:numId="48">
    <w:abstractNumId w:val="15"/>
  </w:num>
  <w:num w:numId="49">
    <w:abstractNumId w:val="47"/>
  </w:num>
  <w:num w:numId="50">
    <w:abstractNumId w:val="45"/>
  </w:num>
  <w:num w:numId="51">
    <w:abstractNumId w:val="52"/>
  </w:num>
  <w:num w:numId="52">
    <w:abstractNumId w:val="22"/>
  </w:num>
  <w:num w:numId="53">
    <w:abstractNumId w:val="44"/>
  </w:num>
  <w:num w:numId="54">
    <w:abstractNumId w:val="25"/>
  </w:num>
  <w:num w:numId="55">
    <w:abstractNumId w:val="25"/>
  </w:num>
  <w:num w:numId="56">
    <w:abstractNumId w:val="25"/>
  </w:num>
  <w:num w:numId="57">
    <w:abstractNumId w:val="28"/>
    <w:lvlOverride w:ilvl="0">
      <w:startOverride w:val="1"/>
    </w:lvlOverride>
  </w:num>
  <w:num w:numId="58">
    <w:abstractNumId w:val="48"/>
  </w:num>
  <w:num w:numId="59">
    <w:abstractNumId w:val="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0A31"/>
    <w:rsid w:val="0000358C"/>
    <w:rsid w:val="00003AC4"/>
    <w:rsid w:val="00006AE4"/>
    <w:rsid w:val="0000711B"/>
    <w:rsid w:val="000071A3"/>
    <w:rsid w:val="00007283"/>
    <w:rsid w:val="000076A1"/>
    <w:rsid w:val="00007D3E"/>
    <w:rsid w:val="00010084"/>
    <w:rsid w:val="00010BAF"/>
    <w:rsid w:val="00012341"/>
    <w:rsid w:val="0001294C"/>
    <w:rsid w:val="00012BB0"/>
    <w:rsid w:val="00013D25"/>
    <w:rsid w:val="0001438C"/>
    <w:rsid w:val="00014C66"/>
    <w:rsid w:val="00015324"/>
    <w:rsid w:val="00016D95"/>
    <w:rsid w:val="00017619"/>
    <w:rsid w:val="00020573"/>
    <w:rsid w:val="00020E65"/>
    <w:rsid w:val="00021100"/>
    <w:rsid w:val="000216BF"/>
    <w:rsid w:val="00021CD0"/>
    <w:rsid w:val="00021DA6"/>
    <w:rsid w:val="000220B0"/>
    <w:rsid w:val="000223E5"/>
    <w:rsid w:val="00023CED"/>
    <w:rsid w:val="000300D7"/>
    <w:rsid w:val="000304FC"/>
    <w:rsid w:val="00030E77"/>
    <w:rsid w:val="00030FDA"/>
    <w:rsid w:val="0003226D"/>
    <w:rsid w:val="0003384E"/>
    <w:rsid w:val="00033DE0"/>
    <w:rsid w:val="0003503B"/>
    <w:rsid w:val="00036095"/>
    <w:rsid w:val="000364F3"/>
    <w:rsid w:val="000366AE"/>
    <w:rsid w:val="000369AC"/>
    <w:rsid w:val="0003724F"/>
    <w:rsid w:val="00037BA1"/>
    <w:rsid w:val="000413D4"/>
    <w:rsid w:val="00042FDD"/>
    <w:rsid w:val="00044CF1"/>
    <w:rsid w:val="0004509D"/>
    <w:rsid w:val="00045667"/>
    <w:rsid w:val="00047918"/>
    <w:rsid w:val="00053DB9"/>
    <w:rsid w:val="00054A04"/>
    <w:rsid w:val="00054CC3"/>
    <w:rsid w:val="0005600E"/>
    <w:rsid w:val="00056260"/>
    <w:rsid w:val="0005722F"/>
    <w:rsid w:val="000606CB"/>
    <w:rsid w:val="00060890"/>
    <w:rsid w:val="00061FD8"/>
    <w:rsid w:val="00062532"/>
    <w:rsid w:val="00063C44"/>
    <w:rsid w:val="00063CE1"/>
    <w:rsid w:val="000641DA"/>
    <w:rsid w:val="00065053"/>
    <w:rsid w:val="000655E4"/>
    <w:rsid w:val="000656AD"/>
    <w:rsid w:val="00065C71"/>
    <w:rsid w:val="000668B2"/>
    <w:rsid w:val="00066BBA"/>
    <w:rsid w:val="000671B7"/>
    <w:rsid w:val="00067B6F"/>
    <w:rsid w:val="00067E1D"/>
    <w:rsid w:val="0007064C"/>
    <w:rsid w:val="000706C9"/>
    <w:rsid w:val="00070DEB"/>
    <w:rsid w:val="000712EE"/>
    <w:rsid w:val="00071B80"/>
    <w:rsid w:val="000725C0"/>
    <w:rsid w:val="00074CE6"/>
    <w:rsid w:val="00075121"/>
    <w:rsid w:val="0007628C"/>
    <w:rsid w:val="000768A5"/>
    <w:rsid w:val="00076BF7"/>
    <w:rsid w:val="00077277"/>
    <w:rsid w:val="0007743A"/>
    <w:rsid w:val="00080069"/>
    <w:rsid w:val="00080180"/>
    <w:rsid w:val="00080F4F"/>
    <w:rsid w:val="00082159"/>
    <w:rsid w:val="0008219B"/>
    <w:rsid w:val="0008449F"/>
    <w:rsid w:val="000846ED"/>
    <w:rsid w:val="000851D3"/>
    <w:rsid w:val="000924A7"/>
    <w:rsid w:val="00094B28"/>
    <w:rsid w:val="00094B9A"/>
    <w:rsid w:val="00096568"/>
    <w:rsid w:val="00096A67"/>
    <w:rsid w:val="00096DEE"/>
    <w:rsid w:val="00097063"/>
    <w:rsid w:val="00097336"/>
    <w:rsid w:val="000975DA"/>
    <w:rsid w:val="0009769D"/>
    <w:rsid w:val="00097938"/>
    <w:rsid w:val="000A18A7"/>
    <w:rsid w:val="000A1920"/>
    <w:rsid w:val="000A1A89"/>
    <w:rsid w:val="000A1C91"/>
    <w:rsid w:val="000A24C4"/>
    <w:rsid w:val="000A345B"/>
    <w:rsid w:val="000A372A"/>
    <w:rsid w:val="000A395D"/>
    <w:rsid w:val="000A3BC4"/>
    <w:rsid w:val="000A532C"/>
    <w:rsid w:val="000A56A5"/>
    <w:rsid w:val="000A5C86"/>
    <w:rsid w:val="000A5F6C"/>
    <w:rsid w:val="000A646A"/>
    <w:rsid w:val="000A6897"/>
    <w:rsid w:val="000A6DBE"/>
    <w:rsid w:val="000A7E1F"/>
    <w:rsid w:val="000B0F9F"/>
    <w:rsid w:val="000B1FC4"/>
    <w:rsid w:val="000B21D6"/>
    <w:rsid w:val="000B2404"/>
    <w:rsid w:val="000B36D8"/>
    <w:rsid w:val="000B3B7D"/>
    <w:rsid w:val="000B5087"/>
    <w:rsid w:val="000B6E38"/>
    <w:rsid w:val="000B706A"/>
    <w:rsid w:val="000C03DF"/>
    <w:rsid w:val="000C056F"/>
    <w:rsid w:val="000C1442"/>
    <w:rsid w:val="000C1928"/>
    <w:rsid w:val="000C19B3"/>
    <w:rsid w:val="000C19EF"/>
    <w:rsid w:val="000C2D7D"/>
    <w:rsid w:val="000C33D4"/>
    <w:rsid w:val="000C39F3"/>
    <w:rsid w:val="000C3B86"/>
    <w:rsid w:val="000C4A46"/>
    <w:rsid w:val="000C55A6"/>
    <w:rsid w:val="000C6A39"/>
    <w:rsid w:val="000C6F0F"/>
    <w:rsid w:val="000C6FB8"/>
    <w:rsid w:val="000D13E5"/>
    <w:rsid w:val="000D4262"/>
    <w:rsid w:val="000D43DE"/>
    <w:rsid w:val="000D4487"/>
    <w:rsid w:val="000D49E8"/>
    <w:rsid w:val="000D55B5"/>
    <w:rsid w:val="000D58A1"/>
    <w:rsid w:val="000D7E54"/>
    <w:rsid w:val="000D7ECB"/>
    <w:rsid w:val="000E04C6"/>
    <w:rsid w:val="000E0940"/>
    <w:rsid w:val="000E0A4D"/>
    <w:rsid w:val="000E0A5A"/>
    <w:rsid w:val="000E0A85"/>
    <w:rsid w:val="000E1DAC"/>
    <w:rsid w:val="000E2F5F"/>
    <w:rsid w:val="000E323C"/>
    <w:rsid w:val="000E68E3"/>
    <w:rsid w:val="000E6DDB"/>
    <w:rsid w:val="000E74A6"/>
    <w:rsid w:val="000E775E"/>
    <w:rsid w:val="000F02C2"/>
    <w:rsid w:val="000F03B1"/>
    <w:rsid w:val="000F08AE"/>
    <w:rsid w:val="000F2D33"/>
    <w:rsid w:val="000F31D0"/>
    <w:rsid w:val="000F43F4"/>
    <w:rsid w:val="000F440E"/>
    <w:rsid w:val="000F473E"/>
    <w:rsid w:val="000F4FD4"/>
    <w:rsid w:val="000F5B68"/>
    <w:rsid w:val="000F6647"/>
    <w:rsid w:val="000F73B7"/>
    <w:rsid w:val="000F794F"/>
    <w:rsid w:val="000F7E7B"/>
    <w:rsid w:val="001002F8"/>
    <w:rsid w:val="00102654"/>
    <w:rsid w:val="001028CC"/>
    <w:rsid w:val="001045F9"/>
    <w:rsid w:val="0010472B"/>
    <w:rsid w:val="00104C36"/>
    <w:rsid w:val="00104F95"/>
    <w:rsid w:val="0010657F"/>
    <w:rsid w:val="00111159"/>
    <w:rsid w:val="00112863"/>
    <w:rsid w:val="00112D0F"/>
    <w:rsid w:val="001133E0"/>
    <w:rsid w:val="00114554"/>
    <w:rsid w:val="00115DE5"/>
    <w:rsid w:val="001163D6"/>
    <w:rsid w:val="0011726A"/>
    <w:rsid w:val="0012022D"/>
    <w:rsid w:val="00120B5E"/>
    <w:rsid w:val="0012108F"/>
    <w:rsid w:val="00121EB0"/>
    <w:rsid w:val="0012228D"/>
    <w:rsid w:val="00123218"/>
    <w:rsid w:val="0012371D"/>
    <w:rsid w:val="001237BA"/>
    <w:rsid w:val="00123925"/>
    <w:rsid w:val="00123C91"/>
    <w:rsid w:val="00126641"/>
    <w:rsid w:val="00132F9E"/>
    <w:rsid w:val="00133D3A"/>
    <w:rsid w:val="001352EE"/>
    <w:rsid w:val="00135505"/>
    <w:rsid w:val="00135FDA"/>
    <w:rsid w:val="001364A7"/>
    <w:rsid w:val="00136827"/>
    <w:rsid w:val="00136CCE"/>
    <w:rsid w:val="001375D4"/>
    <w:rsid w:val="00142797"/>
    <w:rsid w:val="00143750"/>
    <w:rsid w:val="00143E88"/>
    <w:rsid w:val="00144C76"/>
    <w:rsid w:val="001455D8"/>
    <w:rsid w:val="00146212"/>
    <w:rsid w:val="001463A0"/>
    <w:rsid w:val="00146B5E"/>
    <w:rsid w:val="00146E2E"/>
    <w:rsid w:val="001470DA"/>
    <w:rsid w:val="0014790A"/>
    <w:rsid w:val="00151ABB"/>
    <w:rsid w:val="00151D27"/>
    <w:rsid w:val="00151D56"/>
    <w:rsid w:val="00152B2B"/>
    <w:rsid w:val="0015376C"/>
    <w:rsid w:val="00154447"/>
    <w:rsid w:val="001549BE"/>
    <w:rsid w:val="00154CDE"/>
    <w:rsid w:val="00154F5B"/>
    <w:rsid w:val="00157613"/>
    <w:rsid w:val="00161947"/>
    <w:rsid w:val="00161DAC"/>
    <w:rsid w:val="0016268E"/>
    <w:rsid w:val="00162B55"/>
    <w:rsid w:val="00162D8B"/>
    <w:rsid w:val="00163101"/>
    <w:rsid w:val="001638E9"/>
    <w:rsid w:val="00163BF1"/>
    <w:rsid w:val="00165824"/>
    <w:rsid w:val="0016646F"/>
    <w:rsid w:val="001666EA"/>
    <w:rsid w:val="00167154"/>
    <w:rsid w:val="0017111A"/>
    <w:rsid w:val="00171A85"/>
    <w:rsid w:val="00173F5C"/>
    <w:rsid w:val="00174186"/>
    <w:rsid w:val="00174565"/>
    <w:rsid w:val="00174EC9"/>
    <w:rsid w:val="0017548F"/>
    <w:rsid w:val="00175BB3"/>
    <w:rsid w:val="00177A9A"/>
    <w:rsid w:val="00177DFB"/>
    <w:rsid w:val="001808A4"/>
    <w:rsid w:val="00180FF3"/>
    <w:rsid w:val="001815A5"/>
    <w:rsid w:val="0018186C"/>
    <w:rsid w:val="00181F30"/>
    <w:rsid w:val="00182740"/>
    <w:rsid w:val="00182FD8"/>
    <w:rsid w:val="00184071"/>
    <w:rsid w:val="001852C5"/>
    <w:rsid w:val="00185A3B"/>
    <w:rsid w:val="00186850"/>
    <w:rsid w:val="00186C64"/>
    <w:rsid w:val="001904A5"/>
    <w:rsid w:val="001923C8"/>
    <w:rsid w:val="00192AD7"/>
    <w:rsid w:val="00192B17"/>
    <w:rsid w:val="00193161"/>
    <w:rsid w:val="001939FF"/>
    <w:rsid w:val="00194684"/>
    <w:rsid w:val="00194DE8"/>
    <w:rsid w:val="00197990"/>
    <w:rsid w:val="001A0106"/>
    <w:rsid w:val="001A02CB"/>
    <w:rsid w:val="001A0BB8"/>
    <w:rsid w:val="001A11DB"/>
    <w:rsid w:val="001A152A"/>
    <w:rsid w:val="001A17DE"/>
    <w:rsid w:val="001A3056"/>
    <w:rsid w:val="001A33F4"/>
    <w:rsid w:val="001A35DC"/>
    <w:rsid w:val="001A53AE"/>
    <w:rsid w:val="001A6256"/>
    <w:rsid w:val="001A6F29"/>
    <w:rsid w:val="001A789B"/>
    <w:rsid w:val="001B037D"/>
    <w:rsid w:val="001B03CC"/>
    <w:rsid w:val="001B03F3"/>
    <w:rsid w:val="001B0C75"/>
    <w:rsid w:val="001B2A29"/>
    <w:rsid w:val="001B368E"/>
    <w:rsid w:val="001B44C2"/>
    <w:rsid w:val="001B4EC1"/>
    <w:rsid w:val="001B659F"/>
    <w:rsid w:val="001B7399"/>
    <w:rsid w:val="001B7655"/>
    <w:rsid w:val="001B7BAD"/>
    <w:rsid w:val="001B7F09"/>
    <w:rsid w:val="001C1166"/>
    <w:rsid w:val="001C1B0B"/>
    <w:rsid w:val="001C261E"/>
    <w:rsid w:val="001C3AC7"/>
    <w:rsid w:val="001C42D0"/>
    <w:rsid w:val="001C5D7E"/>
    <w:rsid w:val="001C7051"/>
    <w:rsid w:val="001C7B78"/>
    <w:rsid w:val="001C7FB4"/>
    <w:rsid w:val="001D0BA6"/>
    <w:rsid w:val="001D1903"/>
    <w:rsid w:val="001D1942"/>
    <w:rsid w:val="001D1DDB"/>
    <w:rsid w:val="001D3483"/>
    <w:rsid w:val="001D4A6B"/>
    <w:rsid w:val="001D53EA"/>
    <w:rsid w:val="001D6B4D"/>
    <w:rsid w:val="001D6D1B"/>
    <w:rsid w:val="001D6F7C"/>
    <w:rsid w:val="001D7C38"/>
    <w:rsid w:val="001D7E9A"/>
    <w:rsid w:val="001E0156"/>
    <w:rsid w:val="001E12A5"/>
    <w:rsid w:val="001E1BF9"/>
    <w:rsid w:val="001E1EDB"/>
    <w:rsid w:val="001E3A18"/>
    <w:rsid w:val="001E5884"/>
    <w:rsid w:val="001E7093"/>
    <w:rsid w:val="001E717D"/>
    <w:rsid w:val="001E71F5"/>
    <w:rsid w:val="001E7D86"/>
    <w:rsid w:val="001F3682"/>
    <w:rsid w:val="001F377B"/>
    <w:rsid w:val="001F3CF9"/>
    <w:rsid w:val="001F55E5"/>
    <w:rsid w:val="001F5CB9"/>
    <w:rsid w:val="001F6C07"/>
    <w:rsid w:val="002003A1"/>
    <w:rsid w:val="00200554"/>
    <w:rsid w:val="00200DC3"/>
    <w:rsid w:val="002011E2"/>
    <w:rsid w:val="00201BB9"/>
    <w:rsid w:val="00202925"/>
    <w:rsid w:val="00202C70"/>
    <w:rsid w:val="0020359C"/>
    <w:rsid w:val="002036F6"/>
    <w:rsid w:val="002050B0"/>
    <w:rsid w:val="00205D80"/>
    <w:rsid w:val="002077E2"/>
    <w:rsid w:val="00210874"/>
    <w:rsid w:val="0021093F"/>
    <w:rsid w:val="00211747"/>
    <w:rsid w:val="002133CA"/>
    <w:rsid w:val="0021409F"/>
    <w:rsid w:val="002146B5"/>
    <w:rsid w:val="00215783"/>
    <w:rsid w:val="0021644B"/>
    <w:rsid w:val="00216489"/>
    <w:rsid w:val="00216908"/>
    <w:rsid w:val="00216DC9"/>
    <w:rsid w:val="00217CA0"/>
    <w:rsid w:val="002202EB"/>
    <w:rsid w:val="00220500"/>
    <w:rsid w:val="00220FCF"/>
    <w:rsid w:val="00221705"/>
    <w:rsid w:val="0022184B"/>
    <w:rsid w:val="00221972"/>
    <w:rsid w:val="00222AED"/>
    <w:rsid w:val="002231C8"/>
    <w:rsid w:val="002234AB"/>
    <w:rsid w:val="00223F9A"/>
    <w:rsid w:val="00224154"/>
    <w:rsid w:val="00224D13"/>
    <w:rsid w:val="00225032"/>
    <w:rsid w:val="00230194"/>
    <w:rsid w:val="00231923"/>
    <w:rsid w:val="00231E3F"/>
    <w:rsid w:val="002329C3"/>
    <w:rsid w:val="002332AE"/>
    <w:rsid w:val="002333C2"/>
    <w:rsid w:val="00233F2D"/>
    <w:rsid w:val="00234040"/>
    <w:rsid w:val="00235D67"/>
    <w:rsid w:val="0023626B"/>
    <w:rsid w:val="002370F4"/>
    <w:rsid w:val="00242F07"/>
    <w:rsid w:val="00243020"/>
    <w:rsid w:val="00244D22"/>
    <w:rsid w:val="00246C09"/>
    <w:rsid w:val="00246EF2"/>
    <w:rsid w:val="002470E4"/>
    <w:rsid w:val="00247132"/>
    <w:rsid w:val="00247262"/>
    <w:rsid w:val="00247EF8"/>
    <w:rsid w:val="00254964"/>
    <w:rsid w:val="00255EBC"/>
    <w:rsid w:val="0025616B"/>
    <w:rsid w:val="00257285"/>
    <w:rsid w:val="002573A6"/>
    <w:rsid w:val="00257FF4"/>
    <w:rsid w:val="002608CE"/>
    <w:rsid w:val="00261660"/>
    <w:rsid w:val="0026279C"/>
    <w:rsid w:val="00262CD3"/>
    <w:rsid w:val="00264181"/>
    <w:rsid w:val="00265289"/>
    <w:rsid w:val="00266613"/>
    <w:rsid w:val="00266FE9"/>
    <w:rsid w:val="00272396"/>
    <w:rsid w:val="00273B43"/>
    <w:rsid w:val="00273D98"/>
    <w:rsid w:val="00275A4E"/>
    <w:rsid w:val="0027614D"/>
    <w:rsid w:val="0027651A"/>
    <w:rsid w:val="002770A1"/>
    <w:rsid w:val="0028001E"/>
    <w:rsid w:val="00281CF6"/>
    <w:rsid w:val="002823A8"/>
    <w:rsid w:val="00282A0F"/>
    <w:rsid w:val="0028359B"/>
    <w:rsid w:val="00284441"/>
    <w:rsid w:val="002857FE"/>
    <w:rsid w:val="00287420"/>
    <w:rsid w:val="00290933"/>
    <w:rsid w:val="002918DF"/>
    <w:rsid w:val="00291E57"/>
    <w:rsid w:val="00292D6A"/>
    <w:rsid w:val="0029312A"/>
    <w:rsid w:val="0029325C"/>
    <w:rsid w:val="00293B2D"/>
    <w:rsid w:val="00293B46"/>
    <w:rsid w:val="00294E5F"/>
    <w:rsid w:val="002960B7"/>
    <w:rsid w:val="00297643"/>
    <w:rsid w:val="00297824"/>
    <w:rsid w:val="002A107C"/>
    <w:rsid w:val="002A153F"/>
    <w:rsid w:val="002A32FD"/>
    <w:rsid w:val="002A40DC"/>
    <w:rsid w:val="002A4534"/>
    <w:rsid w:val="002A51EA"/>
    <w:rsid w:val="002A5329"/>
    <w:rsid w:val="002A5C2D"/>
    <w:rsid w:val="002A61E5"/>
    <w:rsid w:val="002A74DD"/>
    <w:rsid w:val="002A7AB2"/>
    <w:rsid w:val="002A7FC8"/>
    <w:rsid w:val="002B0A81"/>
    <w:rsid w:val="002B1CE7"/>
    <w:rsid w:val="002B208B"/>
    <w:rsid w:val="002B2F0F"/>
    <w:rsid w:val="002B595D"/>
    <w:rsid w:val="002B5BC2"/>
    <w:rsid w:val="002B5F5F"/>
    <w:rsid w:val="002B5F6A"/>
    <w:rsid w:val="002B70DA"/>
    <w:rsid w:val="002B779E"/>
    <w:rsid w:val="002B7D6F"/>
    <w:rsid w:val="002B7D78"/>
    <w:rsid w:val="002C0552"/>
    <w:rsid w:val="002C0961"/>
    <w:rsid w:val="002C1CF7"/>
    <w:rsid w:val="002C1D11"/>
    <w:rsid w:val="002C25D0"/>
    <w:rsid w:val="002C280B"/>
    <w:rsid w:val="002C2C71"/>
    <w:rsid w:val="002C2DB0"/>
    <w:rsid w:val="002C42D7"/>
    <w:rsid w:val="002C4336"/>
    <w:rsid w:val="002C4D41"/>
    <w:rsid w:val="002C52D5"/>
    <w:rsid w:val="002C614F"/>
    <w:rsid w:val="002C75B0"/>
    <w:rsid w:val="002C7703"/>
    <w:rsid w:val="002C7A63"/>
    <w:rsid w:val="002D0153"/>
    <w:rsid w:val="002D2983"/>
    <w:rsid w:val="002D403A"/>
    <w:rsid w:val="002D4262"/>
    <w:rsid w:val="002D46B7"/>
    <w:rsid w:val="002D693D"/>
    <w:rsid w:val="002E1064"/>
    <w:rsid w:val="002E2551"/>
    <w:rsid w:val="002E323F"/>
    <w:rsid w:val="002E4ED8"/>
    <w:rsid w:val="002E5554"/>
    <w:rsid w:val="002E5D24"/>
    <w:rsid w:val="002E6A7D"/>
    <w:rsid w:val="002E77EA"/>
    <w:rsid w:val="002F07BF"/>
    <w:rsid w:val="002F1B12"/>
    <w:rsid w:val="002F530C"/>
    <w:rsid w:val="002F591B"/>
    <w:rsid w:val="002F7B47"/>
    <w:rsid w:val="00300013"/>
    <w:rsid w:val="00300243"/>
    <w:rsid w:val="0030032D"/>
    <w:rsid w:val="003006F8"/>
    <w:rsid w:val="00300784"/>
    <w:rsid w:val="00300BF2"/>
    <w:rsid w:val="003027C1"/>
    <w:rsid w:val="00302A25"/>
    <w:rsid w:val="00303247"/>
    <w:rsid w:val="00304900"/>
    <w:rsid w:val="00304C13"/>
    <w:rsid w:val="00305718"/>
    <w:rsid w:val="00305EC5"/>
    <w:rsid w:val="00306107"/>
    <w:rsid w:val="003077B8"/>
    <w:rsid w:val="003111F8"/>
    <w:rsid w:val="0031204A"/>
    <w:rsid w:val="0031272B"/>
    <w:rsid w:val="00315435"/>
    <w:rsid w:val="003160C7"/>
    <w:rsid w:val="00316DB9"/>
    <w:rsid w:val="0032038C"/>
    <w:rsid w:val="00321889"/>
    <w:rsid w:val="003229A2"/>
    <w:rsid w:val="00325BD9"/>
    <w:rsid w:val="00325C5E"/>
    <w:rsid w:val="00325D80"/>
    <w:rsid w:val="0032738E"/>
    <w:rsid w:val="00331B40"/>
    <w:rsid w:val="00331C5F"/>
    <w:rsid w:val="00332E95"/>
    <w:rsid w:val="00333065"/>
    <w:rsid w:val="00333074"/>
    <w:rsid w:val="00333223"/>
    <w:rsid w:val="00333A43"/>
    <w:rsid w:val="003340BF"/>
    <w:rsid w:val="00334F7E"/>
    <w:rsid w:val="003364C1"/>
    <w:rsid w:val="00337F82"/>
    <w:rsid w:val="00340640"/>
    <w:rsid w:val="00340810"/>
    <w:rsid w:val="00340E7B"/>
    <w:rsid w:val="00341D0A"/>
    <w:rsid w:val="00342B17"/>
    <w:rsid w:val="003435D6"/>
    <w:rsid w:val="0034568B"/>
    <w:rsid w:val="003458E0"/>
    <w:rsid w:val="00345CCD"/>
    <w:rsid w:val="0034623E"/>
    <w:rsid w:val="003511CE"/>
    <w:rsid w:val="00351909"/>
    <w:rsid w:val="00352BE0"/>
    <w:rsid w:val="00352F09"/>
    <w:rsid w:val="0035333E"/>
    <w:rsid w:val="003538F0"/>
    <w:rsid w:val="00357DAE"/>
    <w:rsid w:val="003602A5"/>
    <w:rsid w:val="0036089D"/>
    <w:rsid w:val="00360C06"/>
    <w:rsid w:val="00361259"/>
    <w:rsid w:val="00361429"/>
    <w:rsid w:val="00362AA7"/>
    <w:rsid w:val="00363B11"/>
    <w:rsid w:val="003653B7"/>
    <w:rsid w:val="003672D6"/>
    <w:rsid w:val="003705BF"/>
    <w:rsid w:val="00370935"/>
    <w:rsid w:val="00371C1A"/>
    <w:rsid w:val="003732E1"/>
    <w:rsid w:val="00375E52"/>
    <w:rsid w:val="003805D0"/>
    <w:rsid w:val="00380888"/>
    <w:rsid w:val="00380D9F"/>
    <w:rsid w:val="0038110C"/>
    <w:rsid w:val="003819E1"/>
    <w:rsid w:val="00382234"/>
    <w:rsid w:val="00385A6A"/>
    <w:rsid w:val="0038672F"/>
    <w:rsid w:val="00386BC9"/>
    <w:rsid w:val="00386F24"/>
    <w:rsid w:val="003876AB"/>
    <w:rsid w:val="00387957"/>
    <w:rsid w:val="0039053D"/>
    <w:rsid w:val="00392DD1"/>
    <w:rsid w:val="0039449C"/>
    <w:rsid w:val="00395E02"/>
    <w:rsid w:val="0039684C"/>
    <w:rsid w:val="003A0290"/>
    <w:rsid w:val="003A25BB"/>
    <w:rsid w:val="003A300D"/>
    <w:rsid w:val="003A3E7B"/>
    <w:rsid w:val="003A4566"/>
    <w:rsid w:val="003A5076"/>
    <w:rsid w:val="003A5B84"/>
    <w:rsid w:val="003A6ACE"/>
    <w:rsid w:val="003A7067"/>
    <w:rsid w:val="003B09F6"/>
    <w:rsid w:val="003B0D03"/>
    <w:rsid w:val="003B1F0A"/>
    <w:rsid w:val="003B1F24"/>
    <w:rsid w:val="003B2C1F"/>
    <w:rsid w:val="003B329D"/>
    <w:rsid w:val="003B3684"/>
    <w:rsid w:val="003B5533"/>
    <w:rsid w:val="003B5A85"/>
    <w:rsid w:val="003B71EE"/>
    <w:rsid w:val="003B7621"/>
    <w:rsid w:val="003B7C64"/>
    <w:rsid w:val="003C0593"/>
    <w:rsid w:val="003C0B97"/>
    <w:rsid w:val="003C13A6"/>
    <w:rsid w:val="003C1EB4"/>
    <w:rsid w:val="003C4E3A"/>
    <w:rsid w:val="003D0E1C"/>
    <w:rsid w:val="003D15A3"/>
    <w:rsid w:val="003D1E47"/>
    <w:rsid w:val="003D35F0"/>
    <w:rsid w:val="003D3662"/>
    <w:rsid w:val="003D3C14"/>
    <w:rsid w:val="003D4188"/>
    <w:rsid w:val="003D4557"/>
    <w:rsid w:val="003D543D"/>
    <w:rsid w:val="003D59FD"/>
    <w:rsid w:val="003D6BE4"/>
    <w:rsid w:val="003E10B8"/>
    <w:rsid w:val="003E1107"/>
    <w:rsid w:val="003E122D"/>
    <w:rsid w:val="003E13F5"/>
    <w:rsid w:val="003E1978"/>
    <w:rsid w:val="003E1DA7"/>
    <w:rsid w:val="003E2B5E"/>
    <w:rsid w:val="003E349E"/>
    <w:rsid w:val="003E3FF4"/>
    <w:rsid w:val="003E4E15"/>
    <w:rsid w:val="003E5912"/>
    <w:rsid w:val="003E5AE8"/>
    <w:rsid w:val="003E67C0"/>
    <w:rsid w:val="003E68C4"/>
    <w:rsid w:val="003F07EE"/>
    <w:rsid w:val="003F0B11"/>
    <w:rsid w:val="003F0D4A"/>
    <w:rsid w:val="003F1406"/>
    <w:rsid w:val="003F1AEE"/>
    <w:rsid w:val="003F29F2"/>
    <w:rsid w:val="003F3C77"/>
    <w:rsid w:val="003F47DF"/>
    <w:rsid w:val="003F6209"/>
    <w:rsid w:val="003F6A1C"/>
    <w:rsid w:val="003F7762"/>
    <w:rsid w:val="003F79CB"/>
    <w:rsid w:val="0040314A"/>
    <w:rsid w:val="00404DC8"/>
    <w:rsid w:val="00405165"/>
    <w:rsid w:val="00405DAB"/>
    <w:rsid w:val="00405E90"/>
    <w:rsid w:val="0040629D"/>
    <w:rsid w:val="004065CE"/>
    <w:rsid w:val="00406802"/>
    <w:rsid w:val="0040700B"/>
    <w:rsid w:val="00407349"/>
    <w:rsid w:val="00407A61"/>
    <w:rsid w:val="004105DD"/>
    <w:rsid w:val="00410DCE"/>
    <w:rsid w:val="00412C0B"/>
    <w:rsid w:val="0041404E"/>
    <w:rsid w:val="0041429D"/>
    <w:rsid w:val="004147D0"/>
    <w:rsid w:val="00414E1F"/>
    <w:rsid w:val="0041581E"/>
    <w:rsid w:val="004161E5"/>
    <w:rsid w:val="00416B1B"/>
    <w:rsid w:val="0041765C"/>
    <w:rsid w:val="00420837"/>
    <w:rsid w:val="00420DD3"/>
    <w:rsid w:val="00421EEC"/>
    <w:rsid w:val="00422933"/>
    <w:rsid w:val="00422F4B"/>
    <w:rsid w:val="00423003"/>
    <w:rsid w:val="00423446"/>
    <w:rsid w:val="004248B4"/>
    <w:rsid w:val="00424C66"/>
    <w:rsid w:val="0042526D"/>
    <w:rsid w:val="004254A2"/>
    <w:rsid w:val="00425621"/>
    <w:rsid w:val="00426077"/>
    <w:rsid w:val="00426D71"/>
    <w:rsid w:val="00430256"/>
    <w:rsid w:val="00430E3D"/>
    <w:rsid w:val="0043194D"/>
    <w:rsid w:val="00431BF1"/>
    <w:rsid w:val="00433D22"/>
    <w:rsid w:val="004342F8"/>
    <w:rsid w:val="00434A2F"/>
    <w:rsid w:val="0044083A"/>
    <w:rsid w:val="004408FA"/>
    <w:rsid w:val="004429FC"/>
    <w:rsid w:val="0044378F"/>
    <w:rsid w:val="0044552A"/>
    <w:rsid w:val="00445663"/>
    <w:rsid w:val="004461A4"/>
    <w:rsid w:val="00446612"/>
    <w:rsid w:val="00450980"/>
    <w:rsid w:val="00450E44"/>
    <w:rsid w:val="00451501"/>
    <w:rsid w:val="004527E7"/>
    <w:rsid w:val="004528D0"/>
    <w:rsid w:val="00453C86"/>
    <w:rsid w:val="00454520"/>
    <w:rsid w:val="00454564"/>
    <w:rsid w:val="004562E5"/>
    <w:rsid w:val="00457BC3"/>
    <w:rsid w:val="00457D16"/>
    <w:rsid w:val="0046034D"/>
    <w:rsid w:val="00461801"/>
    <w:rsid w:val="00462272"/>
    <w:rsid w:val="0046390C"/>
    <w:rsid w:val="00464569"/>
    <w:rsid w:val="00465995"/>
    <w:rsid w:val="00465D4E"/>
    <w:rsid w:val="00466381"/>
    <w:rsid w:val="004672CD"/>
    <w:rsid w:val="00467393"/>
    <w:rsid w:val="00467BDD"/>
    <w:rsid w:val="004717F6"/>
    <w:rsid w:val="0047364D"/>
    <w:rsid w:val="0047481E"/>
    <w:rsid w:val="00474918"/>
    <w:rsid w:val="00475EAF"/>
    <w:rsid w:val="00476781"/>
    <w:rsid w:val="0047681C"/>
    <w:rsid w:val="0047719F"/>
    <w:rsid w:val="004812A0"/>
    <w:rsid w:val="004815F8"/>
    <w:rsid w:val="00481E32"/>
    <w:rsid w:val="004831ED"/>
    <w:rsid w:val="004831FC"/>
    <w:rsid w:val="004836A7"/>
    <w:rsid w:val="004847B4"/>
    <w:rsid w:val="00484921"/>
    <w:rsid w:val="00486614"/>
    <w:rsid w:val="0048741A"/>
    <w:rsid w:val="004877E9"/>
    <w:rsid w:val="00487E11"/>
    <w:rsid w:val="00487FB8"/>
    <w:rsid w:val="004900FE"/>
    <w:rsid w:val="004919D4"/>
    <w:rsid w:val="00491D7A"/>
    <w:rsid w:val="00491FB2"/>
    <w:rsid w:val="0049200C"/>
    <w:rsid w:val="0049212C"/>
    <w:rsid w:val="004929C5"/>
    <w:rsid w:val="00495C39"/>
    <w:rsid w:val="0049759A"/>
    <w:rsid w:val="004A1224"/>
    <w:rsid w:val="004A2037"/>
    <w:rsid w:val="004A247B"/>
    <w:rsid w:val="004A2750"/>
    <w:rsid w:val="004A28C5"/>
    <w:rsid w:val="004A2F59"/>
    <w:rsid w:val="004A3AA0"/>
    <w:rsid w:val="004A5E53"/>
    <w:rsid w:val="004A64B4"/>
    <w:rsid w:val="004A660C"/>
    <w:rsid w:val="004A6B44"/>
    <w:rsid w:val="004A6E0E"/>
    <w:rsid w:val="004A7281"/>
    <w:rsid w:val="004B0B19"/>
    <w:rsid w:val="004B1B06"/>
    <w:rsid w:val="004B1E81"/>
    <w:rsid w:val="004B35F0"/>
    <w:rsid w:val="004B37A7"/>
    <w:rsid w:val="004B4426"/>
    <w:rsid w:val="004B44E1"/>
    <w:rsid w:val="004B500F"/>
    <w:rsid w:val="004B5F2A"/>
    <w:rsid w:val="004B74B2"/>
    <w:rsid w:val="004C103D"/>
    <w:rsid w:val="004C1303"/>
    <w:rsid w:val="004C1399"/>
    <w:rsid w:val="004C1806"/>
    <w:rsid w:val="004C1C09"/>
    <w:rsid w:val="004C2A17"/>
    <w:rsid w:val="004C2B0E"/>
    <w:rsid w:val="004C30F5"/>
    <w:rsid w:val="004C5507"/>
    <w:rsid w:val="004C5A7E"/>
    <w:rsid w:val="004C7C00"/>
    <w:rsid w:val="004D1E1A"/>
    <w:rsid w:val="004D1EFF"/>
    <w:rsid w:val="004D23A9"/>
    <w:rsid w:val="004D2683"/>
    <w:rsid w:val="004D29F5"/>
    <w:rsid w:val="004D2F90"/>
    <w:rsid w:val="004D3A90"/>
    <w:rsid w:val="004D7804"/>
    <w:rsid w:val="004E0308"/>
    <w:rsid w:val="004E2825"/>
    <w:rsid w:val="004E3079"/>
    <w:rsid w:val="004E3276"/>
    <w:rsid w:val="004E370B"/>
    <w:rsid w:val="004E3836"/>
    <w:rsid w:val="004E62E4"/>
    <w:rsid w:val="004E7C41"/>
    <w:rsid w:val="004F0E90"/>
    <w:rsid w:val="004F0F5B"/>
    <w:rsid w:val="004F1212"/>
    <w:rsid w:val="004F22B8"/>
    <w:rsid w:val="004F2437"/>
    <w:rsid w:val="004F2D35"/>
    <w:rsid w:val="004F3F02"/>
    <w:rsid w:val="004F4624"/>
    <w:rsid w:val="004F5573"/>
    <w:rsid w:val="004F5D8B"/>
    <w:rsid w:val="004F634F"/>
    <w:rsid w:val="004F64CF"/>
    <w:rsid w:val="004F7556"/>
    <w:rsid w:val="004F78BF"/>
    <w:rsid w:val="00500700"/>
    <w:rsid w:val="0050141B"/>
    <w:rsid w:val="0050239D"/>
    <w:rsid w:val="00502638"/>
    <w:rsid w:val="005027FB"/>
    <w:rsid w:val="005029BC"/>
    <w:rsid w:val="00502B87"/>
    <w:rsid w:val="0050346A"/>
    <w:rsid w:val="00504472"/>
    <w:rsid w:val="005048E3"/>
    <w:rsid w:val="00505A77"/>
    <w:rsid w:val="00505CB3"/>
    <w:rsid w:val="005067C7"/>
    <w:rsid w:val="00506EB0"/>
    <w:rsid w:val="0050798C"/>
    <w:rsid w:val="00507C8C"/>
    <w:rsid w:val="0051207B"/>
    <w:rsid w:val="005136CD"/>
    <w:rsid w:val="00513B38"/>
    <w:rsid w:val="00514B1A"/>
    <w:rsid w:val="00514E2B"/>
    <w:rsid w:val="005150C5"/>
    <w:rsid w:val="00515CCC"/>
    <w:rsid w:val="0051600C"/>
    <w:rsid w:val="00517351"/>
    <w:rsid w:val="00517D71"/>
    <w:rsid w:val="00520DB6"/>
    <w:rsid w:val="00521860"/>
    <w:rsid w:val="00521D74"/>
    <w:rsid w:val="005222CC"/>
    <w:rsid w:val="00522622"/>
    <w:rsid w:val="00523B5E"/>
    <w:rsid w:val="005250EE"/>
    <w:rsid w:val="00525AB1"/>
    <w:rsid w:val="00526B01"/>
    <w:rsid w:val="00526C61"/>
    <w:rsid w:val="00527492"/>
    <w:rsid w:val="005277F5"/>
    <w:rsid w:val="00527A5A"/>
    <w:rsid w:val="005310C1"/>
    <w:rsid w:val="00531934"/>
    <w:rsid w:val="00532994"/>
    <w:rsid w:val="005329BE"/>
    <w:rsid w:val="00533515"/>
    <w:rsid w:val="005342DE"/>
    <w:rsid w:val="00534AC0"/>
    <w:rsid w:val="00535557"/>
    <w:rsid w:val="005357B1"/>
    <w:rsid w:val="0053606A"/>
    <w:rsid w:val="005369C0"/>
    <w:rsid w:val="00536B92"/>
    <w:rsid w:val="005405D6"/>
    <w:rsid w:val="00540B25"/>
    <w:rsid w:val="00540D82"/>
    <w:rsid w:val="00541254"/>
    <w:rsid w:val="005421CC"/>
    <w:rsid w:val="00542BA5"/>
    <w:rsid w:val="0054379B"/>
    <w:rsid w:val="00544841"/>
    <w:rsid w:val="00546BCE"/>
    <w:rsid w:val="00547058"/>
    <w:rsid w:val="00547CD4"/>
    <w:rsid w:val="00547EB8"/>
    <w:rsid w:val="005518C6"/>
    <w:rsid w:val="00552905"/>
    <w:rsid w:val="00552A96"/>
    <w:rsid w:val="00552FC2"/>
    <w:rsid w:val="00553797"/>
    <w:rsid w:val="00553DA2"/>
    <w:rsid w:val="00554083"/>
    <w:rsid w:val="005543FB"/>
    <w:rsid w:val="00555623"/>
    <w:rsid w:val="005562DC"/>
    <w:rsid w:val="00556725"/>
    <w:rsid w:val="00557A85"/>
    <w:rsid w:val="005606B5"/>
    <w:rsid w:val="00560E2D"/>
    <w:rsid w:val="00561457"/>
    <w:rsid w:val="005618A5"/>
    <w:rsid w:val="00562BAD"/>
    <w:rsid w:val="0056365E"/>
    <w:rsid w:val="00565C77"/>
    <w:rsid w:val="00566181"/>
    <w:rsid w:val="00566BF8"/>
    <w:rsid w:val="005708BD"/>
    <w:rsid w:val="0057317E"/>
    <w:rsid w:val="005731D3"/>
    <w:rsid w:val="00573C7D"/>
    <w:rsid w:val="00574906"/>
    <w:rsid w:val="00574E9E"/>
    <w:rsid w:val="005752BC"/>
    <w:rsid w:val="0057622F"/>
    <w:rsid w:val="00577977"/>
    <w:rsid w:val="005810FA"/>
    <w:rsid w:val="00581719"/>
    <w:rsid w:val="00581D30"/>
    <w:rsid w:val="00583362"/>
    <w:rsid w:val="005834D8"/>
    <w:rsid w:val="00584245"/>
    <w:rsid w:val="00584C2D"/>
    <w:rsid w:val="00584D80"/>
    <w:rsid w:val="00586535"/>
    <w:rsid w:val="00586BB5"/>
    <w:rsid w:val="00586DFB"/>
    <w:rsid w:val="0058710C"/>
    <w:rsid w:val="00587C83"/>
    <w:rsid w:val="005905BC"/>
    <w:rsid w:val="00590B75"/>
    <w:rsid w:val="00590DAA"/>
    <w:rsid w:val="00591AC3"/>
    <w:rsid w:val="0059205C"/>
    <w:rsid w:val="00592349"/>
    <w:rsid w:val="0059372C"/>
    <w:rsid w:val="00594352"/>
    <w:rsid w:val="00596F3F"/>
    <w:rsid w:val="00597EEF"/>
    <w:rsid w:val="005A0812"/>
    <w:rsid w:val="005A1AF8"/>
    <w:rsid w:val="005A1C4E"/>
    <w:rsid w:val="005A1EE5"/>
    <w:rsid w:val="005A3678"/>
    <w:rsid w:val="005A3DAF"/>
    <w:rsid w:val="005A4A1A"/>
    <w:rsid w:val="005A61D3"/>
    <w:rsid w:val="005A7C0B"/>
    <w:rsid w:val="005A7D13"/>
    <w:rsid w:val="005A7E70"/>
    <w:rsid w:val="005B170C"/>
    <w:rsid w:val="005B1A53"/>
    <w:rsid w:val="005B276F"/>
    <w:rsid w:val="005B2AF7"/>
    <w:rsid w:val="005B40E8"/>
    <w:rsid w:val="005B4CD4"/>
    <w:rsid w:val="005B6DAA"/>
    <w:rsid w:val="005B7314"/>
    <w:rsid w:val="005B7C27"/>
    <w:rsid w:val="005B7D8B"/>
    <w:rsid w:val="005C03F6"/>
    <w:rsid w:val="005C0475"/>
    <w:rsid w:val="005C1569"/>
    <w:rsid w:val="005C348A"/>
    <w:rsid w:val="005C3555"/>
    <w:rsid w:val="005C3C1A"/>
    <w:rsid w:val="005C4604"/>
    <w:rsid w:val="005C46D8"/>
    <w:rsid w:val="005C4BEE"/>
    <w:rsid w:val="005C6E74"/>
    <w:rsid w:val="005C732E"/>
    <w:rsid w:val="005C781C"/>
    <w:rsid w:val="005C79C6"/>
    <w:rsid w:val="005D13ED"/>
    <w:rsid w:val="005D181E"/>
    <w:rsid w:val="005D330E"/>
    <w:rsid w:val="005D788D"/>
    <w:rsid w:val="005D7A35"/>
    <w:rsid w:val="005E034F"/>
    <w:rsid w:val="005E09A7"/>
    <w:rsid w:val="005E198B"/>
    <w:rsid w:val="005E19D9"/>
    <w:rsid w:val="005E1D35"/>
    <w:rsid w:val="005E2A31"/>
    <w:rsid w:val="005E3CAE"/>
    <w:rsid w:val="005E3D2F"/>
    <w:rsid w:val="005E442F"/>
    <w:rsid w:val="005E54A3"/>
    <w:rsid w:val="005E5625"/>
    <w:rsid w:val="005E5E0C"/>
    <w:rsid w:val="005E61D8"/>
    <w:rsid w:val="005E6F2B"/>
    <w:rsid w:val="005E7E2B"/>
    <w:rsid w:val="005E7E2C"/>
    <w:rsid w:val="005F1ADE"/>
    <w:rsid w:val="005F29CD"/>
    <w:rsid w:val="005F3175"/>
    <w:rsid w:val="005F3436"/>
    <w:rsid w:val="005F3506"/>
    <w:rsid w:val="005F41D8"/>
    <w:rsid w:val="005F4739"/>
    <w:rsid w:val="005F6228"/>
    <w:rsid w:val="005F642B"/>
    <w:rsid w:val="005F67FC"/>
    <w:rsid w:val="00601630"/>
    <w:rsid w:val="006026E1"/>
    <w:rsid w:val="00603A90"/>
    <w:rsid w:val="00605163"/>
    <w:rsid w:val="006065BF"/>
    <w:rsid w:val="00606B95"/>
    <w:rsid w:val="006070EA"/>
    <w:rsid w:val="00607922"/>
    <w:rsid w:val="00607956"/>
    <w:rsid w:val="00607ABE"/>
    <w:rsid w:val="00607F53"/>
    <w:rsid w:val="006103D0"/>
    <w:rsid w:val="0061075E"/>
    <w:rsid w:val="0061103A"/>
    <w:rsid w:val="00611EAE"/>
    <w:rsid w:val="0061364A"/>
    <w:rsid w:val="00613BEA"/>
    <w:rsid w:val="0061402C"/>
    <w:rsid w:val="006148C7"/>
    <w:rsid w:val="0061595F"/>
    <w:rsid w:val="00615A79"/>
    <w:rsid w:val="00616179"/>
    <w:rsid w:val="0061675B"/>
    <w:rsid w:val="00617BF5"/>
    <w:rsid w:val="0062052B"/>
    <w:rsid w:val="00620F8F"/>
    <w:rsid w:val="00621A86"/>
    <w:rsid w:val="00623401"/>
    <w:rsid w:val="00623DFD"/>
    <w:rsid w:val="00625C40"/>
    <w:rsid w:val="00627E7C"/>
    <w:rsid w:val="00630CFF"/>
    <w:rsid w:val="00631369"/>
    <w:rsid w:val="00632481"/>
    <w:rsid w:val="0063262D"/>
    <w:rsid w:val="0063268B"/>
    <w:rsid w:val="00633310"/>
    <w:rsid w:val="0063390E"/>
    <w:rsid w:val="00633E6F"/>
    <w:rsid w:val="00634673"/>
    <w:rsid w:val="00636F91"/>
    <w:rsid w:val="00637754"/>
    <w:rsid w:val="00637BBD"/>
    <w:rsid w:val="00640761"/>
    <w:rsid w:val="00640D17"/>
    <w:rsid w:val="00641177"/>
    <w:rsid w:val="00641A99"/>
    <w:rsid w:val="00642768"/>
    <w:rsid w:val="00642A84"/>
    <w:rsid w:val="00645753"/>
    <w:rsid w:val="00645E69"/>
    <w:rsid w:val="00646130"/>
    <w:rsid w:val="00646ACE"/>
    <w:rsid w:val="00647211"/>
    <w:rsid w:val="006474C0"/>
    <w:rsid w:val="00647927"/>
    <w:rsid w:val="00650B2D"/>
    <w:rsid w:val="00650FC2"/>
    <w:rsid w:val="00651EB1"/>
    <w:rsid w:val="00652B9B"/>
    <w:rsid w:val="00652F78"/>
    <w:rsid w:val="00653743"/>
    <w:rsid w:val="00653DD9"/>
    <w:rsid w:val="00654119"/>
    <w:rsid w:val="0065416D"/>
    <w:rsid w:val="00654E6A"/>
    <w:rsid w:val="00655112"/>
    <w:rsid w:val="006551FC"/>
    <w:rsid w:val="006575F3"/>
    <w:rsid w:val="00660871"/>
    <w:rsid w:val="006614DC"/>
    <w:rsid w:val="00662809"/>
    <w:rsid w:val="00662911"/>
    <w:rsid w:val="00663823"/>
    <w:rsid w:val="0066478E"/>
    <w:rsid w:val="00664CDF"/>
    <w:rsid w:val="00664E08"/>
    <w:rsid w:val="00664E67"/>
    <w:rsid w:val="006650D0"/>
    <w:rsid w:val="00665B04"/>
    <w:rsid w:val="006663F6"/>
    <w:rsid w:val="00666541"/>
    <w:rsid w:val="006666A5"/>
    <w:rsid w:val="00666754"/>
    <w:rsid w:val="0066774D"/>
    <w:rsid w:val="00667F42"/>
    <w:rsid w:val="00671284"/>
    <w:rsid w:val="006727FC"/>
    <w:rsid w:val="00673906"/>
    <w:rsid w:val="00674747"/>
    <w:rsid w:val="00674CD9"/>
    <w:rsid w:val="006756CD"/>
    <w:rsid w:val="00676E5B"/>
    <w:rsid w:val="00677D6B"/>
    <w:rsid w:val="00680795"/>
    <w:rsid w:val="00682713"/>
    <w:rsid w:val="00683451"/>
    <w:rsid w:val="00683579"/>
    <w:rsid w:val="006843F4"/>
    <w:rsid w:val="006846E9"/>
    <w:rsid w:val="00684D34"/>
    <w:rsid w:val="00685261"/>
    <w:rsid w:val="006854CE"/>
    <w:rsid w:val="00685EB0"/>
    <w:rsid w:val="00686B47"/>
    <w:rsid w:val="0068790B"/>
    <w:rsid w:val="006906E4"/>
    <w:rsid w:val="00691C54"/>
    <w:rsid w:val="00691E49"/>
    <w:rsid w:val="006922DC"/>
    <w:rsid w:val="00692EC0"/>
    <w:rsid w:val="00693447"/>
    <w:rsid w:val="00693FFB"/>
    <w:rsid w:val="006941DD"/>
    <w:rsid w:val="0069466B"/>
    <w:rsid w:val="00694795"/>
    <w:rsid w:val="00695014"/>
    <w:rsid w:val="006967DF"/>
    <w:rsid w:val="00696AA8"/>
    <w:rsid w:val="006A07FF"/>
    <w:rsid w:val="006A24B3"/>
    <w:rsid w:val="006A257C"/>
    <w:rsid w:val="006A2615"/>
    <w:rsid w:val="006A4158"/>
    <w:rsid w:val="006A4AA7"/>
    <w:rsid w:val="006A4E15"/>
    <w:rsid w:val="006A5866"/>
    <w:rsid w:val="006A5E4F"/>
    <w:rsid w:val="006A643C"/>
    <w:rsid w:val="006B08DD"/>
    <w:rsid w:val="006B0F54"/>
    <w:rsid w:val="006B415B"/>
    <w:rsid w:val="006B4C95"/>
    <w:rsid w:val="006B4CBA"/>
    <w:rsid w:val="006B5B8A"/>
    <w:rsid w:val="006B6A20"/>
    <w:rsid w:val="006B7542"/>
    <w:rsid w:val="006B7EB6"/>
    <w:rsid w:val="006C0900"/>
    <w:rsid w:val="006C0A59"/>
    <w:rsid w:val="006C19EE"/>
    <w:rsid w:val="006C2E46"/>
    <w:rsid w:val="006C3B05"/>
    <w:rsid w:val="006C4E45"/>
    <w:rsid w:val="006C514A"/>
    <w:rsid w:val="006C5A6D"/>
    <w:rsid w:val="006C5EE1"/>
    <w:rsid w:val="006C61B1"/>
    <w:rsid w:val="006C6DB8"/>
    <w:rsid w:val="006C74F4"/>
    <w:rsid w:val="006D0669"/>
    <w:rsid w:val="006D1D4E"/>
    <w:rsid w:val="006D2151"/>
    <w:rsid w:val="006D3622"/>
    <w:rsid w:val="006D3771"/>
    <w:rsid w:val="006D440A"/>
    <w:rsid w:val="006D481F"/>
    <w:rsid w:val="006D5599"/>
    <w:rsid w:val="006D592F"/>
    <w:rsid w:val="006D60EF"/>
    <w:rsid w:val="006D62BE"/>
    <w:rsid w:val="006D7B71"/>
    <w:rsid w:val="006E0006"/>
    <w:rsid w:val="006E01BB"/>
    <w:rsid w:val="006E0DF6"/>
    <w:rsid w:val="006E1BDE"/>
    <w:rsid w:val="006E336C"/>
    <w:rsid w:val="006E35A9"/>
    <w:rsid w:val="006E3B9E"/>
    <w:rsid w:val="006E4A27"/>
    <w:rsid w:val="006E4A48"/>
    <w:rsid w:val="006E5550"/>
    <w:rsid w:val="006E5828"/>
    <w:rsid w:val="006E6BB9"/>
    <w:rsid w:val="006E719C"/>
    <w:rsid w:val="006E784F"/>
    <w:rsid w:val="006F0B4F"/>
    <w:rsid w:val="006F0E97"/>
    <w:rsid w:val="006F2DF3"/>
    <w:rsid w:val="006F2DF9"/>
    <w:rsid w:val="006F3C6F"/>
    <w:rsid w:val="006F41C6"/>
    <w:rsid w:val="006F44C7"/>
    <w:rsid w:val="006F5DD9"/>
    <w:rsid w:val="006F6FA2"/>
    <w:rsid w:val="007001D0"/>
    <w:rsid w:val="00700CE3"/>
    <w:rsid w:val="00701498"/>
    <w:rsid w:val="00701E70"/>
    <w:rsid w:val="00704F47"/>
    <w:rsid w:val="00705BC0"/>
    <w:rsid w:val="007060E9"/>
    <w:rsid w:val="00706223"/>
    <w:rsid w:val="00706EFA"/>
    <w:rsid w:val="007072C2"/>
    <w:rsid w:val="0070746B"/>
    <w:rsid w:val="0070748A"/>
    <w:rsid w:val="007075CA"/>
    <w:rsid w:val="00710C02"/>
    <w:rsid w:val="00710E67"/>
    <w:rsid w:val="0071151E"/>
    <w:rsid w:val="007118AC"/>
    <w:rsid w:val="00711FC7"/>
    <w:rsid w:val="0071482B"/>
    <w:rsid w:val="00714C8F"/>
    <w:rsid w:val="00715A32"/>
    <w:rsid w:val="00716F57"/>
    <w:rsid w:val="00717A74"/>
    <w:rsid w:val="00720A6F"/>
    <w:rsid w:val="00720EA2"/>
    <w:rsid w:val="00721409"/>
    <w:rsid w:val="00721CE0"/>
    <w:rsid w:val="007221A2"/>
    <w:rsid w:val="0072265D"/>
    <w:rsid w:val="00722742"/>
    <w:rsid w:val="00722935"/>
    <w:rsid w:val="007231B8"/>
    <w:rsid w:val="00723BA8"/>
    <w:rsid w:val="00724257"/>
    <w:rsid w:val="00727815"/>
    <w:rsid w:val="007301A7"/>
    <w:rsid w:val="00730E31"/>
    <w:rsid w:val="0073128C"/>
    <w:rsid w:val="007319C8"/>
    <w:rsid w:val="0073225D"/>
    <w:rsid w:val="00734033"/>
    <w:rsid w:val="00734421"/>
    <w:rsid w:val="007346F8"/>
    <w:rsid w:val="00734D66"/>
    <w:rsid w:val="00734E06"/>
    <w:rsid w:val="007357B2"/>
    <w:rsid w:val="00736E9D"/>
    <w:rsid w:val="007373FA"/>
    <w:rsid w:val="00737E7D"/>
    <w:rsid w:val="0074063F"/>
    <w:rsid w:val="00740E97"/>
    <w:rsid w:val="00740EF1"/>
    <w:rsid w:val="0074250E"/>
    <w:rsid w:val="0074305F"/>
    <w:rsid w:val="007437BA"/>
    <w:rsid w:val="007444E7"/>
    <w:rsid w:val="00744DBD"/>
    <w:rsid w:val="00745398"/>
    <w:rsid w:val="00745F95"/>
    <w:rsid w:val="00746FC3"/>
    <w:rsid w:val="007477E8"/>
    <w:rsid w:val="00747B90"/>
    <w:rsid w:val="00754870"/>
    <w:rsid w:val="00754AB0"/>
    <w:rsid w:val="00756055"/>
    <w:rsid w:val="007561F0"/>
    <w:rsid w:val="00756632"/>
    <w:rsid w:val="0075754A"/>
    <w:rsid w:val="00760554"/>
    <w:rsid w:val="0076083D"/>
    <w:rsid w:val="00761DC2"/>
    <w:rsid w:val="00762B1E"/>
    <w:rsid w:val="00763C1B"/>
    <w:rsid w:val="00764B94"/>
    <w:rsid w:val="007652E2"/>
    <w:rsid w:val="007653DA"/>
    <w:rsid w:val="00765A82"/>
    <w:rsid w:val="00766434"/>
    <w:rsid w:val="0076704F"/>
    <w:rsid w:val="00770E10"/>
    <w:rsid w:val="00771E5C"/>
    <w:rsid w:val="00772107"/>
    <w:rsid w:val="00772BCB"/>
    <w:rsid w:val="00772DF8"/>
    <w:rsid w:val="00772FF3"/>
    <w:rsid w:val="00773E30"/>
    <w:rsid w:val="00774053"/>
    <w:rsid w:val="007742FF"/>
    <w:rsid w:val="00774A83"/>
    <w:rsid w:val="00775146"/>
    <w:rsid w:val="0077566D"/>
    <w:rsid w:val="00776097"/>
    <w:rsid w:val="007766A5"/>
    <w:rsid w:val="007766C5"/>
    <w:rsid w:val="00776E39"/>
    <w:rsid w:val="0078016D"/>
    <w:rsid w:val="0078069E"/>
    <w:rsid w:val="00781778"/>
    <w:rsid w:val="00782098"/>
    <w:rsid w:val="0078254C"/>
    <w:rsid w:val="00782ACA"/>
    <w:rsid w:val="00786231"/>
    <w:rsid w:val="00790066"/>
    <w:rsid w:val="007900CB"/>
    <w:rsid w:val="007905B2"/>
    <w:rsid w:val="00790619"/>
    <w:rsid w:val="00790D70"/>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364"/>
    <w:rsid w:val="007B347F"/>
    <w:rsid w:val="007B34BD"/>
    <w:rsid w:val="007B39F6"/>
    <w:rsid w:val="007B4481"/>
    <w:rsid w:val="007B5A25"/>
    <w:rsid w:val="007B5A98"/>
    <w:rsid w:val="007B5E30"/>
    <w:rsid w:val="007B7B1A"/>
    <w:rsid w:val="007C035F"/>
    <w:rsid w:val="007C05BB"/>
    <w:rsid w:val="007C1DB0"/>
    <w:rsid w:val="007C2270"/>
    <w:rsid w:val="007C27D4"/>
    <w:rsid w:val="007C3E8E"/>
    <w:rsid w:val="007C4CCE"/>
    <w:rsid w:val="007C570A"/>
    <w:rsid w:val="007C7D49"/>
    <w:rsid w:val="007C7DE5"/>
    <w:rsid w:val="007D0EEB"/>
    <w:rsid w:val="007D1666"/>
    <w:rsid w:val="007D1D99"/>
    <w:rsid w:val="007D207A"/>
    <w:rsid w:val="007D4D2A"/>
    <w:rsid w:val="007D550C"/>
    <w:rsid w:val="007D763D"/>
    <w:rsid w:val="007D77A3"/>
    <w:rsid w:val="007E00B1"/>
    <w:rsid w:val="007E0749"/>
    <w:rsid w:val="007E0AD2"/>
    <w:rsid w:val="007E2F87"/>
    <w:rsid w:val="007E334F"/>
    <w:rsid w:val="007E372F"/>
    <w:rsid w:val="007E4155"/>
    <w:rsid w:val="007E57B5"/>
    <w:rsid w:val="007E5D39"/>
    <w:rsid w:val="007E66C8"/>
    <w:rsid w:val="007E67BD"/>
    <w:rsid w:val="007E6BBD"/>
    <w:rsid w:val="007F06E1"/>
    <w:rsid w:val="007F0C09"/>
    <w:rsid w:val="007F3E75"/>
    <w:rsid w:val="007F517F"/>
    <w:rsid w:val="007F5773"/>
    <w:rsid w:val="007F6391"/>
    <w:rsid w:val="007F6D82"/>
    <w:rsid w:val="007F6FB8"/>
    <w:rsid w:val="007F7481"/>
    <w:rsid w:val="007F76FF"/>
    <w:rsid w:val="007F7E83"/>
    <w:rsid w:val="00801491"/>
    <w:rsid w:val="008015A7"/>
    <w:rsid w:val="00801B79"/>
    <w:rsid w:val="00801EF6"/>
    <w:rsid w:val="008024FB"/>
    <w:rsid w:val="00802AEC"/>
    <w:rsid w:val="00803099"/>
    <w:rsid w:val="00803AC9"/>
    <w:rsid w:val="0080406C"/>
    <w:rsid w:val="0080562C"/>
    <w:rsid w:val="008071D0"/>
    <w:rsid w:val="0081066B"/>
    <w:rsid w:val="00810809"/>
    <w:rsid w:val="00810C6A"/>
    <w:rsid w:val="00810C86"/>
    <w:rsid w:val="0081141A"/>
    <w:rsid w:val="008121F6"/>
    <w:rsid w:val="00812350"/>
    <w:rsid w:val="00812369"/>
    <w:rsid w:val="00812741"/>
    <w:rsid w:val="008128E3"/>
    <w:rsid w:val="00812B12"/>
    <w:rsid w:val="00813900"/>
    <w:rsid w:val="008139BC"/>
    <w:rsid w:val="00815871"/>
    <w:rsid w:val="00820286"/>
    <w:rsid w:val="00821789"/>
    <w:rsid w:val="0082180B"/>
    <w:rsid w:val="00821BC9"/>
    <w:rsid w:val="00822356"/>
    <w:rsid w:val="00823848"/>
    <w:rsid w:val="00825147"/>
    <w:rsid w:val="00825D4F"/>
    <w:rsid w:val="00830017"/>
    <w:rsid w:val="00830787"/>
    <w:rsid w:val="00830DC9"/>
    <w:rsid w:val="00831489"/>
    <w:rsid w:val="008314C1"/>
    <w:rsid w:val="008315E3"/>
    <w:rsid w:val="00833A6A"/>
    <w:rsid w:val="00833E2F"/>
    <w:rsid w:val="00834F9A"/>
    <w:rsid w:val="008368F3"/>
    <w:rsid w:val="00837560"/>
    <w:rsid w:val="008400A8"/>
    <w:rsid w:val="0084087A"/>
    <w:rsid w:val="00840A5E"/>
    <w:rsid w:val="0084156A"/>
    <w:rsid w:val="008425FD"/>
    <w:rsid w:val="008427B1"/>
    <w:rsid w:val="008439C8"/>
    <w:rsid w:val="008449FF"/>
    <w:rsid w:val="0084601D"/>
    <w:rsid w:val="008462FB"/>
    <w:rsid w:val="00846780"/>
    <w:rsid w:val="00846C73"/>
    <w:rsid w:val="008472BF"/>
    <w:rsid w:val="00850462"/>
    <w:rsid w:val="0085161D"/>
    <w:rsid w:val="00854E02"/>
    <w:rsid w:val="00855597"/>
    <w:rsid w:val="00855780"/>
    <w:rsid w:val="00856178"/>
    <w:rsid w:val="008567C0"/>
    <w:rsid w:val="00856C69"/>
    <w:rsid w:val="008570AB"/>
    <w:rsid w:val="00861FBF"/>
    <w:rsid w:val="00862545"/>
    <w:rsid w:val="00862D62"/>
    <w:rsid w:val="008633EE"/>
    <w:rsid w:val="00864441"/>
    <w:rsid w:val="008653B5"/>
    <w:rsid w:val="008656CE"/>
    <w:rsid w:val="00865A76"/>
    <w:rsid w:val="008663D7"/>
    <w:rsid w:val="00866843"/>
    <w:rsid w:val="0086730B"/>
    <w:rsid w:val="008679E6"/>
    <w:rsid w:val="00867A0F"/>
    <w:rsid w:val="00870279"/>
    <w:rsid w:val="00871811"/>
    <w:rsid w:val="00872E1F"/>
    <w:rsid w:val="00873942"/>
    <w:rsid w:val="00873D27"/>
    <w:rsid w:val="0087400E"/>
    <w:rsid w:val="00874397"/>
    <w:rsid w:val="00880558"/>
    <w:rsid w:val="00883894"/>
    <w:rsid w:val="0088444F"/>
    <w:rsid w:val="00885DA2"/>
    <w:rsid w:val="00885E17"/>
    <w:rsid w:val="00886342"/>
    <w:rsid w:val="008875DE"/>
    <w:rsid w:val="0089092F"/>
    <w:rsid w:val="00893491"/>
    <w:rsid w:val="00893594"/>
    <w:rsid w:val="008947EA"/>
    <w:rsid w:val="00894ABF"/>
    <w:rsid w:val="00894CF6"/>
    <w:rsid w:val="00896FF4"/>
    <w:rsid w:val="008A0E85"/>
    <w:rsid w:val="008A15CB"/>
    <w:rsid w:val="008A1A3F"/>
    <w:rsid w:val="008A1DDE"/>
    <w:rsid w:val="008A2544"/>
    <w:rsid w:val="008A371D"/>
    <w:rsid w:val="008A3DB4"/>
    <w:rsid w:val="008A5443"/>
    <w:rsid w:val="008A55A8"/>
    <w:rsid w:val="008A5F01"/>
    <w:rsid w:val="008A6071"/>
    <w:rsid w:val="008A6214"/>
    <w:rsid w:val="008A6B66"/>
    <w:rsid w:val="008A7078"/>
    <w:rsid w:val="008B0969"/>
    <w:rsid w:val="008B11D0"/>
    <w:rsid w:val="008B1954"/>
    <w:rsid w:val="008B32B6"/>
    <w:rsid w:val="008B4464"/>
    <w:rsid w:val="008B4BF2"/>
    <w:rsid w:val="008B56E5"/>
    <w:rsid w:val="008B5AFD"/>
    <w:rsid w:val="008B6650"/>
    <w:rsid w:val="008B729C"/>
    <w:rsid w:val="008B7A4E"/>
    <w:rsid w:val="008C1506"/>
    <w:rsid w:val="008C19F6"/>
    <w:rsid w:val="008C2D30"/>
    <w:rsid w:val="008C33F2"/>
    <w:rsid w:val="008C3E08"/>
    <w:rsid w:val="008C4B1C"/>
    <w:rsid w:val="008C6C92"/>
    <w:rsid w:val="008C77F7"/>
    <w:rsid w:val="008D0262"/>
    <w:rsid w:val="008D0AE4"/>
    <w:rsid w:val="008D1B0D"/>
    <w:rsid w:val="008D20E6"/>
    <w:rsid w:val="008D2F52"/>
    <w:rsid w:val="008D3E19"/>
    <w:rsid w:val="008D5777"/>
    <w:rsid w:val="008D57A4"/>
    <w:rsid w:val="008D5F06"/>
    <w:rsid w:val="008D6B57"/>
    <w:rsid w:val="008D74C3"/>
    <w:rsid w:val="008D770C"/>
    <w:rsid w:val="008D7DFC"/>
    <w:rsid w:val="008E00FD"/>
    <w:rsid w:val="008E07C6"/>
    <w:rsid w:val="008E144C"/>
    <w:rsid w:val="008E33EA"/>
    <w:rsid w:val="008E4180"/>
    <w:rsid w:val="008E4ECE"/>
    <w:rsid w:val="008E5129"/>
    <w:rsid w:val="008E5BB7"/>
    <w:rsid w:val="008E5F84"/>
    <w:rsid w:val="008E657C"/>
    <w:rsid w:val="008E6A1B"/>
    <w:rsid w:val="008E6EA2"/>
    <w:rsid w:val="008E6FF6"/>
    <w:rsid w:val="008E72E5"/>
    <w:rsid w:val="008E79F9"/>
    <w:rsid w:val="008E7DCC"/>
    <w:rsid w:val="008F0EA9"/>
    <w:rsid w:val="008F167D"/>
    <w:rsid w:val="008F1A42"/>
    <w:rsid w:val="008F1B1E"/>
    <w:rsid w:val="008F2B7E"/>
    <w:rsid w:val="008F31DF"/>
    <w:rsid w:val="008F38F6"/>
    <w:rsid w:val="008F411D"/>
    <w:rsid w:val="008F47D1"/>
    <w:rsid w:val="008F4D31"/>
    <w:rsid w:val="008F5246"/>
    <w:rsid w:val="008F53F5"/>
    <w:rsid w:val="008F56A2"/>
    <w:rsid w:val="008F5FF0"/>
    <w:rsid w:val="008F61F2"/>
    <w:rsid w:val="008F63BC"/>
    <w:rsid w:val="008F6447"/>
    <w:rsid w:val="008F6485"/>
    <w:rsid w:val="008F710C"/>
    <w:rsid w:val="008F743D"/>
    <w:rsid w:val="008F7B17"/>
    <w:rsid w:val="008F7F78"/>
    <w:rsid w:val="00900316"/>
    <w:rsid w:val="009010D0"/>
    <w:rsid w:val="0090122A"/>
    <w:rsid w:val="00901F73"/>
    <w:rsid w:val="00902798"/>
    <w:rsid w:val="0090394F"/>
    <w:rsid w:val="009054D3"/>
    <w:rsid w:val="00905587"/>
    <w:rsid w:val="009057D3"/>
    <w:rsid w:val="00907912"/>
    <w:rsid w:val="00907B9D"/>
    <w:rsid w:val="00910CBD"/>
    <w:rsid w:val="00910CFA"/>
    <w:rsid w:val="00911FE7"/>
    <w:rsid w:val="009125D2"/>
    <w:rsid w:val="00914007"/>
    <w:rsid w:val="009152C2"/>
    <w:rsid w:val="00915E3F"/>
    <w:rsid w:val="00915F49"/>
    <w:rsid w:val="00915F97"/>
    <w:rsid w:val="00916DFE"/>
    <w:rsid w:val="00916EB8"/>
    <w:rsid w:val="0092273F"/>
    <w:rsid w:val="009238F1"/>
    <w:rsid w:val="009249B4"/>
    <w:rsid w:val="00926716"/>
    <w:rsid w:val="009270DB"/>
    <w:rsid w:val="00927214"/>
    <w:rsid w:val="00930BEB"/>
    <w:rsid w:val="009323DF"/>
    <w:rsid w:val="00932A7F"/>
    <w:rsid w:val="00932AFC"/>
    <w:rsid w:val="0093389C"/>
    <w:rsid w:val="00933A7D"/>
    <w:rsid w:val="00933DA9"/>
    <w:rsid w:val="0093452F"/>
    <w:rsid w:val="0093491F"/>
    <w:rsid w:val="00935E14"/>
    <w:rsid w:val="00941E4F"/>
    <w:rsid w:val="009423EA"/>
    <w:rsid w:val="00942454"/>
    <w:rsid w:val="0094480E"/>
    <w:rsid w:val="00945548"/>
    <w:rsid w:val="00945A90"/>
    <w:rsid w:val="00945A98"/>
    <w:rsid w:val="00946D33"/>
    <w:rsid w:val="0094717B"/>
    <w:rsid w:val="00947B5B"/>
    <w:rsid w:val="00950281"/>
    <w:rsid w:val="00951BD3"/>
    <w:rsid w:val="00951CD0"/>
    <w:rsid w:val="009529FD"/>
    <w:rsid w:val="00952B8F"/>
    <w:rsid w:val="0095500B"/>
    <w:rsid w:val="0095569B"/>
    <w:rsid w:val="009559F2"/>
    <w:rsid w:val="009562CC"/>
    <w:rsid w:val="0095695E"/>
    <w:rsid w:val="00957310"/>
    <w:rsid w:val="0095750D"/>
    <w:rsid w:val="00962B8F"/>
    <w:rsid w:val="009637E4"/>
    <w:rsid w:val="00964464"/>
    <w:rsid w:val="00965665"/>
    <w:rsid w:val="00965DE7"/>
    <w:rsid w:val="0096632E"/>
    <w:rsid w:val="00966D4F"/>
    <w:rsid w:val="00970E65"/>
    <w:rsid w:val="0097102C"/>
    <w:rsid w:val="00971A0C"/>
    <w:rsid w:val="00971CBF"/>
    <w:rsid w:val="00971F52"/>
    <w:rsid w:val="0097202E"/>
    <w:rsid w:val="00972E0B"/>
    <w:rsid w:val="0097462D"/>
    <w:rsid w:val="009748F0"/>
    <w:rsid w:val="00974A7C"/>
    <w:rsid w:val="0097587B"/>
    <w:rsid w:val="009766FE"/>
    <w:rsid w:val="009770D6"/>
    <w:rsid w:val="00977715"/>
    <w:rsid w:val="00980439"/>
    <w:rsid w:val="009804D6"/>
    <w:rsid w:val="00982444"/>
    <w:rsid w:val="00982BA7"/>
    <w:rsid w:val="00982D92"/>
    <w:rsid w:val="00982F10"/>
    <w:rsid w:val="009834A0"/>
    <w:rsid w:val="009843A8"/>
    <w:rsid w:val="00984993"/>
    <w:rsid w:val="00984CA2"/>
    <w:rsid w:val="009854F1"/>
    <w:rsid w:val="009864A0"/>
    <w:rsid w:val="00986BE2"/>
    <w:rsid w:val="0098714A"/>
    <w:rsid w:val="00991C53"/>
    <w:rsid w:val="00993190"/>
    <w:rsid w:val="00993208"/>
    <w:rsid w:val="00993EA1"/>
    <w:rsid w:val="0099496C"/>
    <w:rsid w:val="00996569"/>
    <w:rsid w:val="009A057B"/>
    <w:rsid w:val="009A06F0"/>
    <w:rsid w:val="009A14DE"/>
    <w:rsid w:val="009A2294"/>
    <w:rsid w:val="009A40DD"/>
    <w:rsid w:val="009A4174"/>
    <w:rsid w:val="009A5F36"/>
    <w:rsid w:val="009A72B5"/>
    <w:rsid w:val="009A7BC2"/>
    <w:rsid w:val="009B011E"/>
    <w:rsid w:val="009B180F"/>
    <w:rsid w:val="009B1897"/>
    <w:rsid w:val="009B1BB7"/>
    <w:rsid w:val="009B1C51"/>
    <w:rsid w:val="009B48D4"/>
    <w:rsid w:val="009B49C6"/>
    <w:rsid w:val="009B751B"/>
    <w:rsid w:val="009C0992"/>
    <w:rsid w:val="009C0C48"/>
    <w:rsid w:val="009C1814"/>
    <w:rsid w:val="009C1830"/>
    <w:rsid w:val="009C23DA"/>
    <w:rsid w:val="009C24B3"/>
    <w:rsid w:val="009C2C09"/>
    <w:rsid w:val="009C2E5A"/>
    <w:rsid w:val="009C508F"/>
    <w:rsid w:val="009C5E9E"/>
    <w:rsid w:val="009C6214"/>
    <w:rsid w:val="009C672A"/>
    <w:rsid w:val="009C7B18"/>
    <w:rsid w:val="009C7D55"/>
    <w:rsid w:val="009C7DEA"/>
    <w:rsid w:val="009C7F52"/>
    <w:rsid w:val="009D07F2"/>
    <w:rsid w:val="009D0E37"/>
    <w:rsid w:val="009D1884"/>
    <w:rsid w:val="009D24A3"/>
    <w:rsid w:val="009D2FD6"/>
    <w:rsid w:val="009D3295"/>
    <w:rsid w:val="009D3665"/>
    <w:rsid w:val="009D3C84"/>
    <w:rsid w:val="009D40C6"/>
    <w:rsid w:val="009D54F3"/>
    <w:rsid w:val="009D6969"/>
    <w:rsid w:val="009D7470"/>
    <w:rsid w:val="009D7A58"/>
    <w:rsid w:val="009E0828"/>
    <w:rsid w:val="009E0CED"/>
    <w:rsid w:val="009E15A7"/>
    <w:rsid w:val="009E1744"/>
    <w:rsid w:val="009E17A2"/>
    <w:rsid w:val="009E2D23"/>
    <w:rsid w:val="009E4043"/>
    <w:rsid w:val="009E43C1"/>
    <w:rsid w:val="009E4F92"/>
    <w:rsid w:val="009E65C0"/>
    <w:rsid w:val="009E6DF1"/>
    <w:rsid w:val="009E7024"/>
    <w:rsid w:val="009F1313"/>
    <w:rsid w:val="009F1602"/>
    <w:rsid w:val="009F3BA0"/>
    <w:rsid w:val="009F3F5D"/>
    <w:rsid w:val="009F43CB"/>
    <w:rsid w:val="009F4C6F"/>
    <w:rsid w:val="009F4CB9"/>
    <w:rsid w:val="009F4DBA"/>
    <w:rsid w:val="009F521E"/>
    <w:rsid w:val="009F7F97"/>
    <w:rsid w:val="00A01C02"/>
    <w:rsid w:val="00A02D24"/>
    <w:rsid w:val="00A05113"/>
    <w:rsid w:val="00A054DC"/>
    <w:rsid w:val="00A069AE"/>
    <w:rsid w:val="00A0756B"/>
    <w:rsid w:val="00A0767B"/>
    <w:rsid w:val="00A10389"/>
    <w:rsid w:val="00A10AAD"/>
    <w:rsid w:val="00A1133E"/>
    <w:rsid w:val="00A11888"/>
    <w:rsid w:val="00A11E62"/>
    <w:rsid w:val="00A11E8F"/>
    <w:rsid w:val="00A12369"/>
    <w:rsid w:val="00A13522"/>
    <w:rsid w:val="00A13EE9"/>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FAA"/>
    <w:rsid w:val="00A36B42"/>
    <w:rsid w:val="00A40163"/>
    <w:rsid w:val="00A409BC"/>
    <w:rsid w:val="00A40BDC"/>
    <w:rsid w:val="00A4181B"/>
    <w:rsid w:val="00A4250B"/>
    <w:rsid w:val="00A42F6D"/>
    <w:rsid w:val="00A44612"/>
    <w:rsid w:val="00A44720"/>
    <w:rsid w:val="00A44A44"/>
    <w:rsid w:val="00A46164"/>
    <w:rsid w:val="00A46A8E"/>
    <w:rsid w:val="00A51337"/>
    <w:rsid w:val="00A52C53"/>
    <w:rsid w:val="00A537E5"/>
    <w:rsid w:val="00A540A5"/>
    <w:rsid w:val="00A54248"/>
    <w:rsid w:val="00A55B6F"/>
    <w:rsid w:val="00A61BD0"/>
    <w:rsid w:val="00A61E55"/>
    <w:rsid w:val="00A6388E"/>
    <w:rsid w:val="00A64BC6"/>
    <w:rsid w:val="00A64FD7"/>
    <w:rsid w:val="00A659CB"/>
    <w:rsid w:val="00A701DC"/>
    <w:rsid w:val="00A70398"/>
    <w:rsid w:val="00A709AD"/>
    <w:rsid w:val="00A71441"/>
    <w:rsid w:val="00A71B1B"/>
    <w:rsid w:val="00A71B5C"/>
    <w:rsid w:val="00A72DA9"/>
    <w:rsid w:val="00A733CB"/>
    <w:rsid w:val="00A739DF"/>
    <w:rsid w:val="00A740A0"/>
    <w:rsid w:val="00A751AD"/>
    <w:rsid w:val="00A75225"/>
    <w:rsid w:val="00A76045"/>
    <w:rsid w:val="00A773CD"/>
    <w:rsid w:val="00A775CF"/>
    <w:rsid w:val="00A77853"/>
    <w:rsid w:val="00A77FAF"/>
    <w:rsid w:val="00A805EB"/>
    <w:rsid w:val="00A80C87"/>
    <w:rsid w:val="00A8178E"/>
    <w:rsid w:val="00A81EED"/>
    <w:rsid w:val="00A84503"/>
    <w:rsid w:val="00A84C48"/>
    <w:rsid w:val="00A867DA"/>
    <w:rsid w:val="00A875D0"/>
    <w:rsid w:val="00A8782F"/>
    <w:rsid w:val="00A9143B"/>
    <w:rsid w:val="00A9167D"/>
    <w:rsid w:val="00A92D25"/>
    <w:rsid w:val="00A9401F"/>
    <w:rsid w:val="00A94689"/>
    <w:rsid w:val="00A94DDB"/>
    <w:rsid w:val="00A94F82"/>
    <w:rsid w:val="00A950A1"/>
    <w:rsid w:val="00A965CD"/>
    <w:rsid w:val="00AA1BEC"/>
    <w:rsid w:val="00AA27AA"/>
    <w:rsid w:val="00AA2D2A"/>
    <w:rsid w:val="00AA2DF3"/>
    <w:rsid w:val="00AA35A5"/>
    <w:rsid w:val="00AA3606"/>
    <w:rsid w:val="00AA4761"/>
    <w:rsid w:val="00AA50BC"/>
    <w:rsid w:val="00AA5E3A"/>
    <w:rsid w:val="00AA65AD"/>
    <w:rsid w:val="00AA6AE4"/>
    <w:rsid w:val="00AA766C"/>
    <w:rsid w:val="00AB24E7"/>
    <w:rsid w:val="00AB3237"/>
    <w:rsid w:val="00AB3917"/>
    <w:rsid w:val="00AB3A2D"/>
    <w:rsid w:val="00AB4AC8"/>
    <w:rsid w:val="00AB50AC"/>
    <w:rsid w:val="00AB5E21"/>
    <w:rsid w:val="00AB7337"/>
    <w:rsid w:val="00AB75AE"/>
    <w:rsid w:val="00AB76EC"/>
    <w:rsid w:val="00AB7933"/>
    <w:rsid w:val="00AC13C9"/>
    <w:rsid w:val="00AC3071"/>
    <w:rsid w:val="00AC3A08"/>
    <w:rsid w:val="00AC3D18"/>
    <w:rsid w:val="00AC6332"/>
    <w:rsid w:val="00AC7FAF"/>
    <w:rsid w:val="00AD0843"/>
    <w:rsid w:val="00AD10CF"/>
    <w:rsid w:val="00AD2FC0"/>
    <w:rsid w:val="00AD3581"/>
    <w:rsid w:val="00AD35EA"/>
    <w:rsid w:val="00AD3BC7"/>
    <w:rsid w:val="00AD42E2"/>
    <w:rsid w:val="00AD4967"/>
    <w:rsid w:val="00AD562E"/>
    <w:rsid w:val="00AD5B1B"/>
    <w:rsid w:val="00AD66BE"/>
    <w:rsid w:val="00AD6DB9"/>
    <w:rsid w:val="00AD7630"/>
    <w:rsid w:val="00AD7798"/>
    <w:rsid w:val="00AE0D13"/>
    <w:rsid w:val="00AE2459"/>
    <w:rsid w:val="00AE29C2"/>
    <w:rsid w:val="00AE375B"/>
    <w:rsid w:val="00AE3D23"/>
    <w:rsid w:val="00AE4EC8"/>
    <w:rsid w:val="00AE517C"/>
    <w:rsid w:val="00AE599E"/>
    <w:rsid w:val="00AE5D9F"/>
    <w:rsid w:val="00AE5F15"/>
    <w:rsid w:val="00AE61C0"/>
    <w:rsid w:val="00AE680F"/>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1F6"/>
    <w:rsid w:val="00B0207F"/>
    <w:rsid w:val="00B03F4D"/>
    <w:rsid w:val="00B04550"/>
    <w:rsid w:val="00B04964"/>
    <w:rsid w:val="00B04CBD"/>
    <w:rsid w:val="00B0590B"/>
    <w:rsid w:val="00B104AE"/>
    <w:rsid w:val="00B10605"/>
    <w:rsid w:val="00B10F95"/>
    <w:rsid w:val="00B11B0A"/>
    <w:rsid w:val="00B12331"/>
    <w:rsid w:val="00B124AD"/>
    <w:rsid w:val="00B13EE3"/>
    <w:rsid w:val="00B15B71"/>
    <w:rsid w:val="00B166C6"/>
    <w:rsid w:val="00B17CD1"/>
    <w:rsid w:val="00B21342"/>
    <w:rsid w:val="00B216F7"/>
    <w:rsid w:val="00B21941"/>
    <w:rsid w:val="00B21EB4"/>
    <w:rsid w:val="00B22A5B"/>
    <w:rsid w:val="00B22E40"/>
    <w:rsid w:val="00B23F4C"/>
    <w:rsid w:val="00B2691D"/>
    <w:rsid w:val="00B26C44"/>
    <w:rsid w:val="00B27820"/>
    <w:rsid w:val="00B30944"/>
    <w:rsid w:val="00B30ABA"/>
    <w:rsid w:val="00B30D88"/>
    <w:rsid w:val="00B3104B"/>
    <w:rsid w:val="00B32AAC"/>
    <w:rsid w:val="00B33C3B"/>
    <w:rsid w:val="00B33F4D"/>
    <w:rsid w:val="00B363A8"/>
    <w:rsid w:val="00B36CFC"/>
    <w:rsid w:val="00B37148"/>
    <w:rsid w:val="00B37AFC"/>
    <w:rsid w:val="00B403B5"/>
    <w:rsid w:val="00B4084B"/>
    <w:rsid w:val="00B41972"/>
    <w:rsid w:val="00B42B56"/>
    <w:rsid w:val="00B45864"/>
    <w:rsid w:val="00B460B5"/>
    <w:rsid w:val="00B47F4C"/>
    <w:rsid w:val="00B50958"/>
    <w:rsid w:val="00B51526"/>
    <w:rsid w:val="00B5213E"/>
    <w:rsid w:val="00B52E8F"/>
    <w:rsid w:val="00B539C6"/>
    <w:rsid w:val="00B53B6C"/>
    <w:rsid w:val="00B567D8"/>
    <w:rsid w:val="00B60F6F"/>
    <w:rsid w:val="00B61A52"/>
    <w:rsid w:val="00B6230B"/>
    <w:rsid w:val="00B63ABE"/>
    <w:rsid w:val="00B63C3C"/>
    <w:rsid w:val="00B64DE4"/>
    <w:rsid w:val="00B65561"/>
    <w:rsid w:val="00B676B8"/>
    <w:rsid w:val="00B70250"/>
    <w:rsid w:val="00B70387"/>
    <w:rsid w:val="00B70C9E"/>
    <w:rsid w:val="00B71222"/>
    <w:rsid w:val="00B71494"/>
    <w:rsid w:val="00B7174A"/>
    <w:rsid w:val="00B7240C"/>
    <w:rsid w:val="00B72A1E"/>
    <w:rsid w:val="00B7358B"/>
    <w:rsid w:val="00B7388C"/>
    <w:rsid w:val="00B73E0D"/>
    <w:rsid w:val="00B7521F"/>
    <w:rsid w:val="00B75805"/>
    <w:rsid w:val="00B81747"/>
    <w:rsid w:val="00B830A1"/>
    <w:rsid w:val="00B83160"/>
    <w:rsid w:val="00B8365B"/>
    <w:rsid w:val="00B83705"/>
    <w:rsid w:val="00B83CA0"/>
    <w:rsid w:val="00B84155"/>
    <w:rsid w:val="00B84243"/>
    <w:rsid w:val="00B84D44"/>
    <w:rsid w:val="00B85C34"/>
    <w:rsid w:val="00B86CCD"/>
    <w:rsid w:val="00B86D9C"/>
    <w:rsid w:val="00B876C0"/>
    <w:rsid w:val="00B87806"/>
    <w:rsid w:val="00B917A0"/>
    <w:rsid w:val="00B92B09"/>
    <w:rsid w:val="00B93884"/>
    <w:rsid w:val="00B94405"/>
    <w:rsid w:val="00B94A65"/>
    <w:rsid w:val="00B94ADF"/>
    <w:rsid w:val="00B94FB4"/>
    <w:rsid w:val="00B95D2D"/>
    <w:rsid w:val="00B9607C"/>
    <w:rsid w:val="00B9676C"/>
    <w:rsid w:val="00BA0966"/>
    <w:rsid w:val="00BA0F2F"/>
    <w:rsid w:val="00BA379F"/>
    <w:rsid w:val="00BA4391"/>
    <w:rsid w:val="00BA44CC"/>
    <w:rsid w:val="00BA6777"/>
    <w:rsid w:val="00BB26DC"/>
    <w:rsid w:val="00BB2A98"/>
    <w:rsid w:val="00BB2FD5"/>
    <w:rsid w:val="00BB3AB5"/>
    <w:rsid w:val="00BB3DA8"/>
    <w:rsid w:val="00BB498B"/>
    <w:rsid w:val="00BB699D"/>
    <w:rsid w:val="00BB6D23"/>
    <w:rsid w:val="00BB6E74"/>
    <w:rsid w:val="00BB6E7A"/>
    <w:rsid w:val="00BB71AC"/>
    <w:rsid w:val="00BB721D"/>
    <w:rsid w:val="00BB7363"/>
    <w:rsid w:val="00BB7455"/>
    <w:rsid w:val="00BC1D7E"/>
    <w:rsid w:val="00BC2C65"/>
    <w:rsid w:val="00BC3472"/>
    <w:rsid w:val="00BC3C87"/>
    <w:rsid w:val="00BC3CAB"/>
    <w:rsid w:val="00BC42CE"/>
    <w:rsid w:val="00BC5093"/>
    <w:rsid w:val="00BC6702"/>
    <w:rsid w:val="00BD210E"/>
    <w:rsid w:val="00BD2CB2"/>
    <w:rsid w:val="00BD34C3"/>
    <w:rsid w:val="00BD40CB"/>
    <w:rsid w:val="00BD4954"/>
    <w:rsid w:val="00BD50FA"/>
    <w:rsid w:val="00BD78D5"/>
    <w:rsid w:val="00BE0A68"/>
    <w:rsid w:val="00BE31FB"/>
    <w:rsid w:val="00BE537C"/>
    <w:rsid w:val="00BE6AA2"/>
    <w:rsid w:val="00BE6D85"/>
    <w:rsid w:val="00BE70B3"/>
    <w:rsid w:val="00BE72FD"/>
    <w:rsid w:val="00BE7D03"/>
    <w:rsid w:val="00BE7D58"/>
    <w:rsid w:val="00BF0270"/>
    <w:rsid w:val="00BF0E14"/>
    <w:rsid w:val="00BF164E"/>
    <w:rsid w:val="00BF17FD"/>
    <w:rsid w:val="00BF1A33"/>
    <w:rsid w:val="00BF23C3"/>
    <w:rsid w:val="00BF3D35"/>
    <w:rsid w:val="00BF67E6"/>
    <w:rsid w:val="00BF6D42"/>
    <w:rsid w:val="00BF7ED9"/>
    <w:rsid w:val="00C00AA5"/>
    <w:rsid w:val="00C00B3B"/>
    <w:rsid w:val="00C02450"/>
    <w:rsid w:val="00C03193"/>
    <w:rsid w:val="00C038D0"/>
    <w:rsid w:val="00C04F94"/>
    <w:rsid w:val="00C066AF"/>
    <w:rsid w:val="00C07DEC"/>
    <w:rsid w:val="00C1005F"/>
    <w:rsid w:val="00C10081"/>
    <w:rsid w:val="00C107D2"/>
    <w:rsid w:val="00C11F05"/>
    <w:rsid w:val="00C11F2F"/>
    <w:rsid w:val="00C12D0A"/>
    <w:rsid w:val="00C13681"/>
    <w:rsid w:val="00C13DA0"/>
    <w:rsid w:val="00C14720"/>
    <w:rsid w:val="00C15DEF"/>
    <w:rsid w:val="00C17B32"/>
    <w:rsid w:val="00C20E76"/>
    <w:rsid w:val="00C23647"/>
    <w:rsid w:val="00C2476F"/>
    <w:rsid w:val="00C249B7"/>
    <w:rsid w:val="00C2641F"/>
    <w:rsid w:val="00C276B1"/>
    <w:rsid w:val="00C3009E"/>
    <w:rsid w:val="00C31E81"/>
    <w:rsid w:val="00C3239B"/>
    <w:rsid w:val="00C3249E"/>
    <w:rsid w:val="00C32F37"/>
    <w:rsid w:val="00C3303C"/>
    <w:rsid w:val="00C3324A"/>
    <w:rsid w:val="00C33361"/>
    <w:rsid w:val="00C33CC3"/>
    <w:rsid w:val="00C342CD"/>
    <w:rsid w:val="00C34390"/>
    <w:rsid w:val="00C34C59"/>
    <w:rsid w:val="00C359BA"/>
    <w:rsid w:val="00C3650D"/>
    <w:rsid w:val="00C36775"/>
    <w:rsid w:val="00C402AD"/>
    <w:rsid w:val="00C40689"/>
    <w:rsid w:val="00C41D55"/>
    <w:rsid w:val="00C428E6"/>
    <w:rsid w:val="00C42D37"/>
    <w:rsid w:val="00C431A3"/>
    <w:rsid w:val="00C43DF8"/>
    <w:rsid w:val="00C44BE3"/>
    <w:rsid w:val="00C44C1D"/>
    <w:rsid w:val="00C450A9"/>
    <w:rsid w:val="00C45903"/>
    <w:rsid w:val="00C46D0E"/>
    <w:rsid w:val="00C47C8E"/>
    <w:rsid w:val="00C52D9D"/>
    <w:rsid w:val="00C532F1"/>
    <w:rsid w:val="00C53EF2"/>
    <w:rsid w:val="00C54223"/>
    <w:rsid w:val="00C55846"/>
    <w:rsid w:val="00C57706"/>
    <w:rsid w:val="00C628BE"/>
    <w:rsid w:val="00C6305B"/>
    <w:rsid w:val="00C63109"/>
    <w:rsid w:val="00C63C1F"/>
    <w:rsid w:val="00C63ED7"/>
    <w:rsid w:val="00C67C8A"/>
    <w:rsid w:val="00C705DA"/>
    <w:rsid w:val="00C7356F"/>
    <w:rsid w:val="00C74126"/>
    <w:rsid w:val="00C74C39"/>
    <w:rsid w:val="00C74DA9"/>
    <w:rsid w:val="00C74E8D"/>
    <w:rsid w:val="00C753BA"/>
    <w:rsid w:val="00C75874"/>
    <w:rsid w:val="00C7638D"/>
    <w:rsid w:val="00C763EA"/>
    <w:rsid w:val="00C76DA8"/>
    <w:rsid w:val="00C77417"/>
    <w:rsid w:val="00C8049D"/>
    <w:rsid w:val="00C854F5"/>
    <w:rsid w:val="00C85E77"/>
    <w:rsid w:val="00C866FD"/>
    <w:rsid w:val="00C86D90"/>
    <w:rsid w:val="00C872C5"/>
    <w:rsid w:val="00C8748F"/>
    <w:rsid w:val="00C87FB8"/>
    <w:rsid w:val="00C900DA"/>
    <w:rsid w:val="00C91347"/>
    <w:rsid w:val="00C91A52"/>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3875"/>
    <w:rsid w:val="00CA43EB"/>
    <w:rsid w:val="00CA450E"/>
    <w:rsid w:val="00CA475B"/>
    <w:rsid w:val="00CA4819"/>
    <w:rsid w:val="00CA49A3"/>
    <w:rsid w:val="00CA600B"/>
    <w:rsid w:val="00CA6C41"/>
    <w:rsid w:val="00CA709C"/>
    <w:rsid w:val="00CB12FB"/>
    <w:rsid w:val="00CB15FE"/>
    <w:rsid w:val="00CB1F59"/>
    <w:rsid w:val="00CB4589"/>
    <w:rsid w:val="00CB54F0"/>
    <w:rsid w:val="00CB60C9"/>
    <w:rsid w:val="00CB62C0"/>
    <w:rsid w:val="00CB6D24"/>
    <w:rsid w:val="00CB6F39"/>
    <w:rsid w:val="00CB795F"/>
    <w:rsid w:val="00CC01ED"/>
    <w:rsid w:val="00CC0486"/>
    <w:rsid w:val="00CC0B67"/>
    <w:rsid w:val="00CC2A06"/>
    <w:rsid w:val="00CC2C3A"/>
    <w:rsid w:val="00CC36A5"/>
    <w:rsid w:val="00CC4867"/>
    <w:rsid w:val="00CC5AB0"/>
    <w:rsid w:val="00CC6371"/>
    <w:rsid w:val="00CC6AFF"/>
    <w:rsid w:val="00CC6B19"/>
    <w:rsid w:val="00CC7810"/>
    <w:rsid w:val="00CC7ED8"/>
    <w:rsid w:val="00CC7F08"/>
    <w:rsid w:val="00CD1BF3"/>
    <w:rsid w:val="00CD3382"/>
    <w:rsid w:val="00CD4E67"/>
    <w:rsid w:val="00CD65DB"/>
    <w:rsid w:val="00CD6D33"/>
    <w:rsid w:val="00CE0085"/>
    <w:rsid w:val="00CE0472"/>
    <w:rsid w:val="00CE132D"/>
    <w:rsid w:val="00CE179F"/>
    <w:rsid w:val="00CE2193"/>
    <w:rsid w:val="00CE2B6C"/>
    <w:rsid w:val="00CE2C1A"/>
    <w:rsid w:val="00CE3F53"/>
    <w:rsid w:val="00CE4134"/>
    <w:rsid w:val="00CE4AD0"/>
    <w:rsid w:val="00CE558E"/>
    <w:rsid w:val="00CE5774"/>
    <w:rsid w:val="00CE69FA"/>
    <w:rsid w:val="00CE7933"/>
    <w:rsid w:val="00CF164C"/>
    <w:rsid w:val="00CF2C6F"/>
    <w:rsid w:val="00CF4131"/>
    <w:rsid w:val="00CF5085"/>
    <w:rsid w:val="00CF5FDC"/>
    <w:rsid w:val="00CF6DB4"/>
    <w:rsid w:val="00CF7058"/>
    <w:rsid w:val="00D00382"/>
    <w:rsid w:val="00D0086A"/>
    <w:rsid w:val="00D02EF1"/>
    <w:rsid w:val="00D05719"/>
    <w:rsid w:val="00D07A8D"/>
    <w:rsid w:val="00D1024D"/>
    <w:rsid w:val="00D106CD"/>
    <w:rsid w:val="00D11F5B"/>
    <w:rsid w:val="00D120BF"/>
    <w:rsid w:val="00D126BC"/>
    <w:rsid w:val="00D143EC"/>
    <w:rsid w:val="00D1469B"/>
    <w:rsid w:val="00D14D9E"/>
    <w:rsid w:val="00D15792"/>
    <w:rsid w:val="00D1741D"/>
    <w:rsid w:val="00D174C3"/>
    <w:rsid w:val="00D17D15"/>
    <w:rsid w:val="00D17E55"/>
    <w:rsid w:val="00D20CE7"/>
    <w:rsid w:val="00D20E25"/>
    <w:rsid w:val="00D2179B"/>
    <w:rsid w:val="00D22699"/>
    <w:rsid w:val="00D2316C"/>
    <w:rsid w:val="00D23531"/>
    <w:rsid w:val="00D24D0C"/>
    <w:rsid w:val="00D24FF4"/>
    <w:rsid w:val="00D30A84"/>
    <w:rsid w:val="00D30CBA"/>
    <w:rsid w:val="00D322BC"/>
    <w:rsid w:val="00D323B5"/>
    <w:rsid w:val="00D327B7"/>
    <w:rsid w:val="00D33ED1"/>
    <w:rsid w:val="00D3564F"/>
    <w:rsid w:val="00D36298"/>
    <w:rsid w:val="00D36333"/>
    <w:rsid w:val="00D364CF"/>
    <w:rsid w:val="00D37C36"/>
    <w:rsid w:val="00D4187B"/>
    <w:rsid w:val="00D42256"/>
    <w:rsid w:val="00D428B3"/>
    <w:rsid w:val="00D42993"/>
    <w:rsid w:val="00D42D32"/>
    <w:rsid w:val="00D43AEF"/>
    <w:rsid w:val="00D43E58"/>
    <w:rsid w:val="00D44839"/>
    <w:rsid w:val="00D44D21"/>
    <w:rsid w:val="00D456C4"/>
    <w:rsid w:val="00D459CF"/>
    <w:rsid w:val="00D45C29"/>
    <w:rsid w:val="00D46A7B"/>
    <w:rsid w:val="00D47F72"/>
    <w:rsid w:val="00D50C9B"/>
    <w:rsid w:val="00D52C68"/>
    <w:rsid w:val="00D549BF"/>
    <w:rsid w:val="00D551E1"/>
    <w:rsid w:val="00D55368"/>
    <w:rsid w:val="00D55763"/>
    <w:rsid w:val="00D5708A"/>
    <w:rsid w:val="00D576B5"/>
    <w:rsid w:val="00D57849"/>
    <w:rsid w:val="00D579C5"/>
    <w:rsid w:val="00D57C87"/>
    <w:rsid w:val="00D60439"/>
    <w:rsid w:val="00D606C2"/>
    <w:rsid w:val="00D6199A"/>
    <w:rsid w:val="00D62AB4"/>
    <w:rsid w:val="00D63346"/>
    <w:rsid w:val="00D634BA"/>
    <w:rsid w:val="00D64036"/>
    <w:rsid w:val="00D6661E"/>
    <w:rsid w:val="00D6714F"/>
    <w:rsid w:val="00D70BF5"/>
    <w:rsid w:val="00D70EB2"/>
    <w:rsid w:val="00D7134E"/>
    <w:rsid w:val="00D715EF"/>
    <w:rsid w:val="00D720BB"/>
    <w:rsid w:val="00D729FE"/>
    <w:rsid w:val="00D75924"/>
    <w:rsid w:val="00D75B1D"/>
    <w:rsid w:val="00D75DD0"/>
    <w:rsid w:val="00D7602E"/>
    <w:rsid w:val="00D76996"/>
    <w:rsid w:val="00D76A6D"/>
    <w:rsid w:val="00D77A0B"/>
    <w:rsid w:val="00D77C45"/>
    <w:rsid w:val="00D81071"/>
    <w:rsid w:val="00D81ED6"/>
    <w:rsid w:val="00D82879"/>
    <w:rsid w:val="00D83B82"/>
    <w:rsid w:val="00D85562"/>
    <w:rsid w:val="00D85D3F"/>
    <w:rsid w:val="00D87479"/>
    <w:rsid w:val="00D90A20"/>
    <w:rsid w:val="00D9150D"/>
    <w:rsid w:val="00D91727"/>
    <w:rsid w:val="00D92B39"/>
    <w:rsid w:val="00D92B42"/>
    <w:rsid w:val="00D939C1"/>
    <w:rsid w:val="00D961F2"/>
    <w:rsid w:val="00D964B6"/>
    <w:rsid w:val="00D97687"/>
    <w:rsid w:val="00D9775E"/>
    <w:rsid w:val="00DA0638"/>
    <w:rsid w:val="00DA1610"/>
    <w:rsid w:val="00DA1A11"/>
    <w:rsid w:val="00DA1BEF"/>
    <w:rsid w:val="00DA25AA"/>
    <w:rsid w:val="00DA28A8"/>
    <w:rsid w:val="00DA2D67"/>
    <w:rsid w:val="00DA3143"/>
    <w:rsid w:val="00DA4EAE"/>
    <w:rsid w:val="00DA6683"/>
    <w:rsid w:val="00DA6854"/>
    <w:rsid w:val="00DA6D4F"/>
    <w:rsid w:val="00DA6FB4"/>
    <w:rsid w:val="00DA7AC3"/>
    <w:rsid w:val="00DA7B65"/>
    <w:rsid w:val="00DB03C6"/>
    <w:rsid w:val="00DB10A8"/>
    <w:rsid w:val="00DB22B0"/>
    <w:rsid w:val="00DB4961"/>
    <w:rsid w:val="00DB4C98"/>
    <w:rsid w:val="00DB54D0"/>
    <w:rsid w:val="00DB584E"/>
    <w:rsid w:val="00DB69D9"/>
    <w:rsid w:val="00DC16AF"/>
    <w:rsid w:val="00DC32EC"/>
    <w:rsid w:val="00DC4099"/>
    <w:rsid w:val="00DC4790"/>
    <w:rsid w:val="00DC6737"/>
    <w:rsid w:val="00DC6923"/>
    <w:rsid w:val="00DC71D5"/>
    <w:rsid w:val="00DC7A49"/>
    <w:rsid w:val="00DD051E"/>
    <w:rsid w:val="00DD05B3"/>
    <w:rsid w:val="00DD0BA0"/>
    <w:rsid w:val="00DD0D2C"/>
    <w:rsid w:val="00DD0F20"/>
    <w:rsid w:val="00DD1046"/>
    <w:rsid w:val="00DD12A1"/>
    <w:rsid w:val="00DD3B26"/>
    <w:rsid w:val="00DD53A9"/>
    <w:rsid w:val="00DD7B40"/>
    <w:rsid w:val="00DE117E"/>
    <w:rsid w:val="00DE1987"/>
    <w:rsid w:val="00DE1EF9"/>
    <w:rsid w:val="00DE2A71"/>
    <w:rsid w:val="00DE3294"/>
    <w:rsid w:val="00DE36CF"/>
    <w:rsid w:val="00DE42BA"/>
    <w:rsid w:val="00DE50C2"/>
    <w:rsid w:val="00DE566F"/>
    <w:rsid w:val="00DE5DF9"/>
    <w:rsid w:val="00DE5E0C"/>
    <w:rsid w:val="00DF0134"/>
    <w:rsid w:val="00DF0728"/>
    <w:rsid w:val="00DF1ADC"/>
    <w:rsid w:val="00DF20CF"/>
    <w:rsid w:val="00DF2249"/>
    <w:rsid w:val="00DF2347"/>
    <w:rsid w:val="00DF2C5D"/>
    <w:rsid w:val="00DF30D5"/>
    <w:rsid w:val="00DF363A"/>
    <w:rsid w:val="00DF4173"/>
    <w:rsid w:val="00DF4488"/>
    <w:rsid w:val="00DF53E8"/>
    <w:rsid w:val="00DF61C8"/>
    <w:rsid w:val="00DF6323"/>
    <w:rsid w:val="00DF6B26"/>
    <w:rsid w:val="00DF744E"/>
    <w:rsid w:val="00E00258"/>
    <w:rsid w:val="00E005BD"/>
    <w:rsid w:val="00E0068F"/>
    <w:rsid w:val="00E01B7C"/>
    <w:rsid w:val="00E039DE"/>
    <w:rsid w:val="00E054BA"/>
    <w:rsid w:val="00E05967"/>
    <w:rsid w:val="00E06F9F"/>
    <w:rsid w:val="00E1099E"/>
    <w:rsid w:val="00E10D03"/>
    <w:rsid w:val="00E10D3F"/>
    <w:rsid w:val="00E1129E"/>
    <w:rsid w:val="00E120DB"/>
    <w:rsid w:val="00E121DD"/>
    <w:rsid w:val="00E14015"/>
    <w:rsid w:val="00E15A7E"/>
    <w:rsid w:val="00E160CA"/>
    <w:rsid w:val="00E1675C"/>
    <w:rsid w:val="00E16977"/>
    <w:rsid w:val="00E16BE1"/>
    <w:rsid w:val="00E16C05"/>
    <w:rsid w:val="00E17DAB"/>
    <w:rsid w:val="00E20209"/>
    <w:rsid w:val="00E20628"/>
    <w:rsid w:val="00E2103B"/>
    <w:rsid w:val="00E2150D"/>
    <w:rsid w:val="00E223BE"/>
    <w:rsid w:val="00E22A07"/>
    <w:rsid w:val="00E235C3"/>
    <w:rsid w:val="00E253F7"/>
    <w:rsid w:val="00E26003"/>
    <w:rsid w:val="00E26712"/>
    <w:rsid w:val="00E273FF"/>
    <w:rsid w:val="00E27B91"/>
    <w:rsid w:val="00E306E7"/>
    <w:rsid w:val="00E3087C"/>
    <w:rsid w:val="00E30E1D"/>
    <w:rsid w:val="00E30FE2"/>
    <w:rsid w:val="00E335C8"/>
    <w:rsid w:val="00E341F0"/>
    <w:rsid w:val="00E35412"/>
    <w:rsid w:val="00E373F4"/>
    <w:rsid w:val="00E37BA9"/>
    <w:rsid w:val="00E37F9B"/>
    <w:rsid w:val="00E4032A"/>
    <w:rsid w:val="00E40E10"/>
    <w:rsid w:val="00E41684"/>
    <w:rsid w:val="00E42411"/>
    <w:rsid w:val="00E42C8A"/>
    <w:rsid w:val="00E436F2"/>
    <w:rsid w:val="00E43965"/>
    <w:rsid w:val="00E43E3B"/>
    <w:rsid w:val="00E43FC3"/>
    <w:rsid w:val="00E4452C"/>
    <w:rsid w:val="00E450D5"/>
    <w:rsid w:val="00E4582E"/>
    <w:rsid w:val="00E46611"/>
    <w:rsid w:val="00E46AB8"/>
    <w:rsid w:val="00E473B3"/>
    <w:rsid w:val="00E50E8D"/>
    <w:rsid w:val="00E51CC8"/>
    <w:rsid w:val="00E51F1C"/>
    <w:rsid w:val="00E53F1A"/>
    <w:rsid w:val="00E54185"/>
    <w:rsid w:val="00E5444F"/>
    <w:rsid w:val="00E54EA2"/>
    <w:rsid w:val="00E55ABA"/>
    <w:rsid w:val="00E57CA7"/>
    <w:rsid w:val="00E61C5E"/>
    <w:rsid w:val="00E61EC0"/>
    <w:rsid w:val="00E62415"/>
    <w:rsid w:val="00E62B36"/>
    <w:rsid w:val="00E62DF5"/>
    <w:rsid w:val="00E63BDC"/>
    <w:rsid w:val="00E647C8"/>
    <w:rsid w:val="00E6612E"/>
    <w:rsid w:val="00E66A96"/>
    <w:rsid w:val="00E67497"/>
    <w:rsid w:val="00E67C82"/>
    <w:rsid w:val="00E702CE"/>
    <w:rsid w:val="00E70F0A"/>
    <w:rsid w:val="00E71844"/>
    <w:rsid w:val="00E731D7"/>
    <w:rsid w:val="00E7371B"/>
    <w:rsid w:val="00E73765"/>
    <w:rsid w:val="00E74350"/>
    <w:rsid w:val="00E74385"/>
    <w:rsid w:val="00E74ACE"/>
    <w:rsid w:val="00E7677D"/>
    <w:rsid w:val="00E76B04"/>
    <w:rsid w:val="00E77539"/>
    <w:rsid w:val="00E77C06"/>
    <w:rsid w:val="00E80D04"/>
    <w:rsid w:val="00E831F7"/>
    <w:rsid w:val="00E835D7"/>
    <w:rsid w:val="00E855E0"/>
    <w:rsid w:val="00E860B7"/>
    <w:rsid w:val="00E8780D"/>
    <w:rsid w:val="00E91C55"/>
    <w:rsid w:val="00E9221F"/>
    <w:rsid w:val="00E92644"/>
    <w:rsid w:val="00E94499"/>
    <w:rsid w:val="00E947B8"/>
    <w:rsid w:val="00E95959"/>
    <w:rsid w:val="00E95DB8"/>
    <w:rsid w:val="00E95E3B"/>
    <w:rsid w:val="00E97527"/>
    <w:rsid w:val="00EA0536"/>
    <w:rsid w:val="00EA186C"/>
    <w:rsid w:val="00EA1A58"/>
    <w:rsid w:val="00EA1BC5"/>
    <w:rsid w:val="00EA46A8"/>
    <w:rsid w:val="00EA5A9E"/>
    <w:rsid w:val="00EA6556"/>
    <w:rsid w:val="00EA6842"/>
    <w:rsid w:val="00EA6D25"/>
    <w:rsid w:val="00EA7737"/>
    <w:rsid w:val="00EA7E9B"/>
    <w:rsid w:val="00EB1B80"/>
    <w:rsid w:val="00EB4C26"/>
    <w:rsid w:val="00EB5127"/>
    <w:rsid w:val="00EB53F2"/>
    <w:rsid w:val="00EB7803"/>
    <w:rsid w:val="00EC0295"/>
    <w:rsid w:val="00EC0454"/>
    <w:rsid w:val="00EC19FA"/>
    <w:rsid w:val="00EC1F39"/>
    <w:rsid w:val="00EC2948"/>
    <w:rsid w:val="00EC50CD"/>
    <w:rsid w:val="00EC5F86"/>
    <w:rsid w:val="00ED0940"/>
    <w:rsid w:val="00ED16A4"/>
    <w:rsid w:val="00ED25CE"/>
    <w:rsid w:val="00ED2FF6"/>
    <w:rsid w:val="00ED3A55"/>
    <w:rsid w:val="00ED402C"/>
    <w:rsid w:val="00ED511B"/>
    <w:rsid w:val="00ED7DD7"/>
    <w:rsid w:val="00EE0ACF"/>
    <w:rsid w:val="00EE1418"/>
    <w:rsid w:val="00EE14BE"/>
    <w:rsid w:val="00EE22E3"/>
    <w:rsid w:val="00EE2ED0"/>
    <w:rsid w:val="00EE37DE"/>
    <w:rsid w:val="00EE526C"/>
    <w:rsid w:val="00EE67C5"/>
    <w:rsid w:val="00EF18EF"/>
    <w:rsid w:val="00EF2631"/>
    <w:rsid w:val="00EF4031"/>
    <w:rsid w:val="00EF45CE"/>
    <w:rsid w:val="00EF4C71"/>
    <w:rsid w:val="00EF695C"/>
    <w:rsid w:val="00EF6BB7"/>
    <w:rsid w:val="00EF7B6B"/>
    <w:rsid w:val="00F00984"/>
    <w:rsid w:val="00F01FF7"/>
    <w:rsid w:val="00F05908"/>
    <w:rsid w:val="00F10305"/>
    <w:rsid w:val="00F1076B"/>
    <w:rsid w:val="00F10D71"/>
    <w:rsid w:val="00F11B9B"/>
    <w:rsid w:val="00F11D20"/>
    <w:rsid w:val="00F120D0"/>
    <w:rsid w:val="00F1363A"/>
    <w:rsid w:val="00F13E0D"/>
    <w:rsid w:val="00F1556E"/>
    <w:rsid w:val="00F15DFF"/>
    <w:rsid w:val="00F17404"/>
    <w:rsid w:val="00F20538"/>
    <w:rsid w:val="00F20B6E"/>
    <w:rsid w:val="00F20FF5"/>
    <w:rsid w:val="00F22611"/>
    <w:rsid w:val="00F22A93"/>
    <w:rsid w:val="00F2377C"/>
    <w:rsid w:val="00F248EC"/>
    <w:rsid w:val="00F24962"/>
    <w:rsid w:val="00F24BCF"/>
    <w:rsid w:val="00F24C64"/>
    <w:rsid w:val="00F2639B"/>
    <w:rsid w:val="00F271F4"/>
    <w:rsid w:val="00F276EE"/>
    <w:rsid w:val="00F31569"/>
    <w:rsid w:val="00F3255F"/>
    <w:rsid w:val="00F33271"/>
    <w:rsid w:val="00F3510E"/>
    <w:rsid w:val="00F35B8D"/>
    <w:rsid w:val="00F35C4E"/>
    <w:rsid w:val="00F37106"/>
    <w:rsid w:val="00F37176"/>
    <w:rsid w:val="00F373DC"/>
    <w:rsid w:val="00F37EF3"/>
    <w:rsid w:val="00F403D6"/>
    <w:rsid w:val="00F40782"/>
    <w:rsid w:val="00F422EF"/>
    <w:rsid w:val="00F42894"/>
    <w:rsid w:val="00F43E26"/>
    <w:rsid w:val="00F4532B"/>
    <w:rsid w:val="00F45CF2"/>
    <w:rsid w:val="00F470EA"/>
    <w:rsid w:val="00F47B25"/>
    <w:rsid w:val="00F47FE0"/>
    <w:rsid w:val="00F506AE"/>
    <w:rsid w:val="00F51346"/>
    <w:rsid w:val="00F5235B"/>
    <w:rsid w:val="00F533DD"/>
    <w:rsid w:val="00F54947"/>
    <w:rsid w:val="00F54E80"/>
    <w:rsid w:val="00F54F7B"/>
    <w:rsid w:val="00F55CD7"/>
    <w:rsid w:val="00F55FB0"/>
    <w:rsid w:val="00F560DC"/>
    <w:rsid w:val="00F56916"/>
    <w:rsid w:val="00F56925"/>
    <w:rsid w:val="00F56AD0"/>
    <w:rsid w:val="00F56CB1"/>
    <w:rsid w:val="00F6037F"/>
    <w:rsid w:val="00F626C2"/>
    <w:rsid w:val="00F630EF"/>
    <w:rsid w:val="00F63F85"/>
    <w:rsid w:val="00F65819"/>
    <w:rsid w:val="00F66865"/>
    <w:rsid w:val="00F67003"/>
    <w:rsid w:val="00F67A6B"/>
    <w:rsid w:val="00F71634"/>
    <w:rsid w:val="00F7244F"/>
    <w:rsid w:val="00F72962"/>
    <w:rsid w:val="00F72D23"/>
    <w:rsid w:val="00F73423"/>
    <w:rsid w:val="00F743D8"/>
    <w:rsid w:val="00F74560"/>
    <w:rsid w:val="00F74CB0"/>
    <w:rsid w:val="00F75495"/>
    <w:rsid w:val="00F7639C"/>
    <w:rsid w:val="00F765EB"/>
    <w:rsid w:val="00F767E2"/>
    <w:rsid w:val="00F773A0"/>
    <w:rsid w:val="00F77884"/>
    <w:rsid w:val="00F81AC0"/>
    <w:rsid w:val="00F81CE4"/>
    <w:rsid w:val="00F822BA"/>
    <w:rsid w:val="00F85A04"/>
    <w:rsid w:val="00F85DD2"/>
    <w:rsid w:val="00F8673B"/>
    <w:rsid w:val="00F901AD"/>
    <w:rsid w:val="00F908F8"/>
    <w:rsid w:val="00F92442"/>
    <w:rsid w:val="00F92574"/>
    <w:rsid w:val="00F926C8"/>
    <w:rsid w:val="00F939DB"/>
    <w:rsid w:val="00F9463A"/>
    <w:rsid w:val="00F95301"/>
    <w:rsid w:val="00F95FC9"/>
    <w:rsid w:val="00F964B0"/>
    <w:rsid w:val="00F973F0"/>
    <w:rsid w:val="00F97B52"/>
    <w:rsid w:val="00F97D2D"/>
    <w:rsid w:val="00FA0248"/>
    <w:rsid w:val="00FA05A4"/>
    <w:rsid w:val="00FA151E"/>
    <w:rsid w:val="00FA2F87"/>
    <w:rsid w:val="00FA308C"/>
    <w:rsid w:val="00FA30C2"/>
    <w:rsid w:val="00FA31D8"/>
    <w:rsid w:val="00FA5EA3"/>
    <w:rsid w:val="00FA63B6"/>
    <w:rsid w:val="00FA662C"/>
    <w:rsid w:val="00FA6958"/>
    <w:rsid w:val="00FA7135"/>
    <w:rsid w:val="00FA784C"/>
    <w:rsid w:val="00FB0079"/>
    <w:rsid w:val="00FB06E1"/>
    <w:rsid w:val="00FB0CA2"/>
    <w:rsid w:val="00FB127B"/>
    <w:rsid w:val="00FB1A25"/>
    <w:rsid w:val="00FB341B"/>
    <w:rsid w:val="00FB410E"/>
    <w:rsid w:val="00FB4A9E"/>
    <w:rsid w:val="00FB543A"/>
    <w:rsid w:val="00FB5976"/>
    <w:rsid w:val="00FB66AB"/>
    <w:rsid w:val="00FB6912"/>
    <w:rsid w:val="00FC00DD"/>
    <w:rsid w:val="00FC0A72"/>
    <w:rsid w:val="00FC1247"/>
    <w:rsid w:val="00FC13E2"/>
    <w:rsid w:val="00FC14D9"/>
    <w:rsid w:val="00FC1C66"/>
    <w:rsid w:val="00FC27D4"/>
    <w:rsid w:val="00FC3CD4"/>
    <w:rsid w:val="00FC4E2A"/>
    <w:rsid w:val="00FC6822"/>
    <w:rsid w:val="00FC6E2F"/>
    <w:rsid w:val="00FC6F4F"/>
    <w:rsid w:val="00FD0604"/>
    <w:rsid w:val="00FD1B30"/>
    <w:rsid w:val="00FD3D3E"/>
    <w:rsid w:val="00FD4787"/>
    <w:rsid w:val="00FD4975"/>
    <w:rsid w:val="00FD5051"/>
    <w:rsid w:val="00FD522D"/>
    <w:rsid w:val="00FD5958"/>
    <w:rsid w:val="00FD5A0F"/>
    <w:rsid w:val="00FD756D"/>
    <w:rsid w:val="00FD7972"/>
    <w:rsid w:val="00FD79EA"/>
    <w:rsid w:val="00FE059A"/>
    <w:rsid w:val="00FE0781"/>
    <w:rsid w:val="00FE2022"/>
    <w:rsid w:val="00FE29AF"/>
    <w:rsid w:val="00FE36B7"/>
    <w:rsid w:val="00FE395C"/>
    <w:rsid w:val="00FE3DE9"/>
    <w:rsid w:val="00FE54AE"/>
    <w:rsid w:val="00FF1061"/>
    <w:rsid w:val="00FF1E56"/>
    <w:rsid w:val="00FF2122"/>
    <w:rsid w:val="00FF2339"/>
    <w:rsid w:val="00FF2430"/>
    <w:rsid w:val="00FF26B9"/>
    <w:rsid w:val="00FF33AA"/>
    <w:rsid w:val="00FF371D"/>
    <w:rsid w:val="00FF49E0"/>
    <w:rsid w:val="00FF4A81"/>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C154EB"/>
  <w15:docId w15:val="{468E130D-0B8C-4229-87F5-AF2CA728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List Paragraph1,List Paragraph11,List Paragraph2,AR bullet 1,Bullet Point,L,Bullet points,Content descriptions,Bullet Points,bullet point list,NFP GP Bulleted List,FooterText,numbered,Paragraphe de liste1,列出段落,列出段落1,リスト段落1"/>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paragraph" w:customStyle="1" w:styleId="Tabletextjustified0">
    <w:name w:val="Table text justified"/>
    <w:basedOn w:val="Normal"/>
    <w:semiHidden/>
    <w:rsid w:val="005E5E0C"/>
    <w:pPr>
      <w:spacing w:before="100" w:after="100" w:line="250" w:lineRule="exact"/>
      <w:jc w:val="left"/>
    </w:pPr>
    <w:rPr>
      <w:rFonts w:ascii="Arial" w:hAnsi="Arial" w:cs="Arial"/>
      <w:sz w:val="18"/>
    </w:rPr>
  </w:style>
  <w:style w:type="character" w:customStyle="1" w:styleId="Heading1Char">
    <w:name w:val="Heading 1 Char"/>
    <w:link w:val="Heading1"/>
    <w:rsid w:val="0074305F"/>
    <w:rPr>
      <w:rFonts w:ascii="Arial" w:hAnsi="Arial"/>
      <w:b/>
      <w:smallCaps/>
      <w:kern w:val="28"/>
      <w:sz w:val="34"/>
    </w:rPr>
  </w:style>
  <w:style w:type="paragraph" w:customStyle="1" w:styleId="ASEANormaltext">
    <w:name w:val="ASEA Normal text"/>
    <w:basedOn w:val="Normal"/>
    <w:link w:val="ASEANormaltextChar"/>
    <w:qFormat/>
    <w:rsid w:val="0074305F"/>
    <w:pPr>
      <w:spacing w:before="120" w:line="276" w:lineRule="auto"/>
      <w:jc w:val="left"/>
    </w:pPr>
    <w:rPr>
      <w:rFonts w:ascii="Arial" w:eastAsiaTheme="minorHAnsi" w:hAnsi="Arial" w:cstheme="minorHAnsi"/>
      <w:szCs w:val="22"/>
    </w:rPr>
  </w:style>
  <w:style w:type="character" w:customStyle="1" w:styleId="ASEANormaltextChar">
    <w:name w:val="ASEA Normal text Char"/>
    <w:basedOn w:val="DefaultParagraphFont"/>
    <w:link w:val="ASEANormaltext"/>
    <w:rsid w:val="0074305F"/>
    <w:rPr>
      <w:rFonts w:ascii="Arial" w:eastAsiaTheme="minorHAnsi" w:hAnsi="Arial" w:cstheme="minorHAnsi"/>
      <w:szCs w:val="22"/>
    </w:rPr>
  </w:style>
  <w:style w:type="paragraph" w:customStyle="1" w:styleId="Default">
    <w:name w:val="Default"/>
    <w:rsid w:val="003E1107"/>
    <w:pPr>
      <w:autoSpaceDE w:val="0"/>
      <w:autoSpaceDN w:val="0"/>
      <w:adjustRightInd w:val="0"/>
    </w:pPr>
    <w:rPr>
      <w:rFonts w:ascii="Arial" w:hAnsi="Arial" w:cs="Arial"/>
      <w:color w:val="000000"/>
      <w:sz w:val="24"/>
      <w:szCs w:val="24"/>
    </w:rPr>
  </w:style>
  <w:style w:type="paragraph" w:customStyle="1" w:styleId="Bullet1">
    <w:name w:val="Bullet 1"/>
    <w:basedOn w:val="Normal"/>
    <w:qFormat/>
    <w:rsid w:val="00DC71D5"/>
    <w:pPr>
      <w:numPr>
        <w:numId w:val="21"/>
      </w:numPr>
      <w:spacing w:after="120" w:line="240" w:lineRule="auto"/>
      <w:jc w:val="left"/>
    </w:pPr>
    <w:rPr>
      <w:rFonts w:ascii="Calibri" w:eastAsia="Calibri" w:hAnsi="Calibri"/>
      <w:iCs/>
      <w:sz w:val="22"/>
      <w:lang w:eastAsia="en-US"/>
    </w:rPr>
  </w:style>
  <w:style w:type="paragraph" w:customStyle="1" w:styleId="Tabletext">
    <w:name w:val="Table text"/>
    <w:basedOn w:val="Normal"/>
    <w:qFormat/>
    <w:rsid w:val="002234AB"/>
    <w:pPr>
      <w:spacing w:before="60" w:after="60" w:line="240" w:lineRule="auto"/>
      <w:jc w:val="left"/>
    </w:pPr>
    <w:rPr>
      <w:rFonts w:ascii="Calibri" w:eastAsia="Cambria" w:hAnsi="Calibri"/>
      <w:color w:val="4A4848"/>
      <w:sz w:val="22"/>
      <w:szCs w:val="22"/>
      <w:lang w:eastAsia="en-US"/>
    </w:rPr>
  </w:style>
  <w:style w:type="character" w:customStyle="1" w:styleId="FootnoteTextChar">
    <w:name w:val="Footnote Text Char"/>
    <w:link w:val="FootnoteText"/>
    <w:rsid w:val="00946D33"/>
    <w:rPr>
      <w:rFonts w:ascii="Book Antiqua" w:hAnsi="Book Antiqua"/>
      <w:sz w:val="18"/>
    </w:rPr>
  </w:style>
  <w:style w:type="character" w:customStyle="1" w:styleId="Heading5Char">
    <w:name w:val="Heading 5 Char"/>
    <w:link w:val="Heading5"/>
    <w:rsid w:val="00946D33"/>
    <w:rPr>
      <w:rFonts w:ascii="Arial" w:hAnsi="Arial"/>
      <w:b/>
      <w:bCs/>
      <w:iCs/>
      <w:szCs w:val="26"/>
    </w:rPr>
  </w:style>
  <w:style w:type="character" w:customStyle="1" w:styleId="Heading4Char">
    <w:name w:val="Heading 4 Char"/>
    <w:link w:val="Heading4"/>
    <w:rsid w:val="00D939C1"/>
    <w:rPr>
      <w:rFonts w:ascii="Arial" w:hAnsi="Arial"/>
      <w:b/>
      <w:sz w:val="22"/>
    </w:rPr>
  </w:style>
  <w:style w:type="paragraph" w:styleId="NormalWeb">
    <w:name w:val="Normal (Web)"/>
    <w:basedOn w:val="Normal"/>
    <w:uiPriority w:val="99"/>
    <w:semiHidden/>
    <w:unhideWhenUsed/>
    <w:rsid w:val="00D77A0B"/>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665B04"/>
    <w:pPr>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kern w:val="0"/>
      <w:sz w:val="32"/>
      <w:szCs w:val="32"/>
      <w:lang w:val="en-US" w:eastAsia="en-US"/>
    </w:r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bullet point list Char,FooterText Char"/>
    <w:link w:val="ListParagraph"/>
    <w:uiPriority w:val="1"/>
    <w:rsid w:val="00A84C4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366">
      <w:bodyDiv w:val="1"/>
      <w:marLeft w:val="0"/>
      <w:marRight w:val="0"/>
      <w:marTop w:val="0"/>
      <w:marBottom w:val="0"/>
      <w:divBdr>
        <w:top w:val="none" w:sz="0" w:space="0" w:color="auto"/>
        <w:left w:val="none" w:sz="0" w:space="0" w:color="auto"/>
        <w:bottom w:val="none" w:sz="0" w:space="0" w:color="auto"/>
        <w:right w:val="none" w:sz="0" w:space="0" w:color="auto"/>
      </w:divBdr>
    </w:div>
    <w:div w:id="17123057">
      <w:bodyDiv w:val="1"/>
      <w:marLeft w:val="0"/>
      <w:marRight w:val="0"/>
      <w:marTop w:val="0"/>
      <w:marBottom w:val="0"/>
      <w:divBdr>
        <w:top w:val="none" w:sz="0" w:space="0" w:color="auto"/>
        <w:left w:val="none" w:sz="0" w:space="0" w:color="auto"/>
        <w:bottom w:val="none" w:sz="0" w:space="0" w:color="auto"/>
        <w:right w:val="none" w:sz="0" w:space="0" w:color="auto"/>
      </w:divBdr>
    </w:div>
    <w:div w:id="23752825">
      <w:bodyDiv w:val="1"/>
      <w:marLeft w:val="0"/>
      <w:marRight w:val="0"/>
      <w:marTop w:val="0"/>
      <w:marBottom w:val="0"/>
      <w:divBdr>
        <w:top w:val="none" w:sz="0" w:space="0" w:color="auto"/>
        <w:left w:val="none" w:sz="0" w:space="0" w:color="auto"/>
        <w:bottom w:val="none" w:sz="0" w:space="0" w:color="auto"/>
        <w:right w:val="none" w:sz="0" w:space="0" w:color="auto"/>
      </w:divBdr>
    </w:div>
    <w:div w:id="29574022">
      <w:bodyDiv w:val="1"/>
      <w:marLeft w:val="0"/>
      <w:marRight w:val="0"/>
      <w:marTop w:val="0"/>
      <w:marBottom w:val="0"/>
      <w:divBdr>
        <w:top w:val="none" w:sz="0" w:space="0" w:color="auto"/>
        <w:left w:val="none" w:sz="0" w:space="0" w:color="auto"/>
        <w:bottom w:val="none" w:sz="0" w:space="0" w:color="auto"/>
        <w:right w:val="none" w:sz="0" w:space="0" w:color="auto"/>
      </w:divBdr>
    </w:div>
    <w:div w:id="29772206">
      <w:bodyDiv w:val="1"/>
      <w:marLeft w:val="0"/>
      <w:marRight w:val="0"/>
      <w:marTop w:val="0"/>
      <w:marBottom w:val="0"/>
      <w:divBdr>
        <w:top w:val="none" w:sz="0" w:space="0" w:color="auto"/>
        <w:left w:val="none" w:sz="0" w:space="0" w:color="auto"/>
        <w:bottom w:val="none" w:sz="0" w:space="0" w:color="auto"/>
        <w:right w:val="none" w:sz="0" w:space="0" w:color="auto"/>
      </w:divBdr>
    </w:div>
    <w:div w:id="55864969">
      <w:bodyDiv w:val="1"/>
      <w:marLeft w:val="0"/>
      <w:marRight w:val="0"/>
      <w:marTop w:val="0"/>
      <w:marBottom w:val="0"/>
      <w:divBdr>
        <w:top w:val="none" w:sz="0" w:space="0" w:color="auto"/>
        <w:left w:val="none" w:sz="0" w:space="0" w:color="auto"/>
        <w:bottom w:val="none" w:sz="0" w:space="0" w:color="auto"/>
        <w:right w:val="none" w:sz="0" w:space="0" w:color="auto"/>
      </w:divBdr>
    </w:div>
    <w:div w:id="60715351">
      <w:bodyDiv w:val="1"/>
      <w:marLeft w:val="0"/>
      <w:marRight w:val="0"/>
      <w:marTop w:val="0"/>
      <w:marBottom w:val="0"/>
      <w:divBdr>
        <w:top w:val="none" w:sz="0" w:space="0" w:color="auto"/>
        <w:left w:val="none" w:sz="0" w:space="0" w:color="auto"/>
        <w:bottom w:val="none" w:sz="0" w:space="0" w:color="auto"/>
        <w:right w:val="none" w:sz="0" w:space="0" w:color="auto"/>
      </w:divBdr>
    </w:div>
    <w:div w:id="61022934">
      <w:bodyDiv w:val="1"/>
      <w:marLeft w:val="0"/>
      <w:marRight w:val="0"/>
      <w:marTop w:val="0"/>
      <w:marBottom w:val="0"/>
      <w:divBdr>
        <w:top w:val="none" w:sz="0" w:space="0" w:color="auto"/>
        <w:left w:val="none" w:sz="0" w:space="0" w:color="auto"/>
        <w:bottom w:val="none" w:sz="0" w:space="0" w:color="auto"/>
        <w:right w:val="none" w:sz="0" w:space="0" w:color="auto"/>
      </w:divBdr>
    </w:div>
    <w:div w:id="64107526">
      <w:bodyDiv w:val="1"/>
      <w:marLeft w:val="0"/>
      <w:marRight w:val="0"/>
      <w:marTop w:val="0"/>
      <w:marBottom w:val="0"/>
      <w:divBdr>
        <w:top w:val="none" w:sz="0" w:space="0" w:color="auto"/>
        <w:left w:val="none" w:sz="0" w:space="0" w:color="auto"/>
        <w:bottom w:val="none" w:sz="0" w:space="0" w:color="auto"/>
        <w:right w:val="none" w:sz="0" w:space="0" w:color="auto"/>
      </w:divBdr>
    </w:div>
    <w:div w:id="76750648">
      <w:bodyDiv w:val="1"/>
      <w:marLeft w:val="0"/>
      <w:marRight w:val="0"/>
      <w:marTop w:val="0"/>
      <w:marBottom w:val="0"/>
      <w:divBdr>
        <w:top w:val="none" w:sz="0" w:space="0" w:color="auto"/>
        <w:left w:val="none" w:sz="0" w:space="0" w:color="auto"/>
        <w:bottom w:val="none" w:sz="0" w:space="0" w:color="auto"/>
        <w:right w:val="none" w:sz="0" w:space="0" w:color="auto"/>
      </w:divBdr>
    </w:div>
    <w:div w:id="8068066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4909123">
      <w:bodyDiv w:val="1"/>
      <w:marLeft w:val="0"/>
      <w:marRight w:val="0"/>
      <w:marTop w:val="0"/>
      <w:marBottom w:val="0"/>
      <w:divBdr>
        <w:top w:val="none" w:sz="0" w:space="0" w:color="auto"/>
        <w:left w:val="none" w:sz="0" w:space="0" w:color="auto"/>
        <w:bottom w:val="none" w:sz="0" w:space="0" w:color="auto"/>
        <w:right w:val="none" w:sz="0" w:space="0" w:color="auto"/>
      </w:divBdr>
    </w:div>
    <w:div w:id="95836206">
      <w:bodyDiv w:val="1"/>
      <w:marLeft w:val="0"/>
      <w:marRight w:val="0"/>
      <w:marTop w:val="0"/>
      <w:marBottom w:val="0"/>
      <w:divBdr>
        <w:top w:val="none" w:sz="0" w:space="0" w:color="auto"/>
        <w:left w:val="none" w:sz="0" w:space="0" w:color="auto"/>
        <w:bottom w:val="none" w:sz="0" w:space="0" w:color="auto"/>
        <w:right w:val="none" w:sz="0" w:space="0" w:color="auto"/>
      </w:divBdr>
    </w:div>
    <w:div w:id="100346068">
      <w:bodyDiv w:val="1"/>
      <w:marLeft w:val="0"/>
      <w:marRight w:val="0"/>
      <w:marTop w:val="0"/>
      <w:marBottom w:val="0"/>
      <w:divBdr>
        <w:top w:val="none" w:sz="0" w:space="0" w:color="auto"/>
        <w:left w:val="none" w:sz="0" w:space="0" w:color="auto"/>
        <w:bottom w:val="none" w:sz="0" w:space="0" w:color="auto"/>
        <w:right w:val="none" w:sz="0" w:space="0" w:color="auto"/>
      </w:divBdr>
    </w:div>
    <w:div w:id="111949489">
      <w:bodyDiv w:val="1"/>
      <w:marLeft w:val="0"/>
      <w:marRight w:val="0"/>
      <w:marTop w:val="0"/>
      <w:marBottom w:val="0"/>
      <w:divBdr>
        <w:top w:val="none" w:sz="0" w:space="0" w:color="auto"/>
        <w:left w:val="none" w:sz="0" w:space="0" w:color="auto"/>
        <w:bottom w:val="none" w:sz="0" w:space="0" w:color="auto"/>
        <w:right w:val="none" w:sz="0" w:space="0" w:color="auto"/>
      </w:divBdr>
    </w:div>
    <w:div w:id="127431999">
      <w:bodyDiv w:val="1"/>
      <w:marLeft w:val="0"/>
      <w:marRight w:val="0"/>
      <w:marTop w:val="0"/>
      <w:marBottom w:val="0"/>
      <w:divBdr>
        <w:top w:val="none" w:sz="0" w:space="0" w:color="auto"/>
        <w:left w:val="none" w:sz="0" w:space="0" w:color="auto"/>
        <w:bottom w:val="none" w:sz="0" w:space="0" w:color="auto"/>
        <w:right w:val="none" w:sz="0" w:space="0" w:color="auto"/>
      </w:divBdr>
    </w:div>
    <w:div w:id="128478927">
      <w:bodyDiv w:val="1"/>
      <w:marLeft w:val="0"/>
      <w:marRight w:val="0"/>
      <w:marTop w:val="0"/>
      <w:marBottom w:val="0"/>
      <w:divBdr>
        <w:top w:val="none" w:sz="0" w:space="0" w:color="auto"/>
        <w:left w:val="none" w:sz="0" w:space="0" w:color="auto"/>
        <w:bottom w:val="none" w:sz="0" w:space="0" w:color="auto"/>
        <w:right w:val="none" w:sz="0" w:space="0" w:color="auto"/>
      </w:divBdr>
    </w:div>
    <w:div w:id="13522163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1726086">
      <w:bodyDiv w:val="1"/>
      <w:marLeft w:val="0"/>
      <w:marRight w:val="0"/>
      <w:marTop w:val="0"/>
      <w:marBottom w:val="0"/>
      <w:divBdr>
        <w:top w:val="none" w:sz="0" w:space="0" w:color="auto"/>
        <w:left w:val="none" w:sz="0" w:space="0" w:color="auto"/>
        <w:bottom w:val="none" w:sz="0" w:space="0" w:color="auto"/>
        <w:right w:val="none" w:sz="0" w:space="0" w:color="auto"/>
      </w:divBdr>
    </w:div>
    <w:div w:id="176386380">
      <w:bodyDiv w:val="1"/>
      <w:marLeft w:val="0"/>
      <w:marRight w:val="0"/>
      <w:marTop w:val="0"/>
      <w:marBottom w:val="0"/>
      <w:divBdr>
        <w:top w:val="none" w:sz="0" w:space="0" w:color="auto"/>
        <w:left w:val="none" w:sz="0" w:space="0" w:color="auto"/>
        <w:bottom w:val="none" w:sz="0" w:space="0" w:color="auto"/>
        <w:right w:val="none" w:sz="0" w:space="0" w:color="auto"/>
      </w:divBdr>
    </w:div>
    <w:div w:id="207570007">
      <w:bodyDiv w:val="1"/>
      <w:marLeft w:val="0"/>
      <w:marRight w:val="0"/>
      <w:marTop w:val="0"/>
      <w:marBottom w:val="0"/>
      <w:divBdr>
        <w:top w:val="none" w:sz="0" w:space="0" w:color="auto"/>
        <w:left w:val="none" w:sz="0" w:space="0" w:color="auto"/>
        <w:bottom w:val="none" w:sz="0" w:space="0" w:color="auto"/>
        <w:right w:val="none" w:sz="0" w:space="0" w:color="auto"/>
      </w:divBdr>
    </w:div>
    <w:div w:id="213277985">
      <w:bodyDiv w:val="1"/>
      <w:marLeft w:val="0"/>
      <w:marRight w:val="0"/>
      <w:marTop w:val="0"/>
      <w:marBottom w:val="0"/>
      <w:divBdr>
        <w:top w:val="none" w:sz="0" w:space="0" w:color="auto"/>
        <w:left w:val="none" w:sz="0" w:space="0" w:color="auto"/>
        <w:bottom w:val="none" w:sz="0" w:space="0" w:color="auto"/>
        <w:right w:val="none" w:sz="0" w:space="0" w:color="auto"/>
      </w:divBdr>
    </w:div>
    <w:div w:id="215163604">
      <w:bodyDiv w:val="1"/>
      <w:marLeft w:val="0"/>
      <w:marRight w:val="0"/>
      <w:marTop w:val="0"/>
      <w:marBottom w:val="0"/>
      <w:divBdr>
        <w:top w:val="none" w:sz="0" w:space="0" w:color="auto"/>
        <w:left w:val="none" w:sz="0" w:space="0" w:color="auto"/>
        <w:bottom w:val="none" w:sz="0" w:space="0" w:color="auto"/>
        <w:right w:val="none" w:sz="0" w:space="0" w:color="auto"/>
      </w:divBdr>
    </w:div>
    <w:div w:id="22696332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942170">
      <w:bodyDiv w:val="1"/>
      <w:marLeft w:val="0"/>
      <w:marRight w:val="0"/>
      <w:marTop w:val="0"/>
      <w:marBottom w:val="0"/>
      <w:divBdr>
        <w:top w:val="none" w:sz="0" w:space="0" w:color="auto"/>
        <w:left w:val="none" w:sz="0" w:space="0" w:color="auto"/>
        <w:bottom w:val="none" w:sz="0" w:space="0" w:color="auto"/>
        <w:right w:val="none" w:sz="0" w:space="0" w:color="auto"/>
      </w:divBdr>
    </w:div>
    <w:div w:id="268464608">
      <w:bodyDiv w:val="1"/>
      <w:marLeft w:val="0"/>
      <w:marRight w:val="0"/>
      <w:marTop w:val="0"/>
      <w:marBottom w:val="0"/>
      <w:divBdr>
        <w:top w:val="none" w:sz="0" w:space="0" w:color="auto"/>
        <w:left w:val="none" w:sz="0" w:space="0" w:color="auto"/>
        <w:bottom w:val="none" w:sz="0" w:space="0" w:color="auto"/>
        <w:right w:val="none" w:sz="0" w:space="0" w:color="auto"/>
      </w:divBdr>
    </w:div>
    <w:div w:id="270361244">
      <w:bodyDiv w:val="1"/>
      <w:marLeft w:val="0"/>
      <w:marRight w:val="0"/>
      <w:marTop w:val="0"/>
      <w:marBottom w:val="0"/>
      <w:divBdr>
        <w:top w:val="none" w:sz="0" w:space="0" w:color="auto"/>
        <w:left w:val="none" w:sz="0" w:space="0" w:color="auto"/>
        <w:bottom w:val="none" w:sz="0" w:space="0" w:color="auto"/>
        <w:right w:val="none" w:sz="0" w:space="0" w:color="auto"/>
      </w:divBdr>
    </w:div>
    <w:div w:id="275018077">
      <w:bodyDiv w:val="1"/>
      <w:marLeft w:val="0"/>
      <w:marRight w:val="0"/>
      <w:marTop w:val="0"/>
      <w:marBottom w:val="0"/>
      <w:divBdr>
        <w:top w:val="none" w:sz="0" w:space="0" w:color="auto"/>
        <w:left w:val="none" w:sz="0" w:space="0" w:color="auto"/>
        <w:bottom w:val="none" w:sz="0" w:space="0" w:color="auto"/>
        <w:right w:val="none" w:sz="0" w:space="0" w:color="auto"/>
      </w:divBdr>
    </w:div>
    <w:div w:id="277102714">
      <w:bodyDiv w:val="1"/>
      <w:marLeft w:val="0"/>
      <w:marRight w:val="0"/>
      <w:marTop w:val="0"/>
      <w:marBottom w:val="0"/>
      <w:divBdr>
        <w:top w:val="none" w:sz="0" w:space="0" w:color="auto"/>
        <w:left w:val="none" w:sz="0" w:space="0" w:color="auto"/>
        <w:bottom w:val="none" w:sz="0" w:space="0" w:color="auto"/>
        <w:right w:val="none" w:sz="0" w:space="0" w:color="auto"/>
      </w:divBdr>
    </w:div>
    <w:div w:id="288903091">
      <w:bodyDiv w:val="1"/>
      <w:marLeft w:val="0"/>
      <w:marRight w:val="0"/>
      <w:marTop w:val="0"/>
      <w:marBottom w:val="0"/>
      <w:divBdr>
        <w:top w:val="none" w:sz="0" w:space="0" w:color="auto"/>
        <w:left w:val="none" w:sz="0" w:space="0" w:color="auto"/>
        <w:bottom w:val="none" w:sz="0" w:space="0" w:color="auto"/>
        <w:right w:val="none" w:sz="0" w:space="0" w:color="auto"/>
      </w:divBdr>
    </w:div>
    <w:div w:id="291251590">
      <w:bodyDiv w:val="1"/>
      <w:marLeft w:val="0"/>
      <w:marRight w:val="0"/>
      <w:marTop w:val="0"/>
      <w:marBottom w:val="0"/>
      <w:divBdr>
        <w:top w:val="none" w:sz="0" w:space="0" w:color="auto"/>
        <w:left w:val="none" w:sz="0" w:space="0" w:color="auto"/>
        <w:bottom w:val="none" w:sz="0" w:space="0" w:color="auto"/>
        <w:right w:val="none" w:sz="0" w:space="0" w:color="auto"/>
      </w:divBdr>
    </w:div>
    <w:div w:id="29499117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903270">
      <w:bodyDiv w:val="1"/>
      <w:marLeft w:val="0"/>
      <w:marRight w:val="0"/>
      <w:marTop w:val="0"/>
      <w:marBottom w:val="0"/>
      <w:divBdr>
        <w:top w:val="none" w:sz="0" w:space="0" w:color="auto"/>
        <w:left w:val="none" w:sz="0" w:space="0" w:color="auto"/>
        <w:bottom w:val="none" w:sz="0" w:space="0" w:color="auto"/>
        <w:right w:val="none" w:sz="0" w:space="0" w:color="auto"/>
      </w:divBdr>
    </w:div>
    <w:div w:id="309213003">
      <w:bodyDiv w:val="1"/>
      <w:marLeft w:val="0"/>
      <w:marRight w:val="0"/>
      <w:marTop w:val="0"/>
      <w:marBottom w:val="0"/>
      <w:divBdr>
        <w:top w:val="none" w:sz="0" w:space="0" w:color="auto"/>
        <w:left w:val="none" w:sz="0" w:space="0" w:color="auto"/>
        <w:bottom w:val="none" w:sz="0" w:space="0" w:color="auto"/>
        <w:right w:val="none" w:sz="0" w:space="0" w:color="auto"/>
      </w:divBdr>
    </w:div>
    <w:div w:id="310596055">
      <w:bodyDiv w:val="1"/>
      <w:marLeft w:val="0"/>
      <w:marRight w:val="0"/>
      <w:marTop w:val="0"/>
      <w:marBottom w:val="0"/>
      <w:divBdr>
        <w:top w:val="none" w:sz="0" w:space="0" w:color="auto"/>
        <w:left w:val="none" w:sz="0" w:space="0" w:color="auto"/>
        <w:bottom w:val="none" w:sz="0" w:space="0" w:color="auto"/>
        <w:right w:val="none" w:sz="0" w:space="0" w:color="auto"/>
      </w:divBdr>
    </w:div>
    <w:div w:id="310793909">
      <w:bodyDiv w:val="1"/>
      <w:marLeft w:val="0"/>
      <w:marRight w:val="0"/>
      <w:marTop w:val="0"/>
      <w:marBottom w:val="0"/>
      <w:divBdr>
        <w:top w:val="none" w:sz="0" w:space="0" w:color="auto"/>
        <w:left w:val="none" w:sz="0" w:space="0" w:color="auto"/>
        <w:bottom w:val="none" w:sz="0" w:space="0" w:color="auto"/>
        <w:right w:val="none" w:sz="0" w:space="0" w:color="auto"/>
      </w:divBdr>
    </w:div>
    <w:div w:id="315959848">
      <w:bodyDiv w:val="1"/>
      <w:marLeft w:val="0"/>
      <w:marRight w:val="0"/>
      <w:marTop w:val="0"/>
      <w:marBottom w:val="0"/>
      <w:divBdr>
        <w:top w:val="none" w:sz="0" w:space="0" w:color="auto"/>
        <w:left w:val="none" w:sz="0" w:space="0" w:color="auto"/>
        <w:bottom w:val="none" w:sz="0" w:space="0" w:color="auto"/>
        <w:right w:val="none" w:sz="0" w:space="0" w:color="auto"/>
      </w:divBdr>
    </w:div>
    <w:div w:id="31669155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0400625">
      <w:bodyDiv w:val="1"/>
      <w:marLeft w:val="0"/>
      <w:marRight w:val="0"/>
      <w:marTop w:val="0"/>
      <w:marBottom w:val="0"/>
      <w:divBdr>
        <w:top w:val="none" w:sz="0" w:space="0" w:color="auto"/>
        <w:left w:val="none" w:sz="0" w:space="0" w:color="auto"/>
        <w:bottom w:val="none" w:sz="0" w:space="0" w:color="auto"/>
        <w:right w:val="none" w:sz="0" w:space="0" w:color="auto"/>
      </w:divBdr>
    </w:div>
    <w:div w:id="342434527">
      <w:bodyDiv w:val="1"/>
      <w:marLeft w:val="0"/>
      <w:marRight w:val="0"/>
      <w:marTop w:val="0"/>
      <w:marBottom w:val="0"/>
      <w:divBdr>
        <w:top w:val="none" w:sz="0" w:space="0" w:color="auto"/>
        <w:left w:val="none" w:sz="0" w:space="0" w:color="auto"/>
        <w:bottom w:val="none" w:sz="0" w:space="0" w:color="auto"/>
        <w:right w:val="none" w:sz="0" w:space="0" w:color="auto"/>
      </w:divBdr>
    </w:div>
    <w:div w:id="344136406">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0518769">
      <w:bodyDiv w:val="1"/>
      <w:marLeft w:val="0"/>
      <w:marRight w:val="0"/>
      <w:marTop w:val="0"/>
      <w:marBottom w:val="0"/>
      <w:divBdr>
        <w:top w:val="none" w:sz="0" w:space="0" w:color="auto"/>
        <w:left w:val="none" w:sz="0" w:space="0" w:color="auto"/>
        <w:bottom w:val="none" w:sz="0" w:space="0" w:color="auto"/>
        <w:right w:val="none" w:sz="0" w:space="0" w:color="auto"/>
      </w:divBdr>
    </w:div>
    <w:div w:id="36263836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3042937">
      <w:bodyDiv w:val="1"/>
      <w:marLeft w:val="0"/>
      <w:marRight w:val="0"/>
      <w:marTop w:val="0"/>
      <w:marBottom w:val="0"/>
      <w:divBdr>
        <w:top w:val="none" w:sz="0" w:space="0" w:color="auto"/>
        <w:left w:val="none" w:sz="0" w:space="0" w:color="auto"/>
        <w:bottom w:val="none" w:sz="0" w:space="0" w:color="auto"/>
        <w:right w:val="none" w:sz="0" w:space="0" w:color="auto"/>
      </w:divBdr>
    </w:div>
    <w:div w:id="404762331">
      <w:bodyDiv w:val="1"/>
      <w:marLeft w:val="0"/>
      <w:marRight w:val="0"/>
      <w:marTop w:val="0"/>
      <w:marBottom w:val="0"/>
      <w:divBdr>
        <w:top w:val="none" w:sz="0" w:space="0" w:color="auto"/>
        <w:left w:val="none" w:sz="0" w:space="0" w:color="auto"/>
        <w:bottom w:val="none" w:sz="0" w:space="0" w:color="auto"/>
        <w:right w:val="none" w:sz="0" w:space="0" w:color="auto"/>
      </w:divBdr>
    </w:div>
    <w:div w:id="412550373">
      <w:bodyDiv w:val="1"/>
      <w:marLeft w:val="0"/>
      <w:marRight w:val="0"/>
      <w:marTop w:val="0"/>
      <w:marBottom w:val="0"/>
      <w:divBdr>
        <w:top w:val="none" w:sz="0" w:space="0" w:color="auto"/>
        <w:left w:val="none" w:sz="0" w:space="0" w:color="auto"/>
        <w:bottom w:val="none" w:sz="0" w:space="0" w:color="auto"/>
        <w:right w:val="none" w:sz="0" w:space="0" w:color="auto"/>
      </w:divBdr>
    </w:div>
    <w:div w:id="446242098">
      <w:bodyDiv w:val="1"/>
      <w:marLeft w:val="0"/>
      <w:marRight w:val="0"/>
      <w:marTop w:val="0"/>
      <w:marBottom w:val="0"/>
      <w:divBdr>
        <w:top w:val="none" w:sz="0" w:space="0" w:color="auto"/>
        <w:left w:val="none" w:sz="0" w:space="0" w:color="auto"/>
        <w:bottom w:val="none" w:sz="0" w:space="0" w:color="auto"/>
        <w:right w:val="none" w:sz="0" w:space="0" w:color="auto"/>
      </w:divBdr>
    </w:div>
    <w:div w:id="446512710">
      <w:bodyDiv w:val="1"/>
      <w:marLeft w:val="0"/>
      <w:marRight w:val="0"/>
      <w:marTop w:val="0"/>
      <w:marBottom w:val="0"/>
      <w:divBdr>
        <w:top w:val="none" w:sz="0" w:space="0" w:color="auto"/>
        <w:left w:val="none" w:sz="0" w:space="0" w:color="auto"/>
        <w:bottom w:val="none" w:sz="0" w:space="0" w:color="auto"/>
        <w:right w:val="none" w:sz="0" w:space="0" w:color="auto"/>
      </w:divBdr>
    </w:div>
    <w:div w:id="44847116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3765268">
      <w:bodyDiv w:val="1"/>
      <w:marLeft w:val="0"/>
      <w:marRight w:val="0"/>
      <w:marTop w:val="0"/>
      <w:marBottom w:val="0"/>
      <w:divBdr>
        <w:top w:val="none" w:sz="0" w:space="0" w:color="auto"/>
        <w:left w:val="none" w:sz="0" w:space="0" w:color="auto"/>
        <w:bottom w:val="none" w:sz="0" w:space="0" w:color="auto"/>
        <w:right w:val="none" w:sz="0" w:space="0" w:color="auto"/>
      </w:divBdr>
    </w:div>
    <w:div w:id="481503853">
      <w:bodyDiv w:val="1"/>
      <w:marLeft w:val="0"/>
      <w:marRight w:val="0"/>
      <w:marTop w:val="0"/>
      <w:marBottom w:val="0"/>
      <w:divBdr>
        <w:top w:val="none" w:sz="0" w:space="0" w:color="auto"/>
        <w:left w:val="none" w:sz="0" w:space="0" w:color="auto"/>
        <w:bottom w:val="none" w:sz="0" w:space="0" w:color="auto"/>
        <w:right w:val="none" w:sz="0" w:space="0" w:color="auto"/>
      </w:divBdr>
    </w:div>
    <w:div w:id="48269752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554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4272031">
      <w:bodyDiv w:val="1"/>
      <w:marLeft w:val="0"/>
      <w:marRight w:val="0"/>
      <w:marTop w:val="0"/>
      <w:marBottom w:val="0"/>
      <w:divBdr>
        <w:top w:val="none" w:sz="0" w:space="0" w:color="auto"/>
        <w:left w:val="none" w:sz="0" w:space="0" w:color="auto"/>
        <w:bottom w:val="none" w:sz="0" w:space="0" w:color="auto"/>
        <w:right w:val="none" w:sz="0" w:space="0" w:color="auto"/>
      </w:divBdr>
    </w:div>
    <w:div w:id="519045595">
      <w:bodyDiv w:val="1"/>
      <w:marLeft w:val="0"/>
      <w:marRight w:val="0"/>
      <w:marTop w:val="0"/>
      <w:marBottom w:val="0"/>
      <w:divBdr>
        <w:top w:val="none" w:sz="0" w:space="0" w:color="auto"/>
        <w:left w:val="none" w:sz="0" w:space="0" w:color="auto"/>
        <w:bottom w:val="none" w:sz="0" w:space="0" w:color="auto"/>
        <w:right w:val="none" w:sz="0" w:space="0" w:color="auto"/>
      </w:divBdr>
    </w:div>
    <w:div w:id="541750779">
      <w:bodyDiv w:val="1"/>
      <w:marLeft w:val="0"/>
      <w:marRight w:val="0"/>
      <w:marTop w:val="0"/>
      <w:marBottom w:val="0"/>
      <w:divBdr>
        <w:top w:val="none" w:sz="0" w:space="0" w:color="auto"/>
        <w:left w:val="none" w:sz="0" w:space="0" w:color="auto"/>
        <w:bottom w:val="none" w:sz="0" w:space="0" w:color="auto"/>
        <w:right w:val="none" w:sz="0" w:space="0" w:color="auto"/>
      </w:divBdr>
    </w:div>
    <w:div w:id="543031544">
      <w:bodyDiv w:val="1"/>
      <w:marLeft w:val="0"/>
      <w:marRight w:val="0"/>
      <w:marTop w:val="0"/>
      <w:marBottom w:val="0"/>
      <w:divBdr>
        <w:top w:val="none" w:sz="0" w:space="0" w:color="auto"/>
        <w:left w:val="none" w:sz="0" w:space="0" w:color="auto"/>
        <w:bottom w:val="none" w:sz="0" w:space="0" w:color="auto"/>
        <w:right w:val="none" w:sz="0" w:space="0" w:color="auto"/>
      </w:divBdr>
    </w:div>
    <w:div w:id="543444156">
      <w:bodyDiv w:val="1"/>
      <w:marLeft w:val="0"/>
      <w:marRight w:val="0"/>
      <w:marTop w:val="0"/>
      <w:marBottom w:val="0"/>
      <w:divBdr>
        <w:top w:val="none" w:sz="0" w:space="0" w:color="auto"/>
        <w:left w:val="none" w:sz="0" w:space="0" w:color="auto"/>
        <w:bottom w:val="none" w:sz="0" w:space="0" w:color="auto"/>
        <w:right w:val="none" w:sz="0" w:space="0" w:color="auto"/>
      </w:divBdr>
    </w:div>
    <w:div w:id="544567868">
      <w:bodyDiv w:val="1"/>
      <w:marLeft w:val="0"/>
      <w:marRight w:val="0"/>
      <w:marTop w:val="0"/>
      <w:marBottom w:val="0"/>
      <w:divBdr>
        <w:top w:val="none" w:sz="0" w:space="0" w:color="auto"/>
        <w:left w:val="none" w:sz="0" w:space="0" w:color="auto"/>
        <w:bottom w:val="none" w:sz="0" w:space="0" w:color="auto"/>
        <w:right w:val="none" w:sz="0" w:space="0" w:color="auto"/>
      </w:divBdr>
    </w:div>
    <w:div w:id="553732477">
      <w:bodyDiv w:val="1"/>
      <w:marLeft w:val="0"/>
      <w:marRight w:val="0"/>
      <w:marTop w:val="0"/>
      <w:marBottom w:val="0"/>
      <w:divBdr>
        <w:top w:val="none" w:sz="0" w:space="0" w:color="auto"/>
        <w:left w:val="none" w:sz="0" w:space="0" w:color="auto"/>
        <w:bottom w:val="none" w:sz="0" w:space="0" w:color="auto"/>
        <w:right w:val="none" w:sz="0" w:space="0" w:color="auto"/>
      </w:divBdr>
    </w:div>
    <w:div w:id="555504888">
      <w:bodyDiv w:val="1"/>
      <w:marLeft w:val="0"/>
      <w:marRight w:val="0"/>
      <w:marTop w:val="0"/>
      <w:marBottom w:val="0"/>
      <w:divBdr>
        <w:top w:val="none" w:sz="0" w:space="0" w:color="auto"/>
        <w:left w:val="none" w:sz="0" w:space="0" w:color="auto"/>
        <w:bottom w:val="none" w:sz="0" w:space="0" w:color="auto"/>
        <w:right w:val="none" w:sz="0" w:space="0" w:color="auto"/>
      </w:divBdr>
    </w:div>
    <w:div w:id="560947586">
      <w:bodyDiv w:val="1"/>
      <w:marLeft w:val="0"/>
      <w:marRight w:val="0"/>
      <w:marTop w:val="0"/>
      <w:marBottom w:val="0"/>
      <w:divBdr>
        <w:top w:val="none" w:sz="0" w:space="0" w:color="auto"/>
        <w:left w:val="none" w:sz="0" w:space="0" w:color="auto"/>
        <w:bottom w:val="none" w:sz="0" w:space="0" w:color="auto"/>
        <w:right w:val="none" w:sz="0" w:space="0" w:color="auto"/>
      </w:divBdr>
    </w:div>
    <w:div w:id="565381560">
      <w:bodyDiv w:val="1"/>
      <w:marLeft w:val="0"/>
      <w:marRight w:val="0"/>
      <w:marTop w:val="0"/>
      <w:marBottom w:val="0"/>
      <w:divBdr>
        <w:top w:val="none" w:sz="0" w:space="0" w:color="auto"/>
        <w:left w:val="none" w:sz="0" w:space="0" w:color="auto"/>
        <w:bottom w:val="none" w:sz="0" w:space="0" w:color="auto"/>
        <w:right w:val="none" w:sz="0" w:space="0" w:color="auto"/>
      </w:divBdr>
    </w:div>
    <w:div w:id="57208482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5621730">
      <w:bodyDiv w:val="1"/>
      <w:marLeft w:val="0"/>
      <w:marRight w:val="0"/>
      <w:marTop w:val="0"/>
      <w:marBottom w:val="0"/>
      <w:divBdr>
        <w:top w:val="none" w:sz="0" w:space="0" w:color="auto"/>
        <w:left w:val="none" w:sz="0" w:space="0" w:color="auto"/>
        <w:bottom w:val="none" w:sz="0" w:space="0" w:color="auto"/>
        <w:right w:val="none" w:sz="0" w:space="0" w:color="auto"/>
      </w:divBdr>
    </w:div>
    <w:div w:id="610210579">
      <w:bodyDiv w:val="1"/>
      <w:marLeft w:val="0"/>
      <w:marRight w:val="0"/>
      <w:marTop w:val="0"/>
      <w:marBottom w:val="0"/>
      <w:divBdr>
        <w:top w:val="none" w:sz="0" w:space="0" w:color="auto"/>
        <w:left w:val="none" w:sz="0" w:space="0" w:color="auto"/>
        <w:bottom w:val="none" w:sz="0" w:space="0" w:color="auto"/>
        <w:right w:val="none" w:sz="0" w:space="0" w:color="auto"/>
      </w:divBdr>
    </w:div>
    <w:div w:id="627123902">
      <w:bodyDiv w:val="1"/>
      <w:marLeft w:val="0"/>
      <w:marRight w:val="0"/>
      <w:marTop w:val="0"/>
      <w:marBottom w:val="0"/>
      <w:divBdr>
        <w:top w:val="none" w:sz="0" w:space="0" w:color="auto"/>
        <w:left w:val="none" w:sz="0" w:space="0" w:color="auto"/>
        <w:bottom w:val="none" w:sz="0" w:space="0" w:color="auto"/>
        <w:right w:val="none" w:sz="0" w:space="0" w:color="auto"/>
      </w:divBdr>
    </w:div>
    <w:div w:id="637959967">
      <w:bodyDiv w:val="1"/>
      <w:marLeft w:val="0"/>
      <w:marRight w:val="0"/>
      <w:marTop w:val="0"/>
      <w:marBottom w:val="0"/>
      <w:divBdr>
        <w:top w:val="none" w:sz="0" w:space="0" w:color="auto"/>
        <w:left w:val="none" w:sz="0" w:space="0" w:color="auto"/>
        <w:bottom w:val="none" w:sz="0" w:space="0" w:color="auto"/>
        <w:right w:val="none" w:sz="0" w:space="0" w:color="auto"/>
      </w:divBdr>
    </w:div>
    <w:div w:id="645863234">
      <w:bodyDiv w:val="1"/>
      <w:marLeft w:val="0"/>
      <w:marRight w:val="0"/>
      <w:marTop w:val="0"/>
      <w:marBottom w:val="0"/>
      <w:divBdr>
        <w:top w:val="none" w:sz="0" w:space="0" w:color="auto"/>
        <w:left w:val="none" w:sz="0" w:space="0" w:color="auto"/>
        <w:bottom w:val="none" w:sz="0" w:space="0" w:color="auto"/>
        <w:right w:val="none" w:sz="0" w:space="0" w:color="auto"/>
      </w:divBdr>
    </w:div>
    <w:div w:id="648218233">
      <w:bodyDiv w:val="1"/>
      <w:marLeft w:val="0"/>
      <w:marRight w:val="0"/>
      <w:marTop w:val="0"/>
      <w:marBottom w:val="0"/>
      <w:divBdr>
        <w:top w:val="none" w:sz="0" w:space="0" w:color="auto"/>
        <w:left w:val="none" w:sz="0" w:space="0" w:color="auto"/>
        <w:bottom w:val="none" w:sz="0" w:space="0" w:color="auto"/>
        <w:right w:val="none" w:sz="0" w:space="0" w:color="auto"/>
      </w:divBdr>
    </w:div>
    <w:div w:id="67746717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3196297">
      <w:bodyDiv w:val="1"/>
      <w:marLeft w:val="0"/>
      <w:marRight w:val="0"/>
      <w:marTop w:val="0"/>
      <w:marBottom w:val="0"/>
      <w:divBdr>
        <w:top w:val="none" w:sz="0" w:space="0" w:color="auto"/>
        <w:left w:val="none" w:sz="0" w:space="0" w:color="auto"/>
        <w:bottom w:val="none" w:sz="0" w:space="0" w:color="auto"/>
        <w:right w:val="none" w:sz="0" w:space="0" w:color="auto"/>
      </w:divBdr>
    </w:div>
    <w:div w:id="696389041">
      <w:bodyDiv w:val="1"/>
      <w:marLeft w:val="0"/>
      <w:marRight w:val="0"/>
      <w:marTop w:val="0"/>
      <w:marBottom w:val="0"/>
      <w:divBdr>
        <w:top w:val="none" w:sz="0" w:space="0" w:color="auto"/>
        <w:left w:val="none" w:sz="0" w:space="0" w:color="auto"/>
        <w:bottom w:val="none" w:sz="0" w:space="0" w:color="auto"/>
        <w:right w:val="none" w:sz="0" w:space="0" w:color="auto"/>
      </w:divBdr>
    </w:div>
    <w:div w:id="727998590">
      <w:bodyDiv w:val="1"/>
      <w:marLeft w:val="0"/>
      <w:marRight w:val="0"/>
      <w:marTop w:val="0"/>
      <w:marBottom w:val="0"/>
      <w:divBdr>
        <w:top w:val="none" w:sz="0" w:space="0" w:color="auto"/>
        <w:left w:val="none" w:sz="0" w:space="0" w:color="auto"/>
        <w:bottom w:val="none" w:sz="0" w:space="0" w:color="auto"/>
        <w:right w:val="none" w:sz="0" w:space="0" w:color="auto"/>
      </w:divBdr>
    </w:div>
    <w:div w:id="743184405">
      <w:bodyDiv w:val="1"/>
      <w:marLeft w:val="0"/>
      <w:marRight w:val="0"/>
      <w:marTop w:val="0"/>
      <w:marBottom w:val="0"/>
      <w:divBdr>
        <w:top w:val="none" w:sz="0" w:space="0" w:color="auto"/>
        <w:left w:val="none" w:sz="0" w:space="0" w:color="auto"/>
        <w:bottom w:val="none" w:sz="0" w:space="0" w:color="auto"/>
        <w:right w:val="none" w:sz="0" w:space="0" w:color="auto"/>
      </w:divBdr>
    </w:div>
    <w:div w:id="763915102">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8256445">
      <w:bodyDiv w:val="1"/>
      <w:marLeft w:val="0"/>
      <w:marRight w:val="0"/>
      <w:marTop w:val="0"/>
      <w:marBottom w:val="0"/>
      <w:divBdr>
        <w:top w:val="none" w:sz="0" w:space="0" w:color="auto"/>
        <w:left w:val="none" w:sz="0" w:space="0" w:color="auto"/>
        <w:bottom w:val="none" w:sz="0" w:space="0" w:color="auto"/>
        <w:right w:val="none" w:sz="0" w:space="0" w:color="auto"/>
      </w:divBdr>
    </w:div>
    <w:div w:id="782111676">
      <w:bodyDiv w:val="1"/>
      <w:marLeft w:val="0"/>
      <w:marRight w:val="0"/>
      <w:marTop w:val="0"/>
      <w:marBottom w:val="0"/>
      <w:divBdr>
        <w:top w:val="none" w:sz="0" w:space="0" w:color="auto"/>
        <w:left w:val="none" w:sz="0" w:space="0" w:color="auto"/>
        <w:bottom w:val="none" w:sz="0" w:space="0" w:color="auto"/>
        <w:right w:val="none" w:sz="0" w:space="0" w:color="auto"/>
      </w:divBdr>
    </w:div>
    <w:div w:id="810905728">
      <w:bodyDiv w:val="1"/>
      <w:marLeft w:val="0"/>
      <w:marRight w:val="0"/>
      <w:marTop w:val="0"/>
      <w:marBottom w:val="0"/>
      <w:divBdr>
        <w:top w:val="none" w:sz="0" w:space="0" w:color="auto"/>
        <w:left w:val="none" w:sz="0" w:space="0" w:color="auto"/>
        <w:bottom w:val="none" w:sz="0" w:space="0" w:color="auto"/>
        <w:right w:val="none" w:sz="0" w:space="0" w:color="auto"/>
      </w:divBdr>
    </w:div>
    <w:div w:id="816217790">
      <w:bodyDiv w:val="1"/>
      <w:marLeft w:val="0"/>
      <w:marRight w:val="0"/>
      <w:marTop w:val="0"/>
      <w:marBottom w:val="0"/>
      <w:divBdr>
        <w:top w:val="none" w:sz="0" w:space="0" w:color="auto"/>
        <w:left w:val="none" w:sz="0" w:space="0" w:color="auto"/>
        <w:bottom w:val="none" w:sz="0" w:space="0" w:color="auto"/>
        <w:right w:val="none" w:sz="0" w:space="0" w:color="auto"/>
      </w:divBdr>
    </w:div>
    <w:div w:id="818694712">
      <w:bodyDiv w:val="1"/>
      <w:marLeft w:val="0"/>
      <w:marRight w:val="0"/>
      <w:marTop w:val="0"/>
      <w:marBottom w:val="0"/>
      <w:divBdr>
        <w:top w:val="none" w:sz="0" w:space="0" w:color="auto"/>
        <w:left w:val="none" w:sz="0" w:space="0" w:color="auto"/>
        <w:bottom w:val="none" w:sz="0" w:space="0" w:color="auto"/>
        <w:right w:val="none" w:sz="0" w:space="0" w:color="auto"/>
      </w:divBdr>
    </w:div>
    <w:div w:id="84528722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30333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069737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327643">
      <w:bodyDiv w:val="1"/>
      <w:marLeft w:val="0"/>
      <w:marRight w:val="0"/>
      <w:marTop w:val="0"/>
      <w:marBottom w:val="0"/>
      <w:divBdr>
        <w:top w:val="none" w:sz="0" w:space="0" w:color="auto"/>
        <w:left w:val="none" w:sz="0" w:space="0" w:color="auto"/>
        <w:bottom w:val="none" w:sz="0" w:space="0" w:color="auto"/>
        <w:right w:val="none" w:sz="0" w:space="0" w:color="auto"/>
      </w:divBdr>
    </w:div>
    <w:div w:id="920260454">
      <w:bodyDiv w:val="1"/>
      <w:marLeft w:val="0"/>
      <w:marRight w:val="0"/>
      <w:marTop w:val="0"/>
      <w:marBottom w:val="0"/>
      <w:divBdr>
        <w:top w:val="none" w:sz="0" w:space="0" w:color="auto"/>
        <w:left w:val="none" w:sz="0" w:space="0" w:color="auto"/>
        <w:bottom w:val="none" w:sz="0" w:space="0" w:color="auto"/>
        <w:right w:val="none" w:sz="0" w:space="0" w:color="auto"/>
      </w:divBdr>
    </w:div>
    <w:div w:id="921794277">
      <w:bodyDiv w:val="1"/>
      <w:marLeft w:val="0"/>
      <w:marRight w:val="0"/>
      <w:marTop w:val="0"/>
      <w:marBottom w:val="0"/>
      <w:divBdr>
        <w:top w:val="none" w:sz="0" w:space="0" w:color="auto"/>
        <w:left w:val="none" w:sz="0" w:space="0" w:color="auto"/>
        <w:bottom w:val="none" w:sz="0" w:space="0" w:color="auto"/>
        <w:right w:val="none" w:sz="0" w:space="0" w:color="auto"/>
      </w:divBdr>
    </w:div>
    <w:div w:id="926570967">
      <w:bodyDiv w:val="1"/>
      <w:marLeft w:val="0"/>
      <w:marRight w:val="0"/>
      <w:marTop w:val="0"/>
      <w:marBottom w:val="0"/>
      <w:divBdr>
        <w:top w:val="none" w:sz="0" w:space="0" w:color="auto"/>
        <w:left w:val="none" w:sz="0" w:space="0" w:color="auto"/>
        <w:bottom w:val="none" w:sz="0" w:space="0" w:color="auto"/>
        <w:right w:val="none" w:sz="0" w:space="0" w:color="auto"/>
      </w:divBdr>
    </w:div>
    <w:div w:id="928197951">
      <w:bodyDiv w:val="1"/>
      <w:marLeft w:val="0"/>
      <w:marRight w:val="0"/>
      <w:marTop w:val="0"/>
      <w:marBottom w:val="0"/>
      <w:divBdr>
        <w:top w:val="none" w:sz="0" w:space="0" w:color="auto"/>
        <w:left w:val="none" w:sz="0" w:space="0" w:color="auto"/>
        <w:bottom w:val="none" w:sz="0" w:space="0" w:color="auto"/>
        <w:right w:val="none" w:sz="0" w:space="0" w:color="auto"/>
      </w:divBdr>
    </w:div>
    <w:div w:id="965814722">
      <w:bodyDiv w:val="1"/>
      <w:marLeft w:val="0"/>
      <w:marRight w:val="0"/>
      <w:marTop w:val="0"/>
      <w:marBottom w:val="0"/>
      <w:divBdr>
        <w:top w:val="none" w:sz="0" w:space="0" w:color="auto"/>
        <w:left w:val="none" w:sz="0" w:space="0" w:color="auto"/>
        <w:bottom w:val="none" w:sz="0" w:space="0" w:color="auto"/>
        <w:right w:val="none" w:sz="0" w:space="0" w:color="auto"/>
      </w:divBdr>
    </w:div>
    <w:div w:id="96635653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3923750">
      <w:bodyDiv w:val="1"/>
      <w:marLeft w:val="0"/>
      <w:marRight w:val="0"/>
      <w:marTop w:val="0"/>
      <w:marBottom w:val="0"/>
      <w:divBdr>
        <w:top w:val="none" w:sz="0" w:space="0" w:color="auto"/>
        <w:left w:val="none" w:sz="0" w:space="0" w:color="auto"/>
        <w:bottom w:val="none" w:sz="0" w:space="0" w:color="auto"/>
        <w:right w:val="none" w:sz="0" w:space="0" w:color="auto"/>
      </w:divBdr>
    </w:div>
    <w:div w:id="100620502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09991486">
      <w:bodyDiv w:val="1"/>
      <w:marLeft w:val="0"/>
      <w:marRight w:val="0"/>
      <w:marTop w:val="0"/>
      <w:marBottom w:val="0"/>
      <w:divBdr>
        <w:top w:val="none" w:sz="0" w:space="0" w:color="auto"/>
        <w:left w:val="none" w:sz="0" w:space="0" w:color="auto"/>
        <w:bottom w:val="none" w:sz="0" w:space="0" w:color="auto"/>
        <w:right w:val="none" w:sz="0" w:space="0" w:color="auto"/>
      </w:divBdr>
    </w:div>
    <w:div w:id="1017392997">
      <w:bodyDiv w:val="1"/>
      <w:marLeft w:val="0"/>
      <w:marRight w:val="0"/>
      <w:marTop w:val="0"/>
      <w:marBottom w:val="0"/>
      <w:divBdr>
        <w:top w:val="none" w:sz="0" w:space="0" w:color="auto"/>
        <w:left w:val="none" w:sz="0" w:space="0" w:color="auto"/>
        <w:bottom w:val="none" w:sz="0" w:space="0" w:color="auto"/>
        <w:right w:val="none" w:sz="0" w:space="0" w:color="auto"/>
      </w:divBdr>
    </w:div>
    <w:div w:id="1017923160">
      <w:bodyDiv w:val="1"/>
      <w:marLeft w:val="0"/>
      <w:marRight w:val="0"/>
      <w:marTop w:val="0"/>
      <w:marBottom w:val="0"/>
      <w:divBdr>
        <w:top w:val="none" w:sz="0" w:space="0" w:color="auto"/>
        <w:left w:val="none" w:sz="0" w:space="0" w:color="auto"/>
        <w:bottom w:val="none" w:sz="0" w:space="0" w:color="auto"/>
        <w:right w:val="none" w:sz="0" w:space="0" w:color="auto"/>
      </w:divBdr>
    </w:div>
    <w:div w:id="1022165451">
      <w:bodyDiv w:val="1"/>
      <w:marLeft w:val="0"/>
      <w:marRight w:val="0"/>
      <w:marTop w:val="0"/>
      <w:marBottom w:val="0"/>
      <w:divBdr>
        <w:top w:val="none" w:sz="0" w:space="0" w:color="auto"/>
        <w:left w:val="none" w:sz="0" w:space="0" w:color="auto"/>
        <w:bottom w:val="none" w:sz="0" w:space="0" w:color="auto"/>
        <w:right w:val="none" w:sz="0" w:space="0" w:color="auto"/>
      </w:divBdr>
    </w:div>
    <w:div w:id="1026101800">
      <w:bodyDiv w:val="1"/>
      <w:marLeft w:val="0"/>
      <w:marRight w:val="0"/>
      <w:marTop w:val="0"/>
      <w:marBottom w:val="0"/>
      <w:divBdr>
        <w:top w:val="none" w:sz="0" w:space="0" w:color="auto"/>
        <w:left w:val="none" w:sz="0" w:space="0" w:color="auto"/>
        <w:bottom w:val="none" w:sz="0" w:space="0" w:color="auto"/>
        <w:right w:val="none" w:sz="0" w:space="0" w:color="auto"/>
      </w:divBdr>
    </w:div>
    <w:div w:id="103326377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
    <w:div w:id="1050349314">
      <w:bodyDiv w:val="1"/>
      <w:marLeft w:val="0"/>
      <w:marRight w:val="0"/>
      <w:marTop w:val="0"/>
      <w:marBottom w:val="0"/>
      <w:divBdr>
        <w:top w:val="none" w:sz="0" w:space="0" w:color="auto"/>
        <w:left w:val="none" w:sz="0" w:space="0" w:color="auto"/>
        <w:bottom w:val="none" w:sz="0" w:space="0" w:color="auto"/>
        <w:right w:val="none" w:sz="0" w:space="0" w:color="auto"/>
      </w:divBdr>
    </w:div>
    <w:div w:id="1057558065">
      <w:bodyDiv w:val="1"/>
      <w:marLeft w:val="0"/>
      <w:marRight w:val="0"/>
      <w:marTop w:val="0"/>
      <w:marBottom w:val="0"/>
      <w:divBdr>
        <w:top w:val="none" w:sz="0" w:space="0" w:color="auto"/>
        <w:left w:val="none" w:sz="0" w:space="0" w:color="auto"/>
        <w:bottom w:val="none" w:sz="0" w:space="0" w:color="auto"/>
        <w:right w:val="none" w:sz="0" w:space="0" w:color="auto"/>
      </w:divBdr>
    </w:div>
    <w:div w:id="1062797571">
      <w:bodyDiv w:val="1"/>
      <w:marLeft w:val="0"/>
      <w:marRight w:val="0"/>
      <w:marTop w:val="0"/>
      <w:marBottom w:val="0"/>
      <w:divBdr>
        <w:top w:val="none" w:sz="0" w:space="0" w:color="auto"/>
        <w:left w:val="none" w:sz="0" w:space="0" w:color="auto"/>
        <w:bottom w:val="none" w:sz="0" w:space="0" w:color="auto"/>
        <w:right w:val="none" w:sz="0" w:space="0" w:color="auto"/>
      </w:divBdr>
    </w:div>
    <w:div w:id="1063797817">
      <w:bodyDiv w:val="1"/>
      <w:marLeft w:val="0"/>
      <w:marRight w:val="0"/>
      <w:marTop w:val="0"/>
      <w:marBottom w:val="0"/>
      <w:divBdr>
        <w:top w:val="none" w:sz="0" w:space="0" w:color="auto"/>
        <w:left w:val="none" w:sz="0" w:space="0" w:color="auto"/>
        <w:bottom w:val="none" w:sz="0" w:space="0" w:color="auto"/>
        <w:right w:val="none" w:sz="0" w:space="0" w:color="auto"/>
      </w:divBdr>
    </w:div>
    <w:div w:id="1070347232">
      <w:bodyDiv w:val="1"/>
      <w:marLeft w:val="0"/>
      <w:marRight w:val="0"/>
      <w:marTop w:val="0"/>
      <w:marBottom w:val="0"/>
      <w:divBdr>
        <w:top w:val="none" w:sz="0" w:space="0" w:color="auto"/>
        <w:left w:val="none" w:sz="0" w:space="0" w:color="auto"/>
        <w:bottom w:val="none" w:sz="0" w:space="0" w:color="auto"/>
        <w:right w:val="none" w:sz="0" w:space="0" w:color="auto"/>
      </w:divBdr>
    </w:div>
    <w:div w:id="1077247772">
      <w:bodyDiv w:val="1"/>
      <w:marLeft w:val="0"/>
      <w:marRight w:val="0"/>
      <w:marTop w:val="0"/>
      <w:marBottom w:val="0"/>
      <w:divBdr>
        <w:top w:val="none" w:sz="0" w:space="0" w:color="auto"/>
        <w:left w:val="none" w:sz="0" w:space="0" w:color="auto"/>
        <w:bottom w:val="none" w:sz="0" w:space="0" w:color="auto"/>
        <w:right w:val="none" w:sz="0" w:space="0" w:color="auto"/>
      </w:divBdr>
    </w:div>
    <w:div w:id="1080520704">
      <w:bodyDiv w:val="1"/>
      <w:marLeft w:val="0"/>
      <w:marRight w:val="0"/>
      <w:marTop w:val="0"/>
      <w:marBottom w:val="0"/>
      <w:divBdr>
        <w:top w:val="none" w:sz="0" w:space="0" w:color="auto"/>
        <w:left w:val="none" w:sz="0" w:space="0" w:color="auto"/>
        <w:bottom w:val="none" w:sz="0" w:space="0" w:color="auto"/>
        <w:right w:val="none" w:sz="0" w:space="0" w:color="auto"/>
      </w:divBdr>
    </w:div>
    <w:div w:id="1084686625">
      <w:bodyDiv w:val="1"/>
      <w:marLeft w:val="0"/>
      <w:marRight w:val="0"/>
      <w:marTop w:val="0"/>
      <w:marBottom w:val="0"/>
      <w:divBdr>
        <w:top w:val="none" w:sz="0" w:space="0" w:color="auto"/>
        <w:left w:val="none" w:sz="0" w:space="0" w:color="auto"/>
        <w:bottom w:val="none" w:sz="0" w:space="0" w:color="auto"/>
        <w:right w:val="none" w:sz="0" w:space="0" w:color="auto"/>
      </w:divBdr>
    </w:div>
    <w:div w:id="108529770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296852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888060">
      <w:bodyDiv w:val="1"/>
      <w:marLeft w:val="0"/>
      <w:marRight w:val="0"/>
      <w:marTop w:val="0"/>
      <w:marBottom w:val="0"/>
      <w:divBdr>
        <w:top w:val="none" w:sz="0" w:space="0" w:color="auto"/>
        <w:left w:val="none" w:sz="0" w:space="0" w:color="auto"/>
        <w:bottom w:val="none" w:sz="0" w:space="0" w:color="auto"/>
        <w:right w:val="none" w:sz="0" w:space="0" w:color="auto"/>
      </w:divBdr>
    </w:div>
    <w:div w:id="111740751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82933121">
      <w:bodyDiv w:val="1"/>
      <w:marLeft w:val="0"/>
      <w:marRight w:val="0"/>
      <w:marTop w:val="0"/>
      <w:marBottom w:val="0"/>
      <w:divBdr>
        <w:top w:val="none" w:sz="0" w:space="0" w:color="auto"/>
        <w:left w:val="none" w:sz="0" w:space="0" w:color="auto"/>
        <w:bottom w:val="none" w:sz="0" w:space="0" w:color="auto"/>
        <w:right w:val="none" w:sz="0" w:space="0" w:color="auto"/>
      </w:divBdr>
    </w:div>
    <w:div w:id="1205560848">
      <w:bodyDiv w:val="1"/>
      <w:marLeft w:val="0"/>
      <w:marRight w:val="0"/>
      <w:marTop w:val="0"/>
      <w:marBottom w:val="0"/>
      <w:divBdr>
        <w:top w:val="none" w:sz="0" w:space="0" w:color="auto"/>
        <w:left w:val="none" w:sz="0" w:space="0" w:color="auto"/>
        <w:bottom w:val="none" w:sz="0" w:space="0" w:color="auto"/>
        <w:right w:val="none" w:sz="0" w:space="0" w:color="auto"/>
      </w:divBdr>
    </w:div>
    <w:div w:id="1212881306">
      <w:bodyDiv w:val="1"/>
      <w:marLeft w:val="0"/>
      <w:marRight w:val="0"/>
      <w:marTop w:val="0"/>
      <w:marBottom w:val="0"/>
      <w:divBdr>
        <w:top w:val="none" w:sz="0" w:space="0" w:color="auto"/>
        <w:left w:val="none" w:sz="0" w:space="0" w:color="auto"/>
        <w:bottom w:val="none" w:sz="0" w:space="0" w:color="auto"/>
        <w:right w:val="none" w:sz="0" w:space="0" w:color="auto"/>
      </w:divBdr>
    </w:div>
    <w:div w:id="1240821277">
      <w:bodyDiv w:val="1"/>
      <w:marLeft w:val="0"/>
      <w:marRight w:val="0"/>
      <w:marTop w:val="0"/>
      <w:marBottom w:val="0"/>
      <w:divBdr>
        <w:top w:val="none" w:sz="0" w:space="0" w:color="auto"/>
        <w:left w:val="none" w:sz="0" w:space="0" w:color="auto"/>
        <w:bottom w:val="none" w:sz="0" w:space="0" w:color="auto"/>
        <w:right w:val="none" w:sz="0" w:space="0" w:color="auto"/>
      </w:divBdr>
    </w:div>
    <w:div w:id="124256516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423936">
      <w:bodyDiv w:val="1"/>
      <w:marLeft w:val="0"/>
      <w:marRight w:val="0"/>
      <w:marTop w:val="0"/>
      <w:marBottom w:val="0"/>
      <w:divBdr>
        <w:top w:val="none" w:sz="0" w:space="0" w:color="auto"/>
        <w:left w:val="none" w:sz="0" w:space="0" w:color="auto"/>
        <w:bottom w:val="none" w:sz="0" w:space="0" w:color="auto"/>
        <w:right w:val="none" w:sz="0" w:space="0" w:color="auto"/>
      </w:divBdr>
    </w:div>
    <w:div w:id="1251769725">
      <w:bodyDiv w:val="1"/>
      <w:marLeft w:val="0"/>
      <w:marRight w:val="0"/>
      <w:marTop w:val="0"/>
      <w:marBottom w:val="0"/>
      <w:divBdr>
        <w:top w:val="none" w:sz="0" w:space="0" w:color="auto"/>
        <w:left w:val="none" w:sz="0" w:space="0" w:color="auto"/>
        <w:bottom w:val="none" w:sz="0" w:space="0" w:color="auto"/>
        <w:right w:val="none" w:sz="0" w:space="0" w:color="auto"/>
      </w:divBdr>
    </w:div>
    <w:div w:id="128191088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8509306">
      <w:bodyDiv w:val="1"/>
      <w:marLeft w:val="0"/>
      <w:marRight w:val="0"/>
      <w:marTop w:val="0"/>
      <w:marBottom w:val="0"/>
      <w:divBdr>
        <w:top w:val="none" w:sz="0" w:space="0" w:color="auto"/>
        <w:left w:val="none" w:sz="0" w:space="0" w:color="auto"/>
        <w:bottom w:val="none" w:sz="0" w:space="0" w:color="auto"/>
        <w:right w:val="none" w:sz="0" w:space="0" w:color="auto"/>
      </w:divBdr>
    </w:div>
    <w:div w:id="1291741608">
      <w:bodyDiv w:val="1"/>
      <w:marLeft w:val="0"/>
      <w:marRight w:val="0"/>
      <w:marTop w:val="0"/>
      <w:marBottom w:val="0"/>
      <w:divBdr>
        <w:top w:val="none" w:sz="0" w:space="0" w:color="auto"/>
        <w:left w:val="none" w:sz="0" w:space="0" w:color="auto"/>
        <w:bottom w:val="none" w:sz="0" w:space="0" w:color="auto"/>
        <w:right w:val="none" w:sz="0" w:space="0" w:color="auto"/>
      </w:divBdr>
    </w:div>
    <w:div w:id="1294018412">
      <w:bodyDiv w:val="1"/>
      <w:marLeft w:val="0"/>
      <w:marRight w:val="0"/>
      <w:marTop w:val="0"/>
      <w:marBottom w:val="0"/>
      <w:divBdr>
        <w:top w:val="none" w:sz="0" w:space="0" w:color="auto"/>
        <w:left w:val="none" w:sz="0" w:space="0" w:color="auto"/>
        <w:bottom w:val="none" w:sz="0" w:space="0" w:color="auto"/>
        <w:right w:val="none" w:sz="0" w:space="0" w:color="auto"/>
      </w:divBdr>
    </w:div>
    <w:div w:id="1294169796">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397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6281253">
      <w:bodyDiv w:val="1"/>
      <w:marLeft w:val="0"/>
      <w:marRight w:val="0"/>
      <w:marTop w:val="0"/>
      <w:marBottom w:val="0"/>
      <w:divBdr>
        <w:top w:val="none" w:sz="0" w:space="0" w:color="auto"/>
        <w:left w:val="none" w:sz="0" w:space="0" w:color="auto"/>
        <w:bottom w:val="none" w:sz="0" w:space="0" w:color="auto"/>
        <w:right w:val="none" w:sz="0" w:space="0" w:color="auto"/>
      </w:divBdr>
    </w:div>
    <w:div w:id="1327244667">
      <w:bodyDiv w:val="1"/>
      <w:marLeft w:val="0"/>
      <w:marRight w:val="0"/>
      <w:marTop w:val="0"/>
      <w:marBottom w:val="0"/>
      <w:divBdr>
        <w:top w:val="none" w:sz="0" w:space="0" w:color="auto"/>
        <w:left w:val="none" w:sz="0" w:space="0" w:color="auto"/>
        <w:bottom w:val="none" w:sz="0" w:space="0" w:color="auto"/>
        <w:right w:val="none" w:sz="0" w:space="0" w:color="auto"/>
      </w:divBdr>
    </w:div>
    <w:div w:id="1333264681">
      <w:bodyDiv w:val="1"/>
      <w:marLeft w:val="0"/>
      <w:marRight w:val="0"/>
      <w:marTop w:val="0"/>
      <w:marBottom w:val="0"/>
      <w:divBdr>
        <w:top w:val="none" w:sz="0" w:space="0" w:color="auto"/>
        <w:left w:val="none" w:sz="0" w:space="0" w:color="auto"/>
        <w:bottom w:val="none" w:sz="0" w:space="0" w:color="auto"/>
        <w:right w:val="none" w:sz="0" w:space="0" w:color="auto"/>
      </w:divBdr>
    </w:div>
    <w:div w:id="1344670705">
      <w:bodyDiv w:val="1"/>
      <w:marLeft w:val="0"/>
      <w:marRight w:val="0"/>
      <w:marTop w:val="0"/>
      <w:marBottom w:val="0"/>
      <w:divBdr>
        <w:top w:val="none" w:sz="0" w:space="0" w:color="auto"/>
        <w:left w:val="none" w:sz="0" w:space="0" w:color="auto"/>
        <w:bottom w:val="none" w:sz="0" w:space="0" w:color="auto"/>
        <w:right w:val="none" w:sz="0" w:space="0" w:color="auto"/>
      </w:divBdr>
    </w:div>
    <w:div w:id="1376274678">
      <w:bodyDiv w:val="1"/>
      <w:marLeft w:val="0"/>
      <w:marRight w:val="0"/>
      <w:marTop w:val="0"/>
      <w:marBottom w:val="0"/>
      <w:divBdr>
        <w:top w:val="none" w:sz="0" w:space="0" w:color="auto"/>
        <w:left w:val="none" w:sz="0" w:space="0" w:color="auto"/>
        <w:bottom w:val="none" w:sz="0" w:space="0" w:color="auto"/>
        <w:right w:val="none" w:sz="0" w:space="0" w:color="auto"/>
      </w:divBdr>
    </w:div>
    <w:div w:id="1379236067">
      <w:bodyDiv w:val="1"/>
      <w:marLeft w:val="0"/>
      <w:marRight w:val="0"/>
      <w:marTop w:val="0"/>
      <w:marBottom w:val="0"/>
      <w:divBdr>
        <w:top w:val="none" w:sz="0" w:space="0" w:color="auto"/>
        <w:left w:val="none" w:sz="0" w:space="0" w:color="auto"/>
        <w:bottom w:val="none" w:sz="0" w:space="0" w:color="auto"/>
        <w:right w:val="none" w:sz="0" w:space="0" w:color="auto"/>
      </w:divBdr>
    </w:div>
    <w:div w:id="1390762694">
      <w:bodyDiv w:val="1"/>
      <w:marLeft w:val="0"/>
      <w:marRight w:val="0"/>
      <w:marTop w:val="0"/>
      <w:marBottom w:val="0"/>
      <w:divBdr>
        <w:top w:val="none" w:sz="0" w:space="0" w:color="auto"/>
        <w:left w:val="none" w:sz="0" w:space="0" w:color="auto"/>
        <w:bottom w:val="none" w:sz="0" w:space="0" w:color="auto"/>
        <w:right w:val="none" w:sz="0" w:space="0" w:color="auto"/>
      </w:divBdr>
    </w:div>
    <w:div w:id="1391878943">
      <w:bodyDiv w:val="1"/>
      <w:marLeft w:val="0"/>
      <w:marRight w:val="0"/>
      <w:marTop w:val="0"/>
      <w:marBottom w:val="0"/>
      <w:divBdr>
        <w:top w:val="none" w:sz="0" w:space="0" w:color="auto"/>
        <w:left w:val="none" w:sz="0" w:space="0" w:color="auto"/>
        <w:bottom w:val="none" w:sz="0" w:space="0" w:color="auto"/>
        <w:right w:val="none" w:sz="0" w:space="0" w:color="auto"/>
      </w:divBdr>
    </w:div>
    <w:div w:id="1396663848">
      <w:bodyDiv w:val="1"/>
      <w:marLeft w:val="0"/>
      <w:marRight w:val="0"/>
      <w:marTop w:val="0"/>
      <w:marBottom w:val="0"/>
      <w:divBdr>
        <w:top w:val="none" w:sz="0" w:space="0" w:color="auto"/>
        <w:left w:val="none" w:sz="0" w:space="0" w:color="auto"/>
        <w:bottom w:val="none" w:sz="0" w:space="0" w:color="auto"/>
        <w:right w:val="none" w:sz="0" w:space="0" w:color="auto"/>
      </w:divBdr>
    </w:div>
    <w:div w:id="1401781758">
      <w:bodyDiv w:val="1"/>
      <w:marLeft w:val="0"/>
      <w:marRight w:val="0"/>
      <w:marTop w:val="0"/>
      <w:marBottom w:val="0"/>
      <w:divBdr>
        <w:top w:val="none" w:sz="0" w:space="0" w:color="auto"/>
        <w:left w:val="none" w:sz="0" w:space="0" w:color="auto"/>
        <w:bottom w:val="none" w:sz="0" w:space="0" w:color="auto"/>
        <w:right w:val="none" w:sz="0" w:space="0" w:color="auto"/>
      </w:divBdr>
    </w:div>
    <w:div w:id="1420298731">
      <w:bodyDiv w:val="1"/>
      <w:marLeft w:val="0"/>
      <w:marRight w:val="0"/>
      <w:marTop w:val="0"/>
      <w:marBottom w:val="0"/>
      <w:divBdr>
        <w:top w:val="none" w:sz="0" w:space="0" w:color="auto"/>
        <w:left w:val="none" w:sz="0" w:space="0" w:color="auto"/>
        <w:bottom w:val="none" w:sz="0" w:space="0" w:color="auto"/>
        <w:right w:val="none" w:sz="0" w:space="0" w:color="auto"/>
      </w:divBdr>
    </w:div>
    <w:div w:id="14614151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200957">
      <w:bodyDiv w:val="1"/>
      <w:marLeft w:val="0"/>
      <w:marRight w:val="0"/>
      <w:marTop w:val="0"/>
      <w:marBottom w:val="0"/>
      <w:divBdr>
        <w:top w:val="none" w:sz="0" w:space="0" w:color="auto"/>
        <w:left w:val="none" w:sz="0" w:space="0" w:color="auto"/>
        <w:bottom w:val="none" w:sz="0" w:space="0" w:color="auto"/>
        <w:right w:val="none" w:sz="0" w:space="0" w:color="auto"/>
      </w:divBdr>
    </w:div>
    <w:div w:id="1472402753">
      <w:bodyDiv w:val="1"/>
      <w:marLeft w:val="0"/>
      <w:marRight w:val="0"/>
      <w:marTop w:val="0"/>
      <w:marBottom w:val="0"/>
      <w:divBdr>
        <w:top w:val="none" w:sz="0" w:space="0" w:color="auto"/>
        <w:left w:val="none" w:sz="0" w:space="0" w:color="auto"/>
        <w:bottom w:val="none" w:sz="0" w:space="0" w:color="auto"/>
        <w:right w:val="none" w:sz="0" w:space="0" w:color="auto"/>
      </w:divBdr>
    </w:div>
    <w:div w:id="1473907689">
      <w:bodyDiv w:val="1"/>
      <w:marLeft w:val="0"/>
      <w:marRight w:val="0"/>
      <w:marTop w:val="0"/>
      <w:marBottom w:val="0"/>
      <w:divBdr>
        <w:top w:val="none" w:sz="0" w:space="0" w:color="auto"/>
        <w:left w:val="none" w:sz="0" w:space="0" w:color="auto"/>
        <w:bottom w:val="none" w:sz="0" w:space="0" w:color="auto"/>
        <w:right w:val="none" w:sz="0" w:space="0" w:color="auto"/>
      </w:divBdr>
    </w:div>
    <w:div w:id="1480725389">
      <w:bodyDiv w:val="1"/>
      <w:marLeft w:val="0"/>
      <w:marRight w:val="0"/>
      <w:marTop w:val="0"/>
      <w:marBottom w:val="0"/>
      <w:divBdr>
        <w:top w:val="none" w:sz="0" w:space="0" w:color="auto"/>
        <w:left w:val="none" w:sz="0" w:space="0" w:color="auto"/>
        <w:bottom w:val="none" w:sz="0" w:space="0" w:color="auto"/>
        <w:right w:val="none" w:sz="0" w:space="0" w:color="auto"/>
      </w:divBdr>
    </w:div>
    <w:div w:id="1482581566">
      <w:bodyDiv w:val="1"/>
      <w:marLeft w:val="0"/>
      <w:marRight w:val="0"/>
      <w:marTop w:val="0"/>
      <w:marBottom w:val="0"/>
      <w:divBdr>
        <w:top w:val="none" w:sz="0" w:space="0" w:color="auto"/>
        <w:left w:val="none" w:sz="0" w:space="0" w:color="auto"/>
        <w:bottom w:val="none" w:sz="0" w:space="0" w:color="auto"/>
        <w:right w:val="none" w:sz="0" w:space="0" w:color="auto"/>
      </w:divBdr>
    </w:div>
    <w:div w:id="1488327122">
      <w:bodyDiv w:val="1"/>
      <w:marLeft w:val="0"/>
      <w:marRight w:val="0"/>
      <w:marTop w:val="0"/>
      <w:marBottom w:val="0"/>
      <w:divBdr>
        <w:top w:val="none" w:sz="0" w:space="0" w:color="auto"/>
        <w:left w:val="none" w:sz="0" w:space="0" w:color="auto"/>
        <w:bottom w:val="none" w:sz="0" w:space="0" w:color="auto"/>
        <w:right w:val="none" w:sz="0" w:space="0" w:color="auto"/>
      </w:divBdr>
    </w:div>
    <w:div w:id="1491671556">
      <w:bodyDiv w:val="1"/>
      <w:marLeft w:val="0"/>
      <w:marRight w:val="0"/>
      <w:marTop w:val="0"/>
      <w:marBottom w:val="0"/>
      <w:divBdr>
        <w:top w:val="none" w:sz="0" w:space="0" w:color="auto"/>
        <w:left w:val="none" w:sz="0" w:space="0" w:color="auto"/>
        <w:bottom w:val="none" w:sz="0" w:space="0" w:color="auto"/>
        <w:right w:val="none" w:sz="0" w:space="0" w:color="auto"/>
      </w:divBdr>
    </w:div>
    <w:div w:id="149294161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2550586">
      <w:bodyDiv w:val="1"/>
      <w:marLeft w:val="0"/>
      <w:marRight w:val="0"/>
      <w:marTop w:val="0"/>
      <w:marBottom w:val="0"/>
      <w:divBdr>
        <w:top w:val="none" w:sz="0" w:space="0" w:color="auto"/>
        <w:left w:val="none" w:sz="0" w:space="0" w:color="auto"/>
        <w:bottom w:val="none" w:sz="0" w:space="0" w:color="auto"/>
        <w:right w:val="none" w:sz="0" w:space="0" w:color="auto"/>
      </w:divBdr>
    </w:div>
    <w:div w:id="1536429811">
      <w:bodyDiv w:val="1"/>
      <w:marLeft w:val="0"/>
      <w:marRight w:val="0"/>
      <w:marTop w:val="0"/>
      <w:marBottom w:val="0"/>
      <w:divBdr>
        <w:top w:val="none" w:sz="0" w:space="0" w:color="auto"/>
        <w:left w:val="none" w:sz="0" w:space="0" w:color="auto"/>
        <w:bottom w:val="none" w:sz="0" w:space="0" w:color="auto"/>
        <w:right w:val="none" w:sz="0" w:space="0" w:color="auto"/>
      </w:divBdr>
    </w:div>
    <w:div w:id="1537886360">
      <w:bodyDiv w:val="1"/>
      <w:marLeft w:val="0"/>
      <w:marRight w:val="0"/>
      <w:marTop w:val="0"/>
      <w:marBottom w:val="0"/>
      <w:divBdr>
        <w:top w:val="none" w:sz="0" w:space="0" w:color="auto"/>
        <w:left w:val="none" w:sz="0" w:space="0" w:color="auto"/>
        <w:bottom w:val="none" w:sz="0" w:space="0" w:color="auto"/>
        <w:right w:val="none" w:sz="0" w:space="0" w:color="auto"/>
      </w:divBdr>
    </w:div>
    <w:div w:id="1545406838">
      <w:bodyDiv w:val="1"/>
      <w:marLeft w:val="0"/>
      <w:marRight w:val="0"/>
      <w:marTop w:val="0"/>
      <w:marBottom w:val="0"/>
      <w:divBdr>
        <w:top w:val="none" w:sz="0" w:space="0" w:color="auto"/>
        <w:left w:val="none" w:sz="0" w:space="0" w:color="auto"/>
        <w:bottom w:val="none" w:sz="0" w:space="0" w:color="auto"/>
        <w:right w:val="none" w:sz="0" w:space="0" w:color="auto"/>
      </w:divBdr>
    </w:div>
    <w:div w:id="1550146855">
      <w:bodyDiv w:val="1"/>
      <w:marLeft w:val="0"/>
      <w:marRight w:val="0"/>
      <w:marTop w:val="0"/>
      <w:marBottom w:val="0"/>
      <w:divBdr>
        <w:top w:val="none" w:sz="0" w:space="0" w:color="auto"/>
        <w:left w:val="none" w:sz="0" w:space="0" w:color="auto"/>
        <w:bottom w:val="none" w:sz="0" w:space="0" w:color="auto"/>
        <w:right w:val="none" w:sz="0" w:space="0" w:color="auto"/>
      </w:divBdr>
    </w:div>
    <w:div w:id="1573395429">
      <w:bodyDiv w:val="1"/>
      <w:marLeft w:val="0"/>
      <w:marRight w:val="0"/>
      <w:marTop w:val="0"/>
      <w:marBottom w:val="0"/>
      <w:divBdr>
        <w:top w:val="none" w:sz="0" w:space="0" w:color="auto"/>
        <w:left w:val="none" w:sz="0" w:space="0" w:color="auto"/>
        <w:bottom w:val="none" w:sz="0" w:space="0" w:color="auto"/>
        <w:right w:val="none" w:sz="0" w:space="0" w:color="auto"/>
      </w:divBdr>
    </w:div>
    <w:div w:id="157705831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8223753">
      <w:bodyDiv w:val="1"/>
      <w:marLeft w:val="0"/>
      <w:marRight w:val="0"/>
      <w:marTop w:val="0"/>
      <w:marBottom w:val="0"/>
      <w:divBdr>
        <w:top w:val="none" w:sz="0" w:space="0" w:color="auto"/>
        <w:left w:val="none" w:sz="0" w:space="0" w:color="auto"/>
        <w:bottom w:val="none" w:sz="0" w:space="0" w:color="auto"/>
        <w:right w:val="none" w:sz="0" w:space="0" w:color="auto"/>
      </w:divBdr>
    </w:div>
    <w:div w:id="1590776964">
      <w:bodyDiv w:val="1"/>
      <w:marLeft w:val="0"/>
      <w:marRight w:val="0"/>
      <w:marTop w:val="0"/>
      <w:marBottom w:val="0"/>
      <w:divBdr>
        <w:top w:val="none" w:sz="0" w:space="0" w:color="auto"/>
        <w:left w:val="none" w:sz="0" w:space="0" w:color="auto"/>
        <w:bottom w:val="none" w:sz="0" w:space="0" w:color="auto"/>
        <w:right w:val="none" w:sz="0" w:space="0" w:color="auto"/>
      </w:divBdr>
    </w:div>
    <w:div w:id="1592275610">
      <w:bodyDiv w:val="1"/>
      <w:marLeft w:val="0"/>
      <w:marRight w:val="0"/>
      <w:marTop w:val="0"/>
      <w:marBottom w:val="0"/>
      <w:divBdr>
        <w:top w:val="none" w:sz="0" w:space="0" w:color="auto"/>
        <w:left w:val="none" w:sz="0" w:space="0" w:color="auto"/>
        <w:bottom w:val="none" w:sz="0" w:space="0" w:color="auto"/>
        <w:right w:val="none" w:sz="0" w:space="0" w:color="auto"/>
      </w:divBdr>
    </w:div>
    <w:div w:id="1598292716">
      <w:bodyDiv w:val="1"/>
      <w:marLeft w:val="0"/>
      <w:marRight w:val="0"/>
      <w:marTop w:val="0"/>
      <w:marBottom w:val="0"/>
      <w:divBdr>
        <w:top w:val="none" w:sz="0" w:space="0" w:color="auto"/>
        <w:left w:val="none" w:sz="0" w:space="0" w:color="auto"/>
        <w:bottom w:val="none" w:sz="0" w:space="0" w:color="auto"/>
        <w:right w:val="none" w:sz="0" w:space="0" w:color="auto"/>
      </w:divBdr>
    </w:div>
    <w:div w:id="159936904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24261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6232426">
      <w:bodyDiv w:val="1"/>
      <w:marLeft w:val="0"/>
      <w:marRight w:val="0"/>
      <w:marTop w:val="0"/>
      <w:marBottom w:val="0"/>
      <w:divBdr>
        <w:top w:val="none" w:sz="0" w:space="0" w:color="auto"/>
        <w:left w:val="none" w:sz="0" w:space="0" w:color="auto"/>
        <w:bottom w:val="none" w:sz="0" w:space="0" w:color="auto"/>
        <w:right w:val="none" w:sz="0" w:space="0" w:color="auto"/>
      </w:divBdr>
    </w:div>
    <w:div w:id="1626347552">
      <w:bodyDiv w:val="1"/>
      <w:marLeft w:val="0"/>
      <w:marRight w:val="0"/>
      <w:marTop w:val="0"/>
      <w:marBottom w:val="0"/>
      <w:divBdr>
        <w:top w:val="none" w:sz="0" w:space="0" w:color="auto"/>
        <w:left w:val="none" w:sz="0" w:space="0" w:color="auto"/>
        <w:bottom w:val="none" w:sz="0" w:space="0" w:color="auto"/>
        <w:right w:val="none" w:sz="0" w:space="0" w:color="auto"/>
      </w:divBdr>
    </w:div>
    <w:div w:id="1647540386">
      <w:bodyDiv w:val="1"/>
      <w:marLeft w:val="0"/>
      <w:marRight w:val="0"/>
      <w:marTop w:val="0"/>
      <w:marBottom w:val="0"/>
      <w:divBdr>
        <w:top w:val="none" w:sz="0" w:space="0" w:color="auto"/>
        <w:left w:val="none" w:sz="0" w:space="0" w:color="auto"/>
        <w:bottom w:val="none" w:sz="0" w:space="0" w:color="auto"/>
        <w:right w:val="none" w:sz="0" w:space="0" w:color="auto"/>
      </w:divBdr>
    </w:div>
    <w:div w:id="1653753040">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1497009">
      <w:bodyDiv w:val="1"/>
      <w:marLeft w:val="0"/>
      <w:marRight w:val="0"/>
      <w:marTop w:val="0"/>
      <w:marBottom w:val="0"/>
      <w:divBdr>
        <w:top w:val="none" w:sz="0" w:space="0" w:color="auto"/>
        <w:left w:val="none" w:sz="0" w:space="0" w:color="auto"/>
        <w:bottom w:val="none" w:sz="0" w:space="0" w:color="auto"/>
        <w:right w:val="none" w:sz="0" w:space="0" w:color="auto"/>
      </w:divBdr>
    </w:div>
    <w:div w:id="1669792437">
      <w:bodyDiv w:val="1"/>
      <w:marLeft w:val="0"/>
      <w:marRight w:val="0"/>
      <w:marTop w:val="0"/>
      <w:marBottom w:val="0"/>
      <w:divBdr>
        <w:top w:val="none" w:sz="0" w:space="0" w:color="auto"/>
        <w:left w:val="none" w:sz="0" w:space="0" w:color="auto"/>
        <w:bottom w:val="none" w:sz="0" w:space="0" w:color="auto"/>
        <w:right w:val="none" w:sz="0" w:space="0" w:color="auto"/>
      </w:divBdr>
    </w:div>
    <w:div w:id="1674332689">
      <w:bodyDiv w:val="1"/>
      <w:marLeft w:val="0"/>
      <w:marRight w:val="0"/>
      <w:marTop w:val="0"/>
      <w:marBottom w:val="0"/>
      <w:divBdr>
        <w:top w:val="none" w:sz="0" w:space="0" w:color="auto"/>
        <w:left w:val="none" w:sz="0" w:space="0" w:color="auto"/>
        <w:bottom w:val="none" w:sz="0" w:space="0" w:color="auto"/>
        <w:right w:val="none" w:sz="0" w:space="0" w:color="auto"/>
      </w:divBdr>
    </w:div>
    <w:div w:id="1679386747">
      <w:bodyDiv w:val="1"/>
      <w:marLeft w:val="0"/>
      <w:marRight w:val="0"/>
      <w:marTop w:val="0"/>
      <w:marBottom w:val="0"/>
      <w:divBdr>
        <w:top w:val="none" w:sz="0" w:space="0" w:color="auto"/>
        <w:left w:val="none" w:sz="0" w:space="0" w:color="auto"/>
        <w:bottom w:val="none" w:sz="0" w:space="0" w:color="auto"/>
        <w:right w:val="none" w:sz="0" w:space="0" w:color="auto"/>
      </w:divBdr>
    </w:div>
    <w:div w:id="1685788783">
      <w:bodyDiv w:val="1"/>
      <w:marLeft w:val="0"/>
      <w:marRight w:val="0"/>
      <w:marTop w:val="0"/>
      <w:marBottom w:val="0"/>
      <w:divBdr>
        <w:top w:val="none" w:sz="0" w:space="0" w:color="auto"/>
        <w:left w:val="none" w:sz="0" w:space="0" w:color="auto"/>
        <w:bottom w:val="none" w:sz="0" w:space="0" w:color="auto"/>
        <w:right w:val="none" w:sz="0" w:space="0" w:color="auto"/>
      </w:divBdr>
    </w:div>
    <w:div w:id="1692536911">
      <w:bodyDiv w:val="1"/>
      <w:marLeft w:val="0"/>
      <w:marRight w:val="0"/>
      <w:marTop w:val="0"/>
      <w:marBottom w:val="0"/>
      <w:divBdr>
        <w:top w:val="none" w:sz="0" w:space="0" w:color="auto"/>
        <w:left w:val="none" w:sz="0" w:space="0" w:color="auto"/>
        <w:bottom w:val="none" w:sz="0" w:space="0" w:color="auto"/>
        <w:right w:val="none" w:sz="0" w:space="0" w:color="auto"/>
      </w:divBdr>
    </w:div>
    <w:div w:id="1697000812">
      <w:bodyDiv w:val="1"/>
      <w:marLeft w:val="0"/>
      <w:marRight w:val="0"/>
      <w:marTop w:val="0"/>
      <w:marBottom w:val="0"/>
      <w:divBdr>
        <w:top w:val="none" w:sz="0" w:space="0" w:color="auto"/>
        <w:left w:val="none" w:sz="0" w:space="0" w:color="auto"/>
        <w:bottom w:val="none" w:sz="0" w:space="0" w:color="auto"/>
        <w:right w:val="none" w:sz="0" w:space="0" w:color="auto"/>
      </w:divBdr>
    </w:div>
    <w:div w:id="1700887461">
      <w:bodyDiv w:val="1"/>
      <w:marLeft w:val="0"/>
      <w:marRight w:val="0"/>
      <w:marTop w:val="0"/>
      <w:marBottom w:val="0"/>
      <w:divBdr>
        <w:top w:val="none" w:sz="0" w:space="0" w:color="auto"/>
        <w:left w:val="none" w:sz="0" w:space="0" w:color="auto"/>
        <w:bottom w:val="none" w:sz="0" w:space="0" w:color="auto"/>
        <w:right w:val="none" w:sz="0" w:space="0" w:color="auto"/>
      </w:divBdr>
    </w:div>
    <w:div w:id="170120637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49205">
      <w:bodyDiv w:val="1"/>
      <w:marLeft w:val="0"/>
      <w:marRight w:val="0"/>
      <w:marTop w:val="0"/>
      <w:marBottom w:val="0"/>
      <w:divBdr>
        <w:top w:val="none" w:sz="0" w:space="0" w:color="auto"/>
        <w:left w:val="none" w:sz="0" w:space="0" w:color="auto"/>
        <w:bottom w:val="none" w:sz="0" w:space="0" w:color="auto"/>
        <w:right w:val="none" w:sz="0" w:space="0" w:color="auto"/>
      </w:divBdr>
    </w:div>
    <w:div w:id="1718162475">
      <w:bodyDiv w:val="1"/>
      <w:marLeft w:val="0"/>
      <w:marRight w:val="0"/>
      <w:marTop w:val="0"/>
      <w:marBottom w:val="0"/>
      <w:divBdr>
        <w:top w:val="none" w:sz="0" w:space="0" w:color="auto"/>
        <w:left w:val="none" w:sz="0" w:space="0" w:color="auto"/>
        <w:bottom w:val="none" w:sz="0" w:space="0" w:color="auto"/>
        <w:right w:val="none" w:sz="0" w:space="0" w:color="auto"/>
      </w:divBdr>
    </w:div>
    <w:div w:id="1720276105">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777798">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7312495">
      <w:bodyDiv w:val="1"/>
      <w:marLeft w:val="0"/>
      <w:marRight w:val="0"/>
      <w:marTop w:val="0"/>
      <w:marBottom w:val="0"/>
      <w:divBdr>
        <w:top w:val="none" w:sz="0" w:space="0" w:color="auto"/>
        <w:left w:val="none" w:sz="0" w:space="0" w:color="auto"/>
        <w:bottom w:val="none" w:sz="0" w:space="0" w:color="auto"/>
        <w:right w:val="none" w:sz="0" w:space="0" w:color="auto"/>
      </w:divBdr>
    </w:div>
    <w:div w:id="181745383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741767">
      <w:bodyDiv w:val="1"/>
      <w:marLeft w:val="0"/>
      <w:marRight w:val="0"/>
      <w:marTop w:val="0"/>
      <w:marBottom w:val="0"/>
      <w:divBdr>
        <w:top w:val="none" w:sz="0" w:space="0" w:color="auto"/>
        <w:left w:val="none" w:sz="0" w:space="0" w:color="auto"/>
        <w:bottom w:val="none" w:sz="0" w:space="0" w:color="auto"/>
        <w:right w:val="none" w:sz="0" w:space="0" w:color="auto"/>
      </w:divBdr>
    </w:div>
    <w:div w:id="1848902861">
      <w:bodyDiv w:val="1"/>
      <w:marLeft w:val="0"/>
      <w:marRight w:val="0"/>
      <w:marTop w:val="0"/>
      <w:marBottom w:val="0"/>
      <w:divBdr>
        <w:top w:val="none" w:sz="0" w:space="0" w:color="auto"/>
        <w:left w:val="none" w:sz="0" w:space="0" w:color="auto"/>
        <w:bottom w:val="none" w:sz="0" w:space="0" w:color="auto"/>
        <w:right w:val="none" w:sz="0" w:space="0" w:color="auto"/>
      </w:divBdr>
    </w:div>
    <w:div w:id="1849445497">
      <w:bodyDiv w:val="1"/>
      <w:marLeft w:val="0"/>
      <w:marRight w:val="0"/>
      <w:marTop w:val="0"/>
      <w:marBottom w:val="0"/>
      <w:divBdr>
        <w:top w:val="none" w:sz="0" w:space="0" w:color="auto"/>
        <w:left w:val="none" w:sz="0" w:space="0" w:color="auto"/>
        <w:bottom w:val="none" w:sz="0" w:space="0" w:color="auto"/>
        <w:right w:val="none" w:sz="0" w:space="0" w:color="auto"/>
      </w:divBdr>
    </w:div>
    <w:div w:id="1851481695">
      <w:bodyDiv w:val="1"/>
      <w:marLeft w:val="0"/>
      <w:marRight w:val="0"/>
      <w:marTop w:val="0"/>
      <w:marBottom w:val="0"/>
      <w:divBdr>
        <w:top w:val="none" w:sz="0" w:space="0" w:color="auto"/>
        <w:left w:val="none" w:sz="0" w:space="0" w:color="auto"/>
        <w:bottom w:val="none" w:sz="0" w:space="0" w:color="auto"/>
        <w:right w:val="none" w:sz="0" w:space="0" w:color="auto"/>
      </w:divBdr>
    </w:div>
    <w:div w:id="1880585676">
      <w:bodyDiv w:val="1"/>
      <w:marLeft w:val="0"/>
      <w:marRight w:val="0"/>
      <w:marTop w:val="0"/>
      <w:marBottom w:val="0"/>
      <w:divBdr>
        <w:top w:val="none" w:sz="0" w:space="0" w:color="auto"/>
        <w:left w:val="none" w:sz="0" w:space="0" w:color="auto"/>
        <w:bottom w:val="none" w:sz="0" w:space="0" w:color="auto"/>
        <w:right w:val="none" w:sz="0" w:space="0" w:color="auto"/>
      </w:divBdr>
    </w:div>
    <w:div w:id="1885754806">
      <w:bodyDiv w:val="1"/>
      <w:marLeft w:val="0"/>
      <w:marRight w:val="0"/>
      <w:marTop w:val="0"/>
      <w:marBottom w:val="0"/>
      <w:divBdr>
        <w:top w:val="none" w:sz="0" w:space="0" w:color="auto"/>
        <w:left w:val="none" w:sz="0" w:space="0" w:color="auto"/>
        <w:bottom w:val="none" w:sz="0" w:space="0" w:color="auto"/>
        <w:right w:val="none" w:sz="0" w:space="0" w:color="auto"/>
      </w:divBdr>
    </w:div>
    <w:div w:id="1916671890">
      <w:bodyDiv w:val="1"/>
      <w:marLeft w:val="0"/>
      <w:marRight w:val="0"/>
      <w:marTop w:val="0"/>
      <w:marBottom w:val="0"/>
      <w:divBdr>
        <w:top w:val="none" w:sz="0" w:space="0" w:color="auto"/>
        <w:left w:val="none" w:sz="0" w:space="0" w:color="auto"/>
        <w:bottom w:val="none" w:sz="0" w:space="0" w:color="auto"/>
        <w:right w:val="none" w:sz="0" w:space="0" w:color="auto"/>
      </w:divBdr>
    </w:div>
    <w:div w:id="1921717218">
      <w:bodyDiv w:val="1"/>
      <w:marLeft w:val="0"/>
      <w:marRight w:val="0"/>
      <w:marTop w:val="0"/>
      <w:marBottom w:val="0"/>
      <w:divBdr>
        <w:top w:val="none" w:sz="0" w:space="0" w:color="auto"/>
        <w:left w:val="none" w:sz="0" w:space="0" w:color="auto"/>
        <w:bottom w:val="none" w:sz="0" w:space="0" w:color="auto"/>
        <w:right w:val="none" w:sz="0" w:space="0" w:color="auto"/>
      </w:divBdr>
    </w:div>
    <w:div w:id="192880875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27380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5791013">
      <w:bodyDiv w:val="1"/>
      <w:marLeft w:val="0"/>
      <w:marRight w:val="0"/>
      <w:marTop w:val="0"/>
      <w:marBottom w:val="0"/>
      <w:divBdr>
        <w:top w:val="none" w:sz="0" w:space="0" w:color="auto"/>
        <w:left w:val="none" w:sz="0" w:space="0" w:color="auto"/>
        <w:bottom w:val="none" w:sz="0" w:space="0" w:color="auto"/>
        <w:right w:val="none" w:sz="0" w:space="0" w:color="auto"/>
      </w:divBdr>
    </w:div>
    <w:div w:id="1983805647">
      <w:bodyDiv w:val="1"/>
      <w:marLeft w:val="0"/>
      <w:marRight w:val="0"/>
      <w:marTop w:val="0"/>
      <w:marBottom w:val="0"/>
      <w:divBdr>
        <w:top w:val="none" w:sz="0" w:space="0" w:color="auto"/>
        <w:left w:val="none" w:sz="0" w:space="0" w:color="auto"/>
        <w:bottom w:val="none" w:sz="0" w:space="0" w:color="auto"/>
        <w:right w:val="none" w:sz="0" w:space="0" w:color="auto"/>
      </w:divBdr>
    </w:div>
    <w:div w:id="2000159403">
      <w:bodyDiv w:val="1"/>
      <w:marLeft w:val="0"/>
      <w:marRight w:val="0"/>
      <w:marTop w:val="0"/>
      <w:marBottom w:val="0"/>
      <w:divBdr>
        <w:top w:val="none" w:sz="0" w:space="0" w:color="auto"/>
        <w:left w:val="none" w:sz="0" w:space="0" w:color="auto"/>
        <w:bottom w:val="none" w:sz="0" w:space="0" w:color="auto"/>
        <w:right w:val="none" w:sz="0" w:space="0" w:color="auto"/>
      </w:divBdr>
    </w:div>
    <w:div w:id="2015302998">
      <w:bodyDiv w:val="1"/>
      <w:marLeft w:val="0"/>
      <w:marRight w:val="0"/>
      <w:marTop w:val="0"/>
      <w:marBottom w:val="0"/>
      <w:divBdr>
        <w:top w:val="none" w:sz="0" w:space="0" w:color="auto"/>
        <w:left w:val="none" w:sz="0" w:space="0" w:color="auto"/>
        <w:bottom w:val="none" w:sz="0" w:space="0" w:color="auto"/>
        <w:right w:val="none" w:sz="0" w:space="0" w:color="auto"/>
      </w:divBdr>
    </w:div>
    <w:div w:id="2019311000">
      <w:bodyDiv w:val="1"/>
      <w:marLeft w:val="0"/>
      <w:marRight w:val="0"/>
      <w:marTop w:val="0"/>
      <w:marBottom w:val="0"/>
      <w:divBdr>
        <w:top w:val="none" w:sz="0" w:space="0" w:color="auto"/>
        <w:left w:val="none" w:sz="0" w:space="0" w:color="auto"/>
        <w:bottom w:val="none" w:sz="0" w:space="0" w:color="auto"/>
        <w:right w:val="none" w:sz="0" w:space="0" w:color="auto"/>
      </w:divBdr>
    </w:div>
    <w:div w:id="202362269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0183863">
      <w:bodyDiv w:val="1"/>
      <w:marLeft w:val="0"/>
      <w:marRight w:val="0"/>
      <w:marTop w:val="0"/>
      <w:marBottom w:val="0"/>
      <w:divBdr>
        <w:top w:val="none" w:sz="0" w:space="0" w:color="auto"/>
        <w:left w:val="none" w:sz="0" w:space="0" w:color="auto"/>
        <w:bottom w:val="none" w:sz="0" w:space="0" w:color="auto"/>
        <w:right w:val="none" w:sz="0" w:space="0" w:color="auto"/>
      </w:divBdr>
    </w:div>
    <w:div w:id="2070224349">
      <w:bodyDiv w:val="1"/>
      <w:marLeft w:val="0"/>
      <w:marRight w:val="0"/>
      <w:marTop w:val="0"/>
      <w:marBottom w:val="0"/>
      <w:divBdr>
        <w:top w:val="none" w:sz="0" w:space="0" w:color="auto"/>
        <w:left w:val="none" w:sz="0" w:space="0" w:color="auto"/>
        <w:bottom w:val="none" w:sz="0" w:space="0" w:color="auto"/>
        <w:right w:val="none" w:sz="0" w:space="0" w:color="auto"/>
      </w:divBdr>
    </w:div>
    <w:div w:id="2079161768">
      <w:bodyDiv w:val="1"/>
      <w:marLeft w:val="0"/>
      <w:marRight w:val="0"/>
      <w:marTop w:val="0"/>
      <w:marBottom w:val="0"/>
      <w:divBdr>
        <w:top w:val="none" w:sz="0" w:space="0" w:color="auto"/>
        <w:left w:val="none" w:sz="0" w:space="0" w:color="auto"/>
        <w:bottom w:val="none" w:sz="0" w:space="0" w:color="auto"/>
        <w:right w:val="none" w:sz="0" w:space="0" w:color="auto"/>
      </w:divBdr>
    </w:div>
    <w:div w:id="2115202971">
      <w:bodyDiv w:val="1"/>
      <w:marLeft w:val="0"/>
      <w:marRight w:val="0"/>
      <w:marTop w:val="0"/>
      <w:marBottom w:val="0"/>
      <w:divBdr>
        <w:top w:val="none" w:sz="0" w:space="0" w:color="auto"/>
        <w:left w:val="none" w:sz="0" w:space="0" w:color="auto"/>
        <w:bottom w:val="none" w:sz="0" w:space="0" w:color="auto"/>
        <w:right w:val="none" w:sz="0" w:space="0" w:color="auto"/>
      </w:divBdr>
    </w:div>
    <w:div w:id="2126190615">
      <w:bodyDiv w:val="1"/>
      <w:marLeft w:val="0"/>
      <w:marRight w:val="0"/>
      <w:marTop w:val="0"/>
      <w:marBottom w:val="0"/>
      <w:divBdr>
        <w:top w:val="none" w:sz="0" w:space="0" w:color="auto"/>
        <w:left w:val="none" w:sz="0" w:space="0" w:color="auto"/>
        <w:bottom w:val="none" w:sz="0" w:space="0" w:color="auto"/>
        <w:right w:val="none" w:sz="0" w:space="0" w:color="auto"/>
      </w:divBdr>
    </w:div>
    <w:div w:id="2134860288">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safeworkaustralia.gov.au/about-us/corporate-plan" TargetMode="External"/><Relationship Id="rId25" Type="http://schemas.openxmlformats.org/officeDocument/2006/relationships/header" Target="header7.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03FCB329B354495892CAC1CC8FFC4" ma:contentTypeVersion="0" ma:contentTypeDescription="Create a new document." ma:contentTypeScope="" ma:versionID="340243688a2cd75e2209b18875d841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2.xml><?xml version="1.0" encoding="utf-8"?>
<ds:datastoreItem xmlns:ds="http://schemas.openxmlformats.org/officeDocument/2006/customXml" ds:itemID="{EDFE19AD-8ECD-494F-9794-1E495DF650DA}">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B93EB309-99C4-4368-A3D0-38B2500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CFAA558-AD61-4058-A848-BF45EA98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13</TotalTime>
  <Pages>22</Pages>
  <Words>4751</Words>
  <Characters>27132</Characters>
  <Application>Microsoft Office Word</Application>
  <DocSecurity>0</DocSecurity>
  <Lines>1596</Lines>
  <Paragraphs>1062</Paragraphs>
  <ScaleCrop>false</ScaleCrop>
  <HeadingPairs>
    <vt:vector size="2" baseType="variant">
      <vt:variant>
        <vt:lpstr>Title</vt:lpstr>
      </vt:variant>
      <vt:variant>
        <vt:i4>1</vt:i4>
      </vt:variant>
    </vt:vector>
  </HeadingPairs>
  <TitlesOfParts>
    <vt:vector size="1" baseType="lpstr">
      <vt:lpstr>[Department abbreviation] Budget Statements</vt:lpstr>
    </vt:vector>
  </TitlesOfParts>
  <Company>Australian Government - The Treasury</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abbreviation] Budget Statements</dc:title>
  <dc:subject>Department Name</dc:subject>
  <dc:creator>[Author department]</dc:creator>
  <cp:lastModifiedBy>CT</cp:lastModifiedBy>
  <cp:revision>3</cp:revision>
  <cp:lastPrinted>2019-03-31T03:23:00Z</cp:lastPrinted>
  <dcterms:created xsi:type="dcterms:W3CDTF">2019-04-02T05:49:00Z</dcterms:created>
  <dcterms:modified xsi:type="dcterms:W3CDTF">2019-04-02T06:02:00Z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0x010100C1203FCB329B354495892CAC1CC8FFC4</vt:lpwstr>
  </property>
  <property fmtid="{D5CDD505-2E9C-101B-9397-08002B2CF9AE}" pid="5" name="TSYRecordClass">
    <vt:lpwstr>75;#AE-20337-Destroy 7 years after action completed|668ae28e-5138-4c7c-82db-1c8c6afc81a6</vt:lpwstr>
  </property>
  <property fmtid="{D5CDD505-2E9C-101B-9397-08002B2CF9AE}" pid="6" name="_dlc_DocIdItemGuid">
    <vt:lpwstr>79196669-f0dd-4937-a317-f5b565f5905e</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{79196669-f0dd-4937-a317-f5b565f5905e}</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
  </property>
  <property fmtid="{D5CDD505-2E9C-101B-9397-08002B2CF9AE}" pid="20" name="RecordPoint_RecordNumberSubmitted">
    <vt:lpwstr/>
  </property>
  <property fmtid="{D5CDD505-2E9C-101B-9397-08002B2CF9AE}" pid="21" name="SecurityClassification">
    <vt:lpwstr>Protected</vt:lpwstr>
  </property>
  <property fmtid="{D5CDD505-2E9C-101B-9397-08002B2CF9AE}" pid="22" name="DLMSecurityClassification">
    <vt:lpwstr>Sensitive:  Cabinet</vt:lpwstr>
  </property>
</Properties>
</file>