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1BD4B" w14:textId="77777777" w:rsidR="00E0460B" w:rsidRPr="00592789" w:rsidRDefault="00E0460B" w:rsidP="00E0460B">
      <w:pPr>
        <w:spacing w:line="240" w:lineRule="auto"/>
        <w:rPr>
          <w:rFonts w:asciiTheme="majorHAnsi" w:hAnsiTheme="majorHAnsi" w:cstheme="majorHAnsi"/>
          <w:b/>
          <w:sz w:val="52"/>
        </w:rPr>
      </w:pPr>
      <w:bookmarkStart w:id="0" w:name="_GoBack"/>
      <w:bookmarkEnd w:id="0"/>
    </w:p>
    <w:p w14:paraId="14D79FCB" w14:textId="77777777" w:rsidR="00E0460B" w:rsidRDefault="00E0460B" w:rsidP="00E0460B">
      <w:pPr>
        <w:spacing w:line="240" w:lineRule="auto"/>
        <w:ind w:left="0" w:firstLine="0"/>
        <w:rPr>
          <w:rFonts w:asciiTheme="majorHAnsi" w:hAnsiTheme="majorHAnsi" w:cstheme="majorHAnsi"/>
          <w:b/>
          <w:sz w:val="52"/>
        </w:rPr>
      </w:pPr>
    </w:p>
    <w:p w14:paraId="2F19F568" w14:textId="77777777" w:rsidR="00E0460B" w:rsidRDefault="00E0460B" w:rsidP="00E0460B">
      <w:pPr>
        <w:spacing w:line="240" w:lineRule="auto"/>
        <w:rPr>
          <w:rFonts w:asciiTheme="majorHAnsi" w:hAnsiTheme="majorHAnsi" w:cstheme="majorHAnsi"/>
          <w:b/>
          <w:sz w:val="52"/>
        </w:rPr>
      </w:pPr>
    </w:p>
    <w:p w14:paraId="11E86C47" w14:textId="77777777" w:rsidR="00E0460B" w:rsidRPr="0099117A" w:rsidRDefault="00E0460B" w:rsidP="00E0460B">
      <w:pPr>
        <w:spacing w:line="240" w:lineRule="auto"/>
        <w:ind w:left="0" w:firstLine="0"/>
        <w:rPr>
          <w:rFonts w:asciiTheme="majorHAnsi" w:hAnsiTheme="majorHAnsi" w:cstheme="majorHAnsi"/>
          <w:b/>
          <w:sz w:val="52"/>
        </w:rPr>
      </w:pPr>
      <w:r w:rsidRPr="0099117A">
        <w:rPr>
          <w:rFonts w:asciiTheme="majorHAnsi" w:hAnsiTheme="majorHAnsi" w:cstheme="majorHAnsi"/>
          <w:b/>
          <w:sz w:val="52"/>
        </w:rPr>
        <w:t xml:space="preserve">New Employment Services update and Proposed Licensing System webinars </w:t>
      </w:r>
    </w:p>
    <w:p w14:paraId="1C8E9CF0" w14:textId="77777777" w:rsidR="00E0460B" w:rsidRPr="0099117A" w:rsidRDefault="00E0460B" w:rsidP="00E0460B">
      <w:pPr>
        <w:spacing w:line="240" w:lineRule="auto"/>
        <w:rPr>
          <w:rFonts w:asciiTheme="majorHAnsi" w:hAnsiTheme="majorHAnsi" w:cstheme="majorHAnsi"/>
          <w:sz w:val="52"/>
        </w:rPr>
      </w:pPr>
    </w:p>
    <w:p w14:paraId="26275F0F" w14:textId="77777777" w:rsidR="00E0460B" w:rsidRPr="0099117A" w:rsidRDefault="00E0460B" w:rsidP="00E0460B">
      <w:pPr>
        <w:spacing w:line="240" w:lineRule="auto"/>
        <w:rPr>
          <w:rFonts w:asciiTheme="majorHAnsi" w:hAnsiTheme="majorHAnsi" w:cstheme="majorHAnsi"/>
          <w:sz w:val="52"/>
        </w:rPr>
      </w:pPr>
      <w:r w:rsidRPr="0099117A">
        <w:rPr>
          <w:rFonts w:asciiTheme="majorHAnsi" w:hAnsiTheme="majorHAnsi" w:cstheme="majorHAnsi"/>
          <w:sz w:val="52"/>
        </w:rPr>
        <w:t>Frequently Asked Questions</w:t>
      </w:r>
    </w:p>
    <w:p w14:paraId="4F767AF2" w14:textId="77777777" w:rsidR="00E0460B" w:rsidRPr="0099117A" w:rsidRDefault="00E0460B" w:rsidP="00E0460B">
      <w:pPr>
        <w:spacing w:line="240" w:lineRule="auto"/>
        <w:rPr>
          <w:rFonts w:asciiTheme="majorHAnsi" w:hAnsiTheme="majorHAnsi" w:cstheme="majorHAnsi"/>
          <w:sz w:val="52"/>
        </w:rPr>
      </w:pPr>
    </w:p>
    <w:p w14:paraId="0F576E1C" w14:textId="77777777" w:rsidR="00E0460B" w:rsidRPr="0099117A" w:rsidRDefault="00CE28F3" w:rsidP="00E0460B">
      <w:pPr>
        <w:spacing w:line="240" w:lineRule="auto"/>
        <w:rPr>
          <w:rFonts w:asciiTheme="majorHAnsi" w:hAnsiTheme="majorHAnsi" w:cstheme="majorHAnsi"/>
          <w:sz w:val="52"/>
        </w:rPr>
      </w:pPr>
      <w:r w:rsidRPr="0099117A">
        <w:rPr>
          <w:rFonts w:asciiTheme="majorHAnsi" w:hAnsiTheme="majorHAnsi" w:cstheme="majorHAnsi"/>
          <w:sz w:val="52"/>
        </w:rPr>
        <w:t>22</w:t>
      </w:r>
      <w:r w:rsidR="00E0460B" w:rsidRPr="0099117A">
        <w:rPr>
          <w:rFonts w:asciiTheme="majorHAnsi" w:hAnsiTheme="majorHAnsi" w:cstheme="majorHAnsi"/>
          <w:sz w:val="52"/>
        </w:rPr>
        <w:t xml:space="preserve"> October 2020</w:t>
      </w:r>
    </w:p>
    <w:p w14:paraId="2827D3A2" w14:textId="77777777" w:rsidR="00E0460B" w:rsidRPr="0099117A" w:rsidRDefault="00E0460B" w:rsidP="00E0460B">
      <w:pPr>
        <w:spacing w:line="240" w:lineRule="auto"/>
        <w:ind w:left="0" w:firstLine="0"/>
        <w:rPr>
          <w:rFonts w:asciiTheme="majorHAnsi" w:hAnsiTheme="majorHAnsi" w:cstheme="majorHAnsi"/>
          <w:sz w:val="52"/>
        </w:rPr>
      </w:pPr>
      <w:r w:rsidRPr="0099117A">
        <w:rPr>
          <w:rFonts w:asciiTheme="majorHAnsi" w:hAnsiTheme="majorHAnsi" w:cstheme="majorHAnsi"/>
          <w:sz w:val="52"/>
        </w:rPr>
        <w:br w:type="page"/>
      </w:r>
    </w:p>
    <w:p w14:paraId="1AEEAED1" w14:textId="77777777" w:rsidR="00E0460B" w:rsidRPr="0099117A" w:rsidRDefault="00E0460B" w:rsidP="00E0460B">
      <w:pPr>
        <w:suppressAutoHyphens/>
        <w:spacing w:after="120" w:line="240" w:lineRule="auto"/>
        <w:rPr>
          <w:rFonts w:eastAsiaTheme="majorEastAsia" w:cstheme="majorBidi"/>
          <w:b/>
          <w:sz w:val="44"/>
          <w:szCs w:val="32"/>
          <w:u w:val="single"/>
        </w:rPr>
      </w:pPr>
      <w:r w:rsidRPr="0099117A">
        <w:rPr>
          <w:rFonts w:eastAsiaTheme="majorEastAsia" w:cstheme="majorBidi"/>
          <w:b/>
          <w:sz w:val="44"/>
          <w:szCs w:val="32"/>
          <w:u w:val="single"/>
        </w:rPr>
        <w:lastRenderedPageBreak/>
        <w:t>Document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Caption w:val="Glossary"/>
        <w:tblDescription w:val="Glossary"/>
      </w:tblPr>
      <w:tblGrid>
        <w:gridCol w:w="2254"/>
        <w:gridCol w:w="6762"/>
      </w:tblGrid>
      <w:tr w:rsidR="008D60F5" w:rsidRPr="0099117A" w14:paraId="04C466BE" w14:textId="77777777" w:rsidTr="00E0460B">
        <w:trPr>
          <w:cantSplit/>
          <w:trHeight w:val="179"/>
          <w:tblHeader/>
        </w:trPr>
        <w:tc>
          <w:tcPr>
            <w:tcW w:w="1250" w:type="pct"/>
            <w:shd w:val="clear" w:color="auto" w:fill="D5DCE4" w:themeFill="text2" w:themeFillTint="33"/>
            <w:tcMar>
              <w:top w:w="113" w:type="dxa"/>
              <w:left w:w="113" w:type="dxa"/>
              <w:bottom w:w="113" w:type="dxa"/>
              <w:right w:w="113" w:type="dxa"/>
            </w:tcMar>
            <w:vAlign w:val="center"/>
          </w:tcPr>
          <w:p w14:paraId="51B54DE8" w14:textId="77777777" w:rsidR="00E0460B" w:rsidRPr="0099117A" w:rsidRDefault="00E0460B" w:rsidP="00E0460B">
            <w:pPr>
              <w:suppressAutoHyphens/>
              <w:spacing w:line="240" w:lineRule="auto"/>
              <w:rPr>
                <w:rFonts w:ascii="Calibri" w:eastAsia="Times New Roman" w:hAnsi="Calibri" w:cs="Calibri"/>
                <w:b/>
                <w:bCs/>
                <w:szCs w:val="20"/>
                <w:lang w:eastAsia="en-AU"/>
              </w:rPr>
            </w:pPr>
            <w:r w:rsidRPr="0099117A">
              <w:rPr>
                <w:rFonts w:eastAsiaTheme="majorEastAsia" w:cstheme="minorHAnsi"/>
                <w:b/>
                <w:szCs w:val="32"/>
              </w:rPr>
              <w:t>Date</w:t>
            </w:r>
          </w:p>
        </w:tc>
        <w:tc>
          <w:tcPr>
            <w:tcW w:w="3750" w:type="pct"/>
            <w:shd w:val="clear" w:color="auto" w:fill="D5DCE4" w:themeFill="text2" w:themeFillTint="33"/>
            <w:tcMar>
              <w:top w:w="113" w:type="dxa"/>
              <w:left w:w="113" w:type="dxa"/>
              <w:bottom w:w="113" w:type="dxa"/>
              <w:right w:w="113" w:type="dxa"/>
            </w:tcMar>
            <w:vAlign w:val="center"/>
          </w:tcPr>
          <w:p w14:paraId="337AB026" w14:textId="77777777" w:rsidR="00E0460B" w:rsidRPr="0099117A" w:rsidRDefault="00E0460B" w:rsidP="00E0460B">
            <w:pPr>
              <w:suppressAutoHyphens/>
              <w:spacing w:line="240" w:lineRule="auto"/>
              <w:rPr>
                <w:rFonts w:ascii="Calibri" w:eastAsia="Times New Roman" w:hAnsi="Calibri" w:cs="Calibri"/>
                <w:b/>
                <w:bCs/>
                <w:szCs w:val="20"/>
                <w:lang w:eastAsia="en-AU"/>
              </w:rPr>
            </w:pPr>
            <w:r w:rsidRPr="0099117A">
              <w:rPr>
                <w:rFonts w:eastAsiaTheme="majorEastAsia" w:cstheme="minorHAnsi"/>
                <w:b/>
                <w:szCs w:val="32"/>
              </w:rPr>
              <w:t>Comments</w:t>
            </w:r>
          </w:p>
        </w:tc>
      </w:tr>
      <w:tr w:rsidR="008D60F5" w:rsidRPr="0099117A" w14:paraId="7B702566" w14:textId="77777777" w:rsidTr="00E0460B">
        <w:trPr>
          <w:cantSplit/>
        </w:trPr>
        <w:tc>
          <w:tcPr>
            <w:tcW w:w="1250" w:type="pct"/>
            <w:tcMar>
              <w:top w:w="113" w:type="dxa"/>
              <w:left w:w="113" w:type="dxa"/>
              <w:bottom w:w="113" w:type="dxa"/>
              <w:right w:w="113" w:type="dxa"/>
            </w:tcMar>
            <w:vAlign w:val="center"/>
          </w:tcPr>
          <w:p w14:paraId="7DA63EB1" w14:textId="77777777" w:rsidR="00E0460B" w:rsidRPr="0099117A" w:rsidRDefault="00E0460B" w:rsidP="00E0460B">
            <w:pPr>
              <w:suppressAutoHyphens/>
              <w:spacing w:line="240" w:lineRule="auto"/>
              <w:rPr>
                <w:rFonts w:ascii="Calibri" w:eastAsia="Calibri" w:hAnsi="Calibri" w:cs="Times New Roman"/>
              </w:rPr>
            </w:pPr>
            <w:r w:rsidRPr="0099117A">
              <w:rPr>
                <w:rFonts w:ascii="Calibri" w:eastAsia="Calibri" w:hAnsi="Calibri" w:cs="Times New Roman"/>
              </w:rPr>
              <w:t>17 July 2020</w:t>
            </w:r>
          </w:p>
        </w:tc>
        <w:tc>
          <w:tcPr>
            <w:tcW w:w="3750" w:type="pct"/>
            <w:tcMar>
              <w:top w:w="113" w:type="dxa"/>
              <w:left w:w="113" w:type="dxa"/>
              <w:bottom w:w="113" w:type="dxa"/>
              <w:right w:w="113" w:type="dxa"/>
            </w:tcMar>
            <w:vAlign w:val="center"/>
          </w:tcPr>
          <w:p w14:paraId="6DC00AED" w14:textId="77777777" w:rsidR="00E0460B" w:rsidRPr="0099117A" w:rsidRDefault="00E0460B" w:rsidP="00E0460B">
            <w:pPr>
              <w:suppressAutoHyphens/>
              <w:spacing w:line="240" w:lineRule="auto"/>
              <w:rPr>
                <w:rFonts w:ascii="Calibri" w:eastAsia="Calibri" w:hAnsi="Calibri" w:cs="Calibri"/>
              </w:rPr>
            </w:pPr>
            <w:r w:rsidRPr="0099117A">
              <w:rPr>
                <w:rFonts w:ascii="Calibri" w:eastAsia="Calibri" w:hAnsi="Calibri" w:cs="Calibri"/>
              </w:rPr>
              <w:t>Original version of document</w:t>
            </w:r>
          </w:p>
        </w:tc>
      </w:tr>
      <w:tr w:rsidR="008D60F5" w:rsidRPr="0099117A" w14:paraId="5176AA6E" w14:textId="77777777" w:rsidTr="00E0460B">
        <w:trPr>
          <w:cantSplit/>
        </w:trPr>
        <w:tc>
          <w:tcPr>
            <w:tcW w:w="125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14:paraId="1857AB46" w14:textId="77777777" w:rsidR="00E0460B" w:rsidRPr="0099117A" w:rsidRDefault="00E0460B" w:rsidP="00E0460B">
            <w:pPr>
              <w:suppressAutoHyphens/>
              <w:spacing w:line="240" w:lineRule="auto"/>
              <w:rPr>
                <w:rFonts w:ascii="Calibri" w:eastAsia="Calibri" w:hAnsi="Calibri" w:cs="Times New Roman"/>
              </w:rPr>
            </w:pPr>
            <w:r w:rsidRPr="0099117A">
              <w:rPr>
                <w:rFonts w:ascii="Calibri" w:eastAsia="Calibri" w:hAnsi="Calibri" w:cs="Times New Roman"/>
              </w:rPr>
              <w:t>10 August 2020</w:t>
            </w:r>
          </w:p>
        </w:tc>
        <w:tc>
          <w:tcPr>
            <w:tcW w:w="375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14:paraId="76526196" w14:textId="77777777" w:rsidR="00E0460B" w:rsidRPr="0099117A" w:rsidRDefault="00E0460B" w:rsidP="00E0460B">
            <w:pPr>
              <w:suppressAutoHyphens/>
              <w:spacing w:line="240" w:lineRule="auto"/>
              <w:ind w:left="0" w:firstLine="0"/>
              <w:rPr>
                <w:rFonts w:ascii="Calibri" w:eastAsia="Calibri" w:hAnsi="Calibri" w:cs="Calibri"/>
              </w:rPr>
            </w:pPr>
            <w:r w:rsidRPr="0099117A">
              <w:rPr>
                <w:rFonts w:ascii="Calibri" w:eastAsia="Calibri" w:hAnsi="Calibri" w:cs="Calibri"/>
              </w:rPr>
              <w:t>Following the webinars held 27 July 2020 additional questions have been included, these are 1.4, 1.5, 1.6, 3.4, 9.2 and 9.3</w:t>
            </w:r>
          </w:p>
        </w:tc>
      </w:tr>
      <w:tr w:rsidR="008D60F5" w:rsidRPr="0099117A" w14:paraId="018141F9" w14:textId="77777777" w:rsidTr="00E0460B">
        <w:trPr>
          <w:cantSplit/>
        </w:trPr>
        <w:tc>
          <w:tcPr>
            <w:tcW w:w="125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14:paraId="50753060" w14:textId="77777777" w:rsidR="00E0460B" w:rsidRPr="0099117A" w:rsidRDefault="00E0460B" w:rsidP="00E0460B">
            <w:pPr>
              <w:suppressAutoHyphens/>
              <w:spacing w:line="240" w:lineRule="auto"/>
              <w:rPr>
                <w:rFonts w:ascii="Calibri" w:eastAsia="Calibri" w:hAnsi="Calibri" w:cs="Times New Roman"/>
              </w:rPr>
            </w:pPr>
            <w:r w:rsidRPr="0099117A">
              <w:rPr>
                <w:rFonts w:ascii="Calibri" w:eastAsia="Calibri" w:hAnsi="Calibri" w:cs="Times New Roman"/>
              </w:rPr>
              <w:t>14 September 2020</w:t>
            </w:r>
          </w:p>
        </w:tc>
        <w:tc>
          <w:tcPr>
            <w:tcW w:w="375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14:paraId="3ACDBABA" w14:textId="77777777" w:rsidR="00E0460B" w:rsidRPr="0099117A" w:rsidRDefault="00E0460B" w:rsidP="00E0460B">
            <w:pPr>
              <w:suppressAutoHyphens/>
              <w:spacing w:line="240" w:lineRule="auto"/>
              <w:ind w:left="0" w:firstLine="0"/>
              <w:rPr>
                <w:rFonts w:ascii="Calibri" w:eastAsia="Calibri" w:hAnsi="Calibri" w:cs="Calibri"/>
              </w:rPr>
            </w:pPr>
            <w:r w:rsidRPr="0099117A">
              <w:rPr>
                <w:rFonts w:ascii="Calibri" w:eastAsia="Calibri" w:hAnsi="Calibri" w:cs="Calibri"/>
              </w:rPr>
              <w:t>Additional question added 3.5</w:t>
            </w:r>
          </w:p>
        </w:tc>
      </w:tr>
      <w:tr w:rsidR="008D60F5" w:rsidRPr="0099117A" w14:paraId="1867EA25" w14:textId="77777777" w:rsidTr="00E0460B">
        <w:trPr>
          <w:cantSplit/>
        </w:trPr>
        <w:tc>
          <w:tcPr>
            <w:tcW w:w="125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14:paraId="56CC9D1C" w14:textId="77777777" w:rsidR="00E0460B" w:rsidRPr="0099117A" w:rsidRDefault="006F37C6" w:rsidP="00E0460B">
            <w:pPr>
              <w:suppressAutoHyphens/>
              <w:spacing w:line="240" w:lineRule="auto"/>
              <w:rPr>
                <w:rFonts w:ascii="Calibri" w:eastAsia="Calibri" w:hAnsi="Calibri" w:cs="Times New Roman"/>
              </w:rPr>
            </w:pPr>
            <w:r w:rsidRPr="0099117A">
              <w:rPr>
                <w:rFonts w:ascii="Calibri" w:eastAsia="Calibri" w:hAnsi="Calibri" w:cs="Times New Roman"/>
              </w:rPr>
              <w:t>22</w:t>
            </w:r>
            <w:r w:rsidR="00E0460B" w:rsidRPr="0099117A">
              <w:rPr>
                <w:rFonts w:ascii="Calibri" w:eastAsia="Calibri" w:hAnsi="Calibri" w:cs="Times New Roman"/>
              </w:rPr>
              <w:t xml:space="preserve"> October 2020</w:t>
            </w:r>
          </w:p>
        </w:tc>
        <w:tc>
          <w:tcPr>
            <w:tcW w:w="375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14:paraId="02B42919" w14:textId="77777777" w:rsidR="00E0460B" w:rsidRPr="0099117A" w:rsidRDefault="00E0460B" w:rsidP="00E0460B">
            <w:pPr>
              <w:suppressAutoHyphens/>
              <w:spacing w:line="240" w:lineRule="auto"/>
              <w:ind w:left="0" w:firstLine="0"/>
              <w:rPr>
                <w:rFonts w:ascii="Calibri" w:eastAsia="Calibri" w:hAnsi="Calibri" w:cs="Calibri"/>
              </w:rPr>
            </w:pPr>
            <w:r w:rsidRPr="0099117A">
              <w:rPr>
                <w:rFonts w:ascii="Calibri" w:eastAsia="Calibri" w:hAnsi="Calibri" w:cs="Calibri"/>
              </w:rPr>
              <w:t xml:space="preserve">Following the webinar held 14 October additional questions have been included, these are </w:t>
            </w:r>
            <w:r w:rsidR="006F37C6" w:rsidRPr="0099117A">
              <w:rPr>
                <w:rFonts w:ascii="Calibri" w:eastAsia="Calibri" w:hAnsi="Calibri" w:cs="Calibri"/>
              </w:rPr>
              <w:t>1.3, 1.5, 1.7, 1.8, 1.10, 1.11, 1.12, 1.13, 1.14, 1.15, 1.16, 1.17, 1.18, 1.19, 1.20, 2.2, 3.6, 4.3, 5.5, 5.6, 6.2, 8.6, 8.7, 8.8, 9.1, 9.2, 9.3, 9.4, 9.5, 10.1, 10.2, 10.3, 10.4, 10.5, 10.6, 10.7, 10.8, 11.4, 11.5, 11.6, 11.7, 11.8, 11.9, 11.10, 11.11, 11.12, 12.2, 13.1, 13.2</w:t>
            </w:r>
            <w:r w:rsidR="00871B1C" w:rsidRPr="0099117A">
              <w:rPr>
                <w:rFonts w:ascii="Calibri" w:eastAsia="Calibri" w:hAnsi="Calibri" w:cs="Calibri"/>
              </w:rPr>
              <w:t xml:space="preserve"> and</w:t>
            </w:r>
            <w:r w:rsidR="006F37C6" w:rsidRPr="0099117A">
              <w:rPr>
                <w:rFonts w:ascii="Calibri" w:eastAsia="Calibri" w:hAnsi="Calibri" w:cs="Calibri"/>
              </w:rPr>
              <w:t xml:space="preserve"> 13.3</w:t>
            </w:r>
          </w:p>
          <w:p w14:paraId="54994E91" w14:textId="77777777" w:rsidR="00E0460B" w:rsidRPr="0099117A" w:rsidRDefault="00102488" w:rsidP="00E0460B">
            <w:pPr>
              <w:suppressAutoHyphens/>
              <w:spacing w:line="240" w:lineRule="auto"/>
              <w:ind w:left="0" w:firstLine="0"/>
              <w:rPr>
                <w:rFonts w:ascii="Calibri" w:eastAsia="Calibri" w:hAnsi="Calibri" w:cs="Calibri"/>
              </w:rPr>
            </w:pPr>
            <w:r w:rsidRPr="0099117A">
              <w:rPr>
                <w:rFonts w:ascii="Calibri" w:eastAsia="Calibri" w:hAnsi="Calibri" w:cs="Calibri"/>
              </w:rPr>
              <w:t>U</w:t>
            </w:r>
            <w:r w:rsidR="00E0460B" w:rsidRPr="0099117A">
              <w:rPr>
                <w:rFonts w:ascii="Calibri" w:eastAsia="Calibri" w:hAnsi="Calibri" w:cs="Calibri"/>
              </w:rPr>
              <w:t>pdates have been made to questions</w:t>
            </w:r>
            <w:r w:rsidR="00CE28F3" w:rsidRPr="0099117A">
              <w:rPr>
                <w:rFonts w:ascii="Calibri" w:eastAsia="Calibri" w:hAnsi="Calibri" w:cs="Calibri"/>
              </w:rPr>
              <w:t xml:space="preserve"> </w:t>
            </w:r>
            <w:r w:rsidR="00871B1C" w:rsidRPr="0099117A">
              <w:rPr>
                <w:rFonts w:ascii="Calibri" w:eastAsia="Calibri" w:hAnsi="Calibri" w:cs="Calibri"/>
              </w:rPr>
              <w:t xml:space="preserve">1.9, 2.1, </w:t>
            </w:r>
            <w:r w:rsidR="00CE28F3" w:rsidRPr="0099117A">
              <w:rPr>
                <w:rFonts w:ascii="Calibri" w:eastAsia="Calibri" w:hAnsi="Calibri" w:cs="Calibri"/>
              </w:rPr>
              <w:t>5.1</w:t>
            </w:r>
            <w:r w:rsidRPr="0099117A">
              <w:rPr>
                <w:rFonts w:ascii="Calibri" w:eastAsia="Calibri" w:hAnsi="Calibri" w:cs="Calibri"/>
              </w:rPr>
              <w:t xml:space="preserve">, 5.3, </w:t>
            </w:r>
            <w:r w:rsidR="00871B1C" w:rsidRPr="0099117A">
              <w:rPr>
                <w:rFonts w:ascii="Calibri" w:eastAsia="Calibri" w:hAnsi="Calibri" w:cs="Calibri"/>
              </w:rPr>
              <w:t>7.1</w:t>
            </w:r>
            <w:r w:rsidRPr="0099117A">
              <w:rPr>
                <w:rFonts w:ascii="Calibri" w:eastAsia="Calibri" w:hAnsi="Calibri" w:cs="Calibri"/>
              </w:rPr>
              <w:t xml:space="preserve"> and 11.1</w:t>
            </w:r>
          </w:p>
        </w:tc>
      </w:tr>
    </w:tbl>
    <w:p w14:paraId="658E5346" w14:textId="77777777" w:rsidR="00E0460B" w:rsidRPr="0099117A" w:rsidRDefault="00E0460B" w:rsidP="00E0460B">
      <w:pPr>
        <w:spacing w:line="240" w:lineRule="auto"/>
        <w:rPr>
          <w:rFonts w:asciiTheme="majorHAnsi" w:hAnsiTheme="majorHAnsi" w:cstheme="majorHAnsi"/>
          <w:sz w:val="52"/>
        </w:rPr>
      </w:pPr>
    </w:p>
    <w:p w14:paraId="201D895C" w14:textId="77777777" w:rsidR="00E0460B" w:rsidRPr="0099117A" w:rsidRDefault="00E0460B" w:rsidP="00E0460B">
      <w:pPr>
        <w:suppressAutoHyphens/>
        <w:spacing w:after="120" w:line="240" w:lineRule="auto"/>
        <w:rPr>
          <w:rFonts w:eastAsiaTheme="majorEastAsia" w:cstheme="majorBidi"/>
          <w:b/>
          <w:sz w:val="44"/>
          <w:szCs w:val="32"/>
          <w:u w:val="single"/>
        </w:rPr>
      </w:pPr>
      <w:r w:rsidRPr="0099117A">
        <w:rPr>
          <w:rFonts w:eastAsiaTheme="majorEastAsia" w:cstheme="majorBidi"/>
          <w:b/>
          <w:sz w:val="44"/>
          <w:szCs w:val="32"/>
          <w:u w:val="single"/>
        </w:rPr>
        <w:t>Disclaimer</w:t>
      </w:r>
    </w:p>
    <w:p w14:paraId="282B5B9A" w14:textId="77777777" w:rsidR="00E0460B" w:rsidRPr="0099117A" w:rsidRDefault="00E0460B" w:rsidP="00E0460B">
      <w:pPr>
        <w:spacing w:line="240" w:lineRule="auto"/>
        <w:ind w:left="0" w:firstLine="0"/>
      </w:pPr>
      <w:r w:rsidRPr="0099117A">
        <w:t xml:space="preserve">Interested parties should be aware that the positions presented by the Department in this FAQ paper are subject to ongoing consultation and </w:t>
      </w:r>
      <w:proofErr w:type="gramStart"/>
      <w:r w:rsidR="00CE28F3" w:rsidRPr="0099117A">
        <w:t>consideration, and</w:t>
      </w:r>
      <w:proofErr w:type="gramEnd"/>
      <w:r w:rsidRPr="0099117A">
        <w:t xml:space="preserve"> may therefore vary.</w:t>
      </w:r>
    </w:p>
    <w:p w14:paraId="2265D9DF" w14:textId="77777777" w:rsidR="00E0460B" w:rsidRPr="0099117A" w:rsidRDefault="00E0460B" w:rsidP="00E0460B">
      <w:pPr>
        <w:spacing w:line="240" w:lineRule="auto"/>
        <w:ind w:left="0" w:firstLine="0"/>
      </w:pPr>
      <w:r w:rsidRPr="0099117A">
        <w:t>The Department is not liable for any loss resulting from any reliance on any information made available in this FAQ.</w:t>
      </w:r>
    </w:p>
    <w:p w14:paraId="3863F8F5" w14:textId="77777777" w:rsidR="00E0460B" w:rsidRPr="0099117A" w:rsidRDefault="00E0460B" w:rsidP="00E0460B">
      <w:pPr>
        <w:spacing w:line="240" w:lineRule="auto"/>
        <w:ind w:left="0" w:firstLine="0"/>
      </w:pPr>
      <w:r w:rsidRPr="0099117A">
        <w:br w:type="page"/>
      </w:r>
    </w:p>
    <w:p w14:paraId="6E52AAA4" w14:textId="77777777" w:rsidR="00E0460B" w:rsidRPr="0099117A" w:rsidRDefault="00E0460B" w:rsidP="00E0460B">
      <w:pPr>
        <w:spacing w:line="240" w:lineRule="auto"/>
        <w:rPr>
          <w:b/>
          <w:sz w:val="36"/>
          <w:u w:val="single"/>
        </w:rPr>
      </w:pPr>
      <w:r w:rsidRPr="0099117A">
        <w:rPr>
          <w:b/>
          <w:sz w:val="36"/>
          <w:u w:val="single"/>
        </w:rPr>
        <w:lastRenderedPageBreak/>
        <w:t>TABLE OF CONTENTS</w:t>
      </w:r>
    </w:p>
    <w:p w14:paraId="74693509" w14:textId="44005F05" w:rsidR="00C05FD1" w:rsidRPr="0099117A" w:rsidRDefault="00E0460B">
      <w:pPr>
        <w:pStyle w:val="TOC1"/>
        <w:rPr>
          <w:rFonts w:eastAsiaTheme="minorEastAsia"/>
          <w:b w:val="0"/>
          <w:noProof/>
          <w:color w:val="auto"/>
          <w:sz w:val="22"/>
          <w:lang w:eastAsia="en-AU"/>
        </w:rPr>
      </w:pPr>
      <w:r w:rsidRPr="0099117A">
        <w:rPr>
          <w:color w:val="auto"/>
        </w:rPr>
        <w:fldChar w:fldCharType="begin"/>
      </w:r>
      <w:r w:rsidRPr="0099117A">
        <w:rPr>
          <w:color w:val="auto"/>
        </w:rPr>
        <w:instrText xml:space="preserve"> TOC \o "1-2" \h \z \u </w:instrText>
      </w:r>
      <w:r w:rsidRPr="0099117A">
        <w:rPr>
          <w:color w:val="auto"/>
        </w:rPr>
        <w:fldChar w:fldCharType="separate"/>
      </w:r>
      <w:hyperlink w:anchor="_Toc54263752" w:history="1">
        <w:r w:rsidR="00C05FD1" w:rsidRPr="0099117A">
          <w:rPr>
            <w:rStyle w:val="Hyperlink"/>
            <w:noProof/>
          </w:rPr>
          <w:t>New Employment Services Update</w:t>
        </w:r>
        <w:r w:rsidR="00C05FD1" w:rsidRPr="0099117A">
          <w:rPr>
            <w:noProof/>
            <w:webHidden/>
          </w:rPr>
          <w:tab/>
        </w:r>
        <w:r w:rsidR="00C05FD1" w:rsidRPr="0099117A">
          <w:rPr>
            <w:noProof/>
            <w:webHidden/>
          </w:rPr>
          <w:fldChar w:fldCharType="begin"/>
        </w:r>
        <w:r w:rsidR="00C05FD1" w:rsidRPr="0099117A">
          <w:rPr>
            <w:noProof/>
            <w:webHidden/>
          </w:rPr>
          <w:instrText xml:space="preserve"> PAGEREF _Toc54263752 \h </w:instrText>
        </w:r>
        <w:r w:rsidR="00C05FD1" w:rsidRPr="0099117A">
          <w:rPr>
            <w:noProof/>
            <w:webHidden/>
          </w:rPr>
        </w:r>
        <w:r w:rsidR="00C05FD1" w:rsidRPr="0099117A">
          <w:rPr>
            <w:noProof/>
            <w:webHidden/>
          </w:rPr>
          <w:fldChar w:fldCharType="separate"/>
        </w:r>
        <w:r w:rsidR="0057177B">
          <w:rPr>
            <w:noProof/>
            <w:webHidden/>
          </w:rPr>
          <w:t>4</w:t>
        </w:r>
        <w:r w:rsidR="00C05FD1" w:rsidRPr="0099117A">
          <w:rPr>
            <w:noProof/>
            <w:webHidden/>
          </w:rPr>
          <w:fldChar w:fldCharType="end"/>
        </w:r>
      </w:hyperlink>
    </w:p>
    <w:p w14:paraId="032483FF" w14:textId="26AEEB7A" w:rsidR="00C05FD1" w:rsidRPr="0099117A" w:rsidRDefault="00A15E69">
      <w:pPr>
        <w:pStyle w:val="TOC2"/>
        <w:rPr>
          <w:rFonts w:eastAsiaTheme="minorEastAsia"/>
          <w:noProof/>
          <w:sz w:val="22"/>
          <w:lang w:eastAsia="en-AU"/>
        </w:rPr>
      </w:pPr>
      <w:hyperlink w:anchor="_Toc54263753" w:history="1">
        <w:r w:rsidR="00C05FD1" w:rsidRPr="0099117A">
          <w:rPr>
            <w:rStyle w:val="Hyperlink"/>
            <w:noProof/>
          </w:rPr>
          <w:t>1.</w:t>
        </w:r>
        <w:r w:rsidR="00C05FD1" w:rsidRPr="0099117A">
          <w:rPr>
            <w:rFonts w:eastAsiaTheme="minorEastAsia"/>
            <w:noProof/>
            <w:sz w:val="22"/>
            <w:lang w:eastAsia="en-AU"/>
          </w:rPr>
          <w:tab/>
        </w:r>
        <w:r w:rsidR="00C05FD1" w:rsidRPr="0099117A">
          <w:rPr>
            <w:rStyle w:val="Hyperlink"/>
            <w:noProof/>
          </w:rPr>
          <w:t>General</w:t>
        </w:r>
        <w:r w:rsidR="00C05FD1" w:rsidRPr="0099117A">
          <w:rPr>
            <w:noProof/>
            <w:webHidden/>
          </w:rPr>
          <w:tab/>
        </w:r>
        <w:r w:rsidR="00C05FD1" w:rsidRPr="0099117A">
          <w:rPr>
            <w:noProof/>
            <w:webHidden/>
          </w:rPr>
          <w:fldChar w:fldCharType="begin"/>
        </w:r>
        <w:r w:rsidR="00C05FD1" w:rsidRPr="0099117A">
          <w:rPr>
            <w:noProof/>
            <w:webHidden/>
          </w:rPr>
          <w:instrText xml:space="preserve"> PAGEREF _Toc54263753 \h </w:instrText>
        </w:r>
        <w:r w:rsidR="00C05FD1" w:rsidRPr="0099117A">
          <w:rPr>
            <w:noProof/>
            <w:webHidden/>
          </w:rPr>
        </w:r>
        <w:r w:rsidR="00C05FD1" w:rsidRPr="0099117A">
          <w:rPr>
            <w:noProof/>
            <w:webHidden/>
          </w:rPr>
          <w:fldChar w:fldCharType="separate"/>
        </w:r>
        <w:r w:rsidR="0057177B">
          <w:rPr>
            <w:noProof/>
            <w:webHidden/>
          </w:rPr>
          <w:t>4</w:t>
        </w:r>
        <w:r w:rsidR="00C05FD1" w:rsidRPr="0099117A">
          <w:rPr>
            <w:noProof/>
            <w:webHidden/>
          </w:rPr>
          <w:fldChar w:fldCharType="end"/>
        </w:r>
      </w:hyperlink>
    </w:p>
    <w:p w14:paraId="2AE88C81" w14:textId="6BBCB9A4" w:rsidR="00C05FD1" w:rsidRPr="0099117A" w:rsidRDefault="00A15E69">
      <w:pPr>
        <w:pStyle w:val="TOC2"/>
        <w:rPr>
          <w:rFonts w:eastAsiaTheme="minorEastAsia"/>
          <w:noProof/>
          <w:sz w:val="22"/>
          <w:lang w:eastAsia="en-AU"/>
        </w:rPr>
      </w:pPr>
      <w:hyperlink w:anchor="_Toc54263754" w:history="1">
        <w:r w:rsidR="00C05FD1" w:rsidRPr="0099117A">
          <w:rPr>
            <w:rStyle w:val="Hyperlink"/>
            <w:noProof/>
          </w:rPr>
          <w:t>2.</w:t>
        </w:r>
        <w:r w:rsidR="00C05FD1" w:rsidRPr="0099117A">
          <w:rPr>
            <w:rFonts w:eastAsiaTheme="minorEastAsia"/>
            <w:noProof/>
            <w:sz w:val="22"/>
            <w:lang w:eastAsia="en-AU"/>
          </w:rPr>
          <w:tab/>
        </w:r>
        <w:r w:rsidR="00C05FD1" w:rsidRPr="0099117A">
          <w:rPr>
            <w:rStyle w:val="Hyperlink"/>
            <w:noProof/>
          </w:rPr>
          <w:t>Payments</w:t>
        </w:r>
        <w:r w:rsidR="00C05FD1" w:rsidRPr="0099117A">
          <w:rPr>
            <w:noProof/>
            <w:webHidden/>
          </w:rPr>
          <w:tab/>
        </w:r>
        <w:r w:rsidR="00C05FD1" w:rsidRPr="0099117A">
          <w:rPr>
            <w:noProof/>
            <w:webHidden/>
          </w:rPr>
          <w:fldChar w:fldCharType="begin"/>
        </w:r>
        <w:r w:rsidR="00C05FD1" w:rsidRPr="0099117A">
          <w:rPr>
            <w:noProof/>
            <w:webHidden/>
          </w:rPr>
          <w:instrText xml:space="preserve"> PAGEREF _Toc54263754 \h </w:instrText>
        </w:r>
        <w:r w:rsidR="00C05FD1" w:rsidRPr="0099117A">
          <w:rPr>
            <w:noProof/>
            <w:webHidden/>
          </w:rPr>
        </w:r>
        <w:r w:rsidR="00C05FD1" w:rsidRPr="0099117A">
          <w:rPr>
            <w:noProof/>
            <w:webHidden/>
          </w:rPr>
          <w:fldChar w:fldCharType="separate"/>
        </w:r>
        <w:r w:rsidR="0057177B">
          <w:rPr>
            <w:noProof/>
            <w:webHidden/>
          </w:rPr>
          <w:t>8</w:t>
        </w:r>
        <w:r w:rsidR="00C05FD1" w:rsidRPr="0099117A">
          <w:rPr>
            <w:noProof/>
            <w:webHidden/>
          </w:rPr>
          <w:fldChar w:fldCharType="end"/>
        </w:r>
      </w:hyperlink>
    </w:p>
    <w:p w14:paraId="3662F38D" w14:textId="7E9C1004" w:rsidR="00C05FD1" w:rsidRPr="0099117A" w:rsidRDefault="00A15E69">
      <w:pPr>
        <w:pStyle w:val="TOC2"/>
        <w:rPr>
          <w:rFonts w:eastAsiaTheme="minorEastAsia"/>
          <w:noProof/>
          <w:sz w:val="22"/>
          <w:lang w:eastAsia="en-AU"/>
        </w:rPr>
      </w:pPr>
      <w:hyperlink w:anchor="_Toc54263755" w:history="1">
        <w:r w:rsidR="00C05FD1" w:rsidRPr="0099117A">
          <w:rPr>
            <w:rStyle w:val="Hyperlink"/>
            <w:noProof/>
          </w:rPr>
          <w:t>3.</w:t>
        </w:r>
        <w:r w:rsidR="00C05FD1" w:rsidRPr="0099117A">
          <w:rPr>
            <w:rFonts w:eastAsiaTheme="minorEastAsia"/>
            <w:noProof/>
            <w:sz w:val="22"/>
            <w:lang w:eastAsia="en-AU"/>
          </w:rPr>
          <w:tab/>
        </w:r>
        <w:r w:rsidR="00C05FD1" w:rsidRPr="0099117A">
          <w:rPr>
            <w:rStyle w:val="Hyperlink"/>
            <w:noProof/>
          </w:rPr>
          <w:t>Assessment</w:t>
        </w:r>
        <w:r w:rsidR="00C05FD1" w:rsidRPr="0099117A">
          <w:rPr>
            <w:noProof/>
            <w:webHidden/>
          </w:rPr>
          <w:tab/>
        </w:r>
        <w:r w:rsidR="00C05FD1" w:rsidRPr="0099117A">
          <w:rPr>
            <w:noProof/>
            <w:webHidden/>
          </w:rPr>
          <w:fldChar w:fldCharType="begin"/>
        </w:r>
        <w:r w:rsidR="00C05FD1" w:rsidRPr="0099117A">
          <w:rPr>
            <w:noProof/>
            <w:webHidden/>
          </w:rPr>
          <w:instrText xml:space="preserve"> PAGEREF _Toc54263755 \h </w:instrText>
        </w:r>
        <w:r w:rsidR="00C05FD1" w:rsidRPr="0099117A">
          <w:rPr>
            <w:noProof/>
            <w:webHidden/>
          </w:rPr>
        </w:r>
        <w:r w:rsidR="00C05FD1" w:rsidRPr="0099117A">
          <w:rPr>
            <w:noProof/>
            <w:webHidden/>
          </w:rPr>
          <w:fldChar w:fldCharType="separate"/>
        </w:r>
        <w:r w:rsidR="0057177B">
          <w:rPr>
            <w:noProof/>
            <w:webHidden/>
          </w:rPr>
          <w:t>9</w:t>
        </w:r>
        <w:r w:rsidR="00C05FD1" w:rsidRPr="0099117A">
          <w:rPr>
            <w:noProof/>
            <w:webHidden/>
          </w:rPr>
          <w:fldChar w:fldCharType="end"/>
        </w:r>
      </w:hyperlink>
    </w:p>
    <w:p w14:paraId="0D264C08" w14:textId="05EE2F4B" w:rsidR="00C05FD1" w:rsidRPr="0099117A" w:rsidRDefault="00A15E69">
      <w:pPr>
        <w:pStyle w:val="TOC2"/>
        <w:rPr>
          <w:rFonts w:eastAsiaTheme="minorEastAsia"/>
          <w:noProof/>
          <w:sz w:val="22"/>
          <w:lang w:eastAsia="en-AU"/>
        </w:rPr>
      </w:pPr>
      <w:hyperlink w:anchor="_Toc54263756" w:history="1">
        <w:r w:rsidR="00C05FD1" w:rsidRPr="0099117A">
          <w:rPr>
            <w:rStyle w:val="Hyperlink"/>
            <w:noProof/>
          </w:rPr>
          <w:t>4.</w:t>
        </w:r>
        <w:r w:rsidR="00C05FD1" w:rsidRPr="0099117A">
          <w:rPr>
            <w:rFonts w:eastAsiaTheme="minorEastAsia"/>
            <w:noProof/>
            <w:sz w:val="22"/>
            <w:lang w:eastAsia="en-AU"/>
          </w:rPr>
          <w:tab/>
        </w:r>
        <w:r w:rsidR="00C05FD1" w:rsidRPr="0099117A">
          <w:rPr>
            <w:rStyle w:val="Hyperlink"/>
            <w:noProof/>
          </w:rPr>
          <w:t>Monitoring and Data</w:t>
        </w:r>
        <w:r w:rsidR="00C05FD1" w:rsidRPr="0099117A">
          <w:rPr>
            <w:noProof/>
            <w:webHidden/>
          </w:rPr>
          <w:tab/>
        </w:r>
        <w:r w:rsidR="00C05FD1" w:rsidRPr="0099117A">
          <w:rPr>
            <w:noProof/>
            <w:webHidden/>
          </w:rPr>
          <w:fldChar w:fldCharType="begin"/>
        </w:r>
        <w:r w:rsidR="00C05FD1" w:rsidRPr="0099117A">
          <w:rPr>
            <w:noProof/>
            <w:webHidden/>
          </w:rPr>
          <w:instrText xml:space="preserve"> PAGEREF _Toc54263756 \h </w:instrText>
        </w:r>
        <w:r w:rsidR="00C05FD1" w:rsidRPr="0099117A">
          <w:rPr>
            <w:noProof/>
            <w:webHidden/>
          </w:rPr>
        </w:r>
        <w:r w:rsidR="00C05FD1" w:rsidRPr="0099117A">
          <w:rPr>
            <w:noProof/>
            <w:webHidden/>
          </w:rPr>
          <w:fldChar w:fldCharType="separate"/>
        </w:r>
        <w:r w:rsidR="0057177B">
          <w:rPr>
            <w:noProof/>
            <w:webHidden/>
          </w:rPr>
          <w:t>12</w:t>
        </w:r>
        <w:r w:rsidR="00C05FD1" w:rsidRPr="0099117A">
          <w:rPr>
            <w:noProof/>
            <w:webHidden/>
          </w:rPr>
          <w:fldChar w:fldCharType="end"/>
        </w:r>
      </w:hyperlink>
    </w:p>
    <w:p w14:paraId="113F804A" w14:textId="13C02FE8" w:rsidR="00C05FD1" w:rsidRPr="0099117A" w:rsidRDefault="00A15E69">
      <w:pPr>
        <w:pStyle w:val="TOC2"/>
        <w:rPr>
          <w:rFonts w:eastAsiaTheme="minorEastAsia"/>
          <w:noProof/>
          <w:sz w:val="22"/>
          <w:lang w:eastAsia="en-AU"/>
        </w:rPr>
      </w:pPr>
      <w:hyperlink w:anchor="_Toc54263757" w:history="1">
        <w:r w:rsidR="00C05FD1" w:rsidRPr="0099117A">
          <w:rPr>
            <w:rStyle w:val="Hyperlink"/>
            <w:noProof/>
          </w:rPr>
          <w:t>5.</w:t>
        </w:r>
        <w:r w:rsidR="00C05FD1" w:rsidRPr="0099117A">
          <w:rPr>
            <w:rFonts w:eastAsiaTheme="minorEastAsia"/>
            <w:noProof/>
            <w:sz w:val="22"/>
            <w:lang w:eastAsia="en-AU"/>
          </w:rPr>
          <w:tab/>
        </w:r>
        <w:r w:rsidR="00C05FD1" w:rsidRPr="0099117A">
          <w:rPr>
            <w:rStyle w:val="Hyperlink"/>
            <w:noProof/>
          </w:rPr>
          <w:t>Activities and Complementary Programs</w:t>
        </w:r>
        <w:r w:rsidR="00C05FD1" w:rsidRPr="0099117A">
          <w:rPr>
            <w:noProof/>
            <w:webHidden/>
          </w:rPr>
          <w:tab/>
        </w:r>
        <w:r w:rsidR="00C05FD1" w:rsidRPr="0099117A">
          <w:rPr>
            <w:noProof/>
            <w:webHidden/>
          </w:rPr>
          <w:fldChar w:fldCharType="begin"/>
        </w:r>
        <w:r w:rsidR="00C05FD1" w:rsidRPr="0099117A">
          <w:rPr>
            <w:noProof/>
            <w:webHidden/>
          </w:rPr>
          <w:instrText xml:space="preserve"> PAGEREF _Toc54263757 \h </w:instrText>
        </w:r>
        <w:r w:rsidR="00C05FD1" w:rsidRPr="0099117A">
          <w:rPr>
            <w:noProof/>
            <w:webHidden/>
          </w:rPr>
        </w:r>
        <w:r w:rsidR="00C05FD1" w:rsidRPr="0099117A">
          <w:rPr>
            <w:noProof/>
            <w:webHidden/>
          </w:rPr>
          <w:fldChar w:fldCharType="separate"/>
        </w:r>
        <w:r w:rsidR="0057177B">
          <w:rPr>
            <w:noProof/>
            <w:webHidden/>
          </w:rPr>
          <w:t>12</w:t>
        </w:r>
        <w:r w:rsidR="00C05FD1" w:rsidRPr="0099117A">
          <w:rPr>
            <w:noProof/>
            <w:webHidden/>
          </w:rPr>
          <w:fldChar w:fldCharType="end"/>
        </w:r>
      </w:hyperlink>
    </w:p>
    <w:p w14:paraId="4C293EE5" w14:textId="7CFD6265" w:rsidR="00C05FD1" w:rsidRPr="0099117A" w:rsidRDefault="00A15E69">
      <w:pPr>
        <w:pStyle w:val="TOC2"/>
        <w:rPr>
          <w:rFonts w:eastAsiaTheme="minorEastAsia"/>
          <w:noProof/>
          <w:sz w:val="22"/>
          <w:lang w:eastAsia="en-AU"/>
        </w:rPr>
      </w:pPr>
      <w:hyperlink w:anchor="_Toc54263758" w:history="1">
        <w:r w:rsidR="00C05FD1" w:rsidRPr="0099117A">
          <w:rPr>
            <w:rStyle w:val="Hyperlink"/>
            <w:noProof/>
          </w:rPr>
          <w:t>6.</w:t>
        </w:r>
        <w:r w:rsidR="00C05FD1" w:rsidRPr="0099117A">
          <w:rPr>
            <w:rFonts w:eastAsiaTheme="minorEastAsia"/>
            <w:noProof/>
            <w:sz w:val="22"/>
            <w:lang w:eastAsia="en-AU"/>
          </w:rPr>
          <w:tab/>
        </w:r>
        <w:r w:rsidR="00C05FD1" w:rsidRPr="0099117A">
          <w:rPr>
            <w:rStyle w:val="Hyperlink"/>
            <w:noProof/>
          </w:rPr>
          <w:t>The Digital Platform</w:t>
        </w:r>
        <w:r w:rsidR="00C05FD1" w:rsidRPr="0099117A">
          <w:rPr>
            <w:noProof/>
            <w:webHidden/>
          </w:rPr>
          <w:tab/>
        </w:r>
        <w:r w:rsidR="00C05FD1" w:rsidRPr="0099117A">
          <w:rPr>
            <w:noProof/>
            <w:webHidden/>
          </w:rPr>
          <w:fldChar w:fldCharType="begin"/>
        </w:r>
        <w:r w:rsidR="00C05FD1" w:rsidRPr="0099117A">
          <w:rPr>
            <w:noProof/>
            <w:webHidden/>
          </w:rPr>
          <w:instrText xml:space="preserve"> PAGEREF _Toc54263758 \h </w:instrText>
        </w:r>
        <w:r w:rsidR="00C05FD1" w:rsidRPr="0099117A">
          <w:rPr>
            <w:noProof/>
            <w:webHidden/>
          </w:rPr>
        </w:r>
        <w:r w:rsidR="00C05FD1" w:rsidRPr="0099117A">
          <w:rPr>
            <w:noProof/>
            <w:webHidden/>
          </w:rPr>
          <w:fldChar w:fldCharType="separate"/>
        </w:r>
        <w:r w:rsidR="0057177B">
          <w:rPr>
            <w:noProof/>
            <w:webHidden/>
          </w:rPr>
          <w:t>13</w:t>
        </w:r>
        <w:r w:rsidR="00C05FD1" w:rsidRPr="0099117A">
          <w:rPr>
            <w:noProof/>
            <w:webHidden/>
          </w:rPr>
          <w:fldChar w:fldCharType="end"/>
        </w:r>
      </w:hyperlink>
    </w:p>
    <w:p w14:paraId="655EB0E1" w14:textId="7304976B" w:rsidR="00C05FD1" w:rsidRPr="0099117A" w:rsidRDefault="00A15E69">
      <w:pPr>
        <w:pStyle w:val="TOC1"/>
        <w:rPr>
          <w:rFonts w:eastAsiaTheme="minorEastAsia"/>
          <w:b w:val="0"/>
          <w:noProof/>
          <w:color w:val="auto"/>
          <w:sz w:val="22"/>
          <w:lang w:eastAsia="en-AU"/>
        </w:rPr>
      </w:pPr>
      <w:hyperlink w:anchor="_Toc54263759" w:history="1">
        <w:r w:rsidR="00C05FD1" w:rsidRPr="0099117A">
          <w:rPr>
            <w:rStyle w:val="Hyperlink"/>
            <w:noProof/>
          </w:rPr>
          <w:t>Proposed Licensing System</w:t>
        </w:r>
        <w:r w:rsidR="00C05FD1" w:rsidRPr="0099117A">
          <w:rPr>
            <w:noProof/>
            <w:webHidden/>
          </w:rPr>
          <w:tab/>
        </w:r>
        <w:r w:rsidR="00C05FD1" w:rsidRPr="0099117A">
          <w:rPr>
            <w:noProof/>
            <w:webHidden/>
          </w:rPr>
          <w:fldChar w:fldCharType="begin"/>
        </w:r>
        <w:r w:rsidR="00C05FD1" w:rsidRPr="0099117A">
          <w:rPr>
            <w:noProof/>
            <w:webHidden/>
          </w:rPr>
          <w:instrText xml:space="preserve"> PAGEREF _Toc54263759 \h </w:instrText>
        </w:r>
        <w:r w:rsidR="00C05FD1" w:rsidRPr="0099117A">
          <w:rPr>
            <w:noProof/>
            <w:webHidden/>
          </w:rPr>
        </w:r>
        <w:r w:rsidR="00C05FD1" w:rsidRPr="0099117A">
          <w:rPr>
            <w:noProof/>
            <w:webHidden/>
          </w:rPr>
          <w:fldChar w:fldCharType="separate"/>
        </w:r>
        <w:r w:rsidR="0057177B">
          <w:rPr>
            <w:noProof/>
            <w:webHidden/>
          </w:rPr>
          <w:t>15</w:t>
        </w:r>
        <w:r w:rsidR="00C05FD1" w:rsidRPr="0099117A">
          <w:rPr>
            <w:noProof/>
            <w:webHidden/>
          </w:rPr>
          <w:fldChar w:fldCharType="end"/>
        </w:r>
      </w:hyperlink>
    </w:p>
    <w:p w14:paraId="7CB491D5" w14:textId="1B334AD4" w:rsidR="00C05FD1" w:rsidRPr="0099117A" w:rsidRDefault="00A15E69">
      <w:pPr>
        <w:pStyle w:val="TOC2"/>
        <w:rPr>
          <w:rFonts w:eastAsiaTheme="minorEastAsia"/>
          <w:noProof/>
          <w:sz w:val="22"/>
          <w:lang w:eastAsia="en-AU"/>
        </w:rPr>
      </w:pPr>
      <w:hyperlink w:anchor="_Toc54263760" w:history="1">
        <w:r w:rsidR="00C05FD1" w:rsidRPr="0099117A">
          <w:rPr>
            <w:rStyle w:val="Hyperlink"/>
            <w:noProof/>
          </w:rPr>
          <w:t>7.</w:t>
        </w:r>
        <w:r w:rsidR="00C05FD1" w:rsidRPr="0099117A">
          <w:rPr>
            <w:rFonts w:eastAsiaTheme="minorEastAsia"/>
            <w:noProof/>
            <w:sz w:val="22"/>
            <w:lang w:eastAsia="en-AU"/>
          </w:rPr>
          <w:tab/>
        </w:r>
        <w:r w:rsidR="00C05FD1" w:rsidRPr="0099117A">
          <w:rPr>
            <w:rStyle w:val="Hyperlink"/>
            <w:noProof/>
          </w:rPr>
          <w:t>Consultation</w:t>
        </w:r>
        <w:r w:rsidR="00C05FD1" w:rsidRPr="0099117A">
          <w:rPr>
            <w:noProof/>
            <w:webHidden/>
          </w:rPr>
          <w:tab/>
        </w:r>
        <w:r w:rsidR="00C05FD1" w:rsidRPr="0099117A">
          <w:rPr>
            <w:noProof/>
            <w:webHidden/>
          </w:rPr>
          <w:fldChar w:fldCharType="begin"/>
        </w:r>
        <w:r w:rsidR="00C05FD1" w:rsidRPr="0099117A">
          <w:rPr>
            <w:noProof/>
            <w:webHidden/>
          </w:rPr>
          <w:instrText xml:space="preserve"> PAGEREF _Toc54263760 \h </w:instrText>
        </w:r>
        <w:r w:rsidR="00C05FD1" w:rsidRPr="0099117A">
          <w:rPr>
            <w:noProof/>
            <w:webHidden/>
          </w:rPr>
        </w:r>
        <w:r w:rsidR="00C05FD1" w:rsidRPr="0099117A">
          <w:rPr>
            <w:noProof/>
            <w:webHidden/>
          </w:rPr>
          <w:fldChar w:fldCharType="separate"/>
        </w:r>
        <w:r w:rsidR="0057177B">
          <w:rPr>
            <w:noProof/>
            <w:webHidden/>
          </w:rPr>
          <w:t>15</w:t>
        </w:r>
        <w:r w:rsidR="00C05FD1" w:rsidRPr="0099117A">
          <w:rPr>
            <w:noProof/>
            <w:webHidden/>
          </w:rPr>
          <w:fldChar w:fldCharType="end"/>
        </w:r>
      </w:hyperlink>
    </w:p>
    <w:p w14:paraId="364BA060" w14:textId="02E4869D" w:rsidR="00C05FD1" w:rsidRPr="0099117A" w:rsidRDefault="00A15E69">
      <w:pPr>
        <w:pStyle w:val="TOC2"/>
        <w:rPr>
          <w:rFonts w:eastAsiaTheme="minorEastAsia"/>
          <w:noProof/>
          <w:sz w:val="22"/>
          <w:lang w:eastAsia="en-AU"/>
        </w:rPr>
      </w:pPr>
      <w:hyperlink w:anchor="_Toc54263761" w:history="1">
        <w:r w:rsidR="00C05FD1" w:rsidRPr="0099117A">
          <w:rPr>
            <w:rStyle w:val="Hyperlink"/>
            <w:noProof/>
          </w:rPr>
          <w:t>8.</w:t>
        </w:r>
        <w:r w:rsidR="00C05FD1" w:rsidRPr="0099117A">
          <w:rPr>
            <w:rFonts w:eastAsiaTheme="minorEastAsia"/>
            <w:noProof/>
            <w:sz w:val="22"/>
            <w:lang w:eastAsia="en-AU"/>
          </w:rPr>
          <w:tab/>
        </w:r>
        <w:r w:rsidR="00C05FD1" w:rsidRPr="0099117A">
          <w:rPr>
            <w:rStyle w:val="Hyperlink"/>
            <w:noProof/>
          </w:rPr>
          <w:t>Performance Framework</w:t>
        </w:r>
        <w:r w:rsidR="00C05FD1" w:rsidRPr="0099117A">
          <w:rPr>
            <w:noProof/>
            <w:webHidden/>
          </w:rPr>
          <w:tab/>
        </w:r>
        <w:r w:rsidR="00C05FD1" w:rsidRPr="0099117A">
          <w:rPr>
            <w:noProof/>
            <w:webHidden/>
          </w:rPr>
          <w:fldChar w:fldCharType="begin"/>
        </w:r>
        <w:r w:rsidR="00C05FD1" w:rsidRPr="0099117A">
          <w:rPr>
            <w:noProof/>
            <w:webHidden/>
          </w:rPr>
          <w:instrText xml:space="preserve"> PAGEREF _Toc54263761 \h </w:instrText>
        </w:r>
        <w:r w:rsidR="00C05FD1" w:rsidRPr="0099117A">
          <w:rPr>
            <w:noProof/>
            <w:webHidden/>
          </w:rPr>
        </w:r>
        <w:r w:rsidR="00C05FD1" w:rsidRPr="0099117A">
          <w:rPr>
            <w:noProof/>
            <w:webHidden/>
          </w:rPr>
          <w:fldChar w:fldCharType="separate"/>
        </w:r>
        <w:r w:rsidR="0057177B">
          <w:rPr>
            <w:noProof/>
            <w:webHidden/>
          </w:rPr>
          <w:t>15</w:t>
        </w:r>
        <w:r w:rsidR="00C05FD1" w:rsidRPr="0099117A">
          <w:rPr>
            <w:noProof/>
            <w:webHidden/>
          </w:rPr>
          <w:fldChar w:fldCharType="end"/>
        </w:r>
      </w:hyperlink>
    </w:p>
    <w:p w14:paraId="0E54506E" w14:textId="4DFE9E3D" w:rsidR="00C05FD1" w:rsidRPr="0099117A" w:rsidRDefault="00A15E69">
      <w:pPr>
        <w:pStyle w:val="TOC2"/>
        <w:rPr>
          <w:rFonts w:eastAsiaTheme="minorEastAsia"/>
          <w:noProof/>
          <w:sz w:val="22"/>
          <w:lang w:eastAsia="en-AU"/>
        </w:rPr>
      </w:pPr>
      <w:hyperlink w:anchor="_Toc54263762" w:history="1">
        <w:r w:rsidR="00C05FD1" w:rsidRPr="0099117A">
          <w:rPr>
            <w:rStyle w:val="Hyperlink"/>
            <w:noProof/>
          </w:rPr>
          <w:t>9.</w:t>
        </w:r>
        <w:r w:rsidR="00C05FD1" w:rsidRPr="0099117A">
          <w:rPr>
            <w:rFonts w:eastAsiaTheme="minorEastAsia"/>
            <w:noProof/>
            <w:sz w:val="22"/>
            <w:lang w:eastAsia="en-AU"/>
          </w:rPr>
          <w:tab/>
        </w:r>
        <w:r w:rsidR="00C05FD1" w:rsidRPr="0099117A">
          <w:rPr>
            <w:rStyle w:val="Hyperlink"/>
            <w:noProof/>
          </w:rPr>
          <w:t>Panel and Sub-Panels</w:t>
        </w:r>
        <w:r w:rsidR="00C05FD1" w:rsidRPr="0099117A">
          <w:rPr>
            <w:noProof/>
            <w:webHidden/>
          </w:rPr>
          <w:tab/>
        </w:r>
        <w:r w:rsidR="00C05FD1" w:rsidRPr="0099117A">
          <w:rPr>
            <w:noProof/>
            <w:webHidden/>
          </w:rPr>
          <w:fldChar w:fldCharType="begin"/>
        </w:r>
        <w:r w:rsidR="00C05FD1" w:rsidRPr="0099117A">
          <w:rPr>
            <w:noProof/>
            <w:webHidden/>
          </w:rPr>
          <w:instrText xml:space="preserve"> PAGEREF _Toc54263762 \h </w:instrText>
        </w:r>
        <w:r w:rsidR="00C05FD1" w:rsidRPr="0099117A">
          <w:rPr>
            <w:noProof/>
            <w:webHidden/>
          </w:rPr>
        </w:r>
        <w:r w:rsidR="00C05FD1" w:rsidRPr="0099117A">
          <w:rPr>
            <w:noProof/>
            <w:webHidden/>
          </w:rPr>
          <w:fldChar w:fldCharType="separate"/>
        </w:r>
        <w:r w:rsidR="0057177B">
          <w:rPr>
            <w:noProof/>
            <w:webHidden/>
          </w:rPr>
          <w:t>17</w:t>
        </w:r>
        <w:r w:rsidR="00C05FD1" w:rsidRPr="0099117A">
          <w:rPr>
            <w:noProof/>
            <w:webHidden/>
          </w:rPr>
          <w:fldChar w:fldCharType="end"/>
        </w:r>
      </w:hyperlink>
    </w:p>
    <w:p w14:paraId="539E3F5C" w14:textId="4FA461CB" w:rsidR="00C05FD1" w:rsidRPr="0099117A" w:rsidRDefault="00A15E69">
      <w:pPr>
        <w:pStyle w:val="TOC2"/>
        <w:rPr>
          <w:rFonts w:eastAsiaTheme="minorEastAsia"/>
          <w:noProof/>
          <w:sz w:val="22"/>
          <w:lang w:eastAsia="en-AU"/>
        </w:rPr>
      </w:pPr>
      <w:hyperlink w:anchor="_Toc54263763" w:history="1">
        <w:r w:rsidR="00C05FD1" w:rsidRPr="0099117A">
          <w:rPr>
            <w:rStyle w:val="Hyperlink"/>
            <w:noProof/>
          </w:rPr>
          <w:t>10.</w:t>
        </w:r>
        <w:r w:rsidR="00C05FD1" w:rsidRPr="0099117A">
          <w:rPr>
            <w:rFonts w:eastAsiaTheme="minorEastAsia"/>
            <w:noProof/>
            <w:sz w:val="22"/>
            <w:lang w:eastAsia="en-AU"/>
          </w:rPr>
          <w:tab/>
        </w:r>
        <w:r w:rsidR="00C05FD1" w:rsidRPr="0099117A">
          <w:rPr>
            <w:rStyle w:val="Hyperlink"/>
            <w:noProof/>
          </w:rPr>
          <w:t>Licences and Licence Reviews</w:t>
        </w:r>
        <w:r w:rsidR="00C05FD1" w:rsidRPr="0099117A">
          <w:rPr>
            <w:noProof/>
            <w:webHidden/>
          </w:rPr>
          <w:tab/>
        </w:r>
        <w:r w:rsidR="00C05FD1" w:rsidRPr="0099117A">
          <w:rPr>
            <w:noProof/>
            <w:webHidden/>
          </w:rPr>
          <w:fldChar w:fldCharType="begin"/>
        </w:r>
        <w:r w:rsidR="00C05FD1" w:rsidRPr="0099117A">
          <w:rPr>
            <w:noProof/>
            <w:webHidden/>
          </w:rPr>
          <w:instrText xml:space="preserve"> PAGEREF _Toc54263763 \h </w:instrText>
        </w:r>
        <w:r w:rsidR="00C05FD1" w:rsidRPr="0099117A">
          <w:rPr>
            <w:noProof/>
            <w:webHidden/>
          </w:rPr>
        </w:r>
        <w:r w:rsidR="00C05FD1" w:rsidRPr="0099117A">
          <w:rPr>
            <w:noProof/>
            <w:webHidden/>
          </w:rPr>
          <w:fldChar w:fldCharType="separate"/>
        </w:r>
        <w:r w:rsidR="0057177B">
          <w:rPr>
            <w:noProof/>
            <w:webHidden/>
          </w:rPr>
          <w:t>18</w:t>
        </w:r>
        <w:r w:rsidR="00C05FD1" w:rsidRPr="0099117A">
          <w:rPr>
            <w:noProof/>
            <w:webHidden/>
          </w:rPr>
          <w:fldChar w:fldCharType="end"/>
        </w:r>
      </w:hyperlink>
    </w:p>
    <w:p w14:paraId="78F19D7C" w14:textId="276D95AF" w:rsidR="00C05FD1" w:rsidRPr="0099117A" w:rsidRDefault="00A15E69">
      <w:pPr>
        <w:pStyle w:val="TOC2"/>
        <w:rPr>
          <w:rFonts w:eastAsiaTheme="minorEastAsia"/>
          <w:noProof/>
          <w:sz w:val="22"/>
          <w:lang w:eastAsia="en-AU"/>
        </w:rPr>
      </w:pPr>
      <w:hyperlink w:anchor="_Toc54263764" w:history="1">
        <w:r w:rsidR="00C05FD1" w:rsidRPr="0099117A">
          <w:rPr>
            <w:rStyle w:val="Hyperlink"/>
            <w:noProof/>
          </w:rPr>
          <w:t>11.</w:t>
        </w:r>
        <w:r w:rsidR="00C05FD1" w:rsidRPr="0099117A">
          <w:rPr>
            <w:rFonts w:eastAsiaTheme="minorEastAsia"/>
            <w:noProof/>
            <w:sz w:val="22"/>
            <w:lang w:eastAsia="en-AU"/>
          </w:rPr>
          <w:tab/>
        </w:r>
        <w:r w:rsidR="00C05FD1" w:rsidRPr="0099117A">
          <w:rPr>
            <w:rStyle w:val="Hyperlink"/>
            <w:noProof/>
          </w:rPr>
          <w:t>Specialists</w:t>
        </w:r>
        <w:r w:rsidR="00C05FD1" w:rsidRPr="0099117A">
          <w:rPr>
            <w:noProof/>
            <w:webHidden/>
          </w:rPr>
          <w:tab/>
        </w:r>
        <w:r w:rsidR="00C05FD1" w:rsidRPr="0099117A">
          <w:rPr>
            <w:noProof/>
            <w:webHidden/>
          </w:rPr>
          <w:fldChar w:fldCharType="begin"/>
        </w:r>
        <w:r w:rsidR="00C05FD1" w:rsidRPr="0099117A">
          <w:rPr>
            <w:noProof/>
            <w:webHidden/>
          </w:rPr>
          <w:instrText xml:space="preserve"> PAGEREF _Toc54263764 \h </w:instrText>
        </w:r>
        <w:r w:rsidR="00C05FD1" w:rsidRPr="0099117A">
          <w:rPr>
            <w:noProof/>
            <w:webHidden/>
          </w:rPr>
        </w:r>
        <w:r w:rsidR="00C05FD1" w:rsidRPr="0099117A">
          <w:rPr>
            <w:noProof/>
            <w:webHidden/>
          </w:rPr>
          <w:fldChar w:fldCharType="separate"/>
        </w:r>
        <w:r w:rsidR="0057177B">
          <w:rPr>
            <w:noProof/>
            <w:webHidden/>
          </w:rPr>
          <w:t>19</w:t>
        </w:r>
        <w:r w:rsidR="00C05FD1" w:rsidRPr="0099117A">
          <w:rPr>
            <w:noProof/>
            <w:webHidden/>
          </w:rPr>
          <w:fldChar w:fldCharType="end"/>
        </w:r>
      </w:hyperlink>
    </w:p>
    <w:p w14:paraId="6833A1EB" w14:textId="4B7F1FF0" w:rsidR="00C05FD1" w:rsidRPr="0099117A" w:rsidRDefault="00A15E69">
      <w:pPr>
        <w:pStyle w:val="TOC2"/>
        <w:rPr>
          <w:rFonts w:eastAsiaTheme="minorEastAsia"/>
          <w:noProof/>
          <w:sz w:val="22"/>
          <w:lang w:eastAsia="en-AU"/>
        </w:rPr>
      </w:pPr>
      <w:hyperlink w:anchor="_Toc54263765" w:history="1">
        <w:r w:rsidR="00C05FD1" w:rsidRPr="0099117A">
          <w:rPr>
            <w:rStyle w:val="Hyperlink"/>
            <w:noProof/>
          </w:rPr>
          <w:t>12.</w:t>
        </w:r>
        <w:r w:rsidR="00C05FD1" w:rsidRPr="0099117A">
          <w:rPr>
            <w:rFonts w:eastAsiaTheme="minorEastAsia"/>
            <w:noProof/>
            <w:sz w:val="22"/>
            <w:lang w:eastAsia="en-AU"/>
          </w:rPr>
          <w:tab/>
        </w:r>
        <w:r w:rsidR="00C05FD1" w:rsidRPr="0099117A">
          <w:rPr>
            <w:rStyle w:val="Hyperlink"/>
            <w:noProof/>
          </w:rPr>
          <w:t>Market Share</w:t>
        </w:r>
        <w:r w:rsidR="00C05FD1" w:rsidRPr="0099117A">
          <w:rPr>
            <w:noProof/>
            <w:webHidden/>
          </w:rPr>
          <w:tab/>
        </w:r>
        <w:r w:rsidR="00C05FD1" w:rsidRPr="0099117A">
          <w:rPr>
            <w:noProof/>
            <w:webHidden/>
          </w:rPr>
          <w:fldChar w:fldCharType="begin"/>
        </w:r>
        <w:r w:rsidR="00C05FD1" w:rsidRPr="0099117A">
          <w:rPr>
            <w:noProof/>
            <w:webHidden/>
          </w:rPr>
          <w:instrText xml:space="preserve"> PAGEREF _Toc54263765 \h </w:instrText>
        </w:r>
        <w:r w:rsidR="00C05FD1" w:rsidRPr="0099117A">
          <w:rPr>
            <w:noProof/>
            <w:webHidden/>
          </w:rPr>
        </w:r>
        <w:r w:rsidR="00C05FD1" w:rsidRPr="0099117A">
          <w:rPr>
            <w:noProof/>
            <w:webHidden/>
          </w:rPr>
          <w:fldChar w:fldCharType="separate"/>
        </w:r>
        <w:r w:rsidR="0057177B">
          <w:rPr>
            <w:noProof/>
            <w:webHidden/>
          </w:rPr>
          <w:t>22</w:t>
        </w:r>
        <w:r w:rsidR="00C05FD1" w:rsidRPr="0099117A">
          <w:rPr>
            <w:noProof/>
            <w:webHidden/>
          </w:rPr>
          <w:fldChar w:fldCharType="end"/>
        </w:r>
      </w:hyperlink>
    </w:p>
    <w:p w14:paraId="1FD7A896" w14:textId="7F004580" w:rsidR="00C05FD1" w:rsidRPr="0099117A" w:rsidRDefault="00A15E69">
      <w:pPr>
        <w:pStyle w:val="TOC2"/>
        <w:rPr>
          <w:rFonts w:eastAsiaTheme="minorEastAsia"/>
          <w:noProof/>
          <w:sz w:val="22"/>
          <w:lang w:eastAsia="en-AU"/>
        </w:rPr>
      </w:pPr>
      <w:hyperlink w:anchor="_Toc54263766" w:history="1">
        <w:r w:rsidR="00C05FD1" w:rsidRPr="0099117A">
          <w:rPr>
            <w:rStyle w:val="Hyperlink"/>
            <w:noProof/>
          </w:rPr>
          <w:t>13.</w:t>
        </w:r>
        <w:r w:rsidR="00C05FD1" w:rsidRPr="0099117A">
          <w:rPr>
            <w:rFonts w:eastAsiaTheme="minorEastAsia"/>
            <w:noProof/>
            <w:sz w:val="22"/>
            <w:lang w:eastAsia="en-AU"/>
          </w:rPr>
          <w:tab/>
        </w:r>
        <w:r w:rsidR="00C05FD1" w:rsidRPr="0099117A">
          <w:rPr>
            <w:rStyle w:val="Hyperlink"/>
            <w:noProof/>
          </w:rPr>
          <w:t>Provider accreditation</w:t>
        </w:r>
        <w:r w:rsidR="00C05FD1" w:rsidRPr="0099117A">
          <w:rPr>
            <w:noProof/>
            <w:webHidden/>
          </w:rPr>
          <w:tab/>
        </w:r>
        <w:r w:rsidR="00C05FD1" w:rsidRPr="0099117A">
          <w:rPr>
            <w:noProof/>
            <w:webHidden/>
          </w:rPr>
          <w:fldChar w:fldCharType="begin"/>
        </w:r>
        <w:r w:rsidR="00C05FD1" w:rsidRPr="0099117A">
          <w:rPr>
            <w:noProof/>
            <w:webHidden/>
          </w:rPr>
          <w:instrText xml:space="preserve"> PAGEREF _Toc54263766 \h </w:instrText>
        </w:r>
        <w:r w:rsidR="00C05FD1" w:rsidRPr="0099117A">
          <w:rPr>
            <w:noProof/>
            <w:webHidden/>
          </w:rPr>
        </w:r>
        <w:r w:rsidR="00C05FD1" w:rsidRPr="0099117A">
          <w:rPr>
            <w:noProof/>
            <w:webHidden/>
          </w:rPr>
          <w:fldChar w:fldCharType="separate"/>
        </w:r>
        <w:r w:rsidR="0057177B">
          <w:rPr>
            <w:noProof/>
            <w:webHidden/>
          </w:rPr>
          <w:t>23</w:t>
        </w:r>
        <w:r w:rsidR="00C05FD1" w:rsidRPr="0099117A">
          <w:rPr>
            <w:noProof/>
            <w:webHidden/>
          </w:rPr>
          <w:fldChar w:fldCharType="end"/>
        </w:r>
      </w:hyperlink>
    </w:p>
    <w:p w14:paraId="2F6B51C5" w14:textId="77777777" w:rsidR="00E0460B" w:rsidRPr="0099117A" w:rsidRDefault="00E0460B" w:rsidP="00E0460B">
      <w:pPr>
        <w:spacing w:line="240" w:lineRule="auto"/>
        <w:ind w:left="0" w:firstLine="0"/>
      </w:pPr>
      <w:r w:rsidRPr="0099117A">
        <w:fldChar w:fldCharType="end"/>
      </w:r>
      <w:r w:rsidRPr="0099117A">
        <w:br w:type="page"/>
      </w:r>
    </w:p>
    <w:p w14:paraId="432CACC9" w14:textId="77777777" w:rsidR="00E0460B" w:rsidRPr="0099117A" w:rsidRDefault="00E0460B" w:rsidP="00E0460B">
      <w:pPr>
        <w:pStyle w:val="Heading1"/>
        <w:rPr>
          <w:color w:val="auto"/>
        </w:rPr>
      </w:pPr>
      <w:bookmarkStart w:id="1" w:name="_Toc54263752"/>
      <w:r w:rsidRPr="0099117A">
        <w:rPr>
          <w:color w:val="auto"/>
        </w:rPr>
        <w:lastRenderedPageBreak/>
        <w:t>New Employment Services Update</w:t>
      </w:r>
      <w:bookmarkEnd w:id="1"/>
    </w:p>
    <w:p w14:paraId="23ED7A08" w14:textId="77777777" w:rsidR="00E0460B" w:rsidRPr="0099117A" w:rsidRDefault="00E0460B" w:rsidP="00E0460B">
      <w:pPr>
        <w:pStyle w:val="Heading2"/>
      </w:pPr>
      <w:bookmarkStart w:id="2" w:name="_Toc54263753"/>
      <w:r w:rsidRPr="0099117A">
        <w:t>General</w:t>
      </w:r>
      <w:bookmarkEnd w:id="2"/>
      <w:r w:rsidRPr="0099117A">
        <w:t xml:space="preserve"> </w:t>
      </w:r>
    </w:p>
    <w:p w14:paraId="686F44AB" w14:textId="77777777" w:rsidR="00E0460B" w:rsidRPr="0099117A" w:rsidRDefault="00E0460B" w:rsidP="00E0460B">
      <w:pPr>
        <w:pStyle w:val="Heading3"/>
        <w:rPr>
          <w:u w:val="none"/>
        </w:rPr>
      </w:pPr>
      <w:r w:rsidRPr="0099117A">
        <w:rPr>
          <w:u w:val="none"/>
        </w:rPr>
        <w:t>How is the New Employment Services Trial progressing in its testing of the model, including in the way that providers work with job seekers, employers and the broader community?</w:t>
      </w:r>
    </w:p>
    <w:p w14:paraId="0FAA4411" w14:textId="77777777" w:rsidR="00E0460B" w:rsidRPr="0099117A" w:rsidRDefault="00E0460B" w:rsidP="00E0460B">
      <w:pPr>
        <w:spacing w:line="240" w:lineRule="auto"/>
        <w:ind w:left="709" w:firstLine="11"/>
      </w:pPr>
      <w:r w:rsidRPr="0099117A">
        <w:t xml:space="preserve">The New Employment Services Trial is testing a range of policy settings that impact the way that providers interact with users of the system, including trial specific provider payments and job seeker activation settings. In addition, the trial includes local working groups to support linkages with employers and community organisations in the trial regions to support innovation and collaboration. A comprehensive evaluation of the trial is underway which is being supported by user focused research which will be used to understand the effectiveness of the trial model and to inform the final model design. Some early findings from the trial were provided as part of the </w:t>
      </w:r>
      <w:hyperlink r:id="rId10" w:history="1">
        <w:r w:rsidRPr="0099117A">
          <w:rPr>
            <w:rStyle w:val="Hyperlink"/>
          </w:rPr>
          <w:t>New Employment Services update and Licensing System webinar</w:t>
        </w:r>
      </w:hyperlink>
      <w:r w:rsidRPr="0099117A">
        <w:t xml:space="preserve"> on 3 July 2020.</w:t>
      </w:r>
    </w:p>
    <w:p w14:paraId="120201E4" w14:textId="77777777" w:rsidR="00E0460B" w:rsidRPr="0099117A" w:rsidRDefault="00E0460B" w:rsidP="00E0460B">
      <w:pPr>
        <w:pStyle w:val="Heading3"/>
        <w:rPr>
          <w:b w:val="0"/>
          <w:u w:val="none"/>
        </w:rPr>
      </w:pPr>
      <w:r w:rsidRPr="0099117A">
        <w:rPr>
          <w:u w:val="none"/>
        </w:rPr>
        <w:t xml:space="preserve">Has the department undertaken a financial viability analysis of the New Employment Services Model? </w:t>
      </w:r>
    </w:p>
    <w:p w14:paraId="720F46C4" w14:textId="77777777" w:rsidR="00E0460B" w:rsidRPr="0099117A" w:rsidRDefault="00E0460B" w:rsidP="00E0460B">
      <w:pPr>
        <w:spacing w:line="240" w:lineRule="auto"/>
        <w:ind w:left="709" w:firstLine="11"/>
      </w:pPr>
      <w:r w:rsidRPr="0099117A">
        <w:t>The department has engaged KPMG to undertake financial viability analysis of the New Employment Services Model. This will help inform advice to Government on the final payment settings for the new model.</w:t>
      </w:r>
    </w:p>
    <w:p w14:paraId="4F1ABD38" w14:textId="77777777" w:rsidR="00E0460B" w:rsidRPr="0099117A" w:rsidRDefault="00E0460B" w:rsidP="00E0460B">
      <w:pPr>
        <w:pStyle w:val="Heading3"/>
        <w:rPr>
          <w:u w:val="none"/>
        </w:rPr>
      </w:pPr>
      <w:r w:rsidRPr="0099117A">
        <w:rPr>
          <w:u w:val="none"/>
        </w:rPr>
        <w:t>Will the department be releasing its financial viability modelling of the new model, and if so, when?</w:t>
      </w:r>
    </w:p>
    <w:p w14:paraId="4FD9FC76" w14:textId="77777777" w:rsidR="00E0460B" w:rsidRPr="0099117A" w:rsidRDefault="00E0460B" w:rsidP="00E0460B">
      <w:pPr>
        <w:spacing w:line="240" w:lineRule="auto"/>
        <w:ind w:left="709" w:firstLine="11"/>
      </w:pPr>
      <w:r w:rsidRPr="0099117A">
        <w:t xml:space="preserve">The department is still considering the best way to share the findings of the analysis. Any decision on releasing the report is complicated due to it containing </w:t>
      </w:r>
      <w:r w:rsidRPr="0099117A">
        <w:br/>
        <w:t>commercial-in-confidence information as some providers shared their financial records to help inform the analysis.</w:t>
      </w:r>
    </w:p>
    <w:p w14:paraId="78B72304" w14:textId="77777777" w:rsidR="00E0460B" w:rsidRPr="0099117A" w:rsidRDefault="00E0460B" w:rsidP="00E0460B">
      <w:pPr>
        <w:spacing w:line="240" w:lineRule="auto"/>
        <w:ind w:left="709" w:firstLine="11"/>
      </w:pPr>
      <w:r w:rsidRPr="0099117A">
        <w:t>The department will soon be undertaking targeted stakeholder consultations on the current payment model and I encourage you all to participate and provide feedback for the department to consider.</w:t>
      </w:r>
    </w:p>
    <w:p w14:paraId="24C73CBA" w14:textId="77777777" w:rsidR="00E0460B" w:rsidRPr="0099117A" w:rsidRDefault="00E0460B" w:rsidP="00E0460B">
      <w:pPr>
        <w:pStyle w:val="Heading3"/>
        <w:rPr>
          <w:u w:val="none"/>
        </w:rPr>
      </w:pPr>
      <w:r w:rsidRPr="0099117A">
        <w:rPr>
          <w:u w:val="none"/>
        </w:rPr>
        <w:t xml:space="preserve">Is the Trial being adjusted to </w:t>
      </w:r>
      <w:proofErr w:type="gramStart"/>
      <w:r w:rsidRPr="0099117A">
        <w:rPr>
          <w:u w:val="none"/>
        </w:rPr>
        <w:t>take into account</w:t>
      </w:r>
      <w:proofErr w:type="gramEnd"/>
      <w:r w:rsidRPr="0099117A">
        <w:rPr>
          <w:u w:val="none"/>
        </w:rPr>
        <w:t xml:space="preserve"> the impact of COVID-19 on the economic environment? Will this be taken into consideration in the design of the final model settings?</w:t>
      </w:r>
    </w:p>
    <w:p w14:paraId="0A71712F" w14:textId="77777777" w:rsidR="00E0460B" w:rsidRPr="0099117A" w:rsidRDefault="00E0460B" w:rsidP="00E0460B">
      <w:pPr>
        <w:spacing w:line="240" w:lineRule="auto"/>
        <w:ind w:left="709" w:firstLine="11"/>
      </w:pPr>
      <w:r w:rsidRPr="0099117A">
        <w:t>The department has increased flexibility for claiming outcomes due to the impact of COVID-19, including allowing additional permissible breaks and relaxing documentary evidence requirements for affected outcomes.</w:t>
      </w:r>
    </w:p>
    <w:p w14:paraId="3D0FC1BC" w14:textId="77777777" w:rsidR="00E0460B" w:rsidRPr="0099117A" w:rsidRDefault="00E0460B" w:rsidP="00E0460B">
      <w:pPr>
        <w:spacing w:line="240" w:lineRule="auto"/>
        <w:ind w:left="709" w:firstLine="11"/>
      </w:pPr>
      <w:r w:rsidRPr="0099117A">
        <w:t>There are no plans to change the payments structure of the New Employment Services Trial.</w:t>
      </w:r>
    </w:p>
    <w:p w14:paraId="208822D7" w14:textId="77777777" w:rsidR="00E0460B" w:rsidRPr="0099117A" w:rsidRDefault="00E0460B" w:rsidP="00E0460B">
      <w:pPr>
        <w:spacing w:line="240" w:lineRule="auto"/>
        <w:ind w:left="709" w:firstLine="11"/>
      </w:pPr>
      <w:r w:rsidRPr="0099117A">
        <w:lastRenderedPageBreak/>
        <w:t>However, the department has engaged KPMG to undertake financial viability analysis of the New Employment Services Model. Modelling scenarios used for this analysis will take account of different labour market and economic conditions. When Government considers the new model, it will be informed by the latest Treasury forecasts for the labour market (at that time).</w:t>
      </w:r>
    </w:p>
    <w:p w14:paraId="21AD47E8" w14:textId="77777777" w:rsidR="00E0460B" w:rsidRPr="0099117A" w:rsidRDefault="00E0460B" w:rsidP="00E0460B">
      <w:pPr>
        <w:pStyle w:val="Heading3"/>
        <w:rPr>
          <w:u w:val="none"/>
        </w:rPr>
      </w:pPr>
      <w:r w:rsidRPr="0099117A">
        <w:rPr>
          <w:u w:val="none"/>
        </w:rPr>
        <w:t>Will the changes outlined in the webinar apply to all employment services, including the Community Development Program?</w:t>
      </w:r>
    </w:p>
    <w:p w14:paraId="0FAC52CB" w14:textId="77777777" w:rsidR="00E0460B" w:rsidRPr="0099117A" w:rsidRDefault="00E0460B" w:rsidP="00E0460B">
      <w:pPr>
        <w:spacing w:line="240" w:lineRule="auto"/>
        <w:ind w:left="720" w:firstLine="0"/>
      </w:pPr>
      <w:r w:rsidRPr="0099117A">
        <w:t xml:space="preserve">The New Employment Services Model will replace jobactive and will only operate in non-remote areas of Australia. The Community Development Program operates in remote areas of Australia. </w:t>
      </w:r>
    </w:p>
    <w:p w14:paraId="60F10279" w14:textId="77777777" w:rsidR="00E0460B" w:rsidRPr="0099117A" w:rsidRDefault="00E0460B" w:rsidP="00E0460B">
      <w:pPr>
        <w:pStyle w:val="Heading3"/>
        <w:rPr>
          <w:u w:val="none"/>
        </w:rPr>
      </w:pPr>
      <w:r w:rsidRPr="0099117A">
        <w:rPr>
          <w:u w:val="none"/>
        </w:rPr>
        <w:t>How do we access the Discussion Paper?</w:t>
      </w:r>
    </w:p>
    <w:p w14:paraId="18F8B5CC" w14:textId="77777777" w:rsidR="00E0460B" w:rsidRPr="0099117A" w:rsidRDefault="00E0460B" w:rsidP="00E0460B">
      <w:pPr>
        <w:spacing w:line="240" w:lineRule="auto"/>
        <w:ind w:left="720" w:firstLine="0"/>
      </w:pPr>
      <w:r w:rsidRPr="0099117A">
        <w:t xml:space="preserve">The Discussion Paper on the proposed licensing system was released on </w:t>
      </w:r>
      <w:r w:rsidRPr="0099117A">
        <w:br/>
        <w:t xml:space="preserve">10 September 2020 and is available at </w:t>
      </w:r>
      <w:hyperlink r:id="rId11" w:history="1">
        <w:r w:rsidRPr="0099117A">
          <w:rPr>
            <w:rStyle w:val="Hyperlink"/>
          </w:rPr>
          <w:t>https://www.employment.gov.au/proposed-licensing-system-new-employment-services-model-discussion-paper</w:t>
        </w:r>
      </w:hyperlink>
      <w:r w:rsidRPr="0099117A">
        <w:t>.</w:t>
      </w:r>
    </w:p>
    <w:p w14:paraId="186324C9" w14:textId="77777777" w:rsidR="00E0460B" w:rsidRPr="0099117A" w:rsidRDefault="00E0460B" w:rsidP="00E0460B">
      <w:pPr>
        <w:spacing w:line="240" w:lineRule="auto"/>
        <w:ind w:left="720" w:firstLine="0"/>
      </w:pPr>
      <w:r w:rsidRPr="0099117A">
        <w:t>Submissions to the Discussion Paper close at 12pm AEDT on Wednesday 28 October 2020.</w:t>
      </w:r>
    </w:p>
    <w:p w14:paraId="2E86E60C" w14:textId="77777777" w:rsidR="00E0460B" w:rsidRPr="0099117A" w:rsidRDefault="00E0460B" w:rsidP="00E0460B">
      <w:pPr>
        <w:pStyle w:val="Heading3"/>
        <w:rPr>
          <w:u w:val="none"/>
        </w:rPr>
      </w:pPr>
      <w:r w:rsidRPr="0099117A">
        <w:rPr>
          <w:u w:val="none"/>
        </w:rPr>
        <w:t>What are the next steps after the Discussion Paper?</w:t>
      </w:r>
    </w:p>
    <w:p w14:paraId="08342897" w14:textId="77777777" w:rsidR="00E0460B" w:rsidRPr="0099117A" w:rsidRDefault="00E0460B" w:rsidP="00E0460B">
      <w:pPr>
        <w:spacing w:line="240" w:lineRule="auto"/>
        <w:ind w:left="720" w:firstLine="0"/>
      </w:pPr>
      <w:r w:rsidRPr="0099117A">
        <w:t xml:space="preserve">Submissions received in response to the Discussion Paper as well as other targeted consultation will feed into the development of the licensing system, as part of the broader New Employment Services Model. </w:t>
      </w:r>
    </w:p>
    <w:p w14:paraId="5405CE3E" w14:textId="77777777" w:rsidR="00E0460B" w:rsidRPr="0099117A" w:rsidRDefault="00E0460B" w:rsidP="00E0460B">
      <w:pPr>
        <w:spacing w:line="240" w:lineRule="auto"/>
        <w:ind w:left="720" w:firstLine="0"/>
      </w:pPr>
      <w:r w:rsidRPr="0099117A">
        <w:t xml:space="preserve">Once finalised, the details of the new model (including the licensing system) are expected to be announced in mid-2021. </w:t>
      </w:r>
    </w:p>
    <w:p w14:paraId="7DC612DC" w14:textId="77777777" w:rsidR="00E0460B" w:rsidRPr="0099117A" w:rsidRDefault="00E0460B" w:rsidP="00E0460B">
      <w:pPr>
        <w:spacing w:line="240" w:lineRule="auto"/>
        <w:ind w:left="720" w:firstLine="0"/>
      </w:pPr>
      <w:r w:rsidRPr="0099117A">
        <w:t>Following this announcement of the new model, the department intends to release an Exposure Draft of the Request for Proposal for the New Employment Services Model, around the middle of next year. This document will seek feedback and comment on the proposed New Employment Services Model and licensing arrangements.</w:t>
      </w:r>
    </w:p>
    <w:p w14:paraId="32CE892B" w14:textId="77777777" w:rsidR="00E0460B" w:rsidRPr="0099117A" w:rsidRDefault="00E0460B" w:rsidP="00E0460B">
      <w:pPr>
        <w:spacing w:line="240" w:lineRule="auto"/>
        <w:ind w:left="720" w:firstLine="0"/>
      </w:pPr>
      <w:r w:rsidRPr="0099117A">
        <w:t>Indicative timing for the Request for Proposal for the new model is in the third quarter of 2021, subject to the timing of the announcement of the new model. The Request for Proposal and submission requirements will be published on AusTender.</w:t>
      </w:r>
    </w:p>
    <w:p w14:paraId="38710B37" w14:textId="77777777" w:rsidR="00E0460B" w:rsidRPr="0099117A" w:rsidRDefault="00E0460B" w:rsidP="00E0460B">
      <w:pPr>
        <w:pStyle w:val="Heading3"/>
        <w:rPr>
          <w:u w:val="none"/>
        </w:rPr>
      </w:pPr>
      <w:r w:rsidRPr="0099117A">
        <w:rPr>
          <w:u w:val="none"/>
        </w:rPr>
        <w:t>Can more detail on the new model be provided prior to the Exposure Draft?</w:t>
      </w:r>
    </w:p>
    <w:p w14:paraId="63C81997" w14:textId="77777777" w:rsidR="007722DC" w:rsidRPr="0099117A" w:rsidRDefault="00E0460B" w:rsidP="00E0460B">
      <w:pPr>
        <w:spacing w:line="240" w:lineRule="auto"/>
        <w:ind w:left="720" w:firstLine="0"/>
      </w:pPr>
      <w:r w:rsidRPr="0099117A">
        <w:t>The department anticipates continuing to provide a range of information to assist potential tenderers to understand the new model.</w:t>
      </w:r>
    </w:p>
    <w:p w14:paraId="0E8AA32E" w14:textId="77777777" w:rsidR="00E0460B" w:rsidRPr="0099117A" w:rsidRDefault="007722DC" w:rsidP="00E0460B">
      <w:pPr>
        <w:spacing w:line="240" w:lineRule="auto"/>
        <w:ind w:left="720" w:firstLine="0"/>
      </w:pPr>
      <w:r w:rsidRPr="0099117A">
        <w:t xml:space="preserve">Some information about the new model is already available on the department’s website at: </w:t>
      </w:r>
      <w:hyperlink r:id="rId12" w:history="1">
        <w:r w:rsidRPr="0099117A">
          <w:rPr>
            <w:rStyle w:val="Hyperlink"/>
          </w:rPr>
          <w:t>https://www.employment.gov.au/new-employment-services-model</w:t>
        </w:r>
      </w:hyperlink>
      <w:r w:rsidRPr="0099117A">
        <w:t>.</w:t>
      </w:r>
      <w:r w:rsidR="00E0460B" w:rsidRPr="0099117A">
        <w:t xml:space="preserve"> </w:t>
      </w:r>
    </w:p>
    <w:p w14:paraId="77A2CFB5" w14:textId="77777777" w:rsidR="00E0460B" w:rsidRPr="0099117A" w:rsidRDefault="00E0460B" w:rsidP="00E0460B">
      <w:pPr>
        <w:spacing w:line="240" w:lineRule="auto"/>
        <w:ind w:left="720" w:firstLine="0"/>
      </w:pPr>
      <w:r w:rsidRPr="0099117A">
        <w:lastRenderedPageBreak/>
        <w:t>It is intended that further detail regarding the tender lodgement process and the statement of business requirements will be provided in the Exposure Draft Request for Proposal expected to be released in mid-2021.</w:t>
      </w:r>
    </w:p>
    <w:p w14:paraId="3C075534" w14:textId="77777777" w:rsidR="00E0460B" w:rsidRPr="0099117A" w:rsidRDefault="00E0460B" w:rsidP="00E0460B">
      <w:pPr>
        <w:pStyle w:val="Heading3"/>
        <w:rPr>
          <w:u w:val="none"/>
        </w:rPr>
      </w:pPr>
      <w:r w:rsidRPr="0099117A">
        <w:rPr>
          <w:u w:val="none"/>
        </w:rPr>
        <w:t>Are there any eligibility requirements to be a provider?</w:t>
      </w:r>
    </w:p>
    <w:p w14:paraId="005C8EE0" w14:textId="77777777" w:rsidR="00E0460B" w:rsidRPr="0099117A" w:rsidRDefault="00E0460B" w:rsidP="00E0460B">
      <w:pPr>
        <w:spacing w:line="240" w:lineRule="auto"/>
        <w:ind w:left="720" w:firstLine="0"/>
      </w:pPr>
      <w:r w:rsidRPr="0099117A">
        <w:t>The specific requirements for organisations wishing to deliver employment services under the New Employment Services Model are still being determined. Further information on the requirements to be a provider will be included in later procurement documentation (including the Request for Proposal), expected to be released in 2021.</w:t>
      </w:r>
    </w:p>
    <w:p w14:paraId="79E1D8D3" w14:textId="77777777" w:rsidR="00E0460B" w:rsidRPr="0099117A" w:rsidRDefault="00E0460B" w:rsidP="00E0460B">
      <w:pPr>
        <w:pStyle w:val="Heading3"/>
        <w:rPr>
          <w:u w:val="none"/>
        </w:rPr>
      </w:pPr>
      <w:r w:rsidRPr="0099117A">
        <w:rPr>
          <w:u w:val="none"/>
        </w:rPr>
        <w:t>Will there be minimum qualifications or training for provider staff required under the new model's licensing arrangements?</w:t>
      </w:r>
    </w:p>
    <w:p w14:paraId="6848125C" w14:textId="77777777" w:rsidR="00E0460B" w:rsidRPr="0099117A" w:rsidRDefault="00E0460B" w:rsidP="00E0460B">
      <w:pPr>
        <w:spacing w:line="240" w:lineRule="auto"/>
        <w:ind w:left="720" w:firstLine="0"/>
      </w:pPr>
      <w:r w:rsidRPr="0099117A">
        <w:t>It is too early to provide details around any minimum requirements or similar obligations for provider staff. The department welcomes any stakeholder views on this in response to the Discussion Paper.</w:t>
      </w:r>
    </w:p>
    <w:p w14:paraId="2FF53774" w14:textId="77777777" w:rsidR="00E0460B" w:rsidRPr="0099117A" w:rsidRDefault="00E0460B" w:rsidP="00E0460B">
      <w:pPr>
        <w:pStyle w:val="Heading3"/>
        <w:rPr>
          <w:u w:val="none"/>
        </w:rPr>
      </w:pPr>
      <w:r w:rsidRPr="0099117A">
        <w:rPr>
          <w:u w:val="none"/>
        </w:rPr>
        <w:t>What kind of experience will organisations have to show when applying for a cohort specialist license?</w:t>
      </w:r>
    </w:p>
    <w:p w14:paraId="6D5D236C" w14:textId="77777777" w:rsidR="00E0460B" w:rsidRPr="0099117A" w:rsidRDefault="00E0460B" w:rsidP="00E0460B">
      <w:pPr>
        <w:spacing w:line="240" w:lineRule="auto"/>
        <w:ind w:left="720" w:firstLine="0"/>
      </w:pPr>
      <w:r w:rsidRPr="0099117A">
        <w:t xml:space="preserve">Request for Proposal evaluation methodology, including selection criteria, is currently under development. It is intended that further detail will be provided in the Exposure Draft Request for Proposal, expected to be released in mid-2021. </w:t>
      </w:r>
    </w:p>
    <w:p w14:paraId="2924CE9C" w14:textId="77777777" w:rsidR="00E0460B" w:rsidRPr="0099117A" w:rsidRDefault="00E0460B" w:rsidP="00E0460B">
      <w:pPr>
        <w:pStyle w:val="Heading3"/>
        <w:rPr>
          <w:u w:val="none"/>
        </w:rPr>
      </w:pPr>
      <w:r w:rsidRPr="0099117A">
        <w:rPr>
          <w:u w:val="none"/>
        </w:rPr>
        <w:t xml:space="preserve">Could the department please provide further information on the tender process where organisations tender for </w:t>
      </w:r>
      <w:proofErr w:type="gramStart"/>
      <w:r w:rsidRPr="0099117A">
        <w:rPr>
          <w:u w:val="none"/>
        </w:rPr>
        <w:t>a number of</w:t>
      </w:r>
      <w:proofErr w:type="gramEnd"/>
      <w:r w:rsidRPr="0099117A">
        <w:rPr>
          <w:u w:val="none"/>
        </w:rPr>
        <w:t xml:space="preserve"> Employment Regions, as specialists and/or generalists? </w:t>
      </w:r>
      <w:r w:rsidRPr="0099117A">
        <w:rPr>
          <w:u w:val="none"/>
        </w:rPr>
        <w:br/>
      </w:r>
      <w:r w:rsidRPr="0099117A">
        <w:rPr>
          <w:u w:val="none"/>
        </w:rPr>
        <w:br/>
        <w:t xml:space="preserve">For example, in previous tenders, respondents would submit a single Criterion 1 (organisation-centric), but multiple Criterion 3 (region specific), one per region. </w:t>
      </w:r>
    </w:p>
    <w:p w14:paraId="04171190" w14:textId="77777777" w:rsidR="00E0460B" w:rsidRPr="0099117A" w:rsidRDefault="00E0460B" w:rsidP="00E0460B">
      <w:pPr>
        <w:spacing w:line="240" w:lineRule="auto"/>
        <w:ind w:left="720" w:firstLine="0"/>
      </w:pPr>
      <w:r w:rsidRPr="0099117A">
        <w:t>Further detail regarding the procurement process is not yet available. Information on the tender process will be included in later procurement documentation (including the Request for Proposal), expected to be released in 2021.</w:t>
      </w:r>
    </w:p>
    <w:p w14:paraId="04098175" w14:textId="77777777" w:rsidR="00E0460B" w:rsidRPr="0099117A" w:rsidRDefault="00E0460B" w:rsidP="00E0460B">
      <w:pPr>
        <w:spacing w:line="240" w:lineRule="auto"/>
        <w:ind w:left="720" w:firstLine="0"/>
      </w:pPr>
      <w:r w:rsidRPr="0099117A">
        <w:t>The reduction of the red tape burden associated with tendering is a key consideration informing the department’s design of the tender lodgement process, including the form and focus of criteria.</w:t>
      </w:r>
    </w:p>
    <w:p w14:paraId="7BB80532" w14:textId="77777777" w:rsidR="00E0460B" w:rsidRPr="0099117A" w:rsidRDefault="00E0460B" w:rsidP="00E0460B">
      <w:pPr>
        <w:pStyle w:val="Heading3"/>
        <w:rPr>
          <w:u w:val="none"/>
        </w:rPr>
      </w:pPr>
      <w:r w:rsidRPr="0099117A">
        <w:rPr>
          <w:u w:val="none"/>
        </w:rPr>
        <w:t>How will provider sub-contractors be treated in the new program? Will they be prohibited?</w:t>
      </w:r>
    </w:p>
    <w:p w14:paraId="5DAC48FF" w14:textId="77777777" w:rsidR="00E0460B" w:rsidRPr="0099117A" w:rsidRDefault="00E0460B" w:rsidP="00E0460B">
      <w:pPr>
        <w:spacing w:line="240" w:lineRule="auto"/>
        <w:ind w:left="720" w:firstLine="0"/>
      </w:pPr>
      <w:r w:rsidRPr="0099117A">
        <w:t>A final decision is yet to be taken on this issue. However, the department does not anticipate any change to the treatment of sub-contractors from that under jobactive, where sub-contracting arrangements are not generally prohibited (subject to prior Departmental approval).</w:t>
      </w:r>
    </w:p>
    <w:p w14:paraId="357945F7" w14:textId="77777777" w:rsidR="00E0460B" w:rsidRPr="0099117A" w:rsidRDefault="00E0460B" w:rsidP="00E0460B">
      <w:pPr>
        <w:pStyle w:val="Heading3"/>
        <w:rPr>
          <w:u w:val="none"/>
        </w:rPr>
      </w:pPr>
      <w:r w:rsidRPr="0099117A">
        <w:rPr>
          <w:u w:val="none"/>
        </w:rPr>
        <w:lastRenderedPageBreak/>
        <w:t>Will there be an invitation to treat for high performing providers?</w:t>
      </w:r>
    </w:p>
    <w:p w14:paraId="087DDAB8" w14:textId="77777777" w:rsidR="00E0460B" w:rsidRPr="0099117A" w:rsidRDefault="00E0460B" w:rsidP="00E0460B">
      <w:pPr>
        <w:keepNext/>
        <w:keepLines/>
        <w:spacing w:line="240" w:lineRule="auto"/>
        <w:ind w:left="720" w:firstLine="0"/>
      </w:pPr>
      <w:r w:rsidRPr="0099117A">
        <w:t xml:space="preserve">The department does not anticipate undertaking any type of preliminary or first right of refusal type process, prior to the issue of the Request for Proposal, in relation to the New Employment Services Model procurement.  This means that no providers </w:t>
      </w:r>
      <w:r w:rsidR="00BC320F" w:rsidRPr="0099117A">
        <w:t>would</w:t>
      </w:r>
      <w:r w:rsidRPr="0099117A">
        <w:t xml:space="preserve"> receive any special advance opportunity to compete for a role in the New Employment Services Model.</w:t>
      </w:r>
    </w:p>
    <w:p w14:paraId="5F3C6AFB" w14:textId="77777777" w:rsidR="00E0460B" w:rsidRPr="0099117A" w:rsidRDefault="00E0460B" w:rsidP="00E0460B">
      <w:pPr>
        <w:keepNext/>
        <w:keepLines/>
        <w:spacing w:line="240" w:lineRule="auto"/>
        <w:ind w:left="720" w:firstLine="0"/>
      </w:pPr>
      <w:r w:rsidRPr="0099117A">
        <w:t>For clarification, the Request for Proposal once issued, will constitute an invitation to treat and will be open to all potential tenderers.</w:t>
      </w:r>
    </w:p>
    <w:p w14:paraId="2BE10A7C" w14:textId="77777777" w:rsidR="00E0460B" w:rsidRPr="0099117A" w:rsidRDefault="00E0460B" w:rsidP="00E0460B">
      <w:pPr>
        <w:pStyle w:val="Heading3"/>
        <w:rPr>
          <w:u w:val="none"/>
        </w:rPr>
      </w:pPr>
      <w:r w:rsidRPr="0099117A">
        <w:rPr>
          <w:u w:val="none"/>
        </w:rPr>
        <w:t>The Indigenous Procurement Policy is mentioned in the Discussion Paper. How will the Department assess this?</w:t>
      </w:r>
    </w:p>
    <w:p w14:paraId="735BEEB7" w14:textId="77777777" w:rsidR="00E0460B" w:rsidRPr="0099117A" w:rsidRDefault="00E0460B" w:rsidP="00E0460B">
      <w:pPr>
        <w:spacing w:line="240" w:lineRule="auto"/>
        <w:ind w:left="720" w:firstLine="0"/>
      </w:pPr>
      <w:r w:rsidRPr="0099117A">
        <w:t>The procurement process for the New Employment Services Model will be conducted in accordance with the Commonwealth Procurement Rules and applicable Commonwealth Procurement Connected Policies such as the Indigenous Procurement Policy.</w:t>
      </w:r>
    </w:p>
    <w:p w14:paraId="28E1E11C" w14:textId="77777777" w:rsidR="007722DC" w:rsidRPr="0099117A" w:rsidRDefault="007722DC" w:rsidP="00E0460B">
      <w:pPr>
        <w:spacing w:line="240" w:lineRule="auto"/>
        <w:ind w:left="720" w:firstLine="0"/>
      </w:pPr>
      <w:r w:rsidRPr="0099117A">
        <w:t xml:space="preserve">Some information about the Indigenous Procurement Policy, including a guide for potential suppliers, can be found at: </w:t>
      </w:r>
      <w:hyperlink r:id="rId13" w:history="1">
        <w:r w:rsidRPr="0099117A">
          <w:rPr>
            <w:rStyle w:val="Hyperlink"/>
          </w:rPr>
          <w:t>https://www.niaa.gov.au/indigenous-affairs/economic-development/indigenous-procurement-policy-ipp</w:t>
        </w:r>
      </w:hyperlink>
      <w:r w:rsidRPr="0099117A">
        <w:t xml:space="preserve">. </w:t>
      </w:r>
    </w:p>
    <w:p w14:paraId="7C85C81C" w14:textId="77777777" w:rsidR="00E0460B" w:rsidRPr="0099117A" w:rsidRDefault="00E0460B" w:rsidP="00E0460B">
      <w:pPr>
        <w:spacing w:line="240" w:lineRule="auto"/>
        <w:ind w:left="720" w:firstLine="0"/>
      </w:pPr>
      <w:r w:rsidRPr="0099117A">
        <w:t>The Request for Proposal evaluation criteria and methodology is currently being developed and it is expected that further detail will be provided in the Exposure Draft Request for Proposal.</w:t>
      </w:r>
    </w:p>
    <w:p w14:paraId="335ACB51" w14:textId="77777777" w:rsidR="00E0460B" w:rsidRPr="0099117A" w:rsidRDefault="00E0460B" w:rsidP="00E0460B">
      <w:pPr>
        <w:pStyle w:val="Heading3"/>
        <w:rPr>
          <w:u w:val="none"/>
        </w:rPr>
      </w:pPr>
      <w:r w:rsidRPr="0099117A">
        <w:rPr>
          <w:u w:val="none"/>
        </w:rPr>
        <w:t>When will successful providers be announced?</w:t>
      </w:r>
    </w:p>
    <w:p w14:paraId="3D36A0B1" w14:textId="77777777" w:rsidR="00E0460B" w:rsidRPr="0099117A" w:rsidRDefault="00E0460B" w:rsidP="00E0460B">
      <w:pPr>
        <w:spacing w:line="240" w:lineRule="auto"/>
        <w:ind w:left="720" w:firstLine="0"/>
      </w:pPr>
      <w:r w:rsidRPr="0099117A">
        <w:t>It is anticipated that the outcomes of the Request for Proposal would be finalised, and successful organisations would be announced by the end of 2021, subject to the timing of the announcement of the new model and release of the Request for Proposal.</w:t>
      </w:r>
    </w:p>
    <w:p w14:paraId="73BF7DF7" w14:textId="77777777" w:rsidR="00E0460B" w:rsidRPr="0099117A" w:rsidRDefault="00E0460B" w:rsidP="00E0460B">
      <w:pPr>
        <w:pStyle w:val="Heading3"/>
        <w:rPr>
          <w:u w:val="none"/>
        </w:rPr>
      </w:pPr>
      <w:r w:rsidRPr="0099117A">
        <w:rPr>
          <w:u w:val="none"/>
        </w:rPr>
        <w:t>When will the transition to the new model occur?</w:t>
      </w:r>
    </w:p>
    <w:p w14:paraId="14505A81" w14:textId="77777777" w:rsidR="00E0460B" w:rsidRPr="0099117A" w:rsidRDefault="00E0460B" w:rsidP="00E0460B">
      <w:pPr>
        <w:spacing w:line="240" w:lineRule="auto"/>
        <w:ind w:left="720" w:firstLine="0"/>
      </w:pPr>
      <w:r w:rsidRPr="0099117A">
        <w:t>Transition to the new model will start in the lead up to the end of current jobactive and New Employment Services Trial contracts in June 2022 and will be subject to relevant transition out provisions. The exact timing of transition is not yet known, but from early 2022 is the department’s current estimate.</w:t>
      </w:r>
    </w:p>
    <w:p w14:paraId="69ACBE62" w14:textId="77777777" w:rsidR="00E0460B" w:rsidRPr="0099117A" w:rsidRDefault="00E0460B" w:rsidP="00E0460B">
      <w:pPr>
        <w:pStyle w:val="Heading3"/>
        <w:rPr>
          <w:u w:val="none"/>
        </w:rPr>
      </w:pPr>
      <w:r w:rsidRPr="0099117A">
        <w:rPr>
          <w:u w:val="none"/>
        </w:rPr>
        <w:t>Will jobactive participants transition to Enhanced Services or Digital Services?</w:t>
      </w:r>
    </w:p>
    <w:p w14:paraId="2310A64C" w14:textId="77777777" w:rsidR="00E0460B" w:rsidRPr="0099117A" w:rsidRDefault="00E0460B" w:rsidP="00E0460B">
      <w:pPr>
        <w:spacing w:line="240" w:lineRule="auto"/>
        <w:ind w:left="720" w:firstLine="0"/>
      </w:pPr>
      <w:r w:rsidRPr="0099117A">
        <w:t>Further details around the transition arrangements from jobactive to the new model will be provided as part of the announcement of the final model, expected to occur in mid-2021. Some transition principles are proposed on page 41 of the Licensing Discussion Paper.</w:t>
      </w:r>
    </w:p>
    <w:p w14:paraId="50C86C47" w14:textId="77777777" w:rsidR="007722DC" w:rsidRPr="0099117A" w:rsidRDefault="007722DC" w:rsidP="009C3FEB">
      <w:pPr>
        <w:spacing w:line="240" w:lineRule="auto"/>
        <w:ind w:left="720" w:firstLine="0"/>
      </w:pPr>
      <w:r w:rsidRPr="0099117A">
        <w:t xml:space="preserve">For the New Employment Services Trial, the transition approach involved </w:t>
      </w:r>
      <w:r w:rsidR="009C3FEB" w:rsidRPr="0099117A">
        <w:t xml:space="preserve">Stream A job seekers with a period of service less than twelve months being eligible for Digital Services. Stream A job seekers with a period of service more than 12 months, </w:t>
      </w:r>
      <w:r w:rsidR="009C3FEB" w:rsidRPr="0099117A">
        <w:br/>
      </w:r>
      <w:r w:rsidR="009C3FEB" w:rsidRPr="0099117A">
        <w:lastRenderedPageBreak/>
        <w:t>Stream B and Stream C job seekers were eligible for Enhanced Services. As part of the transition process, job seekers eligible for Digital Services had the ability to opt out of Digital Services and remain with their provider. This approach is being reviewed as part of the development of the new model, particularly given the recent introduction of the Online Employment Services.</w:t>
      </w:r>
    </w:p>
    <w:p w14:paraId="33EEC240" w14:textId="77777777" w:rsidR="005B7004" w:rsidRPr="0099117A" w:rsidRDefault="005B7004" w:rsidP="005B7004">
      <w:pPr>
        <w:pStyle w:val="Heading3"/>
        <w:rPr>
          <w:rFonts w:eastAsia="Times New Roman"/>
          <w:u w:val="none"/>
        </w:rPr>
      </w:pPr>
      <w:r w:rsidRPr="0099117A">
        <w:rPr>
          <w:rFonts w:eastAsia="Times New Roman"/>
          <w:u w:val="none"/>
        </w:rPr>
        <w:t>Will job seekers in the Online Employment Services and New Employment Services Trial Digital Services be referred to a provider in the new model?</w:t>
      </w:r>
    </w:p>
    <w:p w14:paraId="699EDEA6" w14:textId="77777777" w:rsidR="005B7004" w:rsidRPr="0099117A" w:rsidRDefault="005B7004" w:rsidP="005B7004">
      <w:pPr>
        <w:spacing w:line="240" w:lineRule="auto"/>
        <w:ind w:left="720" w:firstLine="0"/>
      </w:pPr>
      <w:r w:rsidRPr="0099117A">
        <w:t xml:space="preserve">The specific referral arrangements for the new model are yet to be determined. </w:t>
      </w:r>
    </w:p>
    <w:p w14:paraId="0ED07880" w14:textId="77777777" w:rsidR="005B7004" w:rsidRPr="0099117A" w:rsidRDefault="005B7004" w:rsidP="005B7004">
      <w:pPr>
        <w:spacing w:line="240" w:lineRule="auto"/>
        <w:ind w:left="720" w:firstLine="0"/>
      </w:pPr>
      <w:r w:rsidRPr="0099117A">
        <w:t xml:space="preserve">Under current arrangements, job seekers will remain in OES or NEST Digital Services where the level of servicing is appropriate and suitable to their circumstances, such as those who are in sustained part-time work or study and meeting their Mutual Obligation Requirements. </w:t>
      </w:r>
    </w:p>
    <w:p w14:paraId="6EAB7314" w14:textId="77777777" w:rsidR="005B7004" w:rsidRPr="0099117A" w:rsidRDefault="005B7004" w:rsidP="005B7004">
      <w:pPr>
        <w:spacing w:line="240" w:lineRule="auto"/>
        <w:ind w:left="720" w:firstLine="0"/>
      </w:pPr>
      <w:r w:rsidRPr="0099117A">
        <w:t>Regular reassessments will occur to ensure digital servicing remains suitable for job seekers, including where there is a change in a job seeker’s circumstances, or a job seeker is not meeting their mutual obligation requirements or effectively self-managing their job search. Should a reassessment indicate at any point a need for more intensive support, job seekers can be referred to a provider for face to face servicing. Job seekers can also opt out to a provider at any time.</w:t>
      </w:r>
    </w:p>
    <w:p w14:paraId="426AC964" w14:textId="77777777" w:rsidR="005B7004" w:rsidRPr="0099117A" w:rsidRDefault="005B7004" w:rsidP="005B7004">
      <w:pPr>
        <w:spacing w:line="240" w:lineRule="auto"/>
        <w:ind w:left="720" w:firstLine="0"/>
      </w:pPr>
      <w:r w:rsidRPr="0099117A">
        <w:t>Eligible job seekers will remain in the Online Employment Services for up to 12 months and will then referred to a jobactive provider unless they are in eligible employment, study or training.</w:t>
      </w:r>
    </w:p>
    <w:p w14:paraId="15BCD660" w14:textId="77777777" w:rsidR="005B7004" w:rsidRPr="0099117A" w:rsidRDefault="005B7004" w:rsidP="005B7004">
      <w:pPr>
        <w:spacing w:line="240" w:lineRule="auto"/>
        <w:ind w:left="720" w:firstLine="0"/>
      </w:pPr>
      <w:r w:rsidRPr="0099117A">
        <w:t>There is no specified period for job seekers to remain in NEST Digital Services, however the Department expects that only those participants in sustained part-time work or study and meeting their Mutual Obligation Requirements would remain in NEST Digital Services after 18 months.</w:t>
      </w:r>
    </w:p>
    <w:p w14:paraId="0878DA93" w14:textId="77777777" w:rsidR="00E0460B" w:rsidRPr="0099117A" w:rsidRDefault="005B7004" w:rsidP="005B7004">
      <w:pPr>
        <w:pStyle w:val="Heading3"/>
        <w:rPr>
          <w:u w:val="none"/>
        </w:rPr>
      </w:pPr>
      <w:r w:rsidRPr="0099117A">
        <w:rPr>
          <w:u w:val="none"/>
        </w:rPr>
        <w:t xml:space="preserve"> </w:t>
      </w:r>
      <w:r w:rsidR="00E0460B" w:rsidRPr="0099117A">
        <w:rPr>
          <w:u w:val="none"/>
        </w:rPr>
        <w:t>Will jobactive job seekers be transitioned to their existing providers if they are successful in obtaining a licence?</w:t>
      </w:r>
    </w:p>
    <w:p w14:paraId="1F65E7A3" w14:textId="77777777" w:rsidR="00E0460B" w:rsidRPr="0099117A" w:rsidRDefault="00E0460B" w:rsidP="00E0460B">
      <w:pPr>
        <w:spacing w:line="240" w:lineRule="auto"/>
        <w:ind w:left="720" w:firstLine="0"/>
      </w:pPr>
      <w:r w:rsidRPr="0099117A">
        <w:t>Further details around the transition arrangements from jobactive to the new model will be provided as part of the announcement of the final model, expected to occur in mid-2021. Some transition principles are proposed on page 41 of the Licensing Discussion Paper.</w:t>
      </w:r>
    </w:p>
    <w:p w14:paraId="23740E77" w14:textId="77777777" w:rsidR="00E0460B" w:rsidRPr="0099117A" w:rsidRDefault="00E0460B" w:rsidP="00E0460B">
      <w:pPr>
        <w:pStyle w:val="Heading2"/>
      </w:pPr>
      <w:bookmarkStart w:id="3" w:name="_Toc54263754"/>
      <w:r w:rsidRPr="0099117A">
        <w:t>Payments</w:t>
      </w:r>
      <w:bookmarkEnd w:id="3"/>
    </w:p>
    <w:p w14:paraId="365BB230" w14:textId="77777777" w:rsidR="00E0460B" w:rsidRPr="0099117A" w:rsidRDefault="00E0460B" w:rsidP="00E0460B">
      <w:pPr>
        <w:pStyle w:val="Heading3"/>
        <w:rPr>
          <w:u w:val="none"/>
        </w:rPr>
      </w:pPr>
      <w:bookmarkStart w:id="4" w:name="_Toc15378138"/>
      <w:r w:rsidRPr="0099117A">
        <w:rPr>
          <w:u w:val="none"/>
        </w:rPr>
        <w:t>Can you clarify the current fee structure that is in place and whether there are any intentions to change this structure in the future?</w:t>
      </w:r>
    </w:p>
    <w:p w14:paraId="76CFB5CC" w14:textId="77777777" w:rsidR="00E0460B" w:rsidRPr="0099117A" w:rsidRDefault="00E0460B" w:rsidP="00E0460B">
      <w:pPr>
        <w:spacing w:line="240" w:lineRule="auto"/>
        <w:ind w:left="709" w:firstLine="0"/>
      </w:pPr>
      <w:r w:rsidRPr="0099117A">
        <w:t>The key features of the new payment model being tested in the Trial include:</w:t>
      </w:r>
    </w:p>
    <w:p w14:paraId="197E5590" w14:textId="77777777" w:rsidR="00E0460B" w:rsidRPr="0099117A" w:rsidRDefault="00E0460B" w:rsidP="00E0460B">
      <w:pPr>
        <w:pStyle w:val="ListParagraph"/>
        <w:numPr>
          <w:ilvl w:val="0"/>
          <w:numId w:val="4"/>
        </w:numPr>
        <w:ind w:left="993" w:hanging="284"/>
      </w:pPr>
      <w:r w:rsidRPr="0099117A">
        <w:t>a one-time upfront engagement fee to support early investment in job seekers,</w:t>
      </w:r>
    </w:p>
    <w:p w14:paraId="1EA531EF" w14:textId="77777777" w:rsidR="00E0460B" w:rsidRPr="0099117A" w:rsidRDefault="00E0460B" w:rsidP="00E0460B">
      <w:pPr>
        <w:pStyle w:val="ListParagraph"/>
        <w:numPr>
          <w:ilvl w:val="0"/>
          <w:numId w:val="4"/>
        </w:numPr>
        <w:ind w:left="993" w:hanging="284"/>
      </w:pPr>
      <w:r w:rsidRPr="0099117A">
        <w:t>progress fees and a progress in service bonus to recognise providers who help job seekers make progress towards employment,</w:t>
      </w:r>
    </w:p>
    <w:p w14:paraId="42794F47" w14:textId="77777777" w:rsidR="00E0460B" w:rsidRPr="0099117A" w:rsidRDefault="00E0460B" w:rsidP="00E0460B">
      <w:pPr>
        <w:pStyle w:val="ListParagraph"/>
        <w:numPr>
          <w:ilvl w:val="0"/>
          <w:numId w:val="4"/>
        </w:numPr>
        <w:ind w:left="993" w:hanging="284"/>
      </w:pPr>
      <w:r w:rsidRPr="0099117A">
        <w:lastRenderedPageBreak/>
        <w:t>a simplified outcome structure that focuses on the achievement of sustainable, long-term employment outcomes,</w:t>
      </w:r>
    </w:p>
    <w:p w14:paraId="42E32C23" w14:textId="77777777" w:rsidR="00E0460B" w:rsidRPr="0099117A" w:rsidRDefault="00E0460B" w:rsidP="00E0460B">
      <w:pPr>
        <w:pStyle w:val="ListParagraph"/>
        <w:numPr>
          <w:ilvl w:val="0"/>
          <w:numId w:val="4"/>
        </w:numPr>
        <w:ind w:left="993" w:hanging="284"/>
      </w:pPr>
      <w:r w:rsidRPr="0099117A">
        <w:t>a bonus payment for achieving outcomes for very long-term unemployed job seekers, and</w:t>
      </w:r>
    </w:p>
    <w:p w14:paraId="20211049" w14:textId="77777777" w:rsidR="00E0460B" w:rsidRPr="0099117A" w:rsidRDefault="00E0460B" w:rsidP="00E0460B">
      <w:pPr>
        <w:pStyle w:val="ListParagraph"/>
        <w:numPr>
          <w:ilvl w:val="0"/>
          <w:numId w:val="4"/>
        </w:numPr>
        <w:spacing w:after="160"/>
        <w:ind w:left="993" w:hanging="284"/>
        <w:contextualSpacing w:val="0"/>
      </w:pPr>
      <w:r w:rsidRPr="0099117A">
        <w:t>recognition of regional differences through a regional loading on Employment Fund credits.</w:t>
      </w:r>
    </w:p>
    <w:p w14:paraId="2F7A84A1" w14:textId="77777777" w:rsidR="00E0460B" w:rsidRPr="0099117A" w:rsidRDefault="00E0460B" w:rsidP="00E0460B">
      <w:pPr>
        <w:spacing w:after="120" w:line="240" w:lineRule="auto"/>
        <w:ind w:left="709" w:firstLine="0"/>
      </w:pPr>
      <w:r w:rsidRPr="0099117A">
        <w:t xml:space="preserve">More information about the payments model, including the amount of each payment, is available in the Enhanced Services Payments Model Factsheet available on the </w:t>
      </w:r>
      <w:hyperlink r:id="rId14" w:history="1">
        <w:r w:rsidRPr="0099117A">
          <w:rPr>
            <w:rStyle w:val="Hyperlink"/>
          </w:rPr>
          <w:t>department's website</w:t>
        </w:r>
      </w:hyperlink>
      <w:r w:rsidRPr="0099117A">
        <w:t xml:space="preserve">. </w:t>
      </w:r>
    </w:p>
    <w:p w14:paraId="0A3EF29A" w14:textId="77777777" w:rsidR="00E0460B" w:rsidRPr="0099117A" w:rsidRDefault="00E0460B" w:rsidP="00E0460B">
      <w:pPr>
        <w:spacing w:line="240" w:lineRule="auto"/>
        <w:ind w:left="709" w:firstLine="0"/>
      </w:pPr>
      <w:r w:rsidRPr="0099117A">
        <w:t>There are no plans to change the payment structure during the Trial. However, the effectiveness of the payments model will be considered in evaluating the Trial and determining the arrangements for the final model.</w:t>
      </w:r>
    </w:p>
    <w:p w14:paraId="2BEDB6D1" w14:textId="77777777" w:rsidR="00E0460B" w:rsidRPr="0099117A" w:rsidRDefault="00E0460B" w:rsidP="00E0460B">
      <w:pPr>
        <w:spacing w:line="240" w:lineRule="auto"/>
        <w:ind w:left="709" w:firstLine="0"/>
      </w:pPr>
      <w:r w:rsidRPr="0099117A">
        <w:t>The department will soon be undertaking targeted stakeholder consultations on the current Trial payment model.</w:t>
      </w:r>
    </w:p>
    <w:p w14:paraId="598B4498" w14:textId="77777777" w:rsidR="00E0460B" w:rsidRPr="0099117A" w:rsidRDefault="00E0460B" w:rsidP="00E0460B">
      <w:pPr>
        <w:pStyle w:val="Heading3"/>
        <w:rPr>
          <w:u w:val="none"/>
        </w:rPr>
      </w:pPr>
      <w:r w:rsidRPr="0099117A">
        <w:rPr>
          <w:u w:val="none"/>
        </w:rPr>
        <w:t>Will the department be reducing service fees and increasing outcome payments and rewards due to COVID-19 unemployment impacts and modelling which shows unemployment levels to remain high beyond 2022?</w:t>
      </w:r>
    </w:p>
    <w:p w14:paraId="4ED35ECC" w14:textId="77777777" w:rsidR="00E0460B" w:rsidRPr="0099117A" w:rsidRDefault="00E0460B" w:rsidP="00E0460B">
      <w:pPr>
        <w:keepNext/>
        <w:keepLines/>
        <w:spacing w:line="240" w:lineRule="auto"/>
        <w:ind w:left="709" w:firstLine="0"/>
      </w:pPr>
      <w:r w:rsidRPr="0099117A">
        <w:t>The payment structure for the new model is still to be finalised, and the department plans to undertake stakeholder consultation on this topic in late 2020.</w:t>
      </w:r>
    </w:p>
    <w:p w14:paraId="1DE8A150" w14:textId="77777777" w:rsidR="00E0460B" w:rsidRPr="0099117A" w:rsidRDefault="00E0460B" w:rsidP="00E0460B">
      <w:pPr>
        <w:pStyle w:val="Heading2"/>
      </w:pPr>
      <w:bookmarkStart w:id="5" w:name="_Toc15378155"/>
      <w:bookmarkStart w:id="6" w:name="_Toc54263755"/>
      <w:bookmarkEnd w:id="4"/>
      <w:bookmarkEnd w:id="5"/>
      <w:r w:rsidRPr="0099117A">
        <w:t>Assessment</w:t>
      </w:r>
      <w:bookmarkEnd w:id="6"/>
    </w:p>
    <w:p w14:paraId="00812E71" w14:textId="77777777" w:rsidR="00E0460B" w:rsidRPr="0099117A" w:rsidRDefault="00E0460B" w:rsidP="00E0460B">
      <w:pPr>
        <w:pStyle w:val="Heading3"/>
        <w:rPr>
          <w:u w:val="none"/>
        </w:rPr>
      </w:pPr>
      <w:bookmarkStart w:id="7" w:name="_Toc15378160"/>
      <w:r w:rsidRPr="0099117A">
        <w:rPr>
          <w:u w:val="none"/>
        </w:rPr>
        <w:t>Can you provide information on the new Job Seeker Snapshot tool that is used for JSCI to categorise people into enhanced, digital plus and digital first services?  </w:t>
      </w:r>
      <w:r w:rsidRPr="0099117A">
        <w:rPr>
          <w:u w:val="none"/>
        </w:rPr>
        <w:br/>
        <w:t>a. Are job seekers being accurately classified for the right services?</w:t>
      </w:r>
      <w:r w:rsidRPr="0099117A">
        <w:rPr>
          <w:u w:val="none"/>
        </w:rPr>
        <w:br/>
        <w:t xml:space="preserve">b. Can you advise us of the caseloads you are expecting under each stream? </w:t>
      </w:r>
      <w:r w:rsidRPr="0099117A">
        <w:rPr>
          <w:u w:val="none"/>
        </w:rPr>
        <w:br/>
        <w:t xml:space="preserve">c. Are you able to provide us with more information of the classification of a Tier 1 or Tier 2 job seeker? </w:t>
      </w:r>
    </w:p>
    <w:p w14:paraId="76DF5740" w14:textId="77777777" w:rsidR="00E0460B" w:rsidRPr="0099117A" w:rsidRDefault="00E0460B" w:rsidP="00E0460B">
      <w:pPr>
        <w:spacing w:line="240" w:lineRule="auto"/>
        <w:ind w:left="709" w:firstLine="0"/>
      </w:pPr>
      <w:r w:rsidRPr="0099117A">
        <w:t>The JSCI is used to determine eligibility for Digital or Enhanced Services. The Job Seeker Snapshot is an online version of the JSCI, which can be completed or updated by the job seeker through their job seeker account.</w:t>
      </w:r>
    </w:p>
    <w:p w14:paraId="712326E9" w14:textId="77777777" w:rsidR="00E0460B" w:rsidRPr="0099117A" w:rsidRDefault="00E0460B" w:rsidP="00E0460B">
      <w:pPr>
        <w:spacing w:line="240" w:lineRule="auto"/>
        <w:ind w:left="709" w:firstLine="0"/>
      </w:pPr>
      <w:r w:rsidRPr="0099117A">
        <w:t>a) The JSCI is reviewed every few years to ensure it remains current.</w:t>
      </w:r>
    </w:p>
    <w:p w14:paraId="6C98BD57" w14:textId="77777777" w:rsidR="00E0460B" w:rsidRPr="0099117A" w:rsidRDefault="00E0460B" w:rsidP="00E0460B">
      <w:pPr>
        <w:spacing w:line="240" w:lineRule="auto"/>
        <w:ind w:left="709" w:firstLine="0"/>
      </w:pPr>
      <w:r w:rsidRPr="0099117A">
        <w:br/>
        <w:t>b) The department plans to provide indicative caseload estimates with the Exposure Draft Request for Proposal (and Request for Proposal). Some policy settings that will impact caseload estimates are yet to be determined.</w:t>
      </w:r>
      <w:r w:rsidRPr="0099117A">
        <w:br/>
      </w:r>
      <w:r w:rsidRPr="0099117A">
        <w:br/>
        <w:t>While not necessarily representing what is expected in the new model, the following proportions were seen in two New Employment Services Trial regions, as at 15 March 2020 (prior to the sharp caseload increase due to COVID-19):</w:t>
      </w:r>
      <w:r w:rsidRPr="0099117A">
        <w:br/>
        <w:t>- Digital Volunteers - 1%</w:t>
      </w:r>
      <w:r w:rsidRPr="0099117A">
        <w:br/>
        <w:t>- Digital First - 10%</w:t>
      </w:r>
      <w:r w:rsidRPr="0099117A">
        <w:br/>
      </w:r>
      <w:r w:rsidRPr="0099117A">
        <w:lastRenderedPageBreak/>
        <w:t>- Digital Plus - 9%</w:t>
      </w:r>
      <w:r w:rsidRPr="0099117A">
        <w:br/>
        <w:t>- Enhanced Services (Tier 1) - 66%</w:t>
      </w:r>
      <w:r w:rsidRPr="0099117A">
        <w:br/>
        <w:t>- Enhanced Services (Tier 2) - 14%</w:t>
      </w:r>
      <w:r w:rsidRPr="0099117A">
        <w:br/>
      </w:r>
      <w:r w:rsidRPr="0099117A">
        <w:br/>
        <w:t>The large proportions in Enhanced Services were as a result of the transition rules for job seekers transitioning from jobactive into NEST. Stream A job seekers with a period of service (less than twelve months) were eligible for Digital Services. Stream A (more than 12 months), Stream B and Stream C job seekers were eligible for Enhanced Services. As part of the transition process, Job seekers eligible for Digital Services had the ability to choose to opt out of Digital Services and remain with their provider.</w:t>
      </w:r>
    </w:p>
    <w:p w14:paraId="3AA4A6D2" w14:textId="77777777" w:rsidR="00E0460B" w:rsidRPr="0099117A" w:rsidRDefault="00E0460B" w:rsidP="00E0460B">
      <w:pPr>
        <w:spacing w:line="240" w:lineRule="auto"/>
        <w:ind w:left="709" w:firstLine="0"/>
      </w:pPr>
      <w:r w:rsidRPr="0099117A">
        <w:br/>
        <w:t>c) The Tier that is selected for a job seeker in Enhanced Services is at the discretion of the provider. As per the NEST Deed, Tier 1 Enhanced Services Participants are assessed as being ready to participate in intensive work-readiness activities, including vocational and non-vocational activities to address their barriers to employment. Tier 2 Enhanced Services Participants are those who are assessed as facing more substantial, Non-vocational Barriers to Employment than Tier 1 Enhanced Services Participants. Services for these Participants are expected to have a stronger focus on non-vocational interventions but will also include vocational-based Activities where appropriate.</w:t>
      </w:r>
    </w:p>
    <w:p w14:paraId="59A095A3" w14:textId="77777777" w:rsidR="00E0460B" w:rsidRPr="0099117A" w:rsidRDefault="00E0460B" w:rsidP="00E0460B">
      <w:pPr>
        <w:pStyle w:val="Heading3"/>
      </w:pPr>
      <w:r w:rsidRPr="0099117A">
        <w:rPr>
          <w:u w:val="none"/>
        </w:rPr>
        <w:t>Will the new comprehensive assessments being developed in the Trial consider a job seeker’s career aspirations, including starting their own business?</w:t>
      </w:r>
    </w:p>
    <w:p w14:paraId="009975C5" w14:textId="77777777" w:rsidR="00E0460B" w:rsidRPr="0099117A" w:rsidRDefault="00E0460B" w:rsidP="00E0460B">
      <w:pPr>
        <w:spacing w:line="240" w:lineRule="auto"/>
        <w:ind w:left="709" w:firstLine="11"/>
      </w:pPr>
      <w:r w:rsidRPr="0099117A">
        <w:t>A range of new online assessment tools will be developed and tested to inform a new job seeker assessment framework for the New Employment Services Model. Job seekers in the digital and enhanced service will have access to these tools through the department’s Online Employment Services (OES) platform. One of the areas the department is considering is assessing a job seeker's career aspirations, including entrepreneurship.</w:t>
      </w:r>
    </w:p>
    <w:p w14:paraId="1A47BB18" w14:textId="77777777" w:rsidR="00E0460B" w:rsidRPr="0099117A" w:rsidRDefault="00E0460B" w:rsidP="00E0460B">
      <w:pPr>
        <w:spacing w:line="240" w:lineRule="auto"/>
        <w:ind w:left="709" w:firstLine="11"/>
        <w:rPr>
          <w:b/>
          <w:bCs/>
        </w:rPr>
      </w:pPr>
      <w:r w:rsidRPr="0099117A">
        <w:t>Digital Participants can currently access a range of information about complementary programs that they may be eligible for, including NEIS, through the OES. The Digital Services Contact Centre can also provide these Participants with information about programs such as NEIS. Enhanced Services participants also access the information through the OES platform and from their provider. The department also sends notifications to job seekers about NEIS.</w:t>
      </w:r>
    </w:p>
    <w:p w14:paraId="4CE147DC" w14:textId="77777777" w:rsidR="00E0460B" w:rsidRPr="0099117A" w:rsidRDefault="00E0460B" w:rsidP="00E0460B">
      <w:pPr>
        <w:pStyle w:val="Heading3"/>
        <w:rPr>
          <w:u w:val="none"/>
        </w:rPr>
      </w:pPr>
      <w:r w:rsidRPr="0099117A">
        <w:rPr>
          <w:u w:val="none"/>
        </w:rPr>
        <w:t>Can additional features be added, making it easier for people to be referred to Transition to Work (TtW) in the New Employment Services Trial?</w:t>
      </w:r>
    </w:p>
    <w:p w14:paraId="798E947A" w14:textId="77777777" w:rsidR="00E0460B" w:rsidRPr="0099117A" w:rsidRDefault="00E0460B" w:rsidP="00E0460B">
      <w:pPr>
        <w:spacing w:line="240" w:lineRule="auto"/>
        <w:ind w:left="709" w:firstLine="0"/>
      </w:pPr>
      <w:r w:rsidRPr="0099117A">
        <w:t xml:space="preserve">Currently, when a young person completes their JSCI/Job Seeker Snapshot, the system identifies whether they are eligible for TtW and, if eligible, automatically makes the referral. Where a young person has not completed their JSCI/Job Seeker Snapshot, they may be referred to a provider noting TtW eligibility will not have been identified. Recent changes have been made to enable NEST and jobactive providers to refer an eligible young person to TtW. </w:t>
      </w:r>
    </w:p>
    <w:p w14:paraId="6DE314D6" w14:textId="77777777" w:rsidR="00E0460B" w:rsidRPr="0099117A" w:rsidRDefault="00E0460B" w:rsidP="00E0460B">
      <w:pPr>
        <w:spacing w:line="240" w:lineRule="auto"/>
        <w:ind w:left="709" w:firstLine="0"/>
      </w:pPr>
      <w:r w:rsidRPr="0099117A">
        <w:lastRenderedPageBreak/>
        <w:t>Providers are advised that if a new income support recipient under 25 is referred to them without a completed JSCI, they should complete the assessment and check eligibility for TtW. The Eligibility screen in ESSWeb will clearly indicate if a young person is TtW eligible. If the young person is eligible a referral can be made through the Referral screen in ESSWeb. Alternatively, the young person can call the NCSL and request to be referred to TtW.</w:t>
      </w:r>
    </w:p>
    <w:p w14:paraId="3BA35426" w14:textId="77777777" w:rsidR="00E0460B" w:rsidRPr="0099117A" w:rsidRDefault="00E0460B" w:rsidP="00E0460B">
      <w:pPr>
        <w:pStyle w:val="Heading3"/>
        <w:rPr>
          <w:u w:val="none"/>
        </w:rPr>
      </w:pPr>
      <w:r w:rsidRPr="0099117A">
        <w:rPr>
          <w:u w:val="none"/>
        </w:rPr>
        <w:t>Will the comprehensive assessment be a standardised assessment that is provided by Government for all providers to use?</w:t>
      </w:r>
    </w:p>
    <w:p w14:paraId="03DFF9C5" w14:textId="77777777" w:rsidR="00E0460B" w:rsidRPr="0099117A" w:rsidRDefault="00E0460B" w:rsidP="00E0460B">
      <w:pPr>
        <w:spacing w:line="240" w:lineRule="auto"/>
        <w:ind w:left="720" w:firstLine="0"/>
      </w:pPr>
      <w:r w:rsidRPr="0099117A">
        <w:t>A range of new assessment tools will be introduced and tested to inform the job seeker assessment framework for the New Employment Services Model. The new assessments will be offered through the digital platform and available to job seekers once they have been referred to employment services. It is anticipated the new assessments will be available to anyone using the digital platform, including job seekers serviced by providers.</w:t>
      </w:r>
    </w:p>
    <w:p w14:paraId="427DA460" w14:textId="77777777" w:rsidR="00E0460B" w:rsidRPr="0099117A" w:rsidRDefault="00E0460B" w:rsidP="00E0460B">
      <w:pPr>
        <w:pStyle w:val="Heading3"/>
        <w:rPr>
          <w:u w:val="none"/>
        </w:rPr>
      </w:pPr>
      <w:r w:rsidRPr="0099117A">
        <w:rPr>
          <w:u w:val="none"/>
        </w:rPr>
        <w:t>Will a job seeker who has been streamed into Digital First or Digital Plus be connected to a licensed Enhanced Services provider?</w:t>
      </w:r>
    </w:p>
    <w:p w14:paraId="6917DE59" w14:textId="77777777" w:rsidR="00E0460B" w:rsidRPr="0099117A" w:rsidRDefault="00E0460B" w:rsidP="00E0460B">
      <w:pPr>
        <w:spacing w:line="240" w:lineRule="auto"/>
        <w:ind w:left="720" w:firstLine="0"/>
      </w:pPr>
      <w:r w:rsidRPr="0099117A">
        <w:t xml:space="preserve">The New Employment Services Trial (NEST) is currently testing key elements of the new model, and the </w:t>
      </w:r>
      <w:hyperlink r:id="rId15" w:history="1">
        <w:r w:rsidRPr="0099117A">
          <w:rPr>
            <w:rStyle w:val="Hyperlink"/>
          </w:rPr>
          <w:t>NEST Guidelines</w:t>
        </w:r>
      </w:hyperlink>
      <w:r w:rsidRPr="0099117A">
        <w:t xml:space="preserve"> provide relevant information about how Digital Participants (in Digital First and Digital Plus) currently interact with employment service providers in the trial regions. The Activity Management Guideline explains as follows: </w:t>
      </w:r>
    </w:p>
    <w:p w14:paraId="53B9F69D" w14:textId="77777777" w:rsidR="00E0460B" w:rsidRPr="0099117A" w:rsidRDefault="00E0460B" w:rsidP="00E0460B">
      <w:pPr>
        <w:spacing w:line="240" w:lineRule="auto"/>
        <w:ind w:left="1440" w:firstLine="0"/>
        <w:rPr>
          <w:i/>
          <w:iCs/>
          <w:szCs w:val="24"/>
        </w:rPr>
      </w:pPr>
      <w:r w:rsidRPr="0099117A">
        <w:rPr>
          <w:i/>
          <w:iCs/>
          <w:szCs w:val="24"/>
        </w:rPr>
        <w:t xml:space="preserve">Digital Participants will predominantly self-service via a digital employment services platform, though may occasionally </w:t>
      </w:r>
      <w:proofErr w:type="gramStart"/>
      <w:r w:rsidRPr="0099117A">
        <w:rPr>
          <w:i/>
          <w:iCs/>
          <w:szCs w:val="24"/>
        </w:rPr>
        <w:t>be in need of</w:t>
      </w:r>
      <w:proofErr w:type="gramEnd"/>
      <w:r w:rsidRPr="0099117A">
        <w:rPr>
          <w:i/>
          <w:iCs/>
          <w:szCs w:val="24"/>
        </w:rPr>
        <w:t xml:space="preserve"> additional support — such as to undertake an approved Activity. The Department’s Contact Centre may Allocate Digital Participants to NEST Providers to provide, Broker, Purchase or arrange an appropriate Activity as necessary, where the NEST Provider has indicated they have Activities available or are willing to find/facilitate Activities for Digital Participants.</w:t>
      </w:r>
    </w:p>
    <w:p w14:paraId="2036CFA9" w14:textId="77777777" w:rsidR="00E0460B" w:rsidRPr="0099117A" w:rsidRDefault="00E0460B" w:rsidP="00E0460B">
      <w:pPr>
        <w:spacing w:line="240" w:lineRule="auto"/>
        <w:ind w:left="1440" w:firstLine="0"/>
        <w:rPr>
          <w:i/>
          <w:iCs/>
          <w:szCs w:val="24"/>
        </w:rPr>
      </w:pPr>
      <w:r w:rsidRPr="0099117A">
        <w:rPr>
          <w:i/>
          <w:iCs/>
          <w:szCs w:val="24"/>
        </w:rPr>
        <w:t>Digital Participants will not form part of the NEST Provider’s Caseload. The management of the Digital Participant’s Job Plan and Mutual Obligation Requirements (including in respect of the Targeted Compliance Framework) will remain the responsibility of the Digital Participant and the Contact Centre.</w:t>
      </w:r>
    </w:p>
    <w:p w14:paraId="71C94C13" w14:textId="77777777" w:rsidR="00E0460B" w:rsidRPr="0099117A" w:rsidRDefault="00E0460B" w:rsidP="00E0460B">
      <w:pPr>
        <w:spacing w:line="240" w:lineRule="auto"/>
        <w:ind w:left="720" w:firstLine="0"/>
      </w:pPr>
      <w:r w:rsidRPr="0099117A">
        <w:t>It is important to note that as this is a trial, policy settings may change prior to the implementation of the New Employment Services Model. At this stage it is not possible to confirm exactly how Digital Participants will interact with Enhanced Services providers (or other service providers) under the new model.</w:t>
      </w:r>
    </w:p>
    <w:p w14:paraId="52787242" w14:textId="77777777" w:rsidR="00E0460B" w:rsidRPr="0099117A" w:rsidRDefault="00E0460B" w:rsidP="00E0460B">
      <w:pPr>
        <w:pStyle w:val="Heading3"/>
        <w:rPr>
          <w:u w:val="none"/>
        </w:rPr>
      </w:pPr>
      <w:r w:rsidRPr="0099117A">
        <w:rPr>
          <w:u w:val="none"/>
        </w:rPr>
        <w:lastRenderedPageBreak/>
        <w:t>How does the department propose to categorise job seekers into cohorts? What if a person belongs to more than one cohort?</w:t>
      </w:r>
    </w:p>
    <w:p w14:paraId="71C42378" w14:textId="77777777" w:rsidR="00E0460B" w:rsidRPr="0099117A" w:rsidRDefault="00E0460B" w:rsidP="00E0460B">
      <w:pPr>
        <w:spacing w:line="240" w:lineRule="auto"/>
        <w:ind w:left="709" w:firstLine="11"/>
      </w:pPr>
      <w:r w:rsidRPr="0099117A">
        <w:t xml:space="preserve">It is </w:t>
      </w:r>
      <w:r w:rsidR="00BC320F" w:rsidRPr="0099117A">
        <w:t>proposed</w:t>
      </w:r>
      <w:r w:rsidRPr="0099117A">
        <w:t xml:space="preserve"> that eligibility for services would be determined </w:t>
      </w:r>
      <w:r w:rsidR="007C1002" w:rsidRPr="0099117A">
        <w:t xml:space="preserve">based on an individual’s characteristics, based on Services Australia data, </w:t>
      </w:r>
      <w:r w:rsidRPr="0099117A">
        <w:t>the Job Seeker Classification Instrument (JSCI)</w:t>
      </w:r>
      <w:r w:rsidR="007C1002" w:rsidRPr="0099117A">
        <w:t>, and any further relevant assessments</w:t>
      </w:r>
      <w:r w:rsidRPr="0099117A">
        <w:t>.</w:t>
      </w:r>
    </w:p>
    <w:p w14:paraId="0C91961A" w14:textId="77777777" w:rsidR="00E0460B" w:rsidRPr="0099117A" w:rsidRDefault="00E0460B" w:rsidP="00E0460B">
      <w:pPr>
        <w:spacing w:line="240" w:lineRule="auto"/>
        <w:ind w:left="709" w:firstLine="11"/>
      </w:pPr>
      <w:r w:rsidRPr="0099117A">
        <w:t xml:space="preserve">It is </w:t>
      </w:r>
      <w:r w:rsidR="00BC320F" w:rsidRPr="0099117A">
        <w:t>proposed</w:t>
      </w:r>
      <w:r w:rsidRPr="0099117A">
        <w:t xml:space="preserve"> that job seekers w</w:t>
      </w:r>
      <w:r w:rsidR="007C1002" w:rsidRPr="0099117A">
        <w:t>ould</w:t>
      </w:r>
      <w:r w:rsidRPr="0099117A">
        <w:t xml:space="preserve"> have discretion as to which provider they wish to be serviced by. Should a job seeker be eligible for one or more specialist provider services, they would have the discretion to choose the provider that they feel will best meet their needs, whether it be a specialist or generalist service.</w:t>
      </w:r>
    </w:p>
    <w:p w14:paraId="48381F50" w14:textId="77777777" w:rsidR="00E0460B" w:rsidRPr="0099117A" w:rsidRDefault="00E0460B" w:rsidP="00E0460B">
      <w:pPr>
        <w:pStyle w:val="Heading2"/>
      </w:pPr>
      <w:bookmarkStart w:id="8" w:name="_Toc54263756"/>
      <w:bookmarkEnd w:id="7"/>
      <w:r w:rsidRPr="0099117A">
        <w:t>Monitoring and Data</w:t>
      </w:r>
      <w:bookmarkEnd w:id="8"/>
    </w:p>
    <w:p w14:paraId="2C161EEC" w14:textId="77777777" w:rsidR="00E0460B" w:rsidRPr="0099117A" w:rsidRDefault="00E0460B" w:rsidP="00E0460B">
      <w:pPr>
        <w:pStyle w:val="Heading3"/>
        <w:rPr>
          <w:rStyle w:val="Strong"/>
        </w:rPr>
      </w:pPr>
      <w:bookmarkStart w:id="9" w:name="_Toc15378144"/>
      <w:r w:rsidRPr="0099117A">
        <w:rPr>
          <w:rStyle w:val="Strong"/>
        </w:rPr>
        <w:t>When will data be available, by region, for historical commencement and referral numbers?</w:t>
      </w:r>
    </w:p>
    <w:p w14:paraId="67AD1BEC" w14:textId="77777777" w:rsidR="00E0460B" w:rsidRPr="0099117A" w:rsidRDefault="00E0460B" w:rsidP="00E0460B">
      <w:pPr>
        <w:spacing w:before="120" w:after="120" w:line="240" w:lineRule="auto"/>
        <w:ind w:left="720" w:firstLine="0"/>
        <w:rPr>
          <w:rFonts w:ascii="Calibri" w:eastAsia="Calibri" w:hAnsi="Calibri" w:cs="Calibri"/>
          <w:szCs w:val="24"/>
        </w:rPr>
      </w:pPr>
      <w:r w:rsidRPr="0099117A">
        <w:rPr>
          <w:rFonts w:ascii="Calibri" w:eastAsia="Calibri" w:hAnsi="Calibri" w:cs="Calibri"/>
          <w:szCs w:val="24"/>
        </w:rPr>
        <w:t xml:space="preserve">The department plans to provide a range of caseload data with the Exposure Draft Request for Proposal (and Request for Proposal). Some data on the jobactive caseload is currently available from the </w:t>
      </w:r>
      <w:hyperlink r:id="rId16" w:history="1">
        <w:r w:rsidRPr="0099117A">
          <w:rPr>
            <w:rStyle w:val="Hyperlink"/>
            <w:rFonts w:ascii="Calibri" w:eastAsia="Calibri" w:hAnsi="Calibri" w:cs="Calibri"/>
            <w:szCs w:val="24"/>
          </w:rPr>
          <w:t>Labour Market Information Portal</w:t>
        </w:r>
      </w:hyperlink>
      <w:r w:rsidRPr="0099117A">
        <w:rPr>
          <w:rFonts w:ascii="Calibri" w:eastAsia="Calibri" w:hAnsi="Calibri" w:cs="Calibri"/>
          <w:szCs w:val="24"/>
        </w:rPr>
        <w:t>.</w:t>
      </w:r>
    </w:p>
    <w:p w14:paraId="771524EB" w14:textId="77777777" w:rsidR="00E0460B" w:rsidRPr="0099117A" w:rsidRDefault="00E0460B" w:rsidP="00E0460B">
      <w:pPr>
        <w:pStyle w:val="Heading3"/>
        <w:rPr>
          <w:u w:val="none"/>
        </w:rPr>
      </w:pPr>
      <w:r w:rsidRPr="0099117A">
        <w:rPr>
          <w:u w:val="none"/>
        </w:rPr>
        <w:t>Can you provide data on the average time Stream B and C job seekers spend in jobactive, by region?</w:t>
      </w:r>
    </w:p>
    <w:p w14:paraId="013632B4" w14:textId="77777777" w:rsidR="00E0460B" w:rsidRPr="0099117A" w:rsidRDefault="00E0460B" w:rsidP="00E0460B">
      <w:pPr>
        <w:spacing w:line="240" w:lineRule="auto"/>
        <w:ind w:left="720" w:firstLine="0"/>
      </w:pPr>
      <w:r w:rsidRPr="0099117A">
        <w:t xml:space="preserve">The department plans to provide a range of caseload data with the Exposure Draft Request for Proposal (and Request for Proposal). Some data on the jobactive caseload is currently available from the </w:t>
      </w:r>
      <w:hyperlink r:id="rId17" w:history="1">
        <w:r w:rsidRPr="0099117A">
          <w:rPr>
            <w:rStyle w:val="Hyperlink"/>
          </w:rPr>
          <w:t>Labour Market Information Portal</w:t>
        </w:r>
      </w:hyperlink>
      <w:r w:rsidRPr="0099117A">
        <w:t>.</w:t>
      </w:r>
    </w:p>
    <w:p w14:paraId="1743C317" w14:textId="77777777" w:rsidR="00E0460B" w:rsidRPr="0099117A" w:rsidRDefault="00E0460B" w:rsidP="00E0460B">
      <w:pPr>
        <w:pStyle w:val="Heading3"/>
        <w:rPr>
          <w:u w:val="none"/>
        </w:rPr>
      </w:pPr>
      <w:r w:rsidRPr="0099117A">
        <w:rPr>
          <w:u w:val="none"/>
        </w:rPr>
        <w:t xml:space="preserve">Is there any data available on the number of job seekers in NEST </w:t>
      </w:r>
      <w:r w:rsidR="00B94293" w:rsidRPr="0099117A">
        <w:rPr>
          <w:u w:val="none"/>
        </w:rPr>
        <w:t>serviced by</w:t>
      </w:r>
      <w:r w:rsidRPr="0099117A">
        <w:rPr>
          <w:u w:val="none"/>
        </w:rPr>
        <w:t xml:space="preserve"> providers?</w:t>
      </w:r>
    </w:p>
    <w:p w14:paraId="1D9FF677" w14:textId="77777777" w:rsidR="00E0460B" w:rsidRPr="0099117A" w:rsidRDefault="00E0460B" w:rsidP="00E0460B">
      <w:pPr>
        <w:spacing w:line="240" w:lineRule="auto"/>
        <w:ind w:left="709" w:firstLine="11"/>
      </w:pPr>
      <w:r w:rsidRPr="0099117A">
        <w:t>As at 30 September 2020, 47 per cent of the New Employment Services Trial caseload were in Enhanced Services.</w:t>
      </w:r>
    </w:p>
    <w:p w14:paraId="1CBEFF8C" w14:textId="77777777" w:rsidR="00E0460B" w:rsidRPr="0099117A" w:rsidRDefault="00E0460B" w:rsidP="00E0460B">
      <w:pPr>
        <w:spacing w:line="240" w:lineRule="auto"/>
        <w:ind w:left="709" w:firstLine="11"/>
      </w:pPr>
      <w:r w:rsidRPr="0099117A">
        <w:t>It should be noted that COVID-19 has had a significant impact on the composition of the caseload, with 80 per cent of the New Employment Services Trial caseload in Enhanced Services as at 15 March 2020.</w:t>
      </w:r>
    </w:p>
    <w:p w14:paraId="665E648D" w14:textId="77777777" w:rsidR="00E0460B" w:rsidRPr="0099117A" w:rsidRDefault="00E0460B" w:rsidP="00E0460B">
      <w:pPr>
        <w:spacing w:line="240" w:lineRule="auto"/>
        <w:ind w:left="709" w:firstLine="11"/>
      </w:pPr>
      <w:r w:rsidRPr="0099117A">
        <w:t xml:space="preserve">The department plans to provide a range of caseload data with the Exposure Draft Request for Proposal (which may be updated as part of the subsequent final Request for Proposal). </w:t>
      </w:r>
    </w:p>
    <w:p w14:paraId="4E4470BE" w14:textId="77777777" w:rsidR="00E0460B" w:rsidRPr="0099117A" w:rsidRDefault="00E0460B" w:rsidP="00E0460B">
      <w:pPr>
        <w:pStyle w:val="Heading2"/>
      </w:pPr>
      <w:bookmarkStart w:id="10" w:name="_Toc54263757"/>
      <w:bookmarkEnd w:id="9"/>
      <w:r w:rsidRPr="0099117A">
        <w:t>Activities and Complementary Programs</w:t>
      </w:r>
      <w:bookmarkEnd w:id="10"/>
    </w:p>
    <w:p w14:paraId="32A60064" w14:textId="77777777" w:rsidR="00E0460B" w:rsidRPr="0099117A" w:rsidRDefault="00E0460B" w:rsidP="00E0460B">
      <w:pPr>
        <w:pStyle w:val="Heading3"/>
        <w:rPr>
          <w:u w:val="none"/>
        </w:rPr>
      </w:pPr>
      <w:bookmarkStart w:id="11" w:name="_Toc15378176"/>
      <w:r w:rsidRPr="0099117A">
        <w:rPr>
          <w:u w:val="none"/>
        </w:rPr>
        <w:t>Has the trial of a Points Based Activation System (PBAS) commenced?</w:t>
      </w:r>
    </w:p>
    <w:p w14:paraId="2569CE3A" w14:textId="77777777" w:rsidR="00E0460B" w:rsidRPr="0099117A" w:rsidRDefault="00E0460B" w:rsidP="00E0460B">
      <w:pPr>
        <w:spacing w:line="240" w:lineRule="auto"/>
        <w:ind w:left="709" w:firstLine="11"/>
      </w:pPr>
      <w:r w:rsidRPr="0099117A">
        <w:t xml:space="preserve">The introduction of the Points Based Activation System (PBAS) in the New Employment Services Trial regions has been delayed as part of the COVID-19 response. </w:t>
      </w:r>
      <w:r w:rsidR="00CE28F3" w:rsidRPr="0099117A">
        <w:t xml:space="preserve">A </w:t>
      </w:r>
      <w:r w:rsidRPr="0099117A">
        <w:t xml:space="preserve">PBAS prototype is now being implemented from </w:t>
      </w:r>
      <w:r w:rsidR="00CE28F3" w:rsidRPr="0099117A">
        <w:t xml:space="preserve">November </w:t>
      </w:r>
      <w:r w:rsidRPr="0099117A">
        <w:t>2020.</w:t>
      </w:r>
    </w:p>
    <w:p w14:paraId="67194F00" w14:textId="77777777" w:rsidR="00E0460B" w:rsidRPr="0099117A" w:rsidRDefault="00E0460B" w:rsidP="00E0460B">
      <w:pPr>
        <w:pStyle w:val="Heading3"/>
        <w:rPr>
          <w:u w:val="none"/>
        </w:rPr>
      </w:pPr>
      <w:r w:rsidRPr="0099117A">
        <w:rPr>
          <w:u w:val="none"/>
        </w:rPr>
        <w:lastRenderedPageBreak/>
        <w:t>As we anticipate further economic decline in the short and medium term, does the department anticipate emphasis on skilling and training to be bolstered?</w:t>
      </w:r>
    </w:p>
    <w:p w14:paraId="50F89B39" w14:textId="77777777" w:rsidR="00E0460B" w:rsidRPr="0099117A" w:rsidRDefault="00E0460B" w:rsidP="00E0460B">
      <w:pPr>
        <w:spacing w:line="240" w:lineRule="auto"/>
        <w:ind w:left="709" w:firstLine="11"/>
      </w:pPr>
      <w:r w:rsidRPr="0099117A">
        <w:t>The Points Based Activation System (PBAS) being trialled in the New Employment Services Trial Regions provides job seekers greater flexibility and control over their pathway to employment. This includes recognising study and training as activities to either reduce or meet a job seeker's mutual obligation requirements.</w:t>
      </w:r>
    </w:p>
    <w:p w14:paraId="6C67CCF2" w14:textId="77777777" w:rsidR="00E0460B" w:rsidRPr="0099117A" w:rsidRDefault="00E0460B" w:rsidP="00E0460B">
      <w:pPr>
        <w:pStyle w:val="Heading3"/>
        <w:rPr>
          <w:u w:val="none"/>
        </w:rPr>
      </w:pPr>
      <w:r w:rsidRPr="0099117A">
        <w:rPr>
          <w:u w:val="none"/>
        </w:rPr>
        <w:t xml:space="preserve">ParentsNext concludes in June 2021. What happens between that date and 2022? </w:t>
      </w:r>
    </w:p>
    <w:p w14:paraId="652E47B0" w14:textId="77777777" w:rsidR="009C7DFF" w:rsidRPr="0099117A" w:rsidRDefault="00B94293" w:rsidP="009C7DFF">
      <w:pPr>
        <w:spacing w:line="240" w:lineRule="auto"/>
        <w:ind w:left="709" w:firstLine="11"/>
      </w:pPr>
      <w:r w:rsidRPr="0099117A">
        <w:t xml:space="preserve">As announced by Senator the Hon </w:t>
      </w:r>
      <w:proofErr w:type="spellStart"/>
      <w:r w:rsidRPr="0099117A">
        <w:t>Michaelia</w:t>
      </w:r>
      <w:proofErr w:type="spellEnd"/>
      <w:r w:rsidRPr="0099117A">
        <w:t xml:space="preserve"> Cash on 28 September 2020, t</w:t>
      </w:r>
      <w:r w:rsidR="009C7DFF" w:rsidRPr="0099117A">
        <w:t xml:space="preserve">he ParentsNext 2018-21 Deed will be extended for an additional three years, from </w:t>
      </w:r>
      <w:r w:rsidRPr="0099117A">
        <w:br/>
      </w:r>
      <w:r w:rsidR="009C7DFF" w:rsidRPr="0099117A">
        <w:t>1 July 2021 to 30 June 2024.</w:t>
      </w:r>
    </w:p>
    <w:p w14:paraId="3B811ACE" w14:textId="77777777" w:rsidR="009C7DFF" w:rsidRPr="0099117A" w:rsidRDefault="009C7DFF" w:rsidP="00102488">
      <w:pPr>
        <w:spacing w:line="240" w:lineRule="auto"/>
        <w:ind w:left="709" w:firstLine="11"/>
      </w:pPr>
      <w:r w:rsidRPr="0099117A">
        <w:t>Several enhancements are being made to the ParentsNext program from 1 July 2021</w:t>
      </w:r>
      <w:r w:rsidR="00102488" w:rsidRPr="0099117A">
        <w:t xml:space="preserve">. Information about these enhancements can be found at: </w:t>
      </w:r>
      <w:hyperlink r:id="rId18" w:history="1">
        <w:r w:rsidR="00102488" w:rsidRPr="0099117A">
          <w:rPr>
            <w:rStyle w:val="Hyperlink"/>
          </w:rPr>
          <w:t>https://www.employment.gov.au/parentsnext-frequently-asked-questions</w:t>
        </w:r>
      </w:hyperlink>
      <w:r w:rsidR="00102488" w:rsidRPr="0099117A">
        <w:t xml:space="preserve">. </w:t>
      </w:r>
      <w:r w:rsidRPr="0099117A">
        <w:t xml:space="preserve"> </w:t>
      </w:r>
    </w:p>
    <w:p w14:paraId="62EE31F1" w14:textId="77777777" w:rsidR="00E0460B" w:rsidRPr="0099117A" w:rsidRDefault="00E0460B" w:rsidP="00E0460B">
      <w:pPr>
        <w:pStyle w:val="Heading3"/>
        <w:rPr>
          <w:u w:val="none"/>
        </w:rPr>
      </w:pPr>
      <w:r w:rsidRPr="0099117A">
        <w:rPr>
          <w:u w:val="none"/>
        </w:rPr>
        <w:t>How will jobactive complementary programs be incorporated into the new model?</w:t>
      </w:r>
    </w:p>
    <w:p w14:paraId="66FED3F9" w14:textId="77777777" w:rsidR="00E0460B" w:rsidRPr="0099117A" w:rsidRDefault="00E0460B" w:rsidP="00E0460B">
      <w:pPr>
        <w:spacing w:line="240" w:lineRule="auto"/>
        <w:ind w:left="709" w:firstLine="0"/>
      </w:pPr>
      <w:r w:rsidRPr="0099117A">
        <w:t xml:space="preserve">Policy settings for complementary programs in the New Employment Services Model are being considered by the department and are not yet finalised. </w:t>
      </w:r>
    </w:p>
    <w:p w14:paraId="5916E719" w14:textId="77777777" w:rsidR="00E0460B" w:rsidRPr="0099117A" w:rsidRDefault="00E0460B" w:rsidP="00E0460B">
      <w:pPr>
        <w:pStyle w:val="Heading3"/>
        <w:rPr>
          <w:u w:val="none"/>
        </w:rPr>
      </w:pPr>
      <w:r w:rsidRPr="0099117A">
        <w:rPr>
          <w:u w:val="none"/>
        </w:rPr>
        <w:t>Will the department adopt the new model’s licensing approach for other programs?</w:t>
      </w:r>
    </w:p>
    <w:p w14:paraId="5EAC9CA5" w14:textId="77777777" w:rsidR="00E0460B" w:rsidRPr="0099117A" w:rsidRDefault="00E0460B" w:rsidP="00E0460B">
      <w:pPr>
        <w:spacing w:line="240" w:lineRule="auto"/>
        <w:ind w:left="709" w:firstLine="0"/>
      </w:pPr>
      <w:r w:rsidRPr="0099117A">
        <w:t xml:space="preserve">No decisions have been made about the purchasing and contractual arrangements for other programs. </w:t>
      </w:r>
    </w:p>
    <w:p w14:paraId="1F025BBB" w14:textId="77777777" w:rsidR="00E0460B" w:rsidRPr="0099117A" w:rsidRDefault="00E0460B" w:rsidP="00E0460B">
      <w:pPr>
        <w:pStyle w:val="Heading3"/>
        <w:rPr>
          <w:u w:val="none"/>
        </w:rPr>
      </w:pPr>
      <w:r w:rsidRPr="0099117A">
        <w:rPr>
          <w:u w:val="none"/>
        </w:rPr>
        <w:t>In the Discussion Paper it references no changes to current complementary programs such as Transition to Work or Employability Skills Training. Does this mean that current Deeds for these programs will be extended, or will these providers need to reapply?</w:t>
      </w:r>
    </w:p>
    <w:p w14:paraId="3885DD17" w14:textId="77777777" w:rsidR="00E0460B" w:rsidRPr="0099117A" w:rsidRDefault="00E0460B" w:rsidP="00E0460B">
      <w:pPr>
        <w:spacing w:line="240" w:lineRule="auto"/>
        <w:ind w:left="709" w:firstLine="0"/>
      </w:pPr>
      <w:r w:rsidRPr="0099117A">
        <w:t>At this stage, no changes are anticipated to the suite of existing employment programs that complement mainstream employment services (jobactive). This includes programs that operate separately to jobactive, such as Transition to Work and ParentsNext, as well as programs that can be accessed by jobactive participants, such as Work for the Dole and Employability Skills Training.</w:t>
      </w:r>
    </w:p>
    <w:p w14:paraId="027F9220" w14:textId="77777777" w:rsidR="00E0460B" w:rsidRPr="0099117A" w:rsidRDefault="00E0460B" w:rsidP="00E0460B">
      <w:pPr>
        <w:spacing w:line="240" w:lineRule="auto"/>
        <w:ind w:left="709" w:firstLine="0"/>
      </w:pPr>
      <w:r w:rsidRPr="0099117A">
        <w:t>No decision has yet been made in relation to either the Transition to Work or Employability Skills Training Deeds that currently continue until 30 June 2022.</w:t>
      </w:r>
    </w:p>
    <w:p w14:paraId="73159623" w14:textId="77777777" w:rsidR="00E0460B" w:rsidRPr="0099117A" w:rsidRDefault="00E0460B" w:rsidP="00E0460B">
      <w:pPr>
        <w:pStyle w:val="Heading2"/>
      </w:pPr>
      <w:bookmarkStart w:id="12" w:name="_Toc54263758"/>
      <w:bookmarkEnd w:id="11"/>
      <w:r w:rsidRPr="0099117A">
        <w:t>The Digital Platform</w:t>
      </w:r>
      <w:bookmarkEnd w:id="12"/>
    </w:p>
    <w:p w14:paraId="1E2DA59F" w14:textId="77777777" w:rsidR="00E0460B" w:rsidRPr="0099117A" w:rsidRDefault="00E0460B" w:rsidP="00E0460B">
      <w:pPr>
        <w:pStyle w:val="Heading3"/>
        <w:rPr>
          <w:u w:val="none"/>
        </w:rPr>
      </w:pPr>
      <w:r w:rsidRPr="0099117A">
        <w:rPr>
          <w:u w:val="none"/>
        </w:rPr>
        <w:t>Is there any further detail on the improved digital platform?</w:t>
      </w:r>
    </w:p>
    <w:p w14:paraId="58377457" w14:textId="77777777" w:rsidR="00E0460B" w:rsidRPr="0099117A" w:rsidRDefault="00E0460B" w:rsidP="00E0460B">
      <w:pPr>
        <w:spacing w:line="240" w:lineRule="auto"/>
        <w:ind w:left="709" w:firstLine="0"/>
      </w:pPr>
      <w:r w:rsidRPr="0099117A">
        <w:t xml:space="preserve">As announced in the 2020-21 Federal Budget, the Australian Government will invest $295.9 million over four years to develop and deliver a new digital employment services platform. </w:t>
      </w:r>
    </w:p>
    <w:p w14:paraId="6277148E" w14:textId="77777777" w:rsidR="00E0460B" w:rsidRPr="0099117A" w:rsidRDefault="00E0460B" w:rsidP="00E0460B">
      <w:pPr>
        <w:spacing w:line="240" w:lineRule="auto"/>
        <w:ind w:left="709" w:firstLine="0"/>
      </w:pPr>
      <w:r w:rsidRPr="0099117A">
        <w:lastRenderedPageBreak/>
        <w:t xml:space="preserve">This will see many legacy technologies upgraded and replaced over time. </w:t>
      </w:r>
    </w:p>
    <w:p w14:paraId="0D5C7B75" w14:textId="77777777" w:rsidR="00E0460B" w:rsidRPr="0099117A" w:rsidRDefault="00E0460B" w:rsidP="00E0460B">
      <w:pPr>
        <w:spacing w:line="240" w:lineRule="auto"/>
        <w:ind w:left="709" w:firstLine="0"/>
      </w:pPr>
      <w:r w:rsidRPr="0099117A">
        <w:t xml:space="preserve">Improvements are initially focused on supporting the Online Employment Services but will create many long-term benefits for the New Employment Services Model. </w:t>
      </w:r>
    </w:p>
    <w:p w14:paraId="2FF8F240" w14:textId="77777777" w:rsidR="00E0460B" w:rsidRPr="0099117A" w:rsidRDefault="00E0460B" w:rsidP="00E0460B">
      <w:pPr>
        <w:spacing w:line="240" w:lineRule="auto"/>
        <w:ind w:left="709" w:firstLine="0"/>
      </w:pPr>
      <w:r w:rsidRPr="0099117A">
        <w:t>Some of the key improvements to the digital platform include:</w:t>
      </w:r>
    </w:p>
    <w:p w14:paraId="7C72444F" w14:textId="77777777" w:rsidR="00E0460B" w:rsidRPr="0099117A" w:rsidRDefault="00E0460B" w:rsidP="00E0460B">
      <w:pPr>
        <w:pStyle w:val="ListParagraph"/>
        <w:numPr>
          <w:ilvl w:val="0"/>
          <w:numId w:val="6"/>
        </w:numPr>
      </w:pPr>
      <w:r w:rsidRPr="0099117A">
        <w:t>The New Job Seeker Assessment Framework.</w:t>
      </w:r>
    </w:p>
    <w:p w14:paraId="46B37A58" w14:textId="77777777" w:rsidR="00E0460B" w:rsidRPr="0099117A" w:rsidRDefault="00E0460B" w:rsidP="00E0460B">
      <w:pPr>
        <w:pStyle w:val="ListParagraph"/>
        <w:numPr>
          <w:ilvl w:val="0"/>
          <w:numId w:val="6"/>
        </w:numPr>
      </w:pPr>
      <w:r w:rsidRPr="0099117A">
        <w:t xml:space="preserve">A more flexible Mutual Obligation Requirements framework. </w:t>
      </w:r>
    </w:p>
    <w:p w14:paraId="6E694E51" w14:textId="77777777" w:rsidR="00E0460B" w:rsidRPr="0099117A" w:rsidRDefault="00E0460B" w:rsidP="00E0460B">
      <w:pPr>
        <w:pStyle w:val="ListParagraph"/>
        <w:numPr>
          <w:ilvl w:val="0"/>
          <w:numId w:val="6"/>
        </w:numPr>
      </w:pPr>
      <w:r w:rsidRPr="0099117A">
        <w:t>A redeveloped and more flexible activity management system.</w:t>
      </w:r>
    </w:p>
    <w:p w14:paraId="58EE7D26" w14:textId="77777777" w:rsidR="00E0460B" w:rsidRPr="0099117A" w:rsidRDefault="00E0460B" w:rsidP="00E0460B">
      <w:pPr>
        <w:pStyle w:val="ListParagraph"/>
        <w:numPr>
          <w:ilvl w:val="0"/>
          <w:numId w:val="6"/>
        </w:numPr>
      </w:pPr>
      <w:r w:rsidRPr="0099117A">
        <w:t xml:space="preserve">Investment in new user communications capability across </w:t>
      </w:r>
      <w:proofErr w:type="gramStart"/>
      <w:r w:rsidRPr="0099117A">
        <w:t>a number of</w:t>
      </w:r>
      <w:proofErr w:type="gramEnd"/>
      <w:r w:rsidRPr="0099117A">
        <w:t xml:space="preserve"> channels both inbound and outbound.</w:t>
      </w:r>
    </w:p>
    <w:p w14:paraId="5044013B" w14:textId="77777777" w:rsidR="00E0460B" w:rsidRPr="0099117A" w:rsidRDefault="00E0460B" w:rsidP="00E0460B">
      <w:pPr>
        <w:pStyle w:val="ListParagraph"/>
        <w:numPr>
          <w:ilvl w:val="0"/>
          <w:numId w:val="6"/>
        </w:numPr>
      </w:pPr>
      <w:r w:rsidRPr="0099117A">
        <w:t>Investment in digital assistance channels such as Web Chat, Chat-Bot and On-screen guidance.</w:t>
      </w:r>
    </w:p>
    <w:p w14:paraId="5BF019E3" w14:textId="77777777" w:rsidR="00E0460B" w:rsidRPr="0099117A" w:rsidRDefault="00E0460B" w:rsidP="00E0460B">
      <w:pPr>
        <w:pStyle w:val="ListParagraph"/>
        <w:numPr>
          <w:ilvl w:val="0"/>
          <w:numId w:val="6"/>
        </w:numPr>
      </w:pPr>
      <w:r w:rsidRPr="0099117A">
        <w:t>Job seeker online learning capability.</w:t>
      </w:r>
    </w:p>
    <w:p w14:paraId="251DF10F" w14:textId="77777777" w:rsidR="00E0460B" w:rsidRPr="0099117A" w:rsidRDefault="00E0460B" w:rsidP="00E0460B">
      <w:pPr>
        <w:pStyle w:val="ListParagraph"/>
        <w:numPr>
          <w:ilvl w:val="0"/>
          <w:numId w:val="6"/>
        </w:numPr>
        <w:spacing w:after="160"/>
        <w:ind w:hanging="357"/>
        <w:contextualSpacing w:val="0"/>
      </w:pPr>
      <w:r w:rsidRPr="0099117A">
        <w:t>Investment in data and analytics capability to support a range of users. For example, providing recommendations to providers, job seekers and employers.</w:t>
      </w:r>
    </w:p>
    <w:p w14:paraId="08B58CE4" w14:textId="77777777" w:rsidR="00E0460B" w:rsidRPr="0099117A" w:rsidRDefault="00E0460B" w:rsidP="00E0460B">
      <w:pPr>
        <w:spacing w:line="240" w:lineRule="auto"/>
        <w:ind w:left="709" w:firstLine="0"/>
      </w:pPr>
      <w:r w:rsidRPr="0099117A">
        <w:t xml:space="preserve"> The department will continue to work with stakeholders via existing forums on upcoming IT work. </w:t>
      </w:r>
    </w:p>
    <w:p w14:paraId="37EAC266" w14:textId="77777777" w:rsidR="00E0460B" w:rsidRPr="0099117A" w:rsidRDefault="00E0460B" w:rsidP="00E0460B">
      <w:pPr>
        <w:spacing w:line="240" w:lineRule="auto"/>
        <w:ind w:left="709" w:firstLine="0"/>
      </w:pPr>
      <w:r w:rsidRPr="0099117A">
        <w:t>The digital tools will be built in tranches and tested with users to ensure their needs are met. Stakeholders will be consulted on the features planned to be built throughout the IT build, which will start in January 2021.</w:t>
      </w:r>
    </w:p>
    <w:p w14:paraId="4430860A" w14:textId="77777777" w:rsidR="00E0460B" w:rsidRPr="0099117A" w:rsidRDefault="00E0460B" w:rsidP="00E0460B">
      <w:pPr>
        <w:pStyle w:val="Heading3"/>
        <w:rPr>
          <w:u w:val="none"/>
        </w:rPr>
      </w:pPr>
      <w:r w:rsidRPr="0099117A">
        <w:rPr>
          <w:u w:val="none"/>
        </w:rPr>
        <w:t>With the increased investment in the digital platform, does the department envisage providers will need to acquire Third Party systems to support their operations in the new model?</w:t>
      </w:r>
    </w:p>
    <w:p w14:paraId="14931650" w14:textId="77777777" w:rsidR="00E0460B" w:rsidRPr="0099117A" w:rsidRDefault="00E0460B" w:rsidP="00E0460B">
      <w:pPr>
        <w:spacing w:line="240" w:lineRule="auto"/>
        <w:ind w:left="709" w:firstLine="0"/>
      </w:pPr>
      <w:r w:rsidRPr="0099117A">
        <w:t>No. The department does not expect providers would need to use Third Party systems to support their operations in the new model.</w:t>
      </w:r>
    </w:p>
    <w:p w14:paraId="69CBA505" w14:textId="77777777" w:rsidR="00E0460B" w:rsidRPr="0099117A" w:rsidRDefault="00E0460B" w:rsidP="00E0460B">
      <w:pPr>
        <w:spacing w:line="240" w:lineRule="auto"/>
        <w:ind w:left="709" w:firstLine="0"/>
        <w:rPr>
          <w:rFonts w:ascii="Calibri" w:eastAsia="Calibri" w:hAnsi="Calibri" w:cs="Calibri"/>
          <w:szCs w:val="24"/>
        </w:rPr>
      </w:pPr>
      <w:r w:rsidRPr="0099117A">
        <w:br w:type="page"/>
      </w:r>
    </w:p>
    <w:p w14:paraId="4486A63B" w14:textId="77777777" w:rsidR="00E0460B" w:rsidRPr="0099117A" w:rsidRDefault="00E0460B" w:rsidP="00E0460B">
      <w:pPr>
        <w:pStyle w:val="Heading1"/>
        <w:rPr>
          <w:color w:val="auto"/>
        </w:rPr>
      </w:pPr>
      <w:bookmarkStart w:id="13" w:name="_Toc54263759"/>
      <w:r w:rsidRPr="0099117A">
        <w:rPr>
          <w:color w:val="auto"/>
        </w:rPr>
        <w:lastRenderedPageBreak/>
        <w:t>Proposed Licensing System</w:t>
      </w:r>
      <w:bookmarkEnd w:id="13"/>
    </w:p>
    <w:p w14:paraId="7CA3F11C" w14:textId="77777777" w:rsidR="00E0460B" w:rsidRPr="0099117A" w:rsidRDefault="00E0460B" w:rsidP="00E0460B">
      <w:pPr>
        <w:pStyle w:val="Heading2"/>
      </w:pPr>
      <w:bookmarkStart w:id="14" w:name="_Toc54263760"/>
      <w:r w:rsidRPr="0099117A">
        <w:t>Consultation</w:t>
      </w:r>
      <w:bookmarkEnd w:id="14"/>
    </w:p>
    <w:p w14:paraId="3865AA8B" w14:textId="77777777" w:rsidR="00E0460B" w:rsidRPr="0099117A" w:rsidRDefault="00E0460B" w:rsidP="00E0460B">
      <w:pPr>
        <w:pStyle w:val="Heading3"/>
      </w:pPr>
      <w:bookmarkStart w:id="15" w:name="_Toc15378218"/>
      <w:r w:rsidRPr="0099117A">
        <w:rPr>
          <w:u w:val="none"/>
        </w:rPr>
        <w:t>When will the department be consulting on the licensing system?</w:t>
      </w:r>
    </w:p>
    <w:p w14:paraId="2F4C7B93" w14:textId="77777777" w:rsidR="00E0460B" w:rsidRPr="0099117A" w:rsidRDefault="00E0460B" w:rsidP="00E0460B">
      <w:pPr>
        <w:spacing w:line="240" w:lineRule="auto"/>
        <w:ind w:left="709" w:firstLine="11"/>
      </w:pPr>
      <w:r w:rsidRPr="0099117A">
        <w:t>The department plans to undertake targeted consultation throughout 2020 with selected stakeholders.</w:t>
      </w:r>
    </w:p>
    <w:p w14:paraId="242D9184" w14:textId="77777777" w:rsidR="00E0460B" w:rsidRPr="0099117A" w:rsidRDefault="00E0460B" w:rsidP="00E0460B">
      <w:pPr>
        <w:spacing w:line="240" w:lineRule="auto"/>
        <w:ind w:left="709" w:firstLine="11"/>
      </w:pPr>
      <w:r w:rsidRPr="0099117A">
        <w:t>A Discussion Paper was released in September 2020, which seeks input from all stakeholders on how the licensing system should work. Submissions to the Discussion Paper close at 12pm AEDT on Wednesday 28 October 2020.</w:t>
      </w:r>
    </w:p>
    <w:p w14:paraId="03344A00" w14:textId="77777777" w:rsidR="00E0460B" w:rsidRPr="0099117A" w:rsidRDefault="00E0460B" w:rsidP="00E0460B">
      <w:pPr>
        <w:spacing w:line="240" w:lineRule="auto"/>
        <w:ind w:left="709" w:firstLine="11"/>
      </w:pPr>
      <w:r w:rsidRPr="0099117A">
        <w:t>The department also plans to publish an Exposure Draft Request for Proposal in the second quarter of 2021. This will seek stakeholder views on the finer details of the new model, including the licensing system.</w:t>
      </w:r>
    </w:p>
    <w:p w14:paraId="08079BB3" w14:textId="77777777" w:rsidR="00E0460B" w:rsidRPr="0099117A" w:rsidRDefault="00E0460B" w:rsidP="00E0460B">
      <w:pPr>
        <w:pStyle w:val="Heading2"/>
      </w:pPr>
      <w:bookmarkStart w:id="16" w:name="_Toc54263761"/>
      <w:r w:rsidRPr="0099117A">
        <w:t>Performance Framework</w:t>
      </w:r>
      <w:bookmarkEnd w:id="16"/>
    </w:p>
    <w:p w14:paraId="26ECD043" w14:textId="77777777" w:rsidR="00E0460B" w:rsidRPr="0099117A" w:rsidRDefault="00E0460B" w:rsidP="00E0460B">
      <w:pPr>
        <w:pStyle w:val="Heading3"/>
        <w:rPr>
          <w:u w:val="none"/>
        </w:rPr>
      </w:pPr>
      <w:r w:rsidRPr="0099117A">
        <w:rPr>
          <w:u w:val="none"/>
        </w:rPr>
        <w:t>Will providers' performance be measured against other providers or a benchmark, for each Employment Region?</w:t>
      </w:r>
    </w:p>
    <w:p w14:paraId="65FE6794" w14:textId="77777777" w:rsidR="00E0460B" w:rsidRPr="0099117A" w:rsidRDefault="00E0460B" w:rsidP="00E0460B">
      <w:pPr>
        <w:spacing w:line="240" w:lineRule="auto"/>
        <w:ind w:left="709" w:firstLine="11"/>
      </w:pPr>
      <w:r w:rsidRPr="0099117A">
        <w:t>The specific measures and methods used in the provider performance framework are still being developed. The design of the performance framework will be informed by feedback received during consultation.</w:t>
      </w:r>
    </w:p>
    <w:p w14:paraId="6BD89422" w14:textId="77777777" w:rsidR="00E0460B" w:rsidRPr="0099117A" w:rsidRDefault="00E0460B" w:rsidP="00E0460B">
      <w:pPr>
        <w:pStyle w:val="Heading3"/>
        <w:rPr>
          <w:u w:val="none"/>
        </w:rPr>
      </w:pPr>
      <w:r w:rsidRPr="0099117A">
        <w:rPr>
          <w:u w:val="none"/>
        </w:rPr>
        <w:t xml:space="preserve">Will the performance framework </w:t>
      </w:r>
      <w:proofErr w:type="gramStart"/>
      <w:r w:rsidRPr="0099117A">
        <w:rPr>
          <w:u w:val="none"/>
        </w:rPr>
        <w:t>take into account</w:t>
      </w:r>
      <w:proofErr w:type="gramEnd"/>
      <w:r w:rsidRPr="0099117A">
        <w:rPr>
          <w:u w:val="none"/>
        </w:rPr>
        <w:t xml:space="preserve"> the difficulty in servicing certain cohorts (for generalists and specialists)?</w:t>
      </w:r>
    </w:p>
    <w:p w14:paraId="6EB7CC24" w14:textId="77777777" w:rsidR="00E0460B" w:rsidRPr="0099117A" w:rsidRDefault="00E0460B" w:rsidP="00E0460B">
      <w:pPr>
        <w:spacing w:line="240" w:lineRule="auto"/>
        <w:ind w:left="709" w:firstLine="0"/>
      </w:pPr>
      <w:r w:rsidRPr="0099117A">
        <w:t>The specific measures and methods used in the provider performance framework are still being developed. The design of the performance framework will be informed by feedback received during consultation.</w:t>
      </w:r>
    </w:p>
    <w:p w14:paraId="1C1F8195" w14:textId="77777777" w:rsidR="00E0460B" w:rsidRPr="0099117A" w:rsidRDefault="00E0460B" w:rsidP="00E0460B">
      <w:pPr>
        <w:pStyle w:val="Heading3"/>
        <w:rPr>
          <w:u w:val="none"/>
        </w:rPr>
      </w:pPr>
      <w:r w:rsidRPr="0099117A">
        <w:rPr>
          <w:u w:val="none"/>
        </w:rPr>
        <w:t>Will jobactive Star Ratings be used to make decisions about licences in the new model?</w:t>
      </w:r>
    </w:p>
    <w:p w14:paraId="7FBAF862" w14:textId="77777777" w:rsidR="00E0460B" w:rsidRPr="0099117A" w:rsidRDefault="00E0460B" w:rsidP="00E0460B">
      <w:pPr>
        <w:spacing w:line="240" w:lineRule="auto"/>
        <w:ind w:left="709" w:firstLine="11"/>
      </w:pPr>
      <w:r w:rsidRPr="0099117A">
        <w:t>The specific measures and methods used in the provider performance framework are still being developed. The design of the performance framework will be informed by feedback received during consultation.</w:t>
      </w:r>
    </w:p>
    <w:p w14:paraId="42D7BDD7" w14:textId="77777777" w:rsidR="00E0460B" w:rsidRPr="0099117A" w:rsidRDefault="00E0460B" w:rsidP="00E0460B">
      <w:pPr>
        <w:spacing w:line="240" w:lineRule="auto"/>
        <w:ind w:left="709" w:firstLine="11"/>
      </w:pPr>
      <w:r w:rsidRPr="0099117A">
        <w:t xml:space="preserve">Existing jobactive providers may wish to apply for </w:t>
      </w:r>
      <w:proofErr w:type="gramStart"/>
      <w:r w:rsidRPr="0099117A">
        <w:t>licences, but</w:t>
      </w:r>
      <w:proofErr w:type="gramEnd"/>
      <w:r w:rsidRPr="0099117A">
        <w:t xml:space="preserve"> will be assessed using the same criteria as organisations that are not jobactive providers.</w:t>
      </w:r>
    </w:p>
    <w:p w14:paraId="699AACDB" w14:textId="77777777" w:rsidR="00E0460B" w:rsidRPr="0099117A" w:rsidRDefault="00E0460B" w:rsidP="00E0460B">
      <w:pPr>
        <w:spacing w:line="240" w:lineRule="auto"/>
        <w:ind w:left="709" w:firstLine="11"/>
      </w:pPr>
      <w:r w:rsidRPr="0099117A">
        <w:t>Enhanced Services is a considerably different model to jobactive, with a much greater focus on supporting the most disadvantaged job seekers.</w:t>
      </w:r>
    </w:p>
    <w:p w14:paraId="6DE63FE6" w14:textId="77777777" w:rsidR="00E0460B" w:rsidRPr="0099117A" w:rsidRDefault="00E0460B" w:rsidP="00E0460B">
      <w:pPr>
        <w:pStyle w:val="Heading3"/>
        <w:rPr>
          <w:u w:val="none"/>
        </w:rPr>
      </w:pPr>
      <w:r w:rsidRPr="0099117A">
        <w:rPr>
          <w:u w:val="none"/>
        </w:rPr>
        <w:lastRenderedPageBreak/>
        <w:t xml:space="preserve">Will the jobactive Star Ratings model apply in the New Employment Services Model? </w:t>
      </w:r>
    </w:p>
    <w:p w14:paraId="352E3B70" w14:textId="77777777" w:rsidR="00E0460B" w:rsidRPr="0099117A" w:rsidRDefault="00E0460B" w:rsidP="00E0460B">
      <w:pPr>
        <w:spacing w:line="240" w:lineRule="auto"/>
        <w:ind w:left="709" w:firstLine="0"/>
      </w:pPr>
      <w:r w:rsidRPr="0099117A">
        <w:t>The specific measures and methods used in the provider performance framework are still being developed. The design of the performance framework will be informed by feedback received during consultation.</w:t>
      </w:r>
    </w:p>
    <w:p w14:paraId="49AB0C48" w14:textId="77777777" w:rsidR="00E0460B" w:rsidRPr="0099117A" w:rsidRDefault="00E0460B" w:rsidP="00E0460B">
      <w:pPr>
        <w:pStyle w:val="Heading3"/>
        <w:rPr>
          <w:u w:val="none"/>
        </w:rPr>
      </w:pPr>
      <w:r w:rsidRPr="0099117A">
        <w:rPr>
          <w:u w:val="none"/>
        </w:rPr>
        <w:t>Will the current jobactive Star Ratings model continue?</w:t>
      </w:r>
    </w:p>
    <w:p w14:paraId="420302C5" w14:textId="77777777" w:rsidR="00E0460B" w:rsidRPr="0099117A" w:rsidRDefault="00E0460B" w:rsidP="00E0460B">
      <w:pPr>
        <w:spacing w:line="240" w:lineRule="auto"/>
        <w:ind w:left="709" w:firstLine="11"/>
      </w:pPr>
      <w:r w:rsidRPr="0099117A">
        <w:t>The specific measures and methods used in the provider performance framework are still being developed. The design of the performance framework will be informed by feedback received during consultation.</w:t>
      </w:r>
    </w:p>
    <w:p w14:paraId="088E0687" w14:textId="77777777" w:rsidR="00E0460B" w:rsidRPr="0099117A" w:rsidRDefault="00E0460B" w:rsidP="00E0460B">
      <w:pPr>
        <w:pStyle w:val="Heading3"/>
        <w:rPr>
          <w:u w:val="none"/>
        </w:rPr>
      </w:pPr>
      <w:r w:rsidRPr="0099117A">
        <w:rPr>
          <w:u w:val="none"/>
        </w:rPr>
        <w:t>How will the performance framework consider the differences between labour markets in different regions?</w:t>
      </w:r>
    </w:p>
    <w:p w14:paraId="4B9D1D0B" w14:textId="77777777" w:rsidR="00E0460B" w:rsidRPr="0099117A" w:rsidRDefault="00E0460B" w:rsidP="00E0460B">
      <w:pPr>
        <w:spacing w:line="240" w:lineRule="auto"/>
        <w:ind w:left="720" w:firstLine="0"/>
      </w:pPr>
      <w:r w:rsidRPr="0099117A">
        <w:t xml:space="preserve">The provider performance framework for the new model is intended to </w:t>
      </w:r>
      <w:proofErr w:type="gramStart"/>
      <w:r w:rsidRPr="0099117A">
        <w:t>take into account</w:t>
      </w:r>
      <w:proofErr w:type="gramEnd"/>
      <w:r w:rsidRPr="0099117A">
        <w:t xml:space="preserve"> differences between labour markets and the composition of each provider's caseload. </w:t>
      </w:r>
    </w:p>
    <w:p w14:paraId="65700B15" w14:textId="77777777" w:rsidR="00E0460B" w:rsidRPr="0099117A" w:rsidRDefault="00E0460B" w:rsidP="00E0460B">
      <w:pPr>
        <w:spacing w:line="240" w:lineRule="auto"/>
        <w:ind w:left="720" w:firstLine="0"/>
      </w:pPr>
      <w:r w:rsidRPr="0099117A">
        <w:t>The specific measures and methods used in the provider performance framework are still being developed. The design of the performance framework will be informed by feedback received during consultation.</w:t>
      </w:r>
    </w:p>
    <w:p w14:paraId="1666078A" w14:textId="77777777" w:rsidR="00E0460B" w:rsidRPr="0099117A" w:rsidRDefault="00E0460B" w:rsidP="00E0460B">
      <w:pPr>
        <w:pStyle w:val="Heading3"/>
        <w:rPr>
          <w:u w:val="none"/>
        </w:rPr>
      </w:pPr>
      <w:r w:rsidRPr="0099117A">
        <w:rPr>
          <w:u w:val="none"/>
        </w:rPr>
        <w:t>Is there any further information available about the performance framework in the new model?</w:t>
      </w:r>
    </w:p>
    <w:p w14:paraId="633BE39E" w14:textId="77777777" w:rsidR="00E0460B" w:rsidRPr="0099117A" w:rsidRDefault="00E0460B" w:rsidP="00E0460B">
      <w:pPr>
        <w:spacing w:line="240" w:lineRule="auto"/>
        <w:ind w:left="720" w:firstLine="0"/>
      </w:pPr>
      <w:r w:rsidRPr="0099117A">
        <w:t>As outlined in the Discussion Paper, the specific performance measures and methodologies that will be used in the performance framework are under development.</w:t>
      </w:r>
    </w:p>
    <w:p w14:paraId="0B97FDDE" w14:textId="77777777" w:rsidR="00E0460B" w:rsidRPr="0099117A" w:rsidRDefault="00E0460B" w:rsidP="00E0460B">
      <w:pPr>
        <w:spacing w:line="240" w:lineRule="auto"/>
        <w:ind w:left="720" w:firstLine="0"/>
      </w:pPr>
      <w:r w:rsidRPr="0099117A">
        <w:t xml:space="preserve">Some of the key themes that emerged from the Expert Advisory Panel’s ‘I Want to Work’ report </w:t>
      </w:r>
      <w:proofErr w:type="gramStart"/>
      <w:r w:rsidRPr="0099117A">
        <w:t>were</w:t>
      </w:r>
      <w:proofErr w:type="gramEnd"/>
      <w:r w:rsidRPr="0099117A">
        <w:t xml:space="preserve"> around supporting both outcomes and progress towards employment, as well as capturing input from users of the service i.e. job seekers and employers.</w:t>
      </w:r>
    </w:p>
    <w:p w14:paraId="60F2DC7A" w14:textId="77777777" w:rsidR="00E0460B" w:rsidRPr="0099117A" w:rsidRDefault="00E0460B" w:rsidP="00E0460B">
      <w:pPr>
        <w:spacing w:line="240" w:lineRule="auto"/>
        <w:ind w:left="720" w:firstLine="0"/>
      </w:pPr>
      <w:r w:rsidRPr="0099117A">
        <w:t>Page 36 of the Discussion Paper includes some elements of the performance framework and some examples of performance measures that may be included.</w:t>
      </w:r>
    </w:p>
    <w:p w14:paraId="60012250" w14:textId="77777777" w:rsidR="00E0460B" w:rsidRPr="0099117A" w:rsidRDefault="00E0460B" w:rsidP="00E0460B">
      <w:pPr>
        <w:pStyle w:val="Heading3"/>
        <w:rPr>
          <w:u w:val="none"/>
        </w:rPr>
      </w:pPr>
      <w:r w:rsidRPr="0099117A">
        <w:rPr>
          <w:u w:val="none"/>
        </w:rPr>
        <w:t>When will further information about the performance framework be available?</w:t>
      </w:r>
    </w:p>
    <w:p w14:paraId="268E49C8" w14:textId="77777777" w:rsidR="00E0460B" w:rsidRPr="0099117A" w:rsidRDefault="00E0460B" w:rsidP="00E0460B">
      <w:pPr>
        <w:spacing w:line="240" w:lineRule="auto"/>
        <w:ind w:left="720" w:firstLine="0"/>
        <w:rPr>
          <w:rStyle w:val="Strong"/>
        </w:rPr>
      </w:pPr>
      <w:r w:rsidRPr="0099117A">
        <w:t>The department intends to make more information about the provider performance framework for the new model available as it is further developed. Further information may not be available until the Exposure Draft Request for Proposal is released, expected in mid-2021.</w:t>
      </w:r>
    </w:p>
    <w:p w14:paraId="3BB134A7" w14:textId="77777777" w:rsidR="00E0460B" w:rsidRPr="0099117A" w:rsidRDefault="00E0460B" w:rsidP="00E0460B">
      <w:pPr>
        <w:pStyle w:val="Heading2"/>
      </w:pPr>
      <w:bookmarkStart w:id="17" w:name="_Toc54263762"/>
      <w:r w:rsidRPr="0099117A">
        <w:lastRenderedPageBreak/>
        <w:t>Panel and Sub-Panels</w:t>
      </w:r>
      <w:bookmarkEnd w:id="17"/>
    </w:p>
    <w:p w14:paraId="183DD0F3" w14:textId="77777777" w:rsidR="00E0460B" w:rsidRPr="0099117A" w:rsidRDefault="00E0460B" w:rsidP="00E0460B">
      <w:pPr>
        <w:pStyle w:val="Heading3"/>
        <w:rPr>
          <w:u w:val="none"/>
        </w:rPr>
      </w:pPr>
      <w:r w:rsidRPr="0099117A">
        <w:rPr>
          <w:u w:val="none"/>
        </w:rPr>
        <w:t>Will there be separate panels for generalist and specialist providers?</w:t>
      </w:r>
    </w:p>
    <w:p w14:paraId="1685AB6F" w14:textId="77777777" w:rsidR="00E0460B" w:rsidRPr="0099117A" w:rsidRDefault="00E0460B" w:rsidP="00E0460B">
      <w:pPr>
        <w:spacing w:line="240" w:lineRule="auto"/>
        <w:ind w:left="709" w:firstLine="0"/>
      </w:pPr>
      <w:r w:rsidRPr="0099117A">
        <w:t>Our current thinking is that generalist providers and cohort specialists would be on the same panel. In the interests of reducing red tape, this would mean they would be covered under the one Deed, with the specific terms and conditions of a licence potentially captured in a schedule to the Deed.</w:t>
      </w:r>
    </w:p>
    <w:p w14:paraId="210E7ACC" w14:textId="77777777" w:rsidR="00E0460B" w:rsidRPr="0099117A" w:rsidRDefault="00E0460B" w:rsidP="00E0460B">
      <w:pPr>
        <w:spacing w:line="240" w:lineRule="auto"/>
        <w:ind w:left="709" w:firstLine="0"/>
      </w:pPr>
      <w:r w:rsidRPr="0099117A">
        <w:t>There may be a separate panel for workforce specialists, but this is yet to be determined.</w:t>
      </w:r>
    </w:p>
    <w:p w14:paraId="4389A3CC" w14:textId="77777777" w:rsidR="00E0460B" w:rsidRPr="0099117A" w:rsidRDefault="00E0460B" w:rsidP="00E0460B">
      <w:pPr>
        <w:pStyle w:val="Heading3"/>
        <w:rPr>
          <w:u w:val="none"/>
        </w:rPr>
      </w:pPr>
      <w:r w:rsidRPr="0099117A">
        <w:rPr>
          <w:u w:val="none"/>
        </w:rPr>
        <w:t>Can a provider be on multiple sub-panels?</w:t>
      </w:r>
    </w:p>
    <w:p w14:paraId="125DB216" w14:textId="77777777" w:rsidR="00E0460B" w:rsidRPr="0099117A" w:rsidRDefault="00E0460B" w:rsidP="00E0460B">
      <w:pPr>
        <w:spacing w:line="240" w:lineRule="auto"/>
        <w:ind w:left="709" w:firstLine="0"/>
      </w:pPr>
      <w:r w:rsidRPr="0099117A">
        <w:t>Yes. Under the proposed approach, a provider could be on more than one sub-panel. For example, an organisation on the national panel could be on sub-panels in Bendigo and Ballarat.</w:t>
      </w:r>
    </w:p>
    <w:p w14:paraId="2F85BBD4" w14:textId="77777777" w:rsidR="00E0460B" w:rsidRPr="0099117A" w:rsidRDefault="00E0460B" w:rsidP="00E0460B">
      <w:pPr>
        <w:pStyle w:val="Heading3"/>
        <w:rPr>
          <w:u w:val="none"/>
        </w:rPr>
      </w:pPr>
      <w:r w:rsidRPr="0099117A">
        <w:rPr>
          <w:u w:val="none"/>
        </w:rPr>
        <w:t>Will the panel cover other programs besides mainstream services (e.g. Transition to Work)?</w:t>
      </w:r>
    </w:p>
    <w:p w14:paraId="38837295" w14:textId="77777777" w:rsidR="00E0460B" w:rsidRPr="0099117A" w:rsidRDefault="00E0460B" w:rsidP="00E0460B">
      <w:pPr>
        <w:spacing w:line="240" w:lineRule="auto"/>
        <w:ind w:left="709" w:firstLine="0"/>
      </w:pPr>
      <w:r w:rsidRPr="0099117A">
        <w:t>At this stage, the panel is proposed to only cover the New Employment Services Model. This mainstream service is due to replace jobactive in July 2022. The government is still considering how other complementary programs such as Transition to Work may interact with the new model (including the panel).</w:t>
      </w:r>
    </w:p>
    <w:p w14:paraId="25CF8B4F" w14:textId="77777777" w:rsidR="00E0460B" w:rsidRPr="0099117A" w:rsidRDefault="00E0460B" w:rsidP="00E0460B">
      <w:pPr>
        <w:spacing w:line="240" w:lineRule="auto"/>
        <w:ind w:left="709" w:firstLine="0"/>
      </w:pPr>
      <w:r w:rsidRPr="0099117A">
        <w:t>Many of these programs have different objectives to mainstream services, as well as different eligibility, funding models and contractual arrangements for providers. It will be critical for these programs to complement and work effectively with the New Employment Services Model once it is operational, to meet the diverse needs of job seekers and employers and achieve the best outcomes possible.</w:t>
      </w:r>
    </w:p>
    <w:p w14:paraId="26200CA0" w14:textId="77777777" w:rsidR="00E0460B" w:rsidRPr="0099117A" w:rsidRDefault="00E0460B" w:rsidP="00E0460B">
      <w:pPr>
        <w:pStyle w:val="Heading3"/>
        <w:rPr>
          <w:u w:val="none"/>
        </w:rPr>
      </w:pPr>
      <w:r w:rsidRPr="0099117A">
        <w:rPr>
          <w:u w:val="none"/>
        </w:rPr>
        <w:t>Does an organisation require a licence to be on the national panel?</w:t>
      </w:r>
    </w:p>
    <w:p w14:paraId="36910F12" w14:textId="77777777" w:rsidR="00E0460B" w:rsidRPr="0099117A" w:rsidRDefault="00E0460B" w:rsidP="00E0460B">
      <w:pPr>
        <w:spacing w:line="240" w:lineRule="auto"/>
        <w:ind w:left="709" w:firstLine="0"/>
      </w:pPr>
      <w:r w:rsidRPr="0099117A">
        <w:t xml:space="preserve">No. </w:t>
      </w:r>
    </w:p>
    <w:p w14:paraId="75FC012C" w14:textId="77777777" w:rsidR="00E41902" w:rsidRPr="0099117A" w:rsidRDefault="00E0460B" w:rsidP="00E41902">
      <w:pPr>
        <w:spacing w:line="240" w:lineRule="auto"/>
        <w:ind w:left="709" w:firstLine="0"/>
      </w:pPr>
      <w:r w:rsidRPr="0099117A">
        <w:t xml:space="preserve">Under the proposed approach, any organisation assessed as suitable to deliver services in at least one Employment Region would be offered a place on the national panel. All organisations on the national panel would be required to sign the Deed of Standing Offer. </w:t>
      </w:r>
    </w:p>
    <w:p w14:paraId="5FC5FACE" w14:textId="77777777" w:rsidR="00E0460B" w:rsidRPr="0099117A" w:rsidRDefault="00E0460B" w:rsidP="00E0460B">
      <w:pPr>
        <w:spacing w:line="240" w:lineRule="auto"/>
        <w:ind w:left="709" w:firstLine="0"/>
      </w:pPr>
      <w:r w:rsidRPr="0099117A">
        <w:t xml:space="preserve">Not all organisations on the national panel will have a contractual licence. However, to be eligible to receive a contractual licence, organisations would need to be on the national panel. </w:t>
      </w:r>
      <w:r w:rsidR="00E41902" w:rsidRPr="0099117A">
        <w:t>T</w:t>
      </w:r>
      <w:r w:rsidRPr="0099117A">
        <w:t>he department would issue contractual licences to selected panel members assessed as being the most suitable for each Employment Region.</w:t>
      </w:r>
    </w:p>
    <w:p w14:paraId="49339A8F" w14:textId="77777777" w:rsidR="00E0460B" w:rsidRPr="0099117A" w:rsidRDefault="00E0460B" w:rsidP="00E0460B">
      <w:pPr>
        <w:pStyle w:val="Heading3"/>
        <w:rPr>
          <w:u w:val="none"/>
        </w:rPr>
      </w:pPr>
      <w:r w:rsidRPr="0099117A">
        <w:rPr>
          <w:u w:val="none"/>
        </w:rPr>
        <w:lastRenderedPageBreak/>
        <w:t>Can you clarify what providers on the national panel without a licence will need to maintain in terms of certification? What will annual panel renewal requirements look like?</w:t>
      </w:r>
    </w:p>
    <w:p w14:paraId="5BBD451A" w14:textId="77777777" w:rsidR="00E0460B" w:rsidRPr="0099117A" w:rsidRDefault="00E0460B" w:rsidP="00E0460B">
      <w:pPr>
        <w:spacing w:line="240" w:lineRule="auto"/>
        <w:ind w:left="709" w:firstLine="0"/>
      </w:pPr>
      <w:r w:rsidRPr="0099117A">
        <w:t xml:space="preserve">Please refer to page 10 and pages 38-39 of the Licensing Discussion Paper. Further detail is not available </w:t>
      </w:r>
      <w:proofErr w:type="gramStart"/>
      <w:r w:rsidRPr="0099117A">
        <w:t>at this time</w:t>
      </w:r>
      <w:proofErr w:type="gramEnd"/>
      <w:r w:rsidRPr="0099117A">
        <w:t>.</w:t>
      </w:r>
    </w:p>
    <w:p w14:paraId="0710D888" w14:textId="77777777" w:rsidR="00E0460B" w:rsidRPr="0099117A" w:rsidRDefault="00E0460B" w:rsidP="00E0460B">
      <w:pPr>
        <w:pStyle w:val="Heading2"/>
      </w:pPr>
      <w:bookmarkStart w:id="18" w:name="_Toc54263763"/>
      <w:r w:rsidRPr="0099117A">
        <w:t>Licences and Licence Reviews</w:t>
      </w:r>
      <w:bookmarkEnd w:id="18"/>
    </w:p>
    <w:p w14:paraId="2C4F83F8" w14:textId="77777777" w:rsidR="00E0460B" w:rsidRPr="0099117A" w:rsidRDefault="00E0460B" w:rsidP="00E0460B">
      <w:pPr>
        <w:pStyle w:val="Heading3"/>
        <w:rPr>
          <w:u w:val="none"/>
        </w:rPr>
      </w:pPr>
      <w:r w:rsidRPr="0099117A">
        <w:rPr>
          <w:u w:val="none"/>
        </w:rPr>
        <w:t>Will a provider who loses a licence in one region be affected in other regions?</w:t>
      </w:r>
    </w:p>
    <w:p w14:paraId="01867B2B" w14:textId="77777777" w:rsidR="00E0460B" w:rsidRPr="0099117A" w:rsidRDefault="00E0460B" w:rsidP="00E0460B">
      <w:pPr>
        <w:spacing w:line="240" w:lineRule="auto"/>
        <w:ind w:left="709" w:firstLine="0"/>
      </w:pPr>
      <w:r w:rsidRPr="0099117A">
        <w:t>As provider performance would be assessed at the Employment Region level, under the proposed approach a provider losing their licence in one Employment Region would in most circumstances not affect any other licences they currently hold in other Employment Regions. There may be circumstances where a provider has negotiated with the department to service certain locations in return for business in other locations - the loss of a licence could potentially affect other Employment Regions in such a scenario.</w:t>
      </w:r>
    </w:p>
    <w:p w14:paraId="1F2FCB55" w14:textId="77777777" w:rsidR="00E0460B" w:rsidRPr="0099117A" w:rsidRDefault="00E0460B" w:rsidP="00E0460B">
      <w:pPr>
        <w:pStyle w:val="Heading3"/>
        <w:rPr>
          <w:u w:val="none"/>
        </w:rPr>
      </w:pPr>
      <w:r w:rsidRPr="0099117A">
        <w:rPr>
          <w:u w:val="none"/>
        </w:rPr>
        <w:t xml:space="preserve">Will a provider who has lost a licence be precluded from applying for a new licence for </w:t>
      </w:r>
      <w:proofErr w:type="gramStart"/>
      <w:r w:rsidRPr="0099117A">
        <w:rPr>
          <w:u w:val="none"/>
        </w:rPr>
        <w:t>a period of time</w:t>
      </w:r>
      <w:proofErr w:type="gramEnd"/>
      <w:r w:rsidRPr="0099117A">
        <w:rPr>
          <w:u w:val="none"/>
        </w:rPr>
        <w:t>?</w:t>
      </w:r>
    </w:p>
    <w:p w14:paraId="079843E4" w14:textId="77777777" w:rsidR="00E0460B" w:rsidRPr="0099117A" w:rsidRDefault="00E0460B" w:rsidP="00E0460B">
      <w:pPr>
        <w:spacing w:line="240" w:lineRule="auto"/>
        <w:ind w:left="709" w:firstLine="11"/>
      </w:pPr>
      <w:r w:rsidRPr="0099117A">
        <w:t xml:space="preserve">Under the proposed approach, the department would </w:t>
      </w:r>
      <w:proofErr w:type="gramStart"/>
      <w:r w:rsidRPr="0099117A">
        <w:t>take into account</w:t>
      </w:r>
      <w:proofErr w:type="gramEnd"/>
      <w:r w:rsidRPr="0099117A">
        <w:t xml:space="preserve"> any previous licence non-renewal or termination when assessing an organisation’s application for any future licence or panel membership.</w:t>
      </w:r>
    </w:p>
    <w:p w14:paraId="77712FCB" w14:textId="77777777" w:rsidR="00E0460B" w:rsidRPr="0099117A" w:rsidRDefault="00E0460B" w:rsidP="00E0460B">
      <w:pPr>
        <w:pStyle w:val="Heading3"/>
        <w:rPr>
          <w:u w:val="none"/>
        </w:rPr>
      </w:pPr>
      <w:r w:rsidRPr="0099117A">
        <w:rPr>
          <w:u w:val="none"/>
        </w:rPr>
        <w:t>Will providers be able to appeal licensing decisions?</w:t>
      </w:r>
    </w:p>
    <w:p w14:paraId="4C437C83" w14:textId="77777777" w:rsidR="00E0460B" w:rsidRPr="0099117A" w:rsidRDefault="00E0460B" w:rsidP="00E0460B">
      <w:pPr>
        <w:spacing w:line="240" w:lineRule="auto"/>
        <w:ind w:left="709" w:firstLine="0"/>
      </w:pPr>
      <w:r w:rsidRPr="0099117A">
        <w:t xml:space="preserve">The final policy related to the licensing system is yet to be determined and is subject to consultation. No decision has been made yet regarding a provider's right to appeal a decision regarding a licence lapsing or being terminated. However, all providers will receive quarterly performance ratings, and it is proposed that approximately 12 months prior to their licence ending, low performers would receive notification that their licence may not be renewed unless their performance improves in the subsequent two quarters’ performance ratings, well in advance of any decision not to renew a licence. </w:t>
      </w:r>
    </w:p>
    <w:p w14:paraId="540C9644" w14:textId="77777777" w:rsidR="00E0460B" w:rsidRPr="0099117A" w:rsidRDefault="00E0460B" w:rsidP="00E0460B">
      <w:pPr>
        <w:pStyle w:val="Heading3"/>
        <w:rPr>
          <w:u w:val="none"/>
        </w:rPr>
      </w:pPr>
      <w:r w:rsidRPr="0099117A">
        <w:rPr>
          <w:u w:val="none"/>
        </w:rPr>
        <w:t xml:space="preserve">Will </w:t>
      </w:r>
      <w:proofErr w:type="spellStart"/>
      <w:r w:rsidRPr="0099117A">
        <w:rPr>
          <w:u w:val="none"/>
        </w:rPr>
        <w:t>novations</w:t>
      </w:r>
      <w:proofErr w:type="spellEnd"/>
      <w:r w:rsidRPr="0099117A">
        <w:rPr>
          <w:u w:val="none"/>
        </w:rPr>
        <w:t xml:space="preserve"> of licences be allowed?</w:t>
      </w:r>
    </w:p>
    <w:p w14:paraId="01ED7F08" w14:textId="77777777" w:rsidR="00E0460B" w:rsidRPr="0099117A" w:rsidRDefault="00E0460B" w:rsidP="00E0460B">
      <w:pPr>
        <w:spacing w:line="240" w:lineRule="auto"/>
        <w:ind w:left="709" w:firstLine="11"/>
      </w:pPr>
      <w:r w:rsidRPr="0099117A">
        <w:t>No decision has been made around licence novation in the new model. We would welcome your views on this, to help inform the final policy settings.</w:t>
      </w:r>
    </w:p>
    <w:p w14:paraId="0F2EFE98" w14:textId="77777777" w:rsidR="00E0460B" w:rsidRPr="0099117A" w:rsidRDefault="00E0460B" w:rsidP="00E0460B">
      <w:pPr>
        <w:pStyle w:val="Heading3"/>
        <w:rPr>
          <w:u w:val="none"/>
        </w:rPr>
      </w:pPr>
      <w:r w:rsidRPr="0099117A">
        <w:rPr>
          <w:u w:val="none"/>
        </w:rPr>
        <w:t>At each Licence Review, will performance be assessed at a provider, region or site level?</w:t>
      </w:r>
    </w:p>
    <w:p w14:paraId="18E9D8E7" w14:textId="77777777" w:rsidR="00E0460B" w:rsidRPr="0099117A" w:rsidRDefault="00E0460B" w:rsidP="00E0460B">
      <w:pPr>
        <w:spacing w:line="240" w:lineRule="auto"/>
        <w:ind w:left="709" w:firstLine="11"/>
      </w:pPr>
      <w:r w:rsidRPr="0099117A">
        <w:t>It is proposed to assess provider performance at the Employment Region level. A provider could therefore have different assessment outcomes in different regions (if they are licensed to deliver services in multiple regions).</w:t>
      </w:r>
    </w:p>
    <w:p w14:paraId="5E32CB91" w14:textId="77777777" w:rsidR="00E0460B" w:rsidRPr="0099117A" w:rsidRDefault="00E0460B" w:rsidP="00E0460B">
      <w:pPr>
        <w:pStyle w:val="Heading3"/>
        <w:rPr>
          <w:u w:val="none"/>
        </w:rPr>
      </w:pPr>
      <w:r w:rsidRPr="0099117A">
        <w:rPr>
          <w:u w:val="none"/>
        </w:rPr>
        <w:lastRenderedPageBreak/>
        <w:t>Would the results of all Licence Reviews be made public?</w:t>
      </w:r>
    </w:p>
    <w:p w14:paraId="5DB8559C" w14:textId="77777777" w:rsidR="00E0460B" w:rsidRPr="0099117A" w:rsidRDefault="00E0460B" w:rsidP="00E0460B">
      <w:pPr>
        <w:spacing w:line="240" w:lineRule="auto"/>
        <w:ind w:left="709" w:firstLine="11"/>
      </w:pPr>
      <w:r w:rsidRPr="0099117A">
        <w:t xml:space="preserve">It is proposed that key performance assessment results (including the results of Licence Reviews) would be made publicly available. </w:t>
      </w:r>
    </w:p>
    <w:p w14:paraId="03B93D02" w14:textId="77777777" w:rsidR="00E0460B" w:rsidRPr="0099117A" w:rsidRDefault="00E0460B" w:rsidP="00E0460B">
      <w:pPr>
        <w:spacing w:line="240" w:lineRule="auto"/>
        <w:ind w:left="709" w:firstLine="11"/>
      </w:pPr>
      <w:r w:rsidRPr="0099117A">
        <w:t>It is important to note that providers would have access to more detailed underlying data about their own performance on a more frequent basis than each Licence Review.</w:t>
      </w:r>
    </w:p>
    <w:p w14:paraId="74662873" w14:textId="77777777" w:rsidR="00E0460B" w:rsidRPr="0099117A" w:rsidRDefault="00E0460B" w:rsidP="00E0460B">
      <w:pPr>
        <w:pStyle w:val="Heading3"/>
        <w:rPr>
          <w:u w:val="none"/>
        </w:rPr>
      </w:pPr>
      <w:r w:rsidRPr="0099117A">
        <w:rPr>
          <w:u w:val="none"/>
        </w:rPr>
        <w:t>Can a provider have both a generalist licence and a specialist licence in the same region?</w:t>
      </w:r>
    </w:p>
    <w:p w14:paraId="0E2AC2DC" w14:textId="77777777" w:rsidR="00E0460B" w:rsidRPr="0099117A" w:rsidRDefault="00E0460B" w:rsidP="00E0460B">
      <w:pPr>
        <w:spacing w:line="240" w:lineRule="auto"/>
        <w:ind w:left="709" w:firstLine="11"/>
      </w:pPr>
      <w:r w:rsidRPr="0099117A">
        <w:t>The department’s current thinking is that it would be possible for a provider to have a licence to deliver generalist services and a licence to specialist services in the same Employment Region.</w:t>
      </w:r>
    </w:p>
    <w:p w14:paraId="198227CC" w14:textId="77777777" w:rsidR="00E0460B" w:rsidRPr="0099117A" w:rsidRDefault="00E0460B" w:rsidP="00E0460B">
      <w:pPr>
        <w:pStyle w:val="Heading3"/>
        <w:rPr>
          <w:u w:val="none"/>
        </w:rPr>
      </w:pPr>
      <w:r w:rsidRPr="0099117A">
        <w:rPr>
          <w:u w:val="none"/>
        </w:rPr>
        <w:t>Can a provider in one Employment Region be a related entity to another provider in the same region (specialist and/or generalist)?</w:t>
      </w:r>
    </w:p>
    <w:p w14:paraId="313D8797" w14:textId="77777777" w:rsidR="00E41902" w:rsidRPr="0099117A" w:rsidRDefault="00E41902" w:rsidP="00E41902">
      <w:pPr>
        <w:spacing w:line="240" w:lineRule="auto"/>
        <w:ind w:left="709" w:firstLine="11"/>
      </w:pPr>
      <w:r w:rsidRPr="0099117A">
        <w:t xml:space="preserve">The specific requirements for organisations wishing to deliver employment services under the New Employment Services Model are still being determined. </w:t>
      </w:r>
    </w:p>
    <w:p w14:paraId="20877477" w14:textId="77777777" w:rsidR="00E41902" w:rsidRPr="0099117A" w:rsidRDefault="00E41902" w:rsidP="00E41902">
      <w:pPr>
        <w:spacing w:line="240" w:lineRule="auto"/>
        <w:ind w:left="709" w:firstLine="11"/>
      </w:pPr>
      <w:r w:rsidRPr="0099117A">
        <w:t>Further information on the requirements to be a provider will be included in later procurement documentation (including the Request for Proposal), expected to be released in 2021. However, tenderers must not engage in collusive tendering or anti-competitive conduct.</w:t>
      </w:r>
    </w:p>
    <w:p w14:paraId="078BAD16" w14:textId="77777777" w:rsidR="00E41902" w:rsidRPr="0099117A" w:rsidRDefault="00E41902" w:rsidP="00E41902">
      <w:pPr>
        <w:spacing w:line="240" w:lineRule="auto"/>
        <w:ind w:left="709" w:firstLine="11"/>
      </w:pPr>
      <w:r w:rsidRPr="0099117A">
        <w:t xml:space="preserve">The Department cannot anticipate how the entities may wish to structure their bid(s) for future procurement processes and, accordingly, the Department cannot determine whether any such arrangements could be seen to be anti-competitive. Tenders should take their own advice in relation to this matter. </w:t>
      </w:r>
    </w:p>
    <w:p w14:paraId="147BCCC8" w14:textId="77777777" w:rsidR="00E0460B" w:rsidRPr="0099117A" w:rsidRDefault="00E0460B" w:rsidP="00E0460B">
      <w:pPr>
        <w:spacing w:line="240" w:lineRule="auto"/>
        <w:ind w:left="709" w:firstLine="11"/>
      </w:pPr>
      <w:r w:rsidRPr="0099117A">
        <w:t>For the purposes of ensuring transparency, tenderers should also be aware that they may be required to disclose as part of any tender whether they are a related entity of any other organisations responding to the Request for Proposal.</w:t>
      </w:r>
    </w:p>
    <w:p w14:paraId="6C6BD970" w14:textId="77777777" w:rsidR="00E0460B" w:rsidRPr="0099117A" w:rsidRDefault="00E0460B" w:rsidP="00E0460B">
      <w:pPr>
        <w:pStyle w:val="Heading2"/>
      </w:pPr>
      <w:bookmarkStart w:id="19" w:name="_Toc54263764"/>
      <w:r w:rsidRPr="0099117A">
        <w:t>Specialists</w:t>
      </w:r>
      <w:bookmarkEnd w:id="19"/>
    </w:p>
    <w:p w14:paraId="00819427" w14:textId="77777777" w:rsidR="00E0460B" w:rsidRPr="0099117A" w:rsidRDefault="00E0460B" w:rsidP="00E0460B">
      <w:pPr>
        <w:pStyle w:val="Heading3"/>
        <w:rPr>
          <w:u w:val="none"/>
        </w:rPr>
      </w:pPr>
      <w:r w:rsidRPr="0099117A">
        <w:rPr>
          <w:u w:val="none"/>
        </w:rPr>
        <w:t>Can a provider be a generalist and specialist in the same region?</w:t>
      </w:r>
    </w:p>
    <w:p w14:paraId="061D5664" w14:textId="77777777" w:rsidR="00E0460B" w:rsidRPr="0099117A" w:rsidRDefault="00E0460B" w:rsidP="00E0460B">
      <w:pPr>
        <w:spacing w:line="240" w:lineRule="auto"/>
        <w:ind w:left="709" w:firstLine="0"/>
      </w:pPr>
      <w:r w:rsidRPr="0099117A">
        <w:t>It is proposed that a provider could have both a generalist and specialist licence in an Employment Region.</w:t>
      </w:r>
      <w:r w:rsidR="00102488" w:rsidRPr="0099117A">
        <w:t xml:space="preserve"> The department welcomes any stakeholder views on this in response to the Discussion Paper.</w:t>
      </w:r>
    </w:p>
    <w:p w14:paraId="2E87F2FA" w14:textId="77777777" w:rsidR="00E0460B" w:rsidRPr="0099117A" w:rsidRDefault="00E0460B" w:rsidP="00E0460B">
      <w:pPr>
        <w:pStyle w:val="Heading3"/>
        <w:rPr>
          <w:u w:val="none"/>
        </w:rPr>
      </w:pPr>
      <w:r w:rsidRPr="0099117A">
        <w:rPr>
          <w:u w:val="none"/>
        </w:rPr>
        <w:t>Many specialist cohorts are more challenging to engage and service. Will specialist providers receive higher funding and/or have different performance measures?</w:t>
      </w:r>
    </w:p>
    <w:p w14:paraId="30812C15" w14:textId="77777777" w:rsidR="00E0460B" w:rsidRPr="0099117A" w:rsidRDefault="00E0460B" w:rsidP="00E0460B">
      <w:pPr>
        <w:spacing w:line="240" w:lineRule="auto"/>
        <w:ind w:left="709" w:firstLine="0"/>
      </w:pPr>
      <w:r w:rsidRPr="0099117A">
        <w:t>The operation of specialists, including the funding/payment model and performance measures, is still being considered and is not yet determined.</w:t>
      </w:r>
    </w:p>
    <w:p w14:paraId="6684F236" w14:textId="77777777" w:rsidR="00E0460B" w:rsidRPr="0099117A" w:rsidRDefault="00E0460B" w:rsidP="00E0460B">
      <w:pPr>
        <w:spacing w:line="240" w:lineRule="auto"/>
        <w:ind w:left="709" w:firstLine="0"/>
      </w:pPr>
      <w:r w:rsidRPr="0099117A">
        <w:lastRenderedPageBreak/>
        <w:t xml:space="preserve">The payments model being tested during the New Employment Services Trial (NEST) is consistent across all NEST providers and job seeker cohorts. More information about the payments model being tested in the NEST is available in the Enhanced Services Payments Model Factsheet available on the department's website at: </w:t>
      </w:r>
      <w:hyperlink r:id="rId19" w:history="1">
        <w:r w:rsidRPr="0099117A">
          <w:rPr>
            <w:rStyle w:val="Hyperlink"/>
          </w:rPr>
          <w:t>https://docs.employment.gov.au/documents/fact-sheet-payment-model</w:t>
        </w:r>
      </w:hyperlink>
      <w:r w:rsidRPr="0099117A">
        <w:t>.</w:t>
      </w:r>
    </w:p>
    <w:p w14:paraId="154CFC3E" w14:textId="77777777" w:rsidR="00E0460B" w:rsidRPr="0099117A" w:rsidRDefault="00E0460B" w:rsidP="00E0460B">
      <w:pPr>
        <w:pStyle w:val="Heading3"/>
        <w:rPr>
          <w:u w:val="none"/>
        </w:rPr>
      </w:pPr>
      <w:r w:rsidRPr="0099117A">
        <w:rPr>
          <w:u w:val="none"/>
        </w:rPr>
        <w:t>Will engagement in Language, Literacy and Numeracy training be a payable outcome for providers, particularly for enhanced services and CALD/Indigenous specialist providers?</w:t>
      </w:r>
    </w:p>
    <w:p w14:paraId="457580A2" w14:textId="77777777" w:rsidR="00E0460B" w:rsidRPr="0099117A" w:rsidRDefault="00E0460B" w:rsidP="00E0460B">
      <w:pPr>
        <w:spacing w:line="240" w:lineRule="auto"/>
        <w:ind w:left="720" w:firstLine="0"/>
      </w:pPr>
      <w:r w:rsidRPr="0099117A">
        <w:t>During the New Employment Services Trial (NEST), participation in Language, Literacy and Numeracy training (including the Adult Migrant English Program, the Skills for Education and Employment program or from a Registered Training Organisation) can be used to claim a Progress Fee. Progress fees are a new feature of the payments model being tested in the NEST and are not included in the jobactive payments model.</w:t>
      </w:r>
    </w:p>
    <w:p w14:paraId="47D4A3D6" w14:textId="77777777" w:rsidR="00E0460B" w:rsidRPr="0099117A" w:rsidRDefault="00E0460B" w:rsidP="00E0460B">
      <w:pPr>
        <w:spacing w:line="240" w:lineRule="auto"/>
        <w:ind w:left="720" w:firstLine="0"/>
      </w:pPr>
      <w:r w:rsidRPr="0099117A">
        <w:t>The payments model to be implemented in the New Employment Service Model is still being considered and is not yet determined. It will be informed by the NEST, financial viability analysis and stakeholder consultation.</w:t>
      </w:r>
    </w:p>
    <w:p w14:paraId="439E328B" w14:textId="77777777" w:rsidR="00E0460B" w:rsidRPr="0099117A" w:rsidRDefault="00E0460B" w:rsidP="00E0460B">
      <w:pPr>
        <w:spacing w:line="240" w:lineRule="auto"/>
        <w:ind w:left="720" w:firstLine="0"/>
      </w:pPr>
      <w:r w:rsidRPr="0099117A">
        <w:t xml:space="preserve">More information about the payments model being tested in the NEST is available in the Enhanced Services Payments Model Factsheet available on the department's website at: </w:t>
      </w:r>
      <w:hyperlink r:id="rId20" w:history="1">
        <w:r w:rsidRPr="0099117A">
          <w:rPr>
            <w:rStyle w:val="Hyperlink"/>
          </w:rPr>
          <w:t>https://docs.employment.gov.au/documents/fact-sheet-payment-model</w:t>
        </w:r>
      </w:hyperlink>
      <w:r w:rsidRPr="0099117A">
        <w:t>.</w:t>
      </w:r>
    </w:p>
    <w:p w14:paraId="2705C442" w14:textId="77777777" w:rsidR="00E0460B" w:rsidRPr="0099117A" w:rsidRDefault="00E0460B" w:rsidP="00E0460B">
      <w:pPr>
        <w:pStyle w:val="Heading3"/>
        <w:rPr>
          <w:u w:val="none"/>
        </w:rPr>
      </w:pPr>
      <w:r w:rsidRPr="0099117A">
        <w:rPr>
          <w:u w:val="none"/>
        </w:rPr>
        <w:t>What kind of in-house support will be offered to job seekers serviced by cohort specialists? Will there be requirements for certain roles like psychologists etc.?</w:t>
      </w:r>
    </w:p>
    <w:p w14:paraId="2346CF93" w14:textId="77777777" w:rsidR="00E41902" w:rsidRPr="0099117A" w:rsidRDefault="00E41902" w:rsidP="00E41902">
      <w:pPr>
        <w:spacing w:line="240" w:lineRule="auto"/>
        <w:ind w:left="720" w:firstLine="0"/>
      </w:pPr>
      <w:r w:rsidRPr="0099117A">
        <w:t xml:space="preserve">The kinds of supports offered to job seekers by cohort specialists would come down to the servicing strategy of the organisation that tenders for business. </w:t>
      </w:r>
      <w:r w:rsidR="00102488" w:rsidRPr="0099117A">
        <w:t>Potential c</w:t>
      </w:r>
      <w:r w:rsidRPr="0099117A">
        <w:t xml:space="preserve">ohort specialists would be </w:t>
      </w:r>
      <w:r w:rsidR="00102488" w:rsidRPr="0099117A">
        <w:t>assessed</w:t>
      </w:r>
      <w:r w:rsidRPr="0099117A">
        <w:t xml:space="preserve"> </w:t>
      </w:r>
      <w:r w:rsidR="00102488" w:rsidRPr="0099117A">
        <w:t xml:space="preserve">based on their response to the Request for Proposal, which may include any expertise </w:t>
      </w:r>
      <w:r w:rsidRPr="0099117A">
        <w:t xml:space="preserve">working with a </w:t>
      </w:r>
      <w:proofErr w:type="gramStart"/>
      <w:r w:rsidRPr="0099117A">
        <w:t>particular cohort</w:t>
      </w:r>
      <w:proofErr w:type="gramEnd"/>
      <w:r w:rsidRPr="0099117A">
        <w:t xml:space="preserve"> of job seekers.</w:t>
      </w:r>
    </w:p>
    <w:p w14:paraId="6E960BB2" w14:textId="77777777" w:rsidR="00E41902" w:rsidRPr="0099117A" w:rsidRDefault="00E41902" w:rsidP="00E41902">
      <w:pPr>
        <w:spacing w:line="240" w:lineRule="auto"/>
        <w:ind w:left="720" w:firstLine="0"/>
      </w:pPr>
      <w:r w:rsidRPr="0099117A">
        <w:t>At this stage, department expects that cohort specialists would operate under the same Deed as generalist providers, with no separate, dedicated requirements for cohort specialists. However, this is subject to change.</w:t>
      </w:r>
    </w:p>
    <w:p w14:paraId="0D4BAEF1" w14:textId="77777777" w:rsidR="00E0460B" w:rsidRPr="0099117A" w:rsidRDefault="00E0460B" w:rsidP="00E0460B">
      <w:pPr>
        <w:pStyle w:val="Heading3"/>
        <w:rPr>
          <w:u w:val="none"/>
        </w:rPr>
      </w:pPr>
      <w:r w:rsidRPr="0099117A">
        <w:rPr>
          <w:u w:val="none"/>
        </w:rPr>
        <w:t>Which job seeker cohorts will have specialists?</w:t>
      </w:r>
    </w:p>
    <w:p w14:paraId="2B831005" w14:textId="77777777" w:rsidR="00E0460B" w:rsidRPr="0099117A" w:rsidRDefault="00E0460B" w:rsidP="00E0460B">
      <w:pPr>
        <w:spacing w:line="240" w:lineRule="auto"/>
        <w:ind w:left="720" w:firstLine="0"/>
      </w:pPr>
      <w:r w:rsidRPr="0099117A">
        <w:t xml:space="preserve">It is proposed that several different types of cohorts would have specialist licences assigned, but exactly which cohorts is yet to be determined. </w:t>
      </w:r>
    </w:p>
    <w:p w14:paraId="5E0A59B2" w14:textId="77777777" w:rsidR="00E0460B" w:rsidRPr="0099117A" w:rsidRDefault="00E0460B" w:rsidP="00E0460B">
      <w:pPr>
        <w:spacing w:line="240" w:lineRule="auto"/>
        <w:ind w:left="720" w:firstLine="0"/>
      </w:pPr>
      <w:r w:rsidRPr="0099117A">
        <w:t>In the Discussion Paper, some potential cohorts listed include:</w:t>
      </w:r>
    </w:p>
    <w:p w14:paraId="4E1FDF40" w14:textId="77777777" w:rsidR="00E0460B" w:rsidRPr="0099117A" w:rsidRDefault="00E0460B" w:rsidP="00E0460B">
      <w:pPr>
        <w:pStyle w:val="ListParagraph"/>
        <w:numPr>
          <w:ilvl w:val="0"/>
          <w:numId w:val="5"/>
        </w:numPr>
      </w:pPr>
      <w:r w:rsidRPr="0099117A">
        <w:t>Indigenous Australians</w:t>
      </w:r>
    </w:p>
    <w:p w14:paraId="37C46F12" w14:textId="77777777" w:rsidR="00E0460B" w:rsidRPr="0099117A" w:rsidRDefault="00E0460B" w:rsidP="00E0460B">
      <w:pPr>
        <w:pStyle w:val="ListParagraph"/>
        <w:numPr>
          <w:ilvl w:val="0"/>
          <w:numId w:val="5"/>
        </w:numPr>
      </w:pPr>
      <w:r w:rsidRPr="0099117A">
        <w:t>Culturally &amp; Linguistically Diverse (CALD)</w:t>
      </w:r>
    </w:p>
    <w:p w14:paraId="05E5D0B2" w14:textId="77777777" w:rsidR="00E0460B" w:rsidRPr="0099117A" w:rsidRDefault="00E0460B" w:rsidP="00E0460B">
      <w:pPr>
        <w:pStyle w:val="ListParagraph"/>
        <w:numPr>
          <w:ilvl w:val="0"/>
          <w:numId w:val="5"/>
        </w:numPr>
      </w:pPr>
      <w:r w:rsidRPr="0099117A">
        <w:t>Refugees</w:t>
      </w:r>
    </w:p>
    <w:p w14:paraId="5C83F742" w14:textId="77777777" w:rsidR="00E0460B" w:rsidRPr="0099117A" w:rsidRDefault="00E0460B" w:rsidP="00E0460B">
      <w:pPr>
        <w:pStyle w:val="ListParagraph"/>
        <w:numPr>
          <w:ilvl w:val="0"/>
          <w:numId w:val="5"/>
        </w:numPr>
      </w:pPr>
      <w:r w:rsidRPr="0099117A">
        <w:t>People with Disability</w:t>
      </w:r>
    </w:p>
    <w:p w14:paraId="4DB17A77" w14:textId="77777777" w:rsidR="00E0460B" w:rsidRPr="0099117A" w:rsidRDefault="00E0460B" w:rsidP="00E0460B">
      <w:pPr>
        <w:pStyle w:val="ListParagraph"/>
        <w:numPr>
          <w:ilvl w:val="0"/>
          <w:numId w:val="5"/>
        </w:numPr>
      </w:pPr>
      <w:r w:rsidRPr="0099117A">
        <w:lastRenderedPageBreak/>
        <w:t>Ex-offenders</w:t>
      </w:r>
    </w:p>
    <w:p w14:paraId="2CB3F8C1" w14:textId="77777777" w:rsidR="00E0460B" w:rsidRPr="0099117A" w:rsidRDefault="00E0460B" w:rsidP="00E0460B">
      <w:pPr>
        <w:pStyle w:val="ListParagraph"/>
        <w:numPr>
          <w:ilvl w:val="0"/>
          <w:numId w:val="5"/>
        </w:numPr>
      </w:pPr>
      <w:r w:rsidRPr="0099117A">
        <w:t>Youth (&lt;25)</w:t>
      </w:r>
    </w:p>
    <w:p w14:paraId="0F5ACF92" w14:textId="77777777" w:rsidR="00E0460B" w:rsidRPr="0099117A" w:rsidRDefault="00E0460B" w:rsidP="00E0460B">
      <w:pPr>
        <w:pStyle w:val="ListParagraph"/>
        <w:numPr>
          <w:ilvl w:val="0"/>
          <w:numId w:val="5"/>
        </w:numPr>
        <w:spacing w:after="160"/>
        <w:ind w:left="1434" w:hanging="357"/>
        <w:contextualSpacing w:val="0"/>
      </w:pPr>
      <w:r w:rsidRPr="0099117A">
        <w:t xml:space="preserve">Retrenched workers </w:t>
      </w:r>
    </w:p>
    <w:p w14:paraId="29D9C425" w14:textId="77777777" w:rsidR="00E0460B" w:rsidRPr="0099117A" w:rsidRDefault="00E0460B" w:rsidP="00E0460B">
      <w:pPr>
        <w:spacing w:line="240" w:lineRule="auto"/>
        <w:ind w:left="720" w:firstLine="0"/>
      </w:pPr>
      <w:r w:rsidRPr="0099117A">
        <w:t>This list is by no means exhaustive. We are particularly interested in hearing from stakeholders around which job seeker cohorts would benefit from dedicated specialist services in the new model, and why.</w:t>
      </w:r>
    </w:p>
    <w:p w14:paraId="22468A72" w14:textId="77777777" w:rsidR="00E0460B" w:rsidRPr="0099117A" w:rsidRDefault="00E0460B" w:rsidP="00E0460B">
      <w:pPr>
        <w:spacing w:line="240" w:lineRule="auto"/>
        <w:ind w:left="720" w:firstLine="0"/>
      </w:pPr>
      <w:r w:rsidRPr="0099117A">
        <w:t xml:space="preserve">There are many things to consider here. This includes the volume of job seekers from the cohort in question, to help support provider viability. Another is to ensure job seekers from a </w:t>
      </w:r>
      <w:proofErr w:type="gramStart"/>
      <w:r w:rsidRPr="0099117A">
        <w:t>particular cohort</w:t>
      </w:r>
      <w:proofErr w:type="gramEnd"/>
      <w:r w:rsidRPr="0099117A">
        <w:t xml:space="preserve"> are identified and referred to a specialist where appropriate.</w:t>
      </w:r>
    </w:p>
    <w:p w14:paraId="073A0A70" w14:textId="77777777" w:rsidR="00E0460B" w:rsidRPr="0099117A" w:rsidRDefault="00E0460B" w:rsidP="00E0460B">
      <w:pPr>
        <w:pStyle w:val="Heading3"/>
        <w:rPr>
          <w:u w:val="none"/>
        </w:rPr>
      </w:pPr>
      <w:r w:rsidRPr="0099117A">
        <w:rPr>
          <w:u w:val="none"/>
        </w:rPr>
        <w:t>Will a job seeker who is part of a specialist cohort be able to choose a generalist provider?</w:t>
      </w:r>
    </w:p>
    <w:p w14:paraId="58AF280D" w14:textId="77777777" w:rsidR="00E41902" w:rsidRPr="0099117A" w:rsidRDefault="00E41902" w:rsidP="00E41902">
      <w:pPr>
        <w:spacing w:line="240" w:lineRule="auto"/>
        <w:ind w:left="720" w:firstLine="0"/>
      </w:pPr>
      <w:r w:rsidRPr="0099117A">
        <w:t xml:space="preserve">Yes. Job seekers from a </w:t>
      </w:r>
      <w:proofErr w:type="gramStart"/>
      <w:r w:rsidRPr="0099117A">
        <w:t>particular cohort</w:t>
      </w:r>
      <w:proofErr w:type="gramEnd"/>
      <w:r w:rsidRPr="0099117A">
        <w:t xml:space="preserve"> would not be mandatorily referred to a cohort specialist and would be able to choose to be serviced by a generalist provider.</w:t>
      </w:r>
    </w:p>
    <w:p w14:paraId="52A071DC" w14:textId="77777777" w:rsidR="00CD5010" w:rsidRPr="0099117A" w:rsidRDefault="00CD5010" w:rsidP="00E41902">
      <w:pPr>
        <w:spacing w:line="240" w:lineRule="auto"/>
        <w:ind w:left="720" w:firstLine="0"/>
      </w:pPr>
      <w:r w:rsidRPr="0099117A">
        <w:t>If an eligible job seeker made no choice, it is proposed that the job seeker would be referred to a relevant cohort specialist provider by default.</w:t>
      </w:r>
    </w:p>
    <w:p w14:paraId="703CD76A" w14:textId="77777777" w:rsidR="00E0460B" w:rsidRPr="0099117A" w:rsidRDefault="00E0460B" w:rsidP="00E0460B">
      <w:pPr>
        <w:pStyle w:val="Heading3"/>
        <w:rPr>
          <w:u w:val="none"/>
        </w:rPr>
      </w:pPr>
      <w:r w:rsidRPr="0099117A">
        <w:rPr>
          <w:u w:val="none"/>
        </w:rPr>
        <w:t>Will the department decide where specialists can operate, or can stakeholders put forward options?</w:t>
      </w:r>
    </w:p>
    <w:p w14:paraId="6920FD2F" w14:textId="77777777" w:rsidR="00E0460B" w:rsidRPr="0099117A" w:rsidRDefault="00E0460B" w:rsidP="00E0460B">
      <w:pPr>
        <w:spacing w:line="240" w:lineRule="auto"/>
        <w:ind w:left="720" w:firstLine="0"/>
      </w:pPr>
      <w:r w:rsidRPr="0099117A">
        <w:t>As outlined in the Discussion Paper, the department proposes to indicate the locations in which it may require cohort specialist providers as part of the Request for Proposal process. This may involve the provision of data that would assist in determining locations where cohort specialist providers would be most needed or viable.</w:t>
      </w:r>
    </w:p>
    <w:p w14:paraId="319DE1B2" w14:textId="77777777" w:rsidR="00E0460B" w:rsidRPr="0099117A" w:rsidRDefault="00E0460B" w:rsidP="00E0460B">
      <w:pPr>
        <w:spacing w:line="240" w:lineRule="auto"/>
        <w:ind w:left="720" w:firstLine="0"/>
      </w:pPr>
      <w:r w:rsidRPr="0099117A">
        <w:t>Alternative options are presented including allowing organisations to put forward locations as part of their response to the Request for Proposal, or a combination of both the department outlining locations and respondents putting forward options.</w:t>
      </w:r>
    </w:p>
    <w:p w14:paraId="10E8398A" w14:textId="77777777" w:rsidR="00E0460B" w:rsidRPr="0099117A" w:rsidRDefault="00E0460B" w:rsidP="00E0460B">
      <w:pPr>
        <w:pStyle w:val="Heading3"/>
        <w:rPr>
          <w:u w:val="none"/>
        </w:rPr>
      </w:pPr>
      <w:r w:rsidRPr="0099117A">
        <w:rPr>
          <w:u w:val="none"/>
        </w:rPr>
        <w:t>Will cohort specialists have a separate payment model or performance framework to generalists?</w:t>
      </w:r>
    </w:p>
    <w:p w14:paraId="37F42EBC" w14:textId="77777777" w:rsidR="00E0460B" w:rsidRPr="0099117A" w:rsidRDefault="00E0460B" w:rsidP="00E0460B">
      <w:pPr>
        <w:spacing w:line="240" w:lineRule="auto"/>
        <w:ind w:left="720" w:firstLine="0"/>
      </w:pPr>
      <w:r w:rsidRPr="0099117A">
        <w:t xml:space="preserve">The specific measures and methods used in the provider performance framework are still being developed. </w:t>
      </w:r>
    </w:p>
    <w:p w14:paraId="2DB1C6B4" w14:textId="77777777" w:rsidR="00E0460B" w:rsidRPr="0099117A" w:rsidRDefault="00E0460B" w:rsidP="00E0460B">
      <w:pPr>
        <w:spacing w:line="240" w:lineRule="auto"/>
        <w:ind w:left="720" w:firstLine="0"/>
      </w:pPr>
      <w:r w:rsidRPr="0099117A">
        <w:t>The department’s current thinking is that having different payment models would significantly increase complexity, which is counter to the objective of a simple, straightforward payment structure.</w:t>
      </w:r>
    </w:p>
    <w:p w14:paraId="1820AA28" w14:textId="77777777" w:rsidR="00E0460B" w:rsidRPr="0099117A" w:rsidRDefault="00E0460B" w:rsidP="00E0460B">
      <w:pPr>
        <w:pStyle w:val="Heading3"/>
        <w:rPr>
          <w:u w:val="none"/>
        </w:rPr>
      </w:pPr>
      <w:r w:rsidRPr="0099117A">
        <w:rPr>
          <w:u w:val="none"/>
        </w:rPr>
        <w:t>How would a disability specialist provider operate when that cohort is already serviced by Disability Employment Services?</w:t>
      </w:r>
    </w:p>
    <w:p w14:paraId="382C6DF0" w14:textId="77777777" w:rsidR="00E0460B" w:rsidRPr="0099117A" w:rsidRDefault="00E0460B" w:rsidP="00E0460B">
      <w:pPr>
        <w:spacing w:line="240" w:lineRule="auto"/>
        <w:ind w:left="720" w:firstLine="0"/>
      </w:pPr>
      <w:r w:rsidRPr="0099117A">
        <w:t>How the New Employment Services Model interacts with Disability Employment Services (DES) is still being considered.</w:t>
      </w:r>
    </w:p>
    <w:p w14:paraId="1B826CE0" w14:textId="77777777" w:rsidR="00E0460B" w:rsidRPr="0099117A" w:rsidRDefault="00E0460B" w:rsidP="00E0460B">
      <w:pPr>
        <w:spacing w:line="240" w:lineRule="auto"/>
        <w:ind w:left="720" w:firstLine="0"/>
      </w:pPr>
      <w:r w:rsidRPr="0099117A">
        <w:lastRenderedPageBreak/>
        <w:t>On this point it is important to be aware that DES does not service all job seekers with disability. There are over 250,000 people with disability on the jobactive caseload (as at</w:t>
      </w:r>
      <w:r w:rsidR="00F75403" w:rsidRPr="0099117A">
        <w:t xml:space="preserve"> </w:t>
      </w:r>
      <w:r w:rsidRPr="0099117A">
        <w:t>14 October 2020).</w:t>
      </w:r>
    </w:p>
    <w:p w14:paraId="75979B4C" w14:textId="77777777" w:rsidR="00E0460B" w:rsidRPr="0099117A" w:rsidRDefault="00E0460B" w:rsidP="00E0460B">
      <w:pPr>
        <w:pStyle w:val="Heading3"/>
        <w:rPr>
          <w:u w:val="none"/>
        </w:rPr>
      </w:pPr>
      <w:r w:rsidRPr="0099117A">
        <w:rPr>
          <w:u w:val="none"/>
        </w:rPr>
        <w:t xml:space="preserve">What will the payment model for workforce specialists look like (e.g. paid on outcomes)? </w:t>
      </w:r>
    </w:p>
    <w:p w14:paraId="542DAF37" w14:textId="77777777" w:rsidR="00E0460B" w:rsidRPr="0099117A" w:rsidRDefault="00E0460B" w:rsidP="00E0460B">
      <w:pPr>
        <w:spacing w:line="240" w:lineRule="auto"/>
        <w:ind w:left="720" w:firstLine="0"/>
      </w:pPr>
      <w:r w:rsidRPr="0099117A">
        <w:t>This is still being explored, though the Discussion Paper suggests that workforce specialists could potentially be paid on an agreed schedule of fees (such as on a per employment outcome basis). Due to the flexible nature of work and projects, there may be no guarantee of funding for workforce specialists.</w:t>
      </w:r>
    </w:p>
    <w:p w14:paraId="77A7AD84" w14:textId="77777777" w:rsidR="00E0460B" w:rsidRPr="0099117A" w:rsidRDefault="00E0460B" w:rsidP="00E0460B">
      <w:pPr>
        <w:pStyle w:val="Heading3"/>
        <w:rPr>
          <w:u w:val="none"/>
        </w:rPr>
      </w:pPr>
      <w:r w:rsidRPr="0099117A">
        <w:rPr>
          <w:u w:val="none"/>
        </w:rPr>
        <w:t>Will workforce specialists have their own Employment Fund or similar?</w:t>
      </w:r>
    </w:p>
    <w:p w14:paraId="76B8874D" w14:textId="77777777" w:rsidR="00E0460B" w:rsidRPr="0099117A" w:rsidRDefault="00E0460B" w:rsidP="00E0460B">
      <w:pPr>
        <w:spacing w:line="240" w:lineRule="auto"/>
        <w:ind w:left="720" w:firstLine="0"/>
      </w:pPr>
      <w:r w:rsidRPr="0099117A">
        <w:t>The policy settings around workforce specialists are still under development, so it is too early to say whether they would have access to an Employment Fund or similar pool of funds.</w:t>
      </w:r>
    </w:p>
    <w:p w14:paraId="202B99F9" w14:textId="77777777" w:rsidR="00E0460B" w:rsidRPr="0099117A" w:rsidRDefault="00E0460B" w:rsidP="00E0460B">
      <w:pPr>
        <w:pStyle w:val="Heading3"/>
        <w:rPr>
          <w:u w:val="none"/>
        </w:rPr>
      </w:pPr>
      <w:r w:rsidRPr="0099117A">
        <w:rPr>
          <w:u w:val="none"/>
        </w:rPr>
        <w:t>Could a workforce specialist also be a generalist and/or cohort specialist provider?</w:t>
      </w:r>
    </w:p>
    <w:p w14:paraId="43BEA8D1" w14:textId="77777777" w:rsidR="00E0460B" w:rsidRPr="0099117A" w:rsidRDefault="00E0460B" w:rsidP="00E0460B">
      <w:pPr>
        <w:spacing w:line="240" w:lineRule="auto"/>
        <w:ind w:left="720" w:firstLine="0"/>
      </w:pPr>
      <w:r w:rsidRPr="0099117A">
        <w:t>The department is still developing policy around workforce specialists, so there is no definitive answer at this stage. Workforce specialists may, however, be engaged under a separate deed to other providers.</w:t>
      </w:r>
    </w:p>
    <w:p w14:paraId="045F3F15" w14:textId="77777777" w:rsidR="00E0460B" w:rsidRPr="0099117A" w:rsidRDefault="00E0460B" w:rsidP="00E0460B">
      <w:pPr>
        <w:pStyle w:val="Heading2"/>
      </w:pPr>
      <w:bookmarkStart w:id="20" w:name="_Toc54263765"/>
      <w:r w:rsidRPr="0099117A">
        <w:t>Market Share</w:t>
      </w:r>
      <w:bookmarkEnd w:id="20"/>
    </w:p>
    <w:p w14:paraId="5503C459" w14:textId="77777777" w:rsidR="00E0460B" w:rsidRPr="0099117A" w:rsidRDefault="00E0460B" w:rsidP="00E0460B">
      <w:pPr>
        <w:pStyle w:val="Heading3"/>
        <w:rPr>
          <w:u w:val="none"/>
        </w:rPr>
      </w:pPr>
      <w:r w:rsidRPr="0099117A">
        <w:rPr>
          <w:u w:val="none"/>
        </w:rPr>
        <w:t>Is there expected to be any market share movement between providers, as occurs in jobactive?</w:t>
      </w:r>
    </w:p>
    <w:p w14:paraId="0C905B42" w14:textId="77777777" w:rsidR="00E0460B" w:rsidRPr="0099117A" w:rsidRDefault="00E0460B" w:rsidP="00E0460B">
      <w:pPr>
        <w:spacing w:line="240" w:lineRule="auto"/>
        <w:ind w:left="709" w:firstLine="0"/>
      </w:pPr>
      <w:r w:rsidRPr="0099117A">
        <w:t>It is proposed that the business reallocation processes that occurs under jobactive, would not take place under the licensing system.</w:t>
      </w:r>
    </w:p>
    <w:p w14:paraId="1909AD0C" w14:textId="77777777" w:rsidR="00E0460B" w:rsidRPr="0099117A" w:rsidRDefault="00E0460B" w:rsidP="00E0460B">
      <w:pPr>
        <w:spacing w:line="240" w:lineRule="auto"/>
        <w:ind w:left="709" w:firstLine="0"/>
      </w:pPr>
      <w:r w:rsidRPr="0099117A">
        <w:t xml:space="preserve">Licence Reviews could lead to additional licences being offered to panel members, due to changes in the labour market, for example, adding a licence or licences to an Employment Region may </w:t>
      </w:r>
      <w:proofErr w:type="gramStart"/>
      <w:r w:rsidRPr="0099117A">
        <w:t>have an effect on</w:t>
      </w:r>
      <w:proofErr w:type="gramEnd"/>
      <w:r w:rsidRPr="0099117A">
        <w:t xml:space="preserve"> market share of existing providers in the region.</w:t>
      </w:r>
      <w:bookmarkEnd w:id="15"/>
    </w:p>
    <w:p w14:paraId="2340766F" w14:textId="77777777" w:rsidR="00E0460B" w:rsidRPr="0099117A" w:rsidRDefault="00E0460B" w:rsidP="00E0460B">
      <w:pPr>
        <w:pStyle w:val="Heading3"/>
        <w:rPr>
          <w:u w:val="none"/>
        </w:rPr>
      </w:pPr>
      <w:r w:rsidRPr="0099117A">
        <w:rPr>
          <w:u w:val="none"/>
        </w:rPr>
        <w:t>Will job seekers be able to choose their provider before they are allocated to a provider based on market share?</w:t>
      </w:r>
    </w:p>
    <w:p w14:paraId="7B0C4854" w14:textId="77777777" w:rsidR="00E0460B" w:rsidRPr="0099117A" w:rsidRDefault="00E0460B" w:rsidP="00E0460B">
      <w:pPr>
        <w:spacing w:line="240" w:lineRule="auto"/>
        <w:ind w:left="709" w:firstLine="11"/>
      </w:pPr>
      <w:r w:rsidRPr="0099117A">
        <w:t>Yes</w:t>
      </w:r>
      <w:r w:rsidR="00E41902" w:rsidRPr="0099117A">
        <w:t xml:space="preserve">. </w:t>
      </w:r>
      <w:r w:rsidRPr="0099117A">
        <w:t>The department proposes that a job seeker would be able to exercise choice of their provider</w:t>
      </w:r>
      <w:r w:rsidR="00CD5010" w:rsidRPr="0099117A">
        <w:t>. I</w:t>
      </w:r>
      <w:r w:rsidRPr="0099117A">
        <w:t>f the job seeker didn't exercise that choice, they would be referred to a provider randomly (assuming no provider exceeded their tolerance levels)</w:t>
      </w:r>
      <w:r w:rsidR="00CD5010" w:rsidRPr="0099117A">
        <w:t xml:space="preserve"> unless they were eligible for a specialist provider. In such an instance it is proposed that the job seeker would be referred to a relevant cohort specialist provider by default</w:t>
      </w:r>
      <w:r w:rsidRPr="0099117A">
        <w:t>.</w:t>
      </w:r>
    </w:p>
    <w:p w14:paraId="213FADB6" w14:textId="77777777" w:rsidR="00E0460B" w:rsidRPr="0099117A" w:rsidRDefault="00E0460B" w:rsidP="00E0460B">
      <w:pPr>
        <w:pStyle w:val="Heading3"/>
        <w:rPr>
          <w:u w:val="none"/>
        </w:rPr>
      </w:pPr>
      <w:r w:rsidRPr="0099117A">
        <w:rPr>
          <w:u w:val="none"/>
        </w:rPr>
        <w:lastRenderedPageBreak/>
        <w:t>The Licensing Discussion Paper states:</w:t>
      </w:r>
      <w:r w:rsidRPr="0099117A">
        <w:rPr>
          <w:u w:val="none"/>
        </w:rPr>
        <w:br/>
      </w:r>
      <w:r w:rsidRPr="0099117A">
        <w:rPr>
          <w:rFonts w:eastAsiaTheme="minorHAnsi" w:cstheme="minorBidi"/>
          <w:b w:val="0"/>
          <w:i/>
          <w:iCs/>
          <w:szCs w:val="24"/>
          <w:u w:val="none"/>
        </w:rPr>
        <w:t>“Market share could be set initially with tolerance bandwidths of within 20 per cent, with potential to loosen market share arrangements once the model is bedded down.” (page 31)</w:t>
      </w:r>
      <w:r w:rsidRPr="0099117A">
        <w:rPr>
          <w:rFonts w:eastAsiaTheme="minorHAnsi" w:cstheme="minorBidi"/>
          <w:b w:val="0"/>
          <w:i/>
          <w:iCs/>
          <w:szCs w:val="24"/>
          <w:u w:val="none"/>
        </w:rPr>
        <w:br/>
      </w:r>
      <w:r w:rsidRPr="0099117A">
        <w:rPr>
          <w:u w:val="none"/>
        </w:rPr>
        <w:br/>
        <w:t>Can the department please explain what is meant by ‘loosen market share arrangements’ and say when this might occur?</w:t>
      </w:r>
    </w:p>
    <w:p w14:paraId="22F7E7E0" w14:textId="77777777" w:rsidR="00E0460B" w:rsidRPr="0099117A" w:rsidRDefault="00E0460B" w:rsidP="00E0460B">
      <w:pPr>
        <w:spacing w:line="240" w:lineRule="auto"/>
        <w:ind w:left="709" w:firstLine="11"/>
      </w:pPr>
      <w:r w:rsidRPr="0099117A">
        <w:t>The term “loosening market share arrangements” refers to the possibility that tolerance bandwidths could be changed to allow for increased job seeker choice and thereby increase the ability for providers to attract job seekers via quality servicing.</w:t>
      </w:r>
    </w:p>
    <w:p w14:paraId="1B873E2A" w14:textId="77777777" w:rsidR="00E0460B" w:rsidRPr="0099117A" w:rsidRDefault="00E0460B" w:rsidP="00E0460B">
      <w:pPr>
        <w:spacing w:line="240" w:lineRule="auto"/>
        <w:ind w:left="709" w:firstLine="11"/>
      </w:pPr>
      <w:r w:rsidRPr="0099117A">
        <w:t>A decision to loosen market share arrangements could be made if there is evidence that the market is sufficiently stable. Any decision would be made based on the evidence at hand, so there is no predetermined timeframe that market share would be expected to be loosened.</w:t>
      </w:r>
    </w:p>
    <w:p w14:paraId="2E68972B" w14:textId="77777777" w:rsidR="00E0460B" w:rsidRPr="0099117A" w:rsidRDefault="00E0460B" w:rsidP="00E0460B">
      <w:pPr>
        <w:spacing w:line="240" w:lineRule="auto"/>
        <w:ind w:left="709" w:firstLine="11"/>
      </w:pPr>
      <w:r w:rsidRPr="0099117A">
        <w:t>For example, if tolerance threshold is initially set at 20 per cent then a provider with a contracted share of 10 per cent would receive between 8 and 12 per cent of job seeker referrals. The tolerance threshold could be increased to 30 per cent meaning that same provider would receive between 7 and 13 per cent of referrals.</w:t>
      </w:r>
    </w:p>
    <w:p w14:paraId="7D7C1227" w14:textId="77777777" w:rsidR="00102488" w:rsidRPr="0099117A" w:rsidRDefault="006F0739" w:rsidP="00E0460B">
      <w:pPr>
        <w:spacing w:line="240" w:lineRule="auto"/>
        <w:ind w:left="709" w:firstLine="11"/>
      </w:pPr>
      <w:r w:rsidRPr="0099117A">
        <w:t>The department welcomes any stakeholder views on this in response to the Discussion Paper.</w:t>
      </w:r>
    </w:p>
    <w:p w14:paraId="1BD15197" w14:textId="77777777" w:rsidR="00E0460B" w:rsidRPr="0099117A" w:rsidRDefault="00E0460B" w:rsidP="00E0460B">
      <w:pPr>
        <w:pStyle w:val="Heading2"/>
      </w:pPr>
      <w:bookmarkStart w:id="21" w:name="_Toc54263766"/>
      <w:r w:rsidRPr="0099117A">
        <w:t>Provider accreditation</w:t>
      </w:r>
      <w:bookmarkEnd w:id="21"/>
    </w:p>
    <w:p w14:paraId="4833C53A" w14:textId="77777777" w:rsidR="00E0460B" w:rsidRPr="0099117A" w:rsidRDefault="00E0460B" w:rsidP="00E0460B">
      <w:pPr>
        <w:pStyle w:val="Heading3"/>
        <w:rPr>
          <w:u w:val="none"/>
        </w:rPr>
      </w:pPr>
      <w:r w:rsidRPr="0099117A">
        <w:rPr>
          <w:u w:val="none"/>
        </w:rPr>
        <w:t>Under the new model, will providers need to be ISO 27001 certified?</w:t>
      </w:r>
    </w:p>
    <w:p w14:paraId="052224D4" w14:textId="77777777" w:rsidR="00E0460B" w:rsidRPr="0099117A" w:rsidRDefault="00E0460B" w:rsidP="00E0460B">
      <w:pPr>
        <w:spacing w:line="240" w:lineRule="auto"/>
        <w:ind w:left="709" w:firstLine="11"/>
      </w:pPr>
      <w:r w:rsidRPr="0099117A">
        <w:t xml:space="preserve">Further detail around ISO 27001 and the Right Fit for Risk approach can be found on pages 37-39 of the Licensing Discussion Paper. </w:t>
      </w:r>
    </w:p>
    <w:p w14:paraId="09EB9BEE" w14:textId="77777777" w:rsidR="00E0460B" w:rsidRPr="0099117A" w:rsidRDefault="00E0460B" w:rsidP="00E0460B">
      <w:pPr>
        <w:spacing w:line="240" w:lineRule="auto"/>
        <w:ind w:left="709" w:firstLine="11"/>
      </w:pPr>
      <w:r w:rsidRPr="0099117A">
        <w:t xml:space="preserve">Under the </w:t>
      </w:r>
      <w:r w:rsidRPr="0099117A">
        <w:rPr>
          <w:i/>
          <w:iCs/>
        </w:rPr>
        <w:t>Protective Security Policy Framework,</w:t>
      </w:r>
      <w:r w:rsidRPr="0099117A">
        <w:t xml:space="preserve"> the department is responsible for the protection of data held in its systems and for the accreditation and approval of any provider systems which could hold departmental data.</w:t>
      </w:r>
    </w:p>
    <w:p w14:paraId="2EC9B4CE" w14:textId="77777777" w:rsidR="00E0460B" w:rsidRPr="0099117A" w:rsidRDefault="00E0460B" w:rsidP="00E0460B">
      <w:pPr>
        <w:spacing w:line="240" w:lineRule="auto"/>
        <w:ind w:left="709" w:firstLine="11"/>
      </w:pPr>
      <w:r w:rsidRPr="0099117A">
        <w:t>The department will require contracted providers to obtain a customised ISO 27001 certificate before accessing the department's data systems. Additional information security requirements may also need to be met by contract</w:t>
      </w:r>
      <w:r w:rsidR="00BC320F" w:rsidRPr="0099117A">
        <w:t>ed provider</w:t>
      </w:r>
      <w:r w:rsidRPr="0099117A">
        <w:t xml:space="preserve">s </w:t>
      </w:r>
      <w:proofErr w:type="gramStart"/>
      <w:r w:rsidRPr="0099117A">
        <w:t>in order for</w:t>
      </w:r>
      <w:proofErr w:type="gramEnd"/>
      <w:r w:rsidRPr="0099117A">
        <w:t xml:space="preserve"> the Department to be able to meet its obligations under the </w:t>
      </w:r>
      <w:r w:rsidRPr="0099117A">
        <w:rPr>
          <w:i/>
          <w:iCs/>
        </w:rPr>
        <w:t>Protective Security Policy Framework</w:t>
      </w:r>
      <w:r w:rsidRPr="0099117A">
        <w:t>.</w:t>
      </w:r>
    </w:p>
    <w:p w14:paraId="0B2A1749" w14:textId="77777777" w:rsidR="00E0460B" w:rsidRPr="0099117A" w:rsidRDefault="00E0460B" w:rsidP="00E0460B">
      <w:pPr>
        <w:pStyle w:val="Heading3"/>
        <w:rPr>
          <w:u w:val="none"/>
        </w:rPr>
      </w:pPr>
      <w:r w:rsidRPr="0099117A">
        <w:rPr>
          <w:u w:val="none"/>
        </w:rPr>
        <w:t>Will workforce specialists be expected to have ISO 27001?</w:t>
      </w:r>
    </w:p>
    <w:p w14:paraId="68CBF3D4" w14:textId="77777777" w:rsidR="00E0460B" w:rsidRPr="0099117A" w:rsidRDefault="00E0460B" w:rsidP="00E0460B">
      <w:pPr>
        <w:spacing w:line="240" w:lineRule="auto"/>
        <w:ind w:left="720" w:firstLine="0"/>
      </w:pPr>
      <w:r w:rsidRPr="0099117A">
        <w:t>All entities contracted to the department and accessing the department's data must have a customised ISO 27001 certificate.  As above, additional information security requirements may also need to be met by contract</w:t>
      </w:r>
      <w:r w:rsidR="00BC320F" w:rsidRPr="0099117A">
        <w:t>ed provide</w:t>
      </w:r>
      <w:r w:rsidRPr="0099117A">
        <w:t xml:space="preserve">rs </w:t>
      </w:r>
      <w:proofErr w:type="gramStart"/>
      <w:r w:rsidRPr="0099117A">
        <w:t>in order for</w:t>
      </w:r>
      <w:proofErr w:type="gramEnd"/>
      <w:r w:rsidRPr="0099117A">
        <w:t xml:space="preserve"> the Department to be able to meet its obligations under the </w:t>
      </w:r>
      <w:r w:rsidRPr="0099117A">
        <w:rPr>
          <w:i/>
          <w:iCs/>
        </w:rPr>
        <w:t>Protective Security Policy Framework</w:t>
      </w:r>
      <w:r w:rsidRPr="0099117A">
        <w:t>.</w:t>
      </w:r>
    </w:p>
    <w:p w14:paraId="73560193" w14:textId="77777777" w:rsidR="00E0460B" w:rsidRPr="0099117A" w:rsidRDefault="00E0460B" w:rsidP="00E0460B">
      <w:pPr>
        <w:pStyle w:val="Heading3"/>
        <w:rPr>
          <w:u w:val="none"/>
        </w:rPr>
      </w:pPr>
      <w:r w:rsidRPr="0099117A">
        <w:rPr>
          <w:u w:val="none"/>
        </w:rPr>
        <w:lastRenderedPageBreak/>
        <w:t>Will providers servicing people with disability (generalist or specialist) be required to be accredited to the National Standards for Disability Services?</w:t>
      </w:r>
    </w:p>
    <w:p w14:paraId="45876461" w14:textId="77777777" w:rsidR="00E0460B" w:rsidRDefault="00E0460B" w:rsidP="00542969">
      <w:pPr>
        <w:spacing w:line="240" w:lineRule="auto"/>
        <w:ind w:left="720" w:firstLine="0"/>
      </w:pPr>
      <w:r w:rsidRPr="0099117A">
        <w:t xml:space="preserve">A final decision </w:t>
      </w:r>
      <w:r w:rsidR="000A3027" w:rsidRPr="0099117A">
        <w:t xml:space="preserve">on provider accreditation </w:t>
      </w:r>
      <w:r w:rsidRPr="0099117A">
        <w:t>is yet to be taken</w:t>
      </w:r>
      <w:r w:rsidR="00542969" w:rsidRPr="0099117A">
        <w:t xml:space="preserve">. </w:t>
      </w:r>
    </w:p>
    <w:sectPr w:rsidR="00E0460B" w:rsidSect="00E0460B">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9F78F" w14:textId="77777777" w:rsidR="002C6E42" w:rsidRDefault="002C6E42">
      <w:pPr>
        <w:spacing w:after="0" w:line="240" w:lineRule="auto"/>
      </w:pPr>
      <w:r>
        <w:separator/>
      </w:r>
    </w:p>
  </w:endnote>
  <w:endnote w:type="continuationSeparator" w:id="0">
    <w:p w14:paraId="22A9EB17" w14:textId="77777777" w:rsidR="002C6E42" w:rsidRDefault="002C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5973E" w14:textId="77777777" w:rsidR="00B94293" w:rsidRPr="00BD0D50" w:rsidRDefault="00B94293">
    <w:pPr>
      <w:pStyle w:val="Footer"/>
      <w:jc w:val="center"/>
      <w:rPr>
        <w:caps/>
        <w:noProof/>
      </w:rPr>
    </w:pPr>
    <w:r w:rsidRPr="00BD0D50">
      <w:rPr>
        <w:caps/>
      </w:rPr>
      <w:fldChar w:fldCharType="begin"/>
    </w:r>
    <w:r w:rsidRPr="00BD0D50">
      <w:rPr>
        <w:caps/>
      </w:rPr>
      <w:instrText xml:space="preserve"> PAGE   \* MERGEFORMAT </w:instrText>
    </w:r>
    <w:r w:rsidRPr="00BD0D50">
      <w:rPr>
        <w:caps/>
      </w:rPr>
      <w:fldChar w:fldCharType="separate"/>
    </w:r>
    <w:r w:rsidR="005B7004">
      <w:rPr>
        <w:caps/>
        <w:noProof/>
      </w:rPr>
      <w:t>8</w:t>
    </w:r>
    <w:r w:rsidRPr="00BD0D50">
      <w:rPr>
        <w:caps/>
        <w:noProof/>
      </w:rPr>
      <w:fldChar w:fldCharType="end"/>
    </w:r>
  </w:p>
  <w:p w14:paraId="0F37FE51" w14:textId="77777777" w:rsidR="00B94293" w:rsidRDefault="00B94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2C05E" w14:textId="77777777" w:rsidR="002C6E42" w:rsidRDefault="002C6E42">
      <w:pPr>
        <w:spacing w:after="0" w:line="240" w:lineRule="auto"/>
      </w:pPr>
      <w:r>
        <w:separator/>
      </w:r>
    </w:p>
  </w:footnote>
  <w:footnote w:type="continuationSeparator" w:id="0">
    <w:p w14:paraId="1E475A2C" w14:textId="77777777" w:rsidR="002C6E42" w:rsidRDefault="002C6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634"/>
    <w:multiLevelType w:val="hybridMultilevel"/>
    <w:tmpl w:val="BBB6A7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0652560"/>
    <w:multiLevelType w:val="multilevel"/>
    <w:tmpl w:val="6DD86372"/>
    <w:lvl w:ilvl="0">
      <w:start w:val="1"/>
      <w:numFmt w:val="decimal"/>
      <w:pStyle w:val="Heading2"/>
      <w:lvlText w:val="%1."/>
      <w:lvlJc w:val="left"/>
      <w:pPr>
        <w:ind w:left="435" w:hanging="435"/>
      </w:pPr>
      <w:rPr>
        <w:rFonts w:hint="default"/>
      </w:rPr>
    </w:lvl>
    <w:lvl w:ilvl="1">
      <w:start w:val="1"/>
      <w:numFmt w:val="decimal"/>
      <w:pStyle w:val="Heading3"/>
      <w:lvlText w:val="%1.%2"/>
      <w:lvlJc w:val="left"/>
      <w:pPr>
        <w:ind w:left="720" w:hanging="720"/>
      </w:pPr>
      <w:rPr>
        <w:rFonts w:asciiTheme="minorHAnsi" w:hAnsiTheme="minorHAnsi" w:cstheme="minorHAnsi" w:hint="default"/>
        <w:b/>
        <w:i w:val="0"/>
        <w:color w:val="auto"/>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27F15B5"/>
    <w:multiLevelType w:val="multilevel"/>
    <w:tmpl w:val="47E23460"/>
    <w:lvl w:ilvl="0">
      <w:start w:val="1"/>
      <w:numFmt w:val="decimal"/>
      <w:pStyle w:val="StandardClause"/>
      <w:lvlText w:val="%1."/>
      <w:lvlJc w:val="left"/>
      <w:pPr>
        <w:tabs>
          <w:tab w:val="num" w:pos="794"/>
        </w:tabs>
        <w:ind w:left="794" w:hanging="510"/>
      </w:pPr>
      <w:rPr>
        <w:b/>
        <w:bCs w:val="0"/>
        <w:i w:val="0"/>
        <w:iCs w:val="0"/>
        <w:caps w:val="0"/>
        <w:smallCaps w:val="0"/>
        <w:strike w:val="0"/>
        <w:dstrike w:val="0"/>
        <w:vanish w:val="0"/>
        <w:webHidden w:val="0"/>
        <w:color w:val="000000"/>
        <w:spacing w:val="0"/>
        <w:kern w:val="0"/>
        <w:position w:val="0"/>
        <w:sz w:val="26"/>
        <w:szCs w:val="26"/>
        <w:u w:val="none"/>
        <w:effect w:val="none"/>
        <w:vertAlign w:val="baseline"/>
        <w:specVanish w:val="0"/>
        <w14:ligatures w14:val="none"/>
        <w14:numForm w14:val="default"/>
        <w14:numSpacing w14:val="default"/>
        <w14:stylisticSets/>
        <w14:cntxtAlts w14:val="0"/>
      </w:rPr>
    </w:lvl>
    <w:lvl w:ilvl="1">
      <w:start w:val="1"/>
      <w:numFmt w:val="decimal"/>
      <w:pStyle w:val="StandardSubclause"/>
      <w:lvlText w:val="%1.%2"/>
      <w:lvlJc w:val="left"/>
      <w:pPr>
        <w:tabs>
          <w:tab w:val="num" w:pos="1304"/>
        </w:tabs>
        <w:ind w:left="1304" w:hanging="794"/>
      </w:pPr>
      <w:rPr>
        <w:rFonts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SubclausewithAlphaafternumber"/>
      <w:lvlText w:val="(%3)"/>
      <w:lvlJc w:val="left"/>
      <w:pPr>
        <w:tabs>
          <w:tab w:val="num" w:pos="1871"/>
        </w:tabs>
        <w:ind w:left="1871" w:hanging="567"/>
      </w:pPr>
      <w:rPr>
        <w:rFonts w:ascii="Calibri" w:eastAsia="Times New Roman" w:hAnsi="Calibri" w:cs="Calibri" w:hint="default"/>
        <w:b w:val="0"/>
        <w:bCs w:val="0"/>
        <w:i w:val="0"/>
        <w:iCs w:val="0"/>
        <w:caps w:val="0"/>
        <w:smallCaps w:val="0"/>
        <w:strike w:val="0"/>
        <w:dstrike w:val="0"/>
        <w:vanish w:val="0"/>
        <w:webHidden w:val="0"/>
        <w:color w:val="auto"/>
        <w:spacing w:val="0"/>
        <w:kern w:val="0"/>
        <w:position w:val="0"/>
        <w:sz w:val="22"/>
        <w:szCs w:val="22"/>
        <w:u w:val="none"/>
        <w:effect w:val="none"/>
        <w:vertAlign w:val="baseline"/>
        <w:specVanish w:val="0"/>
        <w14:ligatures w14:val="none"/>
        <w14:numForm w14:val="default"/>
        <w14:numSpacing w14:val="default"/>
        <w14:stylisticSets/>
        <w14:cntxtAlts w14:val="0"/>
      </w:rPr>
    </w:lvl>
    <w:lvl w:ilvl="3">
      <w:start w:val="1"/>
      <w:numFmt w:val="lowerRoman"/>
      <w:pStyle w:val="SubclausewithRoman"/>
      <w:lvlText w:val="(%4)"/>
      <w:lvlJc w:val="left"/>
      <w:pPr>
        <w:tabs>
          <w:tab w:val="num" w:pos="2381"/>
        </w:tabs>
        <w:ind w:left="2381" w:hanging="510"/>
      </w:pPr>
      <w:rPr>
        <w:rFonts w:cs="Times New Roman"/>
        <w:b w:val="0"/>
        <w:bCs w:val="0"/>
        <w:i w:val="0"/>
        <w:iCs w:val="0"/>
        <w:caps w:val="0"/>
        <w:smallCaps w:val="0"/>
        <w:strike w:val="0"/>
        <w:dstrike w:val="0"/>
        <w:vanish w:val="0"/>
        <w:webHidden w:val="0"/>
        <w:color w:val="auto"/>
        <w:spacing w:val="0"/>
        <w:kern w:val="0"/>
        <w:position w:val="0"/>
        <w:sz w:val="22"/>
        <w:szCs w:val="22"/>
        <w:u w:val="none"/>
        <w:effect w:val="none"/>
        <w:vertAlign w:val="baseline"/>
        <w:specVanish w:val="0"/>
        <w14:ligatures w14:val="none"/>
        <w14:numForm w14:val="default"/>
        <w14:numSpacing w14:val="default"/>
        <w14:stylisticSets/>
        <w14:cntxtAlts w14:val="0"/>
      </w:rPr>
    </w:lvl>
    <w:lvl w:ilvl="4">
      <w:start w:val="1"/>
      <w:numFmt w:val="upperLetter"/>
      <w:pStyle w:val="SubclausewithUpperAlpha"/>
      <w:lvlText w:val="(%5)"/>
      <w:lvlJc w:val="left"/>
      <w:pPr>
        <w:tabs>
          <w:tab w:val="num" w:pos="2892"/>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lvl>
    <w:lvl w:ilvl="6">
      <w:start w:val="1"/>
      <w:numFmt w:val="decimal"/>
      <w:lvlText w:val="%1.%2.%3.%4.%5.%6.%7."/>
      <w:lvlJc w:val="left"/>
      <w:pPr>
        <w:tabs>
          <w:tab w:val="num" w:pos="737"/>
        </w:tabs>
        <w:ind w:left="737" w:hanging="737"/>
      </w:pPr>
    </w:lvl>
    <w:lvl w:ilvl="7">
      <w:start w:val="1"/>
      <w:numFmt w:val="decimal"/>
      <w:lvlText w:val="%1.%2.%3.%4.%5.%6.%7.%8."/>
      <w:lvlJc w:val="left"/>
      <w:pPr>
        <w:tabs>
          <w:tab w:val="num" w:pos="737"/>
        </w:tabs>
        <w:ind w:left="737" w:hanging="737"/>
      </w:pPr>
    </w:lvl>
    <w:lvl w:ilvl="8">
      <w:start w:val="1"/>
      <w:numFmt w:val="decimal"/>
      <w:lvlText w:val="%1.%2.%3.%4.%5.%6.%7.%8.%9."/>
      <w:lvlJc w:val="left"/>
      <w:pPr>
        <w:tabs>
          <w:tab w:val="num" w:pos="737"/>
        </w:tabs>
        <w:ind w:left="737" w:hanging="737"/>
      </w:pPr>
    </w:lvl>
  </w:abstractNum>
  <w:abstractNum w:abstractNumId="3" w15:restartNumberingAfterBreak="0">
    <w:nsid w:val="31042D9D"/>
    <w:multiLevelType w:val="hybridMultilevel"/>
    <w:tmpl w:val="2E3046DC"/>
    <w:lvl w:ilvl="0" w:tplc="30467AAC">
      <w:start w:val="1"/>
      <w:numFmt w:val="bullet"/>
      <w:lvlText w:val=""/>
      <w:lvlJc w:val="left"/>
      <w:pPr>
        <w:ind w:left="1440" w:hanging="360"/>
      </w:pPr>
      <w:rPr>
        <w:rFonts w:ascii="Symbol" w:hAnsi="Symbol" w:hint="default"/>
      </w:rPr>
    </w:lvl>
    <w:lvl w:ilvl="1" w:tplc="7908A386" w:tentative="1">
      <w:start w:val="1"/>
      <w:numFmt w:val="bullet"/>
      <w:lvlText w:val="o"/>
      <w:lvlJc w:val="left"/>
      <w:pPr>
        <w:ind w:left="2160" w:hanging="360"/>
      </w:pPr>
      <w:rPr>
        <w:rFonts w:ascii="Courier New" w:hAnsi="Courier New" w:cs="Courier New" w:hint="default"/>
      </w:rPr>
    </w:lvl>
    <w:lvl w:ilvl="2" w:tplc="E8B0359C" w:tentative="1">
      <w:start w:val="1"/>
      <w:numFmt w:val="bullet"/>
      <w:lvlText w:val=""/>
      <w:lvlJc w:val="left"/>
      <w:pPr>
        <w:ind w:left="2880" w:hanging="360"/>
      </w:pPr>
      <w:rPr>
        <w:rFonts w:ascii="Wingdings" w:hAnsi="Wingdings" w:hint="default"/>
      </w:rPr>
    </w:lvl>
    <w:lvl w:ilvl="3" w:tplc="346A1748" w:tentative="1">
      <w:start w:val="1"/>
      <w:numFmt w:val="bullet"/>
      <w:lvlText w:val=""/>
      <w:lvlJc w:val="left"/>
      <w:pPr>
        <w:ind w:left="3600" w:hanging="360"/>
      </w:pPr>
      <w:rPr>
        <w:rFonts w:ascii="Symbol" w:hAnsi="Symbol" w:hint="default"/>
      </w:rPr>
    </w:lvl>
    <w:lvl w:ilvl="4" w:tplc="67905518" w:tentative="1">
      <w:start w:val="1"/>
      <w:numFmt w:val="bullet"/>
      <w:lvlText w:val="o"/>
      <w:lvlJc w:val="left"/>
      <w:pPr>
        <w:ind w:left="4320" w:hanging="360"/>
      </w:pPr>
      <w:rPr>
        <w:rFonts w:ascii="Courier New" w:hAnsi="Courier New" w:cs="Courier New" w:hint="default"/>
      </w:rPr>
    </w:lvl>
    <w:lvl w:ilvl="5" w:tplc="0C74406C" w:tentative="1">
      <w:start w:val="1"/>
      <w:numFmt w:val="bullet"/>
      <w:lvlText w:val=""/>
      <w:lvlJc w:val="left"/>
      <w:pPr>
        <w:ind w:left="5040" w:hanging="360"/>
      </w:pPr>
      <w:rPr>
        <w:rFonts w:ascii="Wingdings" w:hAnsi="Wingdings" w:hint="default"/>
      </w:rPr>
    </w:lvl>
    <w:lvl w:ilvl="6" w:tplc="BA40B2BC" w:tentative="1">
      <w:start w:val="1"/>
      <w:numFmt w:val="bullet"/>
      <w:lvlText w:val=""/>
      <w:lvlJc w:val="left"/>
      <w:pPr>
        <w:ind w:left="5760" w:hanging="360"/>
      </w:pPr>
      <w:rPr>
        <w:rFonts w:ascii="Symbol" w:hAnsi="Symbol" w:hint="default"/>
      </w:rPr>
    </w:lvl>
    <w:lvl w:ilvl="7" w:tplc="7F488B3C" w:tentative="1">
      <w:start w:val="1"/>
      <w:numFmt w:val="bullet"/>
      <w:lvlText w:val="o"/>
      <w:lvlJc w:val="left"/>
      <w:pPr>
        <w:ind w:left="6480" w:hanging="360"/>
      </w:pPr>
      <w:rPr>
        <w:rFonts w:ascii="Courier New" w:hAnsi="Courier New" w:cs="Courier New" w:hint="default"/>
      </w:rPr>
    </w:lvl>
    <w:lvl w:ilvl="8" w:tplc="26F2634C" w:tentative="1">
      <w:start w:val="1"/>
      <w:numFmt w:val="bullet"/>
      <w:lvlText w:val=""/>
      <w:lvlJc w:val="left"/>
      <w:pPr>
        <w:ind w:left="7200" w:hanging="360"/>
      </w:pPr>
      <w:rPr>
        <w:rFonts w:ascii="Wingdings" w:hAnsi="Wingdings" w:hint="default"/>
      </w:rPr>
    </w:lvl>
  </w:abstractNum>
  <w:abstractNum w:abstractNumId="4" w15:restartNumberingAfterBreak="0">
    <w:nsid w:val="47D32B1A"/>
    <w:multiLevelType w:val="hybridMultilevel"/>
    <w:tmpl w:val="9174865C"/>
    <w:lvl w:ilvl="0" w:tplc="F9A86F10">
      <w:start w:val="1"/>
      <w:numFmt w:val="bullet"/>
      <w:lvlText w:val=""/>
      <w:lvlJc w:val="left"/>
      <w:pPr>
        <w:ind w:left="1440" w:hanging="360"/>
      </w:pPr>
      <w:rPr>
        <w:rFonts w:ascii="Symbol" w:hAnsi="Symbol" w:hint="default"/>
      </w:rPr>
    </w:lvl>
    <w:lvl w:ilvl="1" w:tplc="2E7478D0" w:tentative="1">
      <w:start w:val="1"/>
      <w:numFmt w:val="bullet"/>
      <w:lvlText w:val="o"/>
      <w:lvlJc w:val="left"/>
      <w:pPr>
        <w:ind w:left="2160" w:hanging="360"/>
      </w:pPr>
      <w:rPr>
        <w:rFonts w:ascii="Courier New" w:hAnsi="Courier New" w:cs="Courier New" w:hint="default"/>
      </w:rPr>
    </w:lvl>
    <w:lvl w:ilvl="2" w:tplc="50C271E6" w:tentative="1">
      <w:start w:val="1"/>
      <w:numFmt w:val="bullet"/>
      <w:lvlText w:val=""/>
      <w:lvlJc w:val="left"/>
      <w:pPr>
        <w:ind w:left="2880" w:hanging="360"/>
      </w:pPr>
      <w:rPr>
        <w:rFonts w:ascii="Wingdings" w:hAnsi="Wingdings" w:hint="default"/>
      </w:rPr>
    </w:lvl>
    <w:lvl w:ilvl="3" w:tplc="25DCCF00" w:tentative="1">
      <w:start w:val="1"/>
      <w:numFmt w:val="bullet"/>
      <w:lvlText w:val=""/>
      <w:lvlJc w:val="left"/>
      <w:pPr>
        <w:ind w:left="3600" w:hanging="360"/>
      </w:pPr>
      <w:rPr>
        <w:rFonts w:ascii="Symbol" w:hAnsi="Symbol" w:hint="default"/>
      </w:rPr>
    </w:lvl>
    <w:lvl w:ilvl="4" w:tplc="B0202F52" w:tentative="1">
      <w:start w:val="1"/>
      <w:numFmt w:val="bullet"/>
      <w:lvlText w:val="o"/>
      <w:lvlJc w:val="left"/>
      <w:pPr>
        <w:ind w:left="4320" w:hanging="360"/>
      </w:pPr>
      <w:rPr>
        <w:rFonts w:ascii="Courier New" w:hAnsi="Courier New" w:cs="Courier New" w:hint="default"/>
      </w:rPr>
    </w:lvl>
    <w:lvl w:ilvl="5" w:tplc="B5B439F4" w:tentative="1">
      <w:start w:val="1"/>
      <w:numFmt w:val="bullet"/>
      <w:lvlText w:val=""/>
      <w:lvlJc w:val="left"/>
      <w:pPr>
        <w:ind w:left="5040" w:hanging="360"/>
      </w:pPr>
      <w:rPr>
        <w:rFonts w:ascii="Wingdings" w:hAnsi="Wingdings" w:hint="default"/>
      </w:rPr>
    </w:lvl>
    <w:lvl w:ilvl="6" w:tplc="C2B64B2C" w:tentative="1">
      <w:start w:val="1"/>
      <w:numFmt w:val="bullet"/>
      <w:lvlText w:val=""/>
      <w:lvlJc w:val="left"/>
      <w:pPr>
        <w:ind w:left="5760" w:hanging="360"/>
      </w:pPr>
      <w:rPr>
        <w:rFonts w:ascii="Symbol" w:hAnsi="Symbol" w:hint="default"/>
      </w:rPr>
    </w:lvl>
    <w:lvl w:ilvl="7" w:tplc="343C488A" w:tentative="1">
      <w:start w:val="1"/>
      <w:numFmt w:val="bullet"/>
      <w:lvlText w:val="o"/>
      <w:lvlJc w:val="left"/>
      <w:pPr>
        <w:ind w:left="6480" w:hanging="360"/>
      </w:pPr>
      <w:rPr>
        <w:rFonts w:ascii="Courier New" w:hAnsi="Courier New" w:cs="Courier New" w:hint="default"/>
      </w:rPr>
    </w:lvl>
    <w:lvl w:ilvl="8" w:tplc="5D40D8F8" w:tentative="1">
      <w:start w:val="1"/>
      <w:numFmt w:val="bullet"/>
      <w:lvlText w:val=""/>
      <w:lvlJc w:val="left"/>
      <w:pPr>
        <w:ind w:left="7200" w:hanging="360"/>
      </w:pPr>
      <w:rPr>
        <w:rFonts w:ascii="Wingdings" w:hAnsi="Wingdings" w:hint="default"/>
      </w:rPr>
    </w:lvl>
  </w:abstractNum>
  <w:abstractNum w:abstractNumId="5" w15:restartNumberingAfterBreak="0">
    <w:nsid w:val="501F7FDD"/>
    <w:multiLevelType w:val="hybridMultilevel"/>
    <w:tmpl w:val="4FE8E0C2"/>
    <w:lvl w:ilvl="0" w:tplc="5BDC9572">
      <w:start w:val="1"/>
      <w:numFmt w:val="bullet"/>
      <w:lvlText w:val=""/>
      <w:lvlJc w:val="left"/>
      <w:pPr>
        <w:ind w:left="720" w:hanging="360"/>
      </w:pPr>
      <w:rPr>
        <w:rFonts w:ascii="Symbol" w:hAnsi="Symbol" w:hint="default"/>
      </w:rPr>
    </w:lvl>
    <w:lvl w:ilvl="1" w:tplc="D8CA6F28" w:tentative="1">
      <w:start w:val="1"/>
      <w:numFmt w:val="bullet"/>
      <w:lvlText w:val="o"/>
      <w:lvlJc w:val="left"/>
      <w:pPr>
        <w:ind w:left="1440" w:hanging="360"/>
      </w:pPr>
      <w:rPr>
        <w:rFonts w:ascii="Courier New" w:hAnsi="Courier New" w:cs="Courier New" w:hint="default"/>
      </w:rPr>
    </w:lvl>
    <w:lvl w:ilvl="2" w:tplc="DED4F902" w:tentative="1">
      <w:start w:val="1"/>
      <w:numFmt w:val="bullet"/>
      <w:lvlText w:val=""/>
      <w:lvlJc w:val="left"/>
      <w:pPr>
        <w:ind w:left="2160" w:hanging="360"/>
      </w:pPr>
      <w:rPr>
        <w:rFonts w:ascii="Wingdings" w:hAnsi="Wingdings" w:hint="default"/>
      </w:rPr>
    </w:lvl>
    <w:lvl w:ilvl="3" w:tplc="5BB48E9C" w:tentative="1">
      <w:start w:val="1"/>
      <w:numFmt w:val="bullet"/>
      <w:lvlText w:val=""/>
      <w:lvlJc w:val="left"/>
      <w:pPr>
        <w:ind w:left="2880" w:hanging="360"/>
      </w:pPr>
      <w:rPr>
        <w:rFonts w:ascii="Symbol" w:hAnsi="Symbol" w:hint="default"/>
      </w:rPr>
    </w:lvl>
    <w:lvl w:ilvl="4" w:tplc="61741620" w:tentative="1">
      <w:start w:val="1"/>
      <w:numFmt w:val="bullet"/>
      <w:lvlText w:val="o"/>
      <w:lvlJc w:val="left"/>
      <w:pPr>
        <w:ind w:left="3600" w:hanging="360"/>
      </w:pPr>
      <w:rPr>
        <w:rFonts w:ascii="Courier New" w:hAnsi="Courier New" w:cs="Courier New" w:hint="default"/>
      </w:rPr>
    </w:lvl>
    <w:lvl w:ilvl="5" w:tplc="442496BA" w:tentative="1">
      <w:start w:val="1"/>
      <w:numFmt w:val="bullet"/>
      <w:lvlText w:val=""/>
      <w:lvlJc w:val="left"/>
      <w:pPr>
        <w:ind w:left="4320" w:hanging="360"/>
      </w:pPr>
      <w:rPr>
        <w:rFonts w:ascii="Wingdings" w:hAnsi="Wingdings" w:hint="default"/>
      </w:rPr>
    </w:lvl>
    <w:lvl w:ilvl="6" w:tplc="FA4269E2" w:tentative="1">
      <w:start w:val="1"/>
      <w:numFmt w:val="bullet"/>
      <w:lvlText w:val=""/>
      <w:lvlJc w:val="left"/>
      <w:pPr>
        <w:ind w:left="5040" w:hanging="360"/>
      </w:pPr>
      <w:rPr>
        <w:rFonts w:ascii="Symbol" w:hAnsi="Symbol" w:hint="default"/>
      </w:rPr>
    </w:lvl>
    <w:lvl w:ilvl="7" w:tplc="A1C8101A" w:tentative="1">
      <w:start w:val="1"/>
      <w:numFmt w:val="bullet"/>
      <w:lvlText w:val="o"/>
      <w:lvlJc w:val="left"/>
      <w:pPr>
        <w:ind w:left="5760" w:hanging="360"/>
      </w:pPr>
      <w:rPr>
        <w:rFonts w:ascii="Courier New" w:hAnsi="Courier New" w:cs="Courier New" w:hint="default"/>
      </w:rPr>
    </w:lvl>
    <w:lvl w:ilvl="8" w:tplc="0CB6DCA8" w:tentative="1">
      <w:start w:val="1"/>
      <w:numFmt w:val="bullet"/>
      <w:lvlText w:val=""/>
      <w:lvlJc w:val="left"/>
      <w:pPr>
        <w:ind w:left="6480" w:hanging="360"/>
      </w:pPr>
      <w:rPr>
        <w:rFonts w:ascii="Wingdings" w:hAnsi="Wingdings" w:hint="default"/>
      </w:rPr>
    </w:lvl>
  </w:abstractNum>
  <w:abstractNum w:abstractNumId="6" w15:restartNumberingAfterBreak="0">
    <w:nsid w:val="64DA4829"/>
    <w:multiLevelType w:val="hybridMultilevel"/>
    <w:tmpl w:val="2312D0F0"/>
    <w:lvl w:ilvl="0" w:tplc="2D0EBC04">
      <w:start w:val="1"/>
      <w:numFmt w:val="bullet"/>
      <w:lvlText w:val=""/>
      <w:lvlJc w:val="left"/>
      <w:pPr>
        <w:ind w:left="1429" w:hanging="360"/>
      </w:pPr>
      <w:rPr>
        <w:rFonts w:ascii="Symbol" w:hAnsi="Symbol" w:hint="default"/>
      </w:rPr>
    </w:lvl>
    <w:lvl w:ilvl="1" w:tplc="658C056A" w:tentative="1">
      <w:start w:val="1"/>
      <w:numFmt w:val="bullet"/>
      <w:lvlText w:val="o"/>
      <w:lvlJc w:val="left"/>
      <w:pPr>
        <w:ind w:left="2149" w:hanging="360"/>
      </w:pPr>
      <w:rPr>
        <w:rFonts w:ascii="Courier New" w:hAnsi="Courier New" w:cs="Courier New" w:hint="default"/>
      </w:rPr>
    </w:lvl>
    <w:lvl w:ilvl="2" w:tplc="F628105A" w:tentative="1">
      <w:start w:val="1"/>
      <w:numFmt w:val="bullet"/>
      <w:lvlText w:val=""/>
      <w:lvlJc w:val="left"/>
      <w:pPr>
        <w:ind w:left="2869" w:hanging="360"/>
      </w:pPr>
      <w:rPr>
        <w:rFonts w:ascii="Wingdings" w:hAnsi="Wingdings" w:hint="default"/>
      </w:rPr>
    </w:lvl>
    <w:lvl w:ilvl="3" w:tplc="C2F24DA4" w:tentative="1">
      <w:start w:val="1"/>
      <w:numFmt w:val="bullet"/>
      <w:lvlText w:val=""/>
      <w:lvlJc w:val="left"/>
      <w:pPr>
        <w:ind w:left="3589" w:hanging="360"/>
      </w:pPr>
      <w:rPr>
        <w:rFonts w:ascii="Symbol" w:hAnsi="Symbol" w:hint="default"/>
      </w:rPr>
    </w:lvl>
    <w:lvl w:ilvl="4" w:tplc="F84E7E08" w:tentative="1">
      <w:start w:val="1"/>
      <w:numFmt w:val="bullet"/>
      <w:lvlText w:val="o"/>
      <w:lvlJc w:val="left"/>
      <w:pPr>
        <w:ind w:left="4309" w:hanging="360"/>
      </w:pPr>
      <w:rPr>
        <w:rFonts w:ascii="Courier New" w:hAnsi="Courier New" w:cs="Courier New" w:hint="default"/>
      </w:rPr>
    </w:lvl>
    <w:lvl w:ilvl="5" w:tplc="5630C456" w:tentative="1">
      <w:start w:val="1"/>
      <w:numFmt w:val="bullet"/>
      <w:lvlText w:val=""/>
      <w:lvlJc w:val="left"/>
      <w:pPr>
        <w:ind w:left="5029" w:hanging="360"/>
      </w:pPr>
      <w:rPr>
        <w:rFonts w:ascii="Wingdings" w:hAnsi="Wingdings" w:hint="default"/>
      </w:rPr>
    </w:lvl>
    <w:lvl w:ilvl="6" w:tplc="C4848CD6" w:tentative="1">
      <w:start w:val="1"/>
      <w:numFmt w:val="bullet"/>
      <w:lvlText w:val=""/>
      <w:lvlJc w:val="left"/>
      <w:pPr>
        <w:ind w:left="5749" w:hanging="360"/>
      </w:pPr>
      <w:rPr>
        <w:rFonts w:ascii="Symbol" w:hAnsi="Symbol" w:hint="default"/>
      </w:rPr>
    </w:lvl>
    <w:lvl w:ilvl="7" w:tplc="9600F5A0" w:tentative="1">
      <w:start w:val="1"/>
      <w:numFmt w:val="bullet"/>
      <w:lvlText w:val="o"/>
      <w:lvlJc w:val="left"/>
      <w:pPr>
        <w:ind w:left="6469" w:hanging="360"/>
      </w:pPr>
      <w:rPr>
        <w:rFonts w:ascii="Courier New" w:hAnsi="Courier New" w:cs="Courier New" w:hint="default"/>
      </w:rPr>
    </w:lvl>
    <w:lvl w:ilvl="8" w:tplc="C29EADA0" w:tentative="1">
      <w:start w:val="1"/>
      <w:numFmt w:val="bullet"/>
      <w:lvlText w:val=""/>
      <w:lvlJc w:val="left"/>
      <w:pPr>
        <w:ind w:left="7189" w:hanging="360"/>
      </w:pPr>
      <w:rPr>
        <w:rFonts w:ascii="Wingdings" w:hAnsi="Wingdings" w:hint="default"/>
      </w:rPr>
    </w:lvl>
  </w:abstractNum>
  <w:abstractNum w:abstractNumId="7" w15:restartNumberingAfterBreak="0">
    <w:nsid w:val="652161DC"/>
    <w:multiLevelType w:val="hybridMultilevel"/>
    <w:tmpl w:val="9DB82402"/>
    <w:lvl w:ilvl="0" w:tplc="5E148496">
      <w:start w:val="1"/>
      <w:numFmt w:val="bullet"/>
      <w:pStyle w:val="bulletbullets"/>
      <w:lvlText w:val=""/>
      <w:lvlJc w:val="left"/>
      <w:pPr>
        <w:tabs>
          <w:tab w:val="num" w:pos="284"/>
        </w:tabs>
        <w:ind w:left="284" w:hanging="284"/>
      </w:pPr>
      <w:rPr>
        <w:rFonts w:ascii="Symbol" w:hAnsi="Symbol" w:hint="default"/>
        <w:color w:val="auto"/>
      </w:rPr>
    </w:lvl>
    <w:lvl w:ilvl="1" w:tplc="04B0380E">
      <w:start w:val="1"/>
      <w:numFmt w:val="bullet"/>
      <w:lvlText w:val="o"/>
      <w:lvlJc w:val="left"/>
      <w:pPr>
        <w:tabs>
          <w:tab w:val="num" w:pos="1440"/>
        </w:tabs>
        <w:ind w:left="1440" w:hanging="360"/>
      </w:pPr>
      <w:rPr>
        <w:rFonts w:ascii="Courier New" w:hAnsi="Courier New" w:hint="default"/>
      </w:rPr>
    </w:lvl>
    <w:lvl w:ilvl="2" w:tplc="F0DA652A" w:tentative="1">
      <w:start w:val="1"/>
      <w:numFmt w:val="bullet"/>
      <w:lvlText w:val=""/>
      <w:lvlJc w:val="left"/>
      <w:pPr>
        <w:tabs>
          <w:tab w:val="num" w:pos="2160"/>
        </w:tabs>
        <w:ind w:left="2160" w:hanging="360"/>
      </w:pPr>
      <w:rPr>
        <w:rFonts w:ascii="Wingdings" w:hAnsi="Wingdings" w:hint="default"/>
      </w:rPr>
    </w:lvl>
    <w:lvl w:ilvl="3" w:tplc="94A4FE46" w:tentative="1">
      <w:start w:val="1"/>
      <w:numFmt w:val="bullet"/>
      <w:lvlText w:val=""/>
      <w:lvlJc w:val="left"/>
      <w:pPr>
        <w:tabs>
          <w:tab w:val="num" w:pos="2880"/>
        </w:tabs>
        <w:ind w:left="2880" w:hanging="360"/>
      </w:pPr>
      <w:rPr>
        <w:rFonts w:ascii="Symbol" w:hAnsi="Symbol" w:hint="default"/>
      </w:rPr>
    </w:lvl>
    <w:lvl w:ilvl="4" w:tplc="711E0EF6" w:tentative="1">
      <w:start w:val="1"/>
      <w:numFmt w:val="bullet"/>
      <w:lvlText w:val="o"/>
      <w:lvlJc w:val="left"/>
      <w:pPr>
        <w:tabs>
          <w:tab w:val="num" w:pos="3600"/>
        </w:tabs>
        <w:ind w:left="3600" w:hanging="360"/>
      </w:pPr>
      <w:rPr>
        <w:rFonts w:ascii="Courier New" w:hAnsi="Courier New" w:hint="default"/>
      </w:rPr>
    </w:lvl>
    <w:lvl w:ilvl="5" w:tplc="42229752" w:tentative="1">
      <w:start w:val="1"/>
      <w:numFmt w:val="bullet"/>
      <w:lvlText w:val=""/>
      <w:lvlJc w:val="left"/>
      <w:pPr>
        <w:tabs>
          <w:tab w:val="num" w:pos="4320"/>
        </w:tabs>
        <w:ind w:left="4320" w:hanging="360"/>
      </w:pPr>
      <w:rPr>
        <w:rFonts w:ascii="Wingdings" w:hAnsi="Wingdings" w:hint="default"/>
      </w:rPr>
    </w:lvl>
    <w:lvl w:ilvl="6" w:tplc="BA82930A" w:tentative="1">
      <w:start w:val="1"/>
      <w:numFmt w:val="bullet"/>
      <w:lvlText w:val=""/>
      <w:lvlJc w:val="left"/>
      <w:pPr>
        <w:tabs>
          <w:tab w:val="num" w:pos="5040"/>
        </w:tabs>
        <w:ind w:left="5040" w:hanging="360"/>
      </w:pPr>
      <w:rPr>
        <w:rFonts w:ascii="Symbol" w:hAnsi="Symbol" w:hint="default"/>
      </w:rPr>
    </w:lvl>
    <w:lvl w:ilvl="7" w:tplc="8EE2F436" w:tentative="1">
      <w:start w:val="1"/>
      <w:numFmt w:val="bullet"/>
      <w:lvlText w:val="o"/>
      <w:lvlJc w:val="left"/>
      <w:pPr>
        <w:tabs>
          <w:tab w:val="num" w:pos="5760"/>
        </w:tabs>
        <w:ind w:left="5760" w:hanging="360"/>
      </w:pPr>
      <w:rPr>
        <w:rFonts w:ascii="Courier New" w:hAnsi="Courier New" w:hint="default"/>
      </w:rPr>
    </w:lvl>
    <w:lvl w:ilvl="8" w:tplc="55DC5C3C"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5"/>
  </w:num>
  <w:num w:numId="5">
    <w:abstractNumId w:val="4"/>
  </w:num>
  <w:num w:numId="6">
    <w:abstractNumId w:val="6"/>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3"/>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0F5"/>
    <w:rsid w:val="000A3027"/>
    <w:rsid w:val="00102488"/>
    <w:rsid w:val="001925EB"/>
    <w:rsid w:val="002C6E42"/>
    <w:rsid w:val="00542969"/>
    <w:rsid w:val="0057177B"/>
    <w:rsid w:val="005B7004"/>
    <w:rsid w:val="006F0739"/>
    <w:rsid w:val="006F37C6"/>
    <w:rsid w:val="007722DC"/>
    <w:rsid w:val="007C1002"/>
    <w:rsid w:val="008256E6"/>
    <w:rsid w:val="00871B1C"/>
    <w:rsid w:val="008D60F5"/>
    <w:rsid w:val="0099117A"/>
    <w:rsid w:val="009C3FEB"/>
    <w:rsid w:val="009C7DFF"/>
    <w:rsid w:val="00A15E69"/>
    <w:rsid w:val="00B71ABD"/>
    <w:rsid w:val="00B94293"/>
    <w:rsid w:val="00BC320F"/>
    <w:rsid w:val="00C05FD1"/>
    <w:rsid w:val="00CD5010"/>
    <w:rsid w:val="00CE28F3"/>
    <w:rsid w:val="00E0460B"/>
    <w:rsid w:val="00E41902"/>
    <w:rsid w:val="00F7540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4D68"/>
  <w15:docId w15:val="{AF789943-8EE4-483F-9935-A7CB4F2A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1A2B"/>
    <w:pPr>
      <w:ind w:left="284" w:hanging="284"/>
    </w:pPr>
    <w:rPr>
      <w:sz w:val="24"/>
    </w:rPr>
  </w:style>
  <w:style w:type="paragraph" w:styleId="Heading1">
    <w:name w:val="heading 1"/>
    <w:basedOn w:val="Normal"/>
    <w:next w:val="Normal"/>
    <w:link w:val="Heading1Char"/>
    <w:uiPriority w:val="9"/>
    <w:qFormat/>
    <w:rsid w:val="00592789"/>
    <w:pPr>
      <w:keepNext/>
      <w:keepLines/>
      <w:spacing w:before="120" w:after="120" w:line="240" w:lineRule="auto"/>
      <w:ind w:left="435" w:hanging="435"/>
      <w:outlineLvl w:val="0"/>
    </w:pPr>
    <w:rPr>
      <w:rFonts w:eastAsiaTheme="majorEastAsia" w:cstheme="majorBidi"/>
      <w:b/>
      <w:color w:val="1F3864" w:themeColor="accent5" w:themeShade="80"/>
      <w:sz w:val="44"/>
      <w:szCs w:val="32"/>
      <w:u w:val="single"/>
    </w:rPr>
  </w:style>
  <w:style w:type="paragraph" w:styleId="Heading2">
    <w:name w:val="heading 2"/>
    <w:basedOn w:val="Normal"/>
    <w:next w:val="Normal"/>
    <w:link w:val="Heading2Char"/>
    <w:uiPriority w:val="9"/>
    <w:unhideWhenUsed/>
    <w:qFormat/>
    <w:rsid w:val="00206A12"/>
    <w:pPr>
      <w:keepNext/>
      <w:keepLines/>
      <w:numPr>
        <w:numId w:val="3"/>
      </w:numPr>
      <w:spacing w:before="360" w:after="120" w:line="240" w:lineRule="auto"/>
      <w:outlineLvl w:val="1"/>
    </w:pPr>
    <w:rPr>
      <w:rFonts w:eastAsiaTheme="majorEastAsia" w:cstheme="minorHAnsi"/>
      <w:b/>
      <w:sz w:val="32"/>
      <w:szCs w:val="32"/>
      <w:u w:val="single"/>
    </w:rPr>
  </w:style>
  <w:style w:type="paragraph" w:styleId="Heading3">
    <w:name w:val="heading 3"/>
    <w:basedOn w:val="Heading2"/>
    <w:next w:val="Normal"/>
    <w:link w:val="Heading3Char"/>
    <w:uiPriority w:val="9"/>
    <w:unhideWhenUsed/>
    <w:qFormat/>
    <w:rsid w:val="00E769ED"/>
    <w:pPr>
      <w:numPr>
        <w:ilvl w:val="1"/>
      </w:numP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789"/>
    <w:rPr>
      <w:rFonts w:eastAsiaTheme="majorEastAsia" w:cstheme="majorBidi"/>
      <w:b/>
      <w:color w:val="1F3864" w:themeColor="accent5" w:themeShade="80"/>
      <w:sz w:val="44"/>
      <w:szCs w:val="32"/>
      <w:u w:val="single"/>
    </w:rPr>
  </w:style>
  <w:style w:type="character" w:customStyle="1" w:styleId="Heading2Char">
    <w:name w:val="Heading 2 Char"/>
    <w:basedOn w:val="DefaultParagraphFont"/>
    <w:link w:val="Heading2"/>
    <w:uiPriority w:val="9"/>
    <w:rsid w:val="00206A12"/>
    <w:rPr>
      <w:rFonts w:eastAsiaTheme="majorEastAsia" w:cstheme="minorHAnsi"/>
      <w:b/>
      <w:sz w:val="32"/>
      <w:szCs w:val="32"/>
      <w:u w:val="single"/>
    </w:rPr>
  </w:style>
  <w:style w:type="paragraph" w:styleId="ListParagraph">
    <w:name w:val="List Paragraph"/>
    <w:aliases w:val="Body Bullets 1,Bullet Point,Bullet point,Bullet points,CV text,Content descriptions,Dot pt,F5 List Paragraph,L,List Paragraph1,List Paragraph11,List Paragraph111,Main,Medium Grid 1 - Accent 21,Numbered Paragraph,Recommendation,Table text"/>
    <w:basedOn w:val="Normal"/>
    <w:link w:val="ListParagraphChar"/>
    <w:uiPriority w:val="34"/>
    <w:qFormat/>
    <w:rsid w:val="00F64289"/>
    <w:pPr>
      <w:spacing w:after="0" w:line="240"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F64289"/>
    <w:rPr>
      <w:sz w:val="16"/>
      <w:szCs w:val="16"/>
    </w:rPr>
  </w:style>
  <w:style w:type="paragraph" w:styleId="CommentText">
    <w:name w:val="annotation text"/>
    <w:basedOn w:val="Normal"/>
    <w:link w:val="CommentTextChar"/>
    <w:uiPriority w:val="99"/>
    <w:unhideWhenUsed/>
    <w:rsid w:val="00F64289"/>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F64289"/>
    <w:rPr>
      <w:rFonts w:ascii="Calibri" w:hAnsi="Calibri" w:cs="Calibri"/>
      <w:sz w:val="20"/>
      <w:szCs w:val="20"/>
    </w:rPr>
  </w:style>
  <w:style w:type="paragraph" w:styleId="BalloonText">
    <w:name w:val="Balloon Text"/>
    <w:basedOn w:val="Normal"/>
    <w:link w:val="BalloonTextChar"/>
    <w:uiPriority w:val="99"/>
    <w:semiHidden/>
    <w:unhideWhenUsed/>
    <w:rsid w:val="00F64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28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7D73"/>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357D73"/>
    <w:rPr>
      <w:rFonts w:ascii="Calibri" w:hAnsi="Calibri" w:cs="Calibri"/>
      <w:b/>
      <w:bCs/>
      <w:sz w:val="20"/>
      <w:szCs w:val="20"/>
    </w:rPr>
  </w:style>
  <w:style w:type="paragraph" w:styleId="TOCHeading">
    <w:name w:val="TOC Heading"/>
    <w:basedOn w:val="Heading1"/>
    <w:next w:val="Normal"/>
    <w:uiPriority w:val="39"/>
    <w:unhideWhenUsed/>
    <w:qFormat/>
    <w:rsid w:val="003F7760"/>
    <w:pPr>
      <w:ind w:left="0" w:firstLine="0"/>
      <w:outlineLvl w:val="9"/>
    </w:pPr>
    <w:rPr>
      <w:b w:val="0"/>
      <w:color w:val="1F4E79" w:themeColor="accent1" w:themeShade="80"/>
      <w:lang w:val="en-US"/>
    </w:rPr>
  </w:style>
  <w:style w:type="paragraph" w:styleId="TOC1">
    <w:name w:val="toc 1"/>
    <w:basedOn w:val="Normal"/>
    <w:next w:val="Normal"/>
    <w:autoRedefine/>
    <w:uiPriority w:val="39"/>
    <w:unhideWhenUsed/>
    <w:rsid w:val="00175068"/>
    <w:pPr>
      <w:tabs>
        <w:tab w:val="right" w:leader="dot" w:pos="9016"/>
      </w:tabs>
      <w:spacing w:after="100"/>
      <w:ind w:left="0"/>
    </w:pPr>
    <w:rPr>
      <w:b/>
      <w:color w:val="2F5496" w:themeColor="accent5" w:themeShade="BF"/>
      <w:sz w:val="28"/>
    </w:rPr>
  </w:style>
  <w:style w:type="paragraph" w:styleId="TOC2">
    <w:name w:val="toc 2"/>
    <w:basedOn w:val="Normal"/>
    <w:next w:val="Normal"/>
    <w:autoRedefine/>
    <w:uiPriority w:val="39"/>
    <w:unhideWhenUsed/>
    <w:rsid w:val="00806636"/>
    <w:pPr>
      <w:tabs>
        <w:tab w:val="right" w:leader="dot" w:pos="9016"/>
      </w:tabs>
      <w:spacing w:after="100"/>
      <w:ind w:left="426" w:hanging="470"/>
    </w:pPr>
  </w:style>
  <w:style w:type="character" w:styleId="Hyperlink">
    <w:name w:val="Hyperlink"/>
    <w:basedOn w:val="DefaultParagraphFont"/>
    <w:uiPriority w:val="99"/>
    <w:unhideWhenUsed/>
    <w:rsid w:val="003F7760"/>
    <w:rPr>
      <w:color w:val="0563C1" w:themeColor="hyperlink"/>
      <w:u w:val="single"/>
    </w:rPr>
  </w:style>
  <w:style w:type="paragraph" w:styleId="Header">
    <w:name w:val="header"/>
    <w:basedOn w:val="Normal"/>
    <w:link w:val="HeaderChar"/>
    <w:uiPriority w:val="99"/>
    <w:unhideWhenUsed/>
    <w:rsid w:val="003F7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760"/>
    <w:rPr>
      <w:sz w:val="24"/>
    </w:rPr>
  </w:style>
  <w:style w:type="paragraph" w:styleId="Footer">
    <w:name w:val="footer"/>
    <w:basedOn w:val="Normal"/>
    <w:link w:val="FooterChar"/>
    <w:uiPriority w:val="99"/>
    <w:unhideWhenUsed/>
    <w:rsid w:val="003F7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760"/>
    <w:rPr>
      <w:sz w:val="24"/>
    </w:rPr>
  </w:style>
  <w:style w:type="character" w:customStyle="1" w:styleId="StandardSubclauseChar">
    <w:name w:val="Standard Subclause Char"/>
    <w:basedOn w:val="DefaultParagraphFont"/>
    <w:link w:val="StandardSubclause"/>
    <w:locked/>
    <w:rsid w:val="00F0203D"/>
    <w:rPr>
      <w:rFonts w:ascii="Calibri" w:hAnsi="Calibri" w:cs="Calibri"/>
    </w:rPr>
  </w:style>
  <w:style w:type="paragraph" w:customStyle="1" w:styleId="StandardSubclause">
    <w:name w:val="Standard Subclause"/>
    <w:basedOn w:val="Normal"/>
    <w:link w:val="StandardSubclauseChar"/>
    <w:rsid w:val="00F0203D"/>
    <w:pPr>
      <w:numPr>
        <w:ilvl w:val="1"/>
        <w:numId w:val="1"/>
      </w:numPr>
      <w:spacing w:after="120" w:line="240" w:lineRule="auto"/>
    </w:pPr>
    <w:rPr>
      <w:rFonts w:ascii="Calibri" w:hAnsi="Calibri" w:cs="Calibri"/>
      <w:sz w:val="22"/>
    </w:rPr>
  </w:style>
  <w:style w:type="paragraph" w:customStyle="1" w:styleId="StandardClause">
    <w:name w:val="Standard Clause"/>
    <w:basedOn w:val="Normal"/>
    <w:rsid w:val="00F0203D"/>
    <w:pPr>
      <w:keepNext/>
      <w:numPr>
        <w:numId w:val="1"/>
      </w:numPr>
      <w:spacing w:after="120" w:line="240" w:lineRule="auto"/>
    </w:pPr>
    <w:rPr>
      <w:rFonts w:ascii="Calibri" w:hAnsi="Calibri" w:cs="Calibri"/>
      <w:b/>
      <w:bCs/>
      <w:sz w:val="26"/>
      <w:szCs w:val="26"/>
    </w:rPr>
  </w:style>
  <w:style w:type="paragraph" w:customStyle="1" w:styleId="SubclausewithAlphaafternumber">
    <w:name w:val="Subclause with Alpha after number"/>
    <w:basedOn w:val="Normal"/>
    <w:rsid w:val="00F0203D"/>
    <w:pPr>
      <w:numPr>
        <w:ilvl w:val="2"/>
        <w:numId w:val="1"/>
      </w:numPr>
      <w:spacing w:after="120" w:line="240" w:lineRule="auto"/>
    </w:pPr>
    <w:rPr>
      <w:rFonts w:ascii="Calibri" w:hAnsi="Calibri" w:cs="Calibri"/>
      <w:sz w:val="22"/>
    </w:rPr>
  </w:style>
  <w:style w:type="paragraph" w:customStyle="1" w:styleId="SubclausewithRoman">
    <w:name w:val="Subclause with Roman"/>
    <w:basedOn w:val="Normal"/>
    <w:rsid w:val="00F0203D"/>
    <w:pPr>
      <w:numPr>
        <w:ilvl w:val="3"/>
        <w:numId w:val="1"/>
      </w:numPr>
      <w:spacing w:after="120" w:line="240" w:lineRule="auto"/>
    </w:pPr>
    <w:rPr>
      <w:rFonts w:ascii="Calibri" w:hAnsi="Calibri" w:cs="Calibri"/>
      <w:position w:val="1"/>
      <w:sz w:val="22"/>
    </w:rPr>
  </w:style>
  <w:style w:type="paragraph" w:customStyle="1" w:styleId="SubclausewithUpperAlpha">
    <w:name w:val="Subclause with Upper Alpha"/>
    <w:basedOn w:val="Normal"/>
    <w:rsid w:val="00F0203D"/>
    <w:pPr>
      <w:numPr>
        <w:ilvl w:val="4"/>
        <w:numId w:val="1"/>
      </w:numPr>
      <w:spacing w:after="120" w:line="240" w:lineRule="auto"/>
      <w:ind w:left="2891" w:hanging="510"/>
    </w:pPr>
    <w:rPr>
      <w:rFonts w:ascii="Calibri" w:hAnsi="Calibri" w:cs="Calibri"/>
      <w:position w:val="1"/>
      <w:sz w:val="22"/>
    </w:rPr>
  </w:style>
  <w:style w:type="character" w:customStyle="1" w:styleId="ListParagraphChar">
    <w:name w:val="List Paragraph Char"/>
    <w:aliases w:val="Body Bullets 1 Char,Bullet Point Char,Bullet point Char,Bullet points Char,CV text Char,Content descriptions Char,Dot pt Char,F5 List Paragraph Char,L Char,List Paragraph1 Char,List Paragraph11 Char,List Paragraph111 Char,Main Char"/>
    <w:basedOn w:val="DefaultParagraphFont"/>
    <w:link w:val="ListParagraph"/>
    <w:uiPriority w:val="34"/>
    <w:locked/>
    <w:rsid w:val="00EF2344"/>
    <w:rPr>
      <w:rFonts w:ascii="Calibri" w:hAnsi="Calibri" w:cs="Calibri"/>
      <w:sz w:val="24"/>
    </w:rPr>
  </w:style>
  <w:style w:type="paragraph" w:customStyle="1" w:styleId="bulletbullets">
    <w:name w:val="bullet (bullets)"/>
    <w:basedOn w:val="Normal"/>
    <w:rsid w:val="00806636"/>
    <w:pPr>
      <w:numPr>
        <w:numId w:val="2"/>
      </w:numPr>
      <w:suppressAutoHyphens/>
      <w:autoSpaceDE w:val="0"/>
      <w:autoSpaceDN w:val="0"/>
      <w:adjustRightInd w:val="0"/>
      <w:spacing w:after="120" w:line="288" w:lineRule="auto"/>
      <w:jc w:val="both"/>
      <w:textAlignment w:val="center"/>
    </w:pPr>
    <w:rPr>
      <w:rFonts w:eastAsia="Times New Roman" w:cs="Myriad Pro Light"/>
      <w:color w:val="000000"/>
      <w:sz w:val="22"/>
      <w:szCs w:val="20"/>
      <w:lang w:val="en-GB" w:eastAsia="en-AU"/>
    </w:rPr>
  </w:style>
  <w:style w:type="paragraph" w:styleId="NoSpacing">
    <w:name w:val="No Spacing"/>
    <w:basedOn w:val="Normal"/>
    <w:uiPriority w:val="1"/>
    <w:qFormat/>
    <w:rsid w:val="00A973D4"/>
    <w:pPr>
      <w:spacing w:after="0" w:line="240" w:lineRule="auto"/>
    </w:pPr>
    <w:rPr>
      <w:rFonts w:ascii="Calibri" w:hAnsi="Calibri" w:cs="Calibri"/>
      <w:szCs w:val="24"/>
    </w:rPr>
  </w:style>
  <w:style w:type="character" w:customStyle="1" w:styleId="Heading3Char">
    <w:name w:val="Heading 3 Char"/>
    <w:basedOn w:val="DefaultParagraphFont"/>
    <w:link w:val="Heading3"/>
    <w:uiPriority w:val="9"/>
    <w:rsid w:val="00E769ED"/>
    <w:rPr>
      <w:rFonts w:eastAsiaTheme="majorEastAsia" w:cstheme="minorHAnsi"/>
      <w:b/>
      <w:sz w:val="24"/>
      <w:szCs w:val="32"/>
      <w:u w:val="single"/>
    </w:rPr>
  </w:style>
  <w:style w:type="paragraph" w:styleId="TOC3">
    <w:name w:val="toc 3"/>
    <w:basedOn w:val="Normal"/>
    <w:next w:val="Normal"/>
    <w:autoRedefine/>
    <w:uiPriority w:val="39"/>
    <w:unhideWhenUsed/>
    <w:rsid w:val="0061737A"/>
    <w:pPr>
      <w:spacing w:after="100"/>
      <w:ind w:left="480"/>
    </w:pPr>
  </w:style>
  <w:style w:type="character" w:styleId="Strong">
    <w:name w:val="Strong"/>
    <w:uiPriority w:val="22"/>
    <w:qFormat/>
    <w:rsid w:val="0061737A"/>
    <w:rPr>
      <w:rFonts w:asciiTheme="minorHAnsi" w:hAnsiTheme="minorHAnsi" w:cstheme="minorHAnsi"/>
      <w:u w:val="none"/>
    </w:rPr>
  </w:style>
  <w:style w:type="paragraph" w:styleId="TOC4">
    <w:name w:val="toc 4"/>
    <w:basedOn w:val="Normal"/>
    <w:next w:val="Normal"/>
    <w:autoRedefine/>
    <w:uiPriority w:val="39"/>
    <w:unhideWhenUsed/>
    <w:rsid w:val="00175068"/>
    <w:pPr>
      <w:spacing w:after="100"/>
      <w:ind w:left="660" w:firstLine="0"/>
    </w:pPr>
    <w:rPr>
      <w:rFonts w:eastAsiaTheme="minorEastAsia"/>
      <w:sz w:val="22"/>
      <w:lang w:eastAsia="en-AU"/>
    </w:rPr>
  </w:style>
  <w:style w:type="paragraph" w:styleId="TOC5">
    <w:name w:val="toc 5"/>
    <w:basedOn w:val="Normal"/>
    <w:next w:val="Normal"/>
    <w:autoRedefine/>
    <w:uiPriority w:val="39"/>
    <w:unhideWhenUsed/>
    <w:rsid w:val="00175068"/>
    <w:pPr>
      <w:spacing w:after="100"/>
      <w:ind w:left="880" w:firstLine="0"/>
    </w:pPr>
    <w:rPr>
      <w:rFonts w:eastAsiaTheme="minorEastAsia"/>
      <w:sz w:val="22"/>
      <w:lang w:eastAsia="en-AU"/>
    </w:rPr>
  </w:style>
  <w:style w:type="paragraph" w:styleId="TOC6">
    <w:name w:val="toc 6"/>
    <w:basedOn w:val="Normal"/>
    <w:next w:val="Normal"/>
    <w:autoRedefine/>
    <w:uiPriority w:val="39"/>
    <w:unhideWhenUsed/>
    <w:rsid w:val="00175068"/>
    <w:pPr>
      <w:spacing w:after="100"/>
      <w:ind w:left="1100" w:firstLine="0"/>
    </w:pPr>
    <w:rPr>
      <w:rFonts w:eastAsiaTheme="minorEastAsia"/>
      <w:sz w:val="22"/>
      <w:lang w:eastAsia="en-AU"/>
    </w:rPr>
  </w:style>
  <w:style w:type="paragraph" w:styleId="TOC7">
    <w:name w:val="toc 7"/>
    <w:basedOn w:val="Normal"/>
    <w:next w:val="Normal"/>
    <w:autoRedefine/>
    <w:uiPriority w:val="39"/>
    <w:unhideWhenUsed/>
    <w:rsid w:val="00175068"/>
    <w:pPr>
      <w:spacing w:after="100"/>
      <w:ind w:left="1320" w:firstLine="0"/>
    </w:pPr>
    <w:rPr>
      <w:rFonts w:eastAsiaTheme="minorEastAsia"/>
      <w:sz w:val="22"/>
      <w:lang w:eastAsia="en-AU"/>
    </w:rPr>
  </w:style>
  <w:style w:type="paragraph" w:styleId="TOC8">
    <w:name w:val="toc 8"/>
    <w:basedOn w:val="Normal"/>
    <w:next w:val="Normal"/>
    <w:autoRedefine/>
    <w:uiPriority w:val="39"/>
    <w:unhideWhenUsed/>
    <w:rsid w:val="00175068"/>
    <w:pPr>
      <w:spacing w:after="100"/>
      <w:ind w:left="1540" w:firstLine="0"/>
    </w:pPr>
    <w:rPr>
      <w:rFonts w:eastAsiaTheme="minorEastAsia"/>
      <w:sz w:val="22"/>
      <w:lang w:eastAsia="en-AU"/>
    </w:rPr>
  </w:style>
  <w:style w:type="paragraph" w:styleId="TOC9">
    <w:name w:val="toc 9"/>
    <w:basedOn w:val="Normal"/>
    <w:next w:val="Normal"/>
    <w:autoRedefine/>
    <w:uiPriority w:val="39"/>
    <w:unhideWhenUsed/>
    <w:rsid w:val="00175068"/>
    <w:pPr>
      <w:spacing w:after="100"/>
      <w:ind w:left="1760" w:firstLine="0"/>
    </w:pPr>
    <w:rPr>
      <w:rFonts w:eastAsiaTheme="minorEastAsia"/>
      <w:sz w:val="22"/>
      <w:lang w:eastAsia="en-AU"/>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A0910"/>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B11D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D0B"/>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E31B47"/>
    <w:rPr>
      <w:color w:val="605E5C"/>
      <w:shd w:val="clear" w:color="auto" w:fill="E1DFDD"/>
    </w:rPr>
  </w:style>
  <w:style w:type="character" w:styleId="FollowedHyperlink">
    <w:name w:val="FollowedHyperlink"/>
    <w:basedOn w:val="DefaultParagraphFont"/>
    <w:uiPriority w:val="99"/>
    <w:semiHidden/>
    <w:unhideWhenUsed/>
    <w:rsid w:val="00FC2AC6"/>
    <w:rPr>
      <w:color w:val="954F72" w:themeColor="followedHyperlink"/>
      <w:u w:val="single"/>
    </w:rPr>
  </w:style>
  <w:style w:type="character" w:customStyle="1" w:styleId="UnresolvedMention2">
    <w:name w:val="Unresolved Mention2"/>
    <w:basedOn w:val="DefaultParagraphFont"/>
    <w:uiPriority w:val="99"/>
    <w:semiHidden/>
    <w:unhideWhenUsed/>
    <w:rsid w:val="00D40529"/>
    <w:rPr>
      <w:color w:val="605E5C"/>
      <w:shd w:val="clear" w:color="auto" w:fill="E1DFDD"/>
    </w:rPr>
  </w:style>
  <w:style w:type="paragraph" w:styleId="FootnoteText">
    <w:name w:val="footnote text"/>
    <w:basedOn w:val="Normal"/>
    <w:link w:val="FootnoteTextChar"/>
    <w:uiPriority w:val="99"/>
    <w:semiHidden/>
    <w:unhideWhenUsed/>
    <w:rsid w:val="00F243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3A0"/>
    <w:rPr>
      <w:sz w:val="20"/>
      <w:szCs w:val="20"/>
    </w:rPr>
  </w:style>
  <w:style w:type="character" w:styleId="FootnoteReference">
    <w:name w:val="footnote reference"/>
    <w:basedOn w:val="DefaultParagraphFont"/>
    <w:uiPriority w:val="99"/>
    <w:semiHidden/>
    <w:unhideWhenUsed/>
    <w:rsid w:val="00F243A0"/>
    <w:rPr>
      <w:vertAlign w:val="superscript"/>
    </w:rPr>
  </w:style>
  <w:style w:type="character" w:customStyle="1" w:styleId="UnresolvedMention3">
    <w:name w:val="Unresolved Mention3"/>
    <w:basedOn w:val="DefaultParagraphFont"/>
    <w:uiPriority w:val="99"/>
    <w:rsid w:val="00772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59128">
      <w:bodyDiv w:val="1"/>
      <w:marLeft w:val="0"/>
      <w:marRight w:val="0"/>
      <w:marTop w:val="0"/>
      <w:marBottom w:val="0"/>
      <w:divBdr>
        <w:top w:val="none" w:sz="0" w:space="0" w:color="auto"/>
        <w:left w:val="none" w:sz="0" w:space="0" w:color="auto"/>
        <w:bottom w:val="none" w:sz="0" w:space="0" w:color="auto"/>
        <w:right w:val="none" w:sz="0" w:space="0" w:color="auto"/>
      </w:divBdr>
    </w:div>
    <w:div w:id="1459298445">
      <w:bodyDiv w:val="1"/>
      <w:marLeft w:val="0"/>
      <w:marRight w:val="0"/>
      <w:marTop w:val="0"/>
      <w:marBottom w:val="0"/>
      <w:divBdr>
        <w:top w:val="none" w:sz="0" w:space="0" w:color="auto"/>
        <w:left w:val="none" w:sz="0" w:space="0" w:color="auto"/>
        <w:bottom w:val="none" w:sz="0" w:space="0" w:color="auto"/>
        <w:right w:val="none" w:sz="0" w:space="0" w:color="auto"/>
      </w:divBdr>
    </w:div>
    <w:div w:id="1915698861">
      <w:bodyDiv w:val="1"/>
      <w:marLeft w:val="0"/>
      <w:marRight w:val="0"/>
      <w:marTop w:val="0"/>
      <w:marBottom w:val="0"/>
      <w:divBdr>
        <w:top w:val="none" w:sz="0" w:space="0" w:color="auto"/>
        <w:left w:val="none" w:sz="0" w:space="0" w:color="auto"/>
        <w:bottom w:val="none" w:sz="0" w:space="0" w:color="auto"/>
        <w:right w:val="none" w:sz="0" w:space="0" w:color="auto"/>
      </w:divBdr>
    </w:div>
    <w:div w:id="196661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aa.gov.au/indigenous-affairs/economic-development/indigenous-procurement-policy-ipp" TargetMode="External"/><Relationship Id="rId18" Type="http://schemas.openxmlformats.org/officeDocument/2006/relationships/hyperlink" Target="https://www.employment.gov.au/parentsnext-frequently-asked-ques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mployment.gov.au/new-employment-services-model" TargetMode="External"/><Relationship Id="rId17" Type="http://schemas.openxmlformats.org/officeDocument/2006/relationships/hyperlink" Target="https://lmip.gov.au" TargetMode="External"/><Relationship Id="rId2" Type="http://schemas.openxmlformats.org/officeDocument/2006/relationships/customXml" Target="../customXml/item2.xml"/><Relationship Id="rId16" Type="http://schemas.openxmlformats.org/officeDocument/2006/relationships/hyperlink" Target="https://lmip.gov.au" TargetMode="External"/><Relationship Id="rId20" Type="http://schemas.openxmlformats.org/officeDocument/2006/relationships/hyperlink" Target="https://docs.employment.gov.au/documents/fact-sheet-payment-mod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ployment.gov.au/proposed-licensing-system-new-employment-services-model-discussion-paper" TargetMode="External"/><Relationship Id="rId5" Type="http://schemas.openxmlformats.org/officeDocument/2006/relationships/styles" Target="styles.xml"/><Relationship Id="rId15" Type="http://schemas.openxmlformats.org/officeDocument/2006/relationships/hyperlink" Target="https://www.employment.gov.au/nest-guidelines" TargetMode="External"/><Relationship Id="rId23" Type="http://schemas.openxmlformats.org/officeDocument/2006/relationships/theme" Target="theme/theme1.xml"/><Relationship Id="rId10" Type="http://schemas.openxmlformats.org/officeDocument/2006/relationships/hyperlink" Target="https://docs.employment.gov.au/documents/new-employment-services-update-and-licensing-system-webinar-3-july-2020" TargetMode="External"/><Relationship Id="rId19" Type="http://schemas.openxmlformats.org/officeDocument/2006/relationships/hyperlink" Target="https://docs.employment.gov.au/documents/fact-sheet-payment-mod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employment.gov.au/documents/fact-sheet-payment-mode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E7CAFF5EB214A860EDA74A7A56456" ma:contentTypeVersion="8" ma:contentTypeDescription="Create a new document." ma:contentTypeScope="" ma:versionID="7c62f0cff7a3f5d8ae25b27701ab8909">
  <xsd:schema xmlns:xsd="http://www.w3.org/2001/XMLSchema" xmlns:xs="http://www.w3.org/2001/XMLSchema" xmlns:p="http://schemas.microsoft.com/office/2006/metadata/properties" xmlns:ns3="117feff1-bbf4-4d79-867d-1c5dcb53722b" targetNamespace="http://schemas.microsoft.com/office/2006/metadata/properties" ma:root="true" ma:fieldsID="4689a9e6cbfccbb9bdc02be2b039d5ce" ns3:_="">
    <xsd:import namespace="117feff1-bbf4-4d79-867d-1c5dcb5372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feff1-bbf4-4d79-867d-1c5dcb537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5C7DA-97C8-4B42-BECA-334C288B5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feff1-bbf4-4d79-867d-1c5dcb537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1FB28-7977-483A-8B17-C1E42527AD81}">
  <ds:schemaRefs>
    <ds:schemaRef ds:uri="http://schemas.microsoft.com/sharepoint/v3/contenttype/forms"/>
  </ds:schemaRefs>
</ds:datastoreItem>
</file>

<file path=customXml/itemProps3.xml><?xml version="1.0" encoding="utf-8"?>
<ds:datastoreItem xmlns:ds="http://schemas.openxmlformats.org/officeDocument/2006/customXml" ds:itemID="{3CFB5C91-282F-48C1-9850-E683857A83C1}">
  <ds:schemaRefs>
    <ds:schemaRef ds:uri="117feff1-bbf4-4d79-867d-1c5dcb53722b"/>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7471</Words>
  <Characters>42586</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KIRK,Janine</dc:creator>
  <cp:lastModifiedBy>MALONEY,Susan</cp:lastModifiedBy>
  <cp:revision>2</cp:revision>
  <cp:lastPrinted>2020-10-23T01:04:00Z</cp:lastPrinted>
  <dcterms:created xsi:type="dcterms:W3CDTF">2021-01-04T04:34:00Z</dcterms:created>
  <dcterms:modified xsi:type="dcterms:W3CDTF">2021-01-04T04:34:00Z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0x01010004DE7CAFF5EB214A860EDA74A7A56456</vt:lpwstr>
  </property>
  <property fmtid="{D5CDD505-2E9C-101B-9397-08002B2CF9AE}" pid="3" name="IsMyDocuments">
    <vt:bool>true</vt:bool>
  </property>
</Properties>
</file>