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2532D631" w:rsidR="00067075" w:rsidRDefault="003A2EFF" w:rsidP="00E14881">
      <w:r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122E94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4A423757" w14:textId="2E7FE423" w:rsidR="3B9F9643" w:rsidRPr="00FF5DDB" w:rsidRDefault="32C6D5B5" w:rsidP="0278E27E">
      <w:pPr>
        <w:pStyle w:val="Title"/>
        <w:spacing w:before="1200"/>
        <w:contextualSpacing/>
        <w:rPr>
          <w:rFonts w:ascii="Calibri" w:eastAsia="Calibri" w:hAnsi="Calibri" w:cs="Calibri"/>
          <w:color w:val="404245"/>
          <w:sz w:val="44"/>
          <w:szCs w:val="44"/>
          <w:highlight w:val="yellow"/>
        </w:rPr>
      </w:pPr>
      <w:r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>International education and m</w:t>
      </w:r>
      <w:r w:rsidR="143B2AE4"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 xml:space="preserve">anaged </w:t>
      </w:r>
      <w:r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>g</w:t>
      </w:r>
      <w:r w:rsidR="143B2AE4"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 xml:space="preserve">rowth </w:t>
      </w:r>
      <w:r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 xml:space="preserve">arrangements for 2026 – information for </w:t>
      </w:r>
      <w:r w:rsidR="15958A45"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 xml:space="preserve">TAFE </w:t>
      </w:r>
      <w:r w:rsidR="695599CA"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>p</w:t>
      </w:r>
      <w:r w:rsidR="15958A45" w:rsidRPr="0278E27E">
        <w:rPr>
          <w:rFonts w:ascii="Aptos Display" w:eastAsia="Aptos Display" w:hAnsi="Aptos Display" w:cs="Aptos Display"/>
          <w:color w:val="404245"/>
          <w:sz w:val="44"/>
          <w:szCs w:val="44"/>
        </w:rPr>
        <w:t>roviders</w:t>
      </w:r>
    </w:p>
    <w:p w14:paraId="7A1A9971" w14:textId="081495CB" w:rsidR="00FF5DDB" w:rsidRPr="00FF5DDB" w:rsidRDefault="00166398" w:rsidP="184AC258">
      <w:pPr>
        <w:spacing w:before="120" w:after="120"/>
        <w:rPr>
          <w:rStyle w:val="normaltextrun"/>
          <w:rFonts w:eastAsia="Aptos Display" w:cs="Aptos Display"/>
        </w:rPr>
      </w:pPr>
      <w:r w:rsidRPr="6761905F">
        <w:rPr>
          <w:rFonts w:eastAsia="Aptos Display" w:cs="Aptos Display"/>
        </w:rPr>
        <w:t>The Australian Government remains committed to a high quality, resilient international education sector with modest growth over time. A managed growth approach has been effective in returning student numbers to a more sustainable level in 2025 and the Government has now determined arrangements for 2026, including for TAFE providers.</w:t>
      </w:r>
      <w:r w:rsidR="003808F3" w:rsidRPr="6761905F">
        <w:rPr>
          <w:rFonts w:eastAsia="Aptos Display" w:cs="Aptos Display"/>
        </w:rPr>
        <w:t xml:space="preserve"> </w:t>
      </w:r>
    </w:p>
    <w:p w14:paraId="212C4ECA" w14:textId="227E8D1C" w:rsidR="0C45D955" w:rsidRDefault="0C45D955" w:rsidP="6761905F">
      <w:pPr>
        <w:rPr>
          <w:rFonts w:eastAsia="Aptos Display" w:cs="Aptos Display"/>
        </w:rPr>
      </w:pPr>
      <w:r w:rsidRPr="6761905F">
        <w:rPr>
          <w:rStyle w:val="normaltextrun"/>
          <w:rFonts w:eastAsia="Aptos Display" w:cs="Aptos Display"/>
          <w:color w:val="000000" w:themeColor="text1"/>
        </w:rPr>
        <w:t xml:space="preserve">More information about the </w:t>
      </w:r>
      <w:hyperlink r:id="rId13">
        <w:r w:rsidRPr="6761905F">
          <w:rPr>
            <w:rStyle w:val="Hyperlink"/>
            <w:rFonts w:eastAsia="Aptos Display" w:cs="Aptos Display"/>
          </w:rPr>
          <w:t>Government's managed growth arrangements for 2026</w:t>
        </w:r>
      </w:hyperlink>
      <w:r w:rsidRPr="6761905F">
        <w:rPr>
          <w:rStyle w:val="normaltextrun"/>
          <w:rFonts w:eastAsia="Aptos Display" w:cs="Aptos Display"/>
          <w:color w:val="000000" w:themeColor="text1"/>
        </w:rPr>
        <w:t xml:space="preserve"> is published by the Department of Education.   </w:t>
      </w:r>
    </w:p>
    <w:p w14:paraId="0D6A34E5" w14:textId="77777777" w:rsidR="00AB48EF" w:rsidRPr="00AB48EF" w:rsidRDefault="00AB48EF" w:rsidP="184AC258">
      <w:pPr>
        <w:spacing w:before="120" w:after="120"/>
        <w:rPr>
          <w:rStyle w:val="eop"/>
          <w:rFonts w:eastAsia="Aptos Display" w:cs="Aptos Display"/>
          <w:color w:val="000000"/>
        </w:rPr>
      </w:pPr>
      <w:hyperlink r:id="rId14">
        <w:r w:rsidRPr="5190F0A3">
          <w:rPr>
            <w:rStyle w:val="normaltextrun"/>
            <w:rFonts w:eastAsia="Aptos Display" w:cs="Aptos Display"/>
            <w:color w:val="287DB2"/>
            <w:u w:val="single"/>
          </w:rPr>
          <w:t>Allocations for all VET providers for 2026</w:t>
        </w:r>
      </w:hyperlink>
      <w:r w:rsidRPr="5190F0A3">
        <w:rPr>
          <w:rStyle w:val="normaltextrun"/>
          <w:rFonts w:eastAsia="Aptos Display" w:cs="Aptos Display"/>
          <w:color w:val="000000" w:themeColor="text1"/>
        </w:rPr>
        <w:t xml:space="preserve"> were published on 4 August 2025 (and continue to be available in PRISMS) and provider progress against allocations will continue to inform prioritisation for offshore student visa processing.</w:t>
      </w:r>
    </w:p>
    <w:p w14:paraId="2B87B250" w14:textId="256CE945" w:rsidR="000D610D" w:rsidRPr="00AB48EF" w:rsidRDefault="25D88541" w:rsidP="6761905F">
      <w:pPr>
        <w:spacing w:before="120" w:after="120"/>
        <w:rPr>
          <w:rFonts w:eastAsia="Aptos Display" w:cs="Aptos Display"/>
          <w:b/>
          <w:bCs/>
          <w:i/>
          <w:iCs/>
        </w:rPr>
      </w:pPr>
      <w:r w:rsidRPr="6761905F">
        <w:rPr>
          <w:rFonts w:eastAsia="Aptos Display" w:cs="Aptos Display"/>
          <w:b/>
          <w:bCs/>
          <w:i/>
          <w:iCs/>
        </w:rPr>
        <w:t>Offshore v</w:t>
      </w:r>
      <w:r w:rsidR="000D610D" w:rsidRPr="6761905F">
        <w:rPr>
          <w:rFonts w:eastAsia="Aptos Display" w:cs="Aptos Display"/>
          <w:b/>
          <w:bCs/>
          <w:i/>
          <w:iCs/>
        </w:rPr>
        <w:t xml:space="preserve">isa applications from students enrolled with a TAFE </w:t>
      </w:r>
      <w:r w:rsidR="00242FC0" w:rsidRPr="6761905F">
        <w:rPr>
          <w:rFonts w:eastAsia="Aptos Display" w:cs="Aptos Display"/>
          <w:b/>
          <w:bCs/>
          <w:i/>
          <w:iCs/>
        </w:rPr>
        <w:t>p</w:t>
      </w:r>
      <w:r w:rsidR="000D610D" w:rsidRPr="6761905F">
        <w:rPr>
          <w:rFonts w:eastAsia="Aptos Display" w:cs="Aptos Display"/>
          <w:b/>
          <w:bCs/>
          <w:i/>
          <w:iCs/>
        </w:rPr>
        <w:t>rovider</w:t>
      </w:r>
    </w:p>
    <w:p w14:paraId="1245B9F8" w14:textId="17DC4598" w:rsidR="00242FC0" w:rsidRPr="00AB48EF" w:rsidRDefault="00242FC0" w:rsidP="184AC258">
      <w:pPr>
        <w:spacing w:before="120" w:after="120"/>
        <w:rPr>
          <w:rFonts w:eastAsia="Aptos Display" w:cs="Aptos Display"/>
        </w:rPr>
      </w:pPr>
      <w:r w:rsidRPr="5190F0A3">
        <w:rPr>
          <w:rFonts w:eastAsia="Aptos Display" w:cs="Aptos Display"/>
        </w:rPr>
        <w:t xml:space="preserve">A TAFE provider means a public VET provider which is a body established </w:t>
      </w:r>
      <w:r w:rsidR="00FF5DDB" w:rsidRPr="5190F0A3">
        <w:rPr>
          <w:rFonts w:eastAsia="Aptos Display" w:cs="Aptos Display"/>
        </w:rPr>
        <w:t xml:space="preserve">under Australian state or territory law </w:t>
      </w:r>
      <w:r w:rsidRPr="5190F0A3">
        <w:rPr>
          <w:rFonts w:eastAsia="Aptos Display" w:cs="Aptos Display"/>
        </w:rPr>
        <w:t xml:space="preserve">to provide VET. </w:t>
      </w:r>
    </w:p>
    <w:p w14:paraId="0F7D6A9E" w14:textId="33AA0156" w:rsidR="004C3C15" w:rsidRPr="00AB48EF" w:rsidRDefault="1BD6A788" w:rsidP="184AC258">
      <w:pPr>
        <w:rPr>
          <w:rFonts w:eastAsia="Aptos Display" w:cs="Aptos Display"/>
        </w:rPr>
      </w:pPr>
      <w:r w:rsidRPr="6761905F">
        <w:rPr>
          <w:rFonts w:eastAsia="Aptos Display" w:cs="Aptos Display"/>
        </w:rPr>
        <w:t xml:space="preserve">Offshore </w:t>
      </w:r>
      <w:r w:rsidR="00030F07">
        <w:rPr>
          <w:rFonts w:eastAsia="Aptos Display" w:cs="Aptos Display"/>
        </w:rPr>
        <w:t>v</w:t>
      </w:r>
      <w:r w:rsidR="004C3C15" w:rsidRPr="6761905F">
        <w:rPr>
          <w:rFonts w:eastAsia="Aptos Display" w:cs="Aptos Display"/>
        </w:rPr>
        <w:t xml:space="preserve">isa applications </w:t>
      </w:r>
      <w:r w:rsidR="003A163F" w:rsidRPr="6761905F">
        <w:rPr>
          <w:rFonts w:eastAsia="Aptos Display" w:cs="Aptos Display"/>
        </w:rPr>
        <w:t>from</w:t>
      </w:r>
      <w:r w:rsidR="004C3C15" w:rsidRPr="6761905F">
        <w:rPr>
          <w:rFonts w:eastAsia="Aptos Display" w:cs="Aptos Display"/>
        </w:rPr>
        <w:t xml:space="preserve"> students enrolled </w:t>
      </w:r>
      <w:r w:rsidR="003A163F" w:rsidRPr="6761905F">
        <w:rPr>
          <w:rFonts w:eastAsia="Aptos Display" w:cs="Aptos Display"/>
        </w:rPr>
        <w:t xml:space="preserve">with a TAFE </w:t>
      </w:r>
      <w:r w:rsidR="00BD73D7" w:rsidRPr="6761905F">
        <w:rPr>
          <w:rFonts w:eastAsia="Aptos Display" w:cs="Aptos Display"/>
        </w:rPr>
        <w:t>p</w:t>
      </w:r>
      <w:r w:rsidR="003A163F" w:rsidRPr="6761905F">
        <w:rPr>
          <w:rFonts w:eastAsia="Aptos Display" w:cs="Aptos Display"/>
        </w:rPr>
        <w:t>rovider</w:t>
      </w:r>
      <w:r w:rsidR="004C3C15" w:rsidRPr="6761905F">
        <w:rPr>
          <w:rFonts w:eastAsia="Aptos Display" w:cs="Aptos Display"/>
        </w:rPr>
        <w:t xml:space="preserve"> will </w:t>
      </w:r>
      <w:r w:rsidR="00BD73D7" w:rsidRPr="6761905F">
        <w:rPr>
          <w:rFonts w:eastAsia="Aptos Display" w:cs="Aptos Display"/>
        </w:rPr>
        <w:t xml:space="preserve">continue to </w:t>
      </w:r>
      <w:r w:rsidR="004C3C15" w:rsidRPr="6761905F">
        <w:rPr>
          <w:rFonts w:eastAsia="Aptos Display" w:cs="Aptos Display"/>
        </w:rPr>
        <w:t xml:space="preserve">receive </w:t>
      </w:r>
      <w:r w:rsidR="00242FC0" w:rsidRPr="6761905F">
        <w:rPr>
          <w:rFonts w:eastAsia="Aptos Display" w:cs="Aptos Display"/>
        </w:rPr>
        <w:t xml:space="preserve">ongoing </w:t>
      </w:r>
      <w:r w:rsidR="00BD73D7" w:rsidRPr="6761905F">
        <w:rPr>
          <w:rFonts w:eastAsia="Aptos Display" w:cs="Aptos Display"/>
        </w:rPr>
        <w:t>Priority 1</w:t>
      </w:r>
      <w:r w:rsidR="00ED7177" w:rsidRPr="6761905F">
        <w:rPr>
          <w:rFonts w:eastAsia="Aptos Display" w:cs="Aptos Display"/>
        </w:rPr>
        <w:t xml:space="preserve"> </w:t>
      </w:r>
      <w:r w:rsidR="004C3C15" w:rsidRPr="6761905F">
        <w:rPr>
          <w:rFonts w:eastAsia="Aptos Display" w:cs="Aptos Display"/>
        </w:rPr>
        <w:t xml:space="preserve">processing. </w:t>
      </w:r>
      <w:r w:rsidR="00092D38" w:rsidRPr="6761905F">
        <w:rPr>
          <w:rFonts w:eastAsia="Aptos Display" w:cs="Aptos Display"/>
        </w:rPr>
        <w:t xml:space="preserve">This </w:t>
      </w:r>
      <w:r w:rsidR="00295FED" w:rsidRPr="6761905F">
        <w:rPr>
          <w:rFonts w:eastAsia="Aptos Display" w:cs="Aptos Display"/>
        </w:rPr>
        <w:t xml:space="preserve">ensures TAFE </w:t>
      </w:r>
      <w:r w:rsidR="00BD73D7" w:rsidRPr="6761905F">
        <w:rPr>
          <w:rFonts w:eastAsia="Aptos Display" w:cs="Aptos Display"/>
        </w:rPr>
        <w:t>p</w:t>
      </w:r>
      <w:r w:rsidR="00295FED" w:rsidRPr="6761905F">
        <w:rPr>
          <w:rFonts w:eastAsia="Aptos Display" w:cs="Aptos Display"/>
        </w:rPr>
        <w:t xml:space="preserve">roviders can </w:t>
      </w:r>
      <w:r w:rsidR="00BD73D7" w:rsidRPr="6761905F">
        <w:rPr>
          <w:rFonts w:eastAsia="Aptos Display" w:cs="Aptos Display"/>
        </w:rPr>
        <w:t xml:space="preserve">continue to </w:t>
      </w:r>
      <w:r w:rsidR="00295FED" w:rsidRPr="6761905F">
        <w:rPr>
          <w:rFonts w:eastAsia="Aptos Display" w:cs="Aptos Display"/>
        </w:rPr>
        <w:t xml:space="preserve">grow their share of the </w:t>
      </w:r>
      <w:r w:rsidR="001213FF" w:rsidRPr="6761905F">
        <w:rPr>
          <w:rFonts w:eastAsia="Aptos Display" w:cs="Aptos Display"/>
        </w:rPr>
        <w:t xml:space="preserve">onshore </w:t>
      </w:r>
      <w:r w:rsidR="00092D38" w:rsidRPr="6761905F">
        <w:rPr>
          <w:rFonts w:eastAsia="Aptos Display" w:cs="Aptos Display"/>
        </w:rPr>
        <w:t>international student market</w:t>
      </w:r>
      <w:r w:rsidR="00295FED" w:rsidRPr="6761905F">
        <w:rPr>
          <w:rFonts w:eastAsia="Aptos Display" w:cs="Aptos Display"/>
        </w:rPr>
        <w:t xml:space="preserve">, </w:t>
      </w:r>
      <w:r w:rsidR="001146FF" w:rsidRPr="6761905F">
        <w:rPr>
          <w:rFonts w:eastAsia="Aptos Display" w:cs="Aptos Display"/>
        </w:rPr>
        <w:t>in turn</w:t>
      </w:r>
      <w:r w:rsidR="00295FED" w:rsidRPr="6761905F">
        <w:rPr>
          <w:rFonts w:eastAsia="Aptos Display" w:cs="Aptos Display"/>
        </w:rPr>
        <w:t xml:space="preserve"> </w:t>
      </w:r>
      <w:r w:rsidR="001213FF" w:rsidRPr="6761905F">
        <w:rPr>
          <w:rFonts w:eastAsia="Aptos Display" w:cs="Aptos Display"/>
        </w:rPr>
        <w:t xml:space="preserve">supporting </w:t>
      </w:r>
      <w:r w:rsidR="00295FED" w:rsidRPr="6761905F">
        <w:rPr>
          <w:rFonts w:eastAsia="Aptos Display" w:cs="Aptos Display"/>
        </w:rPr>
        <w:t xml:space="preserve">the </w:t>
      </w:r>
      <w:r w:rsidR="00092D38" w:rsidRPr="6761905F">
        <w:rPr>
          <w:rFonts w:eastAsia="Aptos Display" w:cs="Aptos Display"/>
        </w:rPr>
        <w:t>development of offshore delivery opportunities</w:t>
      </w:r>
      <w:r w:rsidR="00295FED" w:rsidRPr="6761905F">
        <w:rPr>
          <w:rFonts w:eastAsia="Aptos Display" w:cs="Aptos Display"/>
        </w:rPr>
        <w:t xml:space="preserve">. </w:t>
      </w:r>
      <w:r w:rsidR="00092D38" w:rsidRPr="6761905F">
        <w:rPr>
          <w:rFonts w:eastAsia="Aptos Display" w:cs="Aptos Display"/>
        </w:rPr>
        <w:t xml:space="preserve">TAFE </w:t>
      </w:r>
      <w:r w:rsidR="00242FC0" w:rsidRPr="6761905F">
        <w:rPr>
          <w:rFonts w:eastAsia="Aptos Display" w:cs="Aptos Display"/>
        </w:rPr>
        <w:t>p</w:t>
      </w:r>
      <w:r w:rsidR="00092D38" w:rsidRPr="6761905F">
        <w:rPr>
          <w:rFonts w:eastAsia="Aptos Display" w:cs="Aptos Display"/>
        </w:rPr>
        <w:t>roviders have an established reputation for quality and integrity and increasing the</w:t>
      </w:r>
      <w:r w:rsidR="00295FED" w:rsidRPr="6761905F">
        <w:rPr>
          <w:rFonts w:eastAsia="Aptos Display" w:cs="Aptos Display"/>
        </w:rPr>
        <w:t>ir</w:t>
      </w:r>
      <w:r w:rsidR="00092D38" w:rsidRPr="6761905F">
        <w:rPr>
          <w:rFonts w:eastAsia="Aptos Display" w:cs="Aptos Display"/>
        </w:rPr>
        <w:t xml:space="preserve"> capacity </w:t>
      </w:r>
      <w:r w:rsidR="00295FED" w:rsidRPr="6761905F">
        <w:rPr>
          <w:rFonts w:eastAsia="Aptos Display" w:cs="Aptos Display"/>
        </w:rPr>
        <w:t>in international education delivery</w:t>
      </w:r>
      <w:r w:rsidR="00092D38" w:rsidRPr="6761905F">
        <w:rPr>
          <w:rFonts w:eastAsia="Aptos Display" w:cs="Aptos Display"/>
        </w:rPr>
        <w:t xml:space="preserve"> will </w:t>
      </w:r>
      <w:r w:rsidR="00FF5DDB" w:rsidRPr="6761905F">
        <w:rPr>
          <w:rFonts w:eastAsia="Aptos Display" w:cs="Aptos Display"/>
        </w:rPr>
        <w:t xml:space="preserve">continue to </w:t>
      </w:r>
      <w:r w:rsidR="00092D38" w:rsidRPr="6761905F">
        <w:rPr>
          <w:rFonts w:eastAsia="Aptos Display" w:cs="Aptos Display"/>
        </w:rPr>
        <w:t xml:space="preserve">lift the quality and integrity of the entire sector.  </w:t>
      </w:r>
    </w:p>
    <w:p w14:paraId="363628DD" w14:textId="2E2020FD" w:rsidR="005C0623" w:rsidRPr="00AB48EF" w:rsidRDefault="72A49E38" w:rsidP="184AC258">
      <w:pPr>
        <w:rPr>
          <w:rFonts w:eastAsia="Aptos Display" w:cs="Aptos Display"/>
          <w:lang w:eastAsia="en-AU"/>
        </w:rPr>
      </w:pPr>
      <w:r w:rsidRPr="184AC258">
        <w:rPr>
          <w:rFonts w:eastAsia="Aptos Display" w:cs="Aptos Display"/>
        </w:rPr>
        <w:t xml:space="preserve">Offshore </w:t>
      </w:r>
      <w:r w:rsidR="7432ED58">
        <w:rPr>
          <w:rFonts w:eastAsia="Aptos Display" w:cs="Aptos Display"/>
        </w:rPr>
        <w:t>v</w:t>
      </w:r>
      <w:r w:rsidR="59218340" w:rsidRPr="184AC258">
        <w:rPr>
          <w:rFonts w:eastAsia="Aptos Display" w:cs="Aptos Display"/>
        </w:rPr>
        <w:t xml:space="preserve">isa applications from students enrolled with TAFE </w:t>
      </w:r>
      <w:r w:rsidR="10C85DD7" w:rsidRPr="184AC258">
        <w:rPr>
          <w:rFonts w:eastAsia="Aptos Display" w:cs="Aptos Display"/>
        </w:rPr>
        <w:t>p</w:t>
      </w:r>
      <w:r w:rsidR="59218340" w:rsidRPr="184AC258">
        <w:rPr>
          <w:rFonts w:eastAsia="Aptos Display" w:cs="Aptos Display"/>
        </w:rPr>
        <w:t xml:space="preserve">roviders will always be given Priority 1 processing status by Department of Home Affairs decision makers, regardless of whether a TAFE </w:t>
      </w:r>
      <w:r w:rsidR="10C85DD7" w:rsidRPr="184AC258">
        <w:rPr>
          <w:rFonts w:eastAsia="Aptos Display" w:cs="Aptos Display"/>
        </w:rPr>
        <w:t>p</w:t>
      </w:r>
      <w:r w:rsidR="59218340" w:rsidRPr="184AC258">
        <w:rPr>
          <w:rFonts w:eastAsia="Aptos Display" w:cs="Aptos Display"/>
        </w:rPr>
        <w:t xml:space="preserve">rovider has reached its </w:t>
      </w:r>
      <w:r w:rsidR="10C85DD7" w:rsidRPr="184AC258">
        <w:rPr>
          <w:rFonts w:eastAsia="Aptos Display" w:cs="Aptos Display"/>
        </w:rPr>
        <w:t>p</w:t>
      </w:r>
      <w:r w:rsidR="59218340" w:rsidRPr="184AC258">
        <w:rPr>
          <w:rFonts w:eastAsia="Aptos Display" w:cs="Aptos Display"/>
        </w:rPr>
        <w:t xml:space="preserve">rioritisation </w:t>
      </w:r>
      <w:r w:rsidR="10C85DD7" w:rsidRPr="184AC258">
        <w:rPr>
          <w:rFonts w:eastAsia="Aptos Display" w:cs="Aptos Display"/>
        </w:rPr>
        <w:t>t</w:t>
      </w:r>
      <w:r w:rsidR="59218340" w:rsidRPr="184AC258">
        <w:rPr>
          <w:rFonts w:eastAsia="Aptos Display" w:cs="Aptos Display"/>
        </w:rPr>
        <w:t>hreshold.</w:t>
      </w:r>
      <w:r w:rsidR="59310F9B" w:rsidRPr="184AC258">
        <w:rPr>
          <w:rFonts w:eastAsia="Aptos Display" w:cs="Aptos Display"/>
        </w:rPr>
        <w:t xml:space="preserve"> </w:t>
      </w:r>
      <w:r w:rsidR="7D023F7B" w:rsidRPr="184AC258">
        <w:rPr>
          <w:rFonts w:eastAsia="Aptos Display" w:cs="Aptos Display"/>
        </w:rPr>
        <w:t xml:space="preserve">This remains the case, regardless of the </w:t>
      </w:r>
      <w:r w:rsidR="10C85DD7" w:rsidRPr="184AC258">
        <w:rPr>
          <w:rFonts w:eastAsia="Aptos Display" w:cs="Aptos Display"/>
          <w:lang w:eastAsia="en-AU"/>
        </w:rPr>
        <w:t>pr</w:t>
      </w:r>
      <w:r w:rsidR="7D023F7B" w:rsidRPr="184AC258">
        <w:rPr>
          <w:rFonts w:eastAsia="Aptos Display" w:cs="Aptos Display"/>
          <w:lang w:eastAsia="en-AU"/>
        </w:rPr>
        <w:t xml:space="preserve">ioritisation </w:t>
      </w:r>
      <w:r w:rsidR="10C85DD7" w:rsidRPr="184AC258">
        <w:rPr>
          <w:rFonts w:eastAsia="Aptos Display" w:cs="Aptos Display"/>
          <w:lang w:eastAsia="en-AU"/>
        </w:rPr>
        <w:t>c</w:t>
      </w:r>
      <w:r w:rsidR="7D023F7B" w:rsidRPr="184AC258">
        <w:rPr>
          <w:rFonts w:eastAsia="Aptos Display" w:cs="Aptos Display"/>
          <w:lang w:eastAsia="en-AU"/>
        </w:rPr>
        <w:t>ategory displayed on the Summary Tab</w:t>
      </w:r>
      <w:r w:rsidR="00CC5344" w:rsidRPr="0278E27E">
        <w:rPr>
          <w:rStyle w:val="FootnoteReference"/>
          <w:rFonts w:eastAsia="Aptos Display" w:cs="Aptos Display"/>
          <w:sz w:val="16"/>
          <w:szCs w:val="16"/>
          <w:lang w:eastAsia="en-AU"/>
        </w:rPr>
        <w:footnoteReference w:id="2"/>
      </w:r>
      <w:r w:rsidR="7D023F7B" w:rsidRPr="184AC258">
        <w:rPr>
          <w:rFonts w:eastAsia="Aptos Display" w:cs="Aptos Display"/>
          <w:lang w:eastAsia="en-AU"/>
        </w:rPr>
        <w:t xml:space="preserve"> of a TAFE </w:t>
      </w:r>
      <w:r w:rsidR="10C85DD7" w:rsidRPr="184AC258">
        <w:rPr>
          <w:rFonts w:eastAsia="Aptos Display" w:cs="Aptos Display"/>
          <w:lang w:eastAsia="en-AU"/>
        </w:rPr>
        <w:t>p</w:t>
      </w:r>
      <w:r w:rsidR="7D023F7B" w:rsidRPr="184AC258">
        <w:rPr>
          <w:rFonts w:eastAsia="Aptos Display" w:cs="Aptos Display"/>
          <w:lang w:eastAsia="en-AU"/>
        </w:rPr>
        <w:t>rovider’s N</w:t>
      </w:r>
      <w:r w:rsidR="10C85DD7" w:rsidRPr="184AC258">
        <w:rPr>
          <w:rFonts w:eastAsia="Aptos Display" w:cs="Aptos Display"/>
          <w:lang w:eastAsia="en-AU"/>
        </w:rPr>
        <w:t xml:space="preserve">ew </w:t>
      </w:r>
      <w:r w:rsidR="7D023F7B" w:rsidRPr="184AC258">
        <w:rPr>
          <w:rFonts w:eastAsia="Aptos Display" w:cs="Aptos Display"/>
          <w:lang w:eastAsia="en-AU"/>
        </w:rPr>
        <w:t>O</w:t>
      </w:r>
      <w:r w:rsidR="10C85DD7" w:rsidRPr="184AC258">
        <w:rPr>
          <w:rFonts w:eastAsia="Aptos Display" w:cs="Aptos Display"/>
          <w:lang w:eastAsia="en-AU"/>
        </w:rPr>
        <w:t xml:space="preserve">verseas </w:t>
      </w:r>
      <w:r w:rsidR="7D023F7B" w:rsidRPr="184AC258">
        <w:rPr>
          <w:rFonts w:eastAsia="Aptos Display" w:cs="Aptos Display"/>
          <w:lang w:eastAsia="en-AU"/>
        </w:rPr>
        <w:t>S</w:t>
      </w:r>
      <w:r w:rsidR="10C85DD7" w:rsidRPr="184AC258">
        <w:rPr>
          <w:rFonts w:eastAsia="Aptos Display" w:cs="Aptos Display"/>
          <w:lang w:eastAsia="en-AU"/>
        </w:rPr>
        <w:t xml:space="preserve">tudent </w:t>
      </w:r>
      <w:r w:rsidR="7D023F7B" w:rsidRPr="184AC258">
        <w:rPr>
          <w:rFonts w:eastAsia="Aptos Display" w:cs="Aptos Display"/>
          <w:lang w:eastAsia="en-AU"/>
        </w:rPr>
        <w:t>C</w:t>
      </w:r>
      <w:r w:rsidR="10C85DD7" w:rsidRPr="184AC258">
        <w:rPr>
          <w:rFonts w:eastAsia="Aptos Display" w:cs="Aptos Display"/>
          <w:lang w:eastAsia="en-AU"/>
        </w:rPr>
        <w:t>ommencement (NOSC)</w:t>
      </w:r>
      <w:r w:rsidR="7D023F7B" w:rsidRPr="184AC258">
        <w:rPr>
          <w:rFonts w:eastAsia="Aptos Display" w:cs="Aptos Display"/>
          <w:lang w:eastAsia="en-AU"/>
        </w:rPr>
        <w:t xml:space="preserve"> Report when downloaded in PRISMS.</w:t>
      </w:r>
    </w:p>
    <w:p w14:paraId="4E2ADD7A" w14:textId="374D8F0C" w:rsidR="003A163F" w:rsidRPr="00AB48EF" w:rsidRDefault="005C0E7B" w:rsidP="184AC258">
      <w:pPr>
        <w:rPr>
          <w:rFonts w:eastAsia="Aptos Display" w:cs="Aptos Display"/>
          <w:sz w:val="20"/>
          <w:szCs w:val="20"/>
          <w:lang w:eastAsia="en-AU"/>
        </w:rPr>
      </w:pPr>
      <w:r w:rsidRPr="6761905F">
        <w:rPr>
          <w:rFonts w:eastAsia="Aptos Display" w:cs="Aptos Display"/>
        </w:rPr>
        <w:t xml:space="preserve">Department of Home Affairs decision makers will never apply </w:t>
      </w:r>
      <w:r w:rsidR="00242FC0" w:rsidRPr="6761905F">
        <w:rPr>
          <w:rFonts w:eastAsia="Aptos Display" w:cs="Aptos Display"/>
        </w:rPr>
        <w:t xml:space="preserve">a lower processing priority </w:t>
      </w:r>
      <w:r w:rsidRPr="6761905F">
        <w:rPr>
          <w:rFonts w:eastAsia="Aptos Display" w:cs="Aptos Display"/>
        </w:rPr>
        <w:t>t</w:t>
      </w:r>
      <w:r w:rsidR="0092644D" w:rsidRPr="6761905F">
        <w:rPr>
          <w:rFonts w:eastAsia="Aptos Display" w:cs="Aptos Display"/>
        </w:rPr>
        <w:t>o</w:t>
      </w:r>
      <w:r w:rsidR="2451E91A" w:rsidRPr="6761905F">
        <w:rPr>
          <w:rFonts w:eastAsia="Aptos Display" w:cs="Aptos Display"/>
        </w:rPr>
        <w:t xml:space="preserve"> offshore</w:t>
      </w:r>
      <w:r w:rsidR="0092644D" w:rsidRPr="6761905F">
        <w:rPr>
          <w:rFonts w:eastAsia="Aptos Display" w:cs="Aptos Display"/>
        </w:rPr>
        <w:t xml:space="preserve"> visa applications from students enrolled with a TAFE </w:t>
      </w:r>
      <w:r w:rsidR="00242FC0" w:rsidRPr="6761905F">
        <w:rPr>
          <w:rFonts w:eastAsia="Aptos Display" w:cs="Aptos Display"/>
        </w:rPr>
        <w:t>p</w:t>
      </w:r>
      <w:r w:rsidR="0092644D" w:rsidRPr="6761905F">
        <w:rPr>
          <w:rFonts w:eastAsia="Aptos Display" w:cs="Aptos Display"/>
        </w:rPr>
        <w:t>rovider</w:t>
      </w:r>
      <w:r w:rsidR="004D6982" w:rsidRPr="6761905F">
        <w:rPr>
          <w:rFonts w:eastAsia="Aptos Display" w:cs="Aptos Display"/>
        </w:rPr>
        <w:t xml:space="preserve">. </w:t>
      </w:r>
    </w:p>
    <w:p w14:paraId="7D5E48A1" w14:textId="7E3427D3" w:rsidR="003A163F" w:rsidRPr="00AB48EF" w:rsidRDefault="0092644D" w:rsidP="184AC258">
      <w:pPr>
        <w:rPr>
          <w:rFonts w:eastAsia="Aptos Display" w:cs="Aptos Display"/>
        </w:rPr>
      </w:pPr>
      <w:r w:rsidRPr="6761905F">
        <w:rPr>
          <w:rFonts w:eastAsia="Aptos Display" w:cs="Aptos Display"/>
        </w:rPr>
        <w:lastRenderedPageBreak/>
        <w:t xml:space="preserve">TAFE </w:t>
      </w:r>
      <w:r w:rsidR="001624B0" w:rsidRPr="6761905F">
        <w:rPr>
          <w:rFonts w:eastAsia="Aptos Display" w:cs="Aptos Display"/>
        </w:rPr>
        <w:t>p</w:t>
      </w:r>
      <w:r w:rsidRPr="6761905F">
        <w:rPr>
          <w:rFonts w:eastAsia="Aptos Display" w:cs="Aptos Display"/>
        </w:rPr>
        <w:t>roviders</w:t>
      </w:r>
      <w:r w:rsidR="003A163F" w:rsidRPr="6761905F">
        <w:rPr>
          <w:rFonts w:eastAsia="Aptos Display" w:cs="Aptos Display"/>
        </w:rPr>
        <w:t xml:space="preserve"> are not required to do anything in order for continuous Priority 1 processing to appl</w:t>
      </w:r>
      <w:r w:rsidR="005D6F0A" w:rsidRPr="6761905F">
        <w:rPr>
          <w:rFonts w:eastAsia="Aptos Display" w:cs="Aptos Display"/>
        </w:rPr>
        <w:t>y</w:t>
      </w:r>
      <w:r w:rsidR="003A163F" w:rsidRPr="6761905F">
        <w:rPr>
          <w:rFonts w:eastAsia="Aptos Display" w:cs="Aptos Display"/>
        </w:rPr>
        <w:t>.</w:t>
      </w:r>
      <w:r w:rsidR="001624B0" w:rsidRPr="6761905F">
        <w:rPr>
          <w:rFonts w:eastAsia="Aptos Display" w:cs="Aptos Display"/>
        </w:rPr>
        <w:t xml:space="preserve"> They </w:t>
      </w:r>
      <w:r w:rsidR="003A163F" w:rsidRPr="6761905F">
        <w:rPr>
          <w:rFonts w:eastAsia="Aptos Display" w:cs="Aptos Display"/>
        </w:rPr>
        <w:t xml:space="preserve">have already been identified in Department of Home Affairs systems </w:t>
      </w:r>
      <w:r w:rsidR="001624B0" w:rsidRPr="6761905F">
        <w:rPr>
          <w:rFonts w:eastAsia="Aptos Display" w:cs="Aptos Display"/>
        </w:rPr>
        <w:t>so that</w:t>
      </w:r>
      <w:r w:rsidR="003A163F" w:rsidRPr="6761905F">
        <w:rPr>
          <w:rFonts w:eastAsia="Aptos Display" w:cs="Aptos Display"/>
        </w:rPr>
        <w:t xml:space="preserve"> Priority 1 processing status will automatically apply to all </w:t>
      </w:r>
      <w:r w:rsidR="5C34C470" w:rsidRPr="6761905F">
        <w:rPr>
          <w:rFonts w:eastAsia="Aptos Display" w:cs="Aptos Display"/>
        </w:rPr>
        <w:t xml:space="preserve">offshore </w:t>
      </w:r>
      <w:r w:rsidR="003A163F" w:rsidRPr="6761905F">
        <w:rPr>
          <w:rFonts w:eastAsia="Aptos Display" w:cs="Aptos Display"/>
        </w:rPr>
        <w:t xml:space="preserve">visa applications from students enrolled </w:t>
      </w:r>
      <w:r w:rsidR="00EC5432" w:rsidRPr="6761905F">
        <w:rPr>
          <w:rFonts w:eastAsia="Aptos Display" w:cs="Aptos Display"/>
        </w:rPr>
        <w:t xml:space="preserve">with </w:t>
      </w:r>
      <w:r w:rsidR="001624B0" w:rsidRPr="6761905F">
        <w:rPr>
          <w:rFonts w:eastAsia="Aptos Display" w:cs="Aptos Display"/>
        </w:rPr>
        <w:t xml:space="preserve">a TAFE provider. </w:t>
      </w:r>
    </w:p>
    <w:p w14:paraId="3351EBC2" w14:textId="6C6CC832" w:rsidR="00C807F6" w:rsidRPr="00566EBB" w:rsidRDefault="00C807F6" w:rsidP="184AC258">
      <w:pPr>
        <w:rPr>
          <w:rFonts w:eastAsia="Aptos Display" w:cs="Aptos Display"/>
          <w:color w:val="404245"/>
        </w:rPr>
      </w:pPr>
      <w:r w:rsidRPr="5190F0A3">
        <w:rPr>
          <w:rFonts w:eastAsia="Aptos Display" w:cs="Aptos Display"/>
        </w:rPr>
        <w:t xml:space="preserve">The Government highly values TAFE partnerships with universities. To make more seamless transitions possible between VET and higher education, new arrangements in 2026 will recognise a strong pathway relationship for international students between TAFE study and a university course. Information regarding the status of </w:t>
      </w:r>
      <w:hyperlink r:id="rId15">
        <w:r w:rsidRPr="5190F0A3">
          <w:rPr>
            <w:rStyle w:val="Hyperlink"/>
            <w:rFonts w:eastAsia="Aptos Display" w:cs="Aptos Display"/>
          </w:rPr>
          <w:t>transitioning students from an affiliated pathway provider</w:t>
        </w:r>
      </w:hyperlink>
      <w:r w:rsidRPr="5190F0A3">
        <w:rPr>
          <w:rFonts w:eastAsia="Aptos Display" w:cs="Aptos Display"/>
        </w:rPr>
        <w:t xml:space="preserve"> is published by the Department of Education.</w:t>
      </w:r>
    </w:p>
    <w:p w14:paraId="1BE01C8C" w14:textId="0445ED91" w:rsidR="00AB48EF" w:rsidRPr="00566EBB" w:rsidRDefault="003A163F" w:rsidP="184AC258">
      <w:pPr>
        <w:rPr>
          <w:rFonts w:eastAsia="Aptos Display" w:cs="Aptos Display"/>
        </w:rPr>
      </w:pPr>
      <w:r w:rsidRPr="5190F0A3">
        <w:rPr>
          <w:rFonts w:eastAsia="Aptos Display" w:cs="Aptos Display"/>
        </w:rPr>
        <w:t>Questions about</w:t>
      </w:r>
      <w:r w:rsidR="0009607D" w:rsidRPr="5190F0A3">
        <w:rPr>
          <w:rFonts w:eastAsia="Aptos Display" w:cs="Aptos Display"/>
        </w:rPr>
        <w:t xml:space="preserve"> </w:t>
      </w:r>
      <w:r w:rsidR="001624B0" w:rsidRPr="5190F0A3">
        <w:rPr>
          <w:rFonts w:eastAsia="Aptos Display" w:cs="Aptos Display"/>
        </w:rPr>
        <w:t xml:space="preserve">the prioritisation of </w:t>
      </w:r>
      <w:r w:rsidR="0009607D" w:rsidRPr="5190F0A3">
        <w:rPr>
          <w:rFonts w:eastAsia="Aptos Display" w:cs="Aptos Display"/>
        </w:rPr>
        <w:t>student</w:t>
      </w:r>
      <w:r w:rsidRPr="5190F0A3">
        <w:rPr>
          <w:rFonts w:eastAsia="Aptos Display" w:cs="Aptos Display"/>
        </w:rPr>
        <w:t xml:space="preserve"> visa application processing for students enrolled </w:t>
      </w:r>
      <w:r w:rsidR="00241D87" w:rsidRPr="5190F0A3">
        <w:rPr>
          <w:rFonts w:eastAsia="Aptos Display" w:cs="Aptos Display"/>
        </w:rPr>
        <w:t xml:space="preserve">with a TAFE </w:t>
      </w:r>
      <w:r w:rsidR="001624B0" w:rsidRPr="5190F0A3">
        <w:rPr>
          <w:rFonts w:eastAsia="Aptos Display" w:cs="Aptos Display"/>
        </w:rPr>
        <w:t>p</w:t>
      </w:r>
      <w:r w:rsidR="00241D87" w:rsidRPr="5190F0A3">
        <w:rPr>
          <w:rFonts w:eastAsia="Aptos Display" w:cs="Aptos Display"/>
        </w:rPr>
        <w:t xml:space="preserve">rovider </w:t>
      </w:r>
      <w:r w:rsidRPr="5190F0A3">
        <w:rPr>
          <w:rFonts w:eastAsia="Aptos Display" w:cs="Aptos Display"/>
        </w:rPr>
        <w:t xml:space="preserve">can be directed to </w:t>
      </w:r>
      <w:hyperlink r:id="rId16">
        <w:r w:rsidR="00AB48EF" w:rsidRPr="5190F0A3">
          <w:rPr>
            <w:rStyle w:val="Hyperlink"/>
            <w:rFonts w:eastAsia="Aptos Display" w:cs="Aptos Display"/>
            <w:color w:val="auto"/>
          </w:rPr>
          <w:t>managedgrowth@dewr.gov.au</w:t>
        </w:r>
      </w:hyperlink>
      <w:r w:rsidRPr="5190F0A3">
        <w:rPr>
          <w:rFonts w:eastAsia="Aptos Display" w:cs="Aptos Display"/>
        </w:rPr>
        <w:t>. </w:t>
      </w:r>
    </w:p>
    <w:p w14:paraId="5869A599" w14:textId="77777777" w:rsidR="00C807F6" w:rsidRPr="00566EBB" w:rsidRDefault="00C807F6" w:rsidP="184AC258">
      <w:pPr>
        <w:rPr>
          <w:rFonts w:eastAsia="Aptos Display" w:cs="Aptos Display"/>
          <w:color w:val="404245"/>
        </w:rPr>
      </w:pPr>
    </w:p>
    <w:sectPr w:rsidR="00C807F6" w:rsidRPr="00566EBB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EBAB" w14:textId="77777777" w:rsidR="00BF7998" w:rsidRDefault="00BF7998" w:rsidP="0051352E">
      <w:pPr>
        <w:spacing w:after="0" w:line="240" w:lineRule="auto"/>
      </w:pPr>
      <w:r>
        <w:separator/>
      </w:r>
    </w:p>
  </w:endnote>
  <w:endnote w:type="continuationSeparator" w:id="0">
    <w:p w14:paraId="693AFD99" w14:textId="77777777" w:rsidR="00BF7998" w:rsidRDefault="00BF7998" w:rsidP="0051352E">
      <w:pPr>
        <w:spacing w:after="0" w:line="240" w:lineRule="auto"/>
      </w:pPr>
      <w:r>
        <w:continuationSeparator/>
      </w:r>
    </w:p>
  </w:endnote>
  <w:endnote w:type="continuationNotice" w:id="1">
    <w:p w14:paraId="36978735" w14:textId="77777777" w:rsidR="00BF7998" w:rsidRDefault="00BF7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05544F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3D4A5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D2C7" w14:textId="77777777" w:rsidR="00BF7998" w:rsidRDefault="00BF7998" w:rsidP="0051352E">
      <w:pPr>
        <w:spacing w:after="0" w:line="240" w:lineRule="auto"/>
      </w:pPr>
      <w:r>
        <w:separator/>
      </w:r>
    </w:p>
  </w:footnote>
  <w:footnote w:type="continuationSeparator" w:id="0">
    <w:p w14:paraId="27AF2F62" w14:textId="77777777" w:rsidR="00BF7998" w:rsidRDefault="00BF7998" w:rsidP="0051352E">
      <w:pPr>
        <w:spacing w:after="0" w:line="240" w:lineRule="auto"/>
      </w:pPr>
      <w:r>
        <w:continuationSeparator/>
      </w:r>
    </w:p>
  </w:footnote>
  <w:footnote w:type="continuationNotice" w:id="1">
    <w:p w14:paraId="16B3EF41" w14:textId="77777777" w:rsidR="00BF7998" w:rsidRDefault="00BF7998">
      <w:pPr>
        <w:spacing w:after="0" w:line="240" w:lineRule="auto"/>
      </w:pPr>
    </w:p>
  </w:footnote>
  <w:footnote w:id="2">
    <w:p w14:paraId="6FD1E540" w14:textId="0AB22521" w:rsidR="00CC5344" w:rsidRPr="00FB63C1" w:rsidRDefault="00CC5344">
      <w:pPr>
        <w:pStyle w:val="FootnoteText"/>
      </w:pPr>
      <w:r w:rsidRPr="00FB63C1">
        <w:rPr>
          <w:rStyle w:val="FootnoteReference"/>
        </w:rPr>
        <w:footnoteRef/>
      </w:r>
      <w:r w:rsidRPr="00FB63C1">
        <w:t xml:space="preserve"> </w:t>
      </w:r>
      <w:r w:rsidRPr="00FB63C1">
        <w:rPr>
          <w:rFonts w:asciiTheme="minorHAnsi" w:eastAsiaTheme="minorEastAsia" w:hAnsiTheme="minorHAnsi"/>
          <w:sz w:val="16"/>
          <w:szCs w:val="16"/>
        </w:rPr>
        <w:t xml:space="preserve">The Summary </w:t>
      </w:r>
      <w:r w:rsidR="005C0E7B" w:rsidRPr="00FB63C1">
        <w:rPr>
          <w:rFonts w:asciiTheme="minorHAnsi" w:eastAsiaTheme="minorEastAsia" w:hAnsiTheme="minorHAnsi"/>
          <w:sz w:val="16"/>
          <w:szCs w:val="16"/>
        </w:rPr>
        <w:t>T</w:t>
      </w:r>
      <w:r w:rsidRPr="00FB63C1">
        <w:rPr>
          <w:rFonts w:asciiTheme="minorHAnsi" w:eastAsiaTheme="minorEastAsia" w:hAnsiTheme="minorHAnsi"/>
          <w:sz w:val="16"/>
          <w:szCs w:val="16"/>
        </w:rPr>
        <w:t>ab provides information on indicative allocations and NOSCs. It also display</w:t>
      </w:r>
      <w:r w:rsidR="00AB48EF">
        <w:rPr>
          <w:rFonts w:asciiTheme="minorHAnsi" w:eastAsiaTheme="minorEastAsia" w:hAnsiTheme="minorHAnsi"/>
          <w:sz w:val="16"/>
          <w:szCs w:val="16"/>
        </w:rPr>
        <w:t>s</w:t>
      </w:r>
      <w:r w:rsidRPr="00FB63C1">
        <w:rPr>
          <w:rFonts w:asciiTheme="minorHAnsi" w:eastAsiaTheme="minorEastAsia" w:hAnsiTheme="minorHAnsi"/>
          <w:sz w:val="16"/>
          <w:szCs w:val="16"/>
        </w:rPr>
        <w:t xml:space="preserve"> </w:t>
      </w:r>
      <w:r w:rsidR="005C0E7B" w:rsidRPr="00FB63C1">
        <w:rPr>
          <w:rFonts w:asciiTheme="minorHAnsi" w:eastAsiaTheme="minorEastAsia" w:hAnsiTheme="minorHAnsi"/>
          <w:sz w:val="16"/>
          <w:szCs w:val="16"/>
        </w:rPr>
        <w:t xml:space="preserve">a </w:t>
      </w:r>
      <w:r w:rsidRPr="00FB63C1">
        <w:rPr>
          <w:rFonts w:asciiTheme="minorHAnsi" w:eastAsiaTheme="minorEastAsia" w:hAnsiTheme="minorHAnsi"/>
          <w:sz w:val="16"/>
          <w:szCs w:val="16"/>
        </w:rPr>
        <w:t>provider’s ‘Prioritisation Percentage’ and ‘Offshore Visa Processing Prioritisation Category’.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68754"/>
    <w:multiLevelType w:val="hybridMultilevel"/>
    <w:tmpl w:val="4BA67B72"/>
    <w:lvl w:ilvl="0" w:tplc="6B645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46582">
      <w:start w:val="1"/>
      <w:numFmt w:val="bullet"/>
      <w:lvlText w:val="○"/>
      <w:lvlJc w:val="left"/>
      <w:pPr>
        <w:ind w:left="851" w:hanging="494"/>
      </w:pPr>
      <w:rPr>
        <w:rFonts w:ascii="Courier New" w:hAnsi="Courier New" w:hint="default"/>
      </w:rPr>
    </w:lvl>
    <w:lvl w:ilvl="2" w:tplc="8B38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67C82">
      <w:start w:val="1"/>
      <w:numFmt w:val="bullet"/>
      <w:lvlText w:val=""/>
      <w:lvlJc w:val="left"/>
      <w:pPr>
        <w:ind w:left="2126" w:hanging="567"/>
      </w:pPr>
      <w:rPr>
        <w:rFonts w:ascii="Wingdings" w:hAnsi="Wingdings" w:hint="default"/>
      </w:rPr>
    </w:lvl>
    <w:lvl w:ilvl="4" w:tplc="2E582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83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0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8C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6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1485A"/>
    <w:multiLevelType w:val="hybridMultilevel"/>
    <w:tmpl w:val="38C8D102"/>
    <w:lvl w:ilvl="0" w:tplc="EEB2E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27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6F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A9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B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21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67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4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45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2B943"/>
    <w:multiLevelType w:val="hybridMultilevel"/>
    <w:tmpl w:val="84286942"/>
    <w:lvl w:ilvl="0" w:tplc="739CB3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9EA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07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3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7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6C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47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64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A3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A479D"/>
    <w:multiLevelType w:val="multilevel"/>
    <w:tmpl w:val="5D0AAD30"/>
    <w:lvl w:ilvl="0">
      <w:start w:val="1"/>
      <w:numFmt w:val="decimal"/>
      <w:lvlText w:val="%1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B175"/>
    <w:multiLevelType w:val="multilevel"/>
    <w:tmpl w:val="FDC07D1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12D3A"/>
    <w:multiLevelType w:val="hybridMultilevel"/>
    <w:tmpl w:val="589483FC"/>
    <w:lvl w:ilvl="0" w:tplc="D9E49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26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09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4B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CC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A3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61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22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07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E77F1"/>
    <w:multiLevelType w:val="hybridMultilevel"/>
    <w:tmpl w:val="94482A14"/>
    <w:lvl w:ilvl="0" w:tplc="8498415C">
      <w:start w:val="1"/>
      <w:numFmt w:val="decimal"/>
      <w:lvlText w:val="%1."/>
      <w:lvlJc w:val="left"/>
      <w:pPr>
        <w:ind w:left="720" w:hanging="360"/>
      </w:pPr>
    </w:lvl>
    <w:lvl w:ilvl="1" w:tplc="BF361B02">
      <w:start w:val="1"/>
      <w:numFmt w:val="lowerLetter"/>
      <w:lvlText w:val="%2"/>
      <w:lvlJc w:val="left"/>
      <w:pPr>
        <w:ind w:left="851" w:hanging="494"/>
      </w:pPr>
    </w:lvl>
    <w:lvl w:ilvl="2" w:tplc="690A2B3C">
      <w:start w:val="1"/>
      <w:numFmt w:val="lowerRoman"/>
      <w:lvlText w:val="%3"/>
      <w:lvlJc w:val="left"/>
      <w:pPr>
        <w:ind w:left="1418" w:hanging="567"/>
      </w:pPr>
    </w:lvl>
    <w:lvl w:ilvl="3" w:tplc="28CEE1F2">
      <w:start w:val="1"/>
      <w:numFmt w:val="bullet"/>
      <w:lvlText w:val="–"/>
      <w:lvlJc w:val="left"/>
      <w:pPr>
        <w:ind w:left="2126" w:hanging="567"/>
      </w:pPr>
      <w:rPr>
        <w:rFonts w:ascii="Calibri" w:hAnsi="Calibri" w:hint="default"/>
      </w:rPr>
    </w:lvl>
    <w:lvl w:ilvl="4" w:tplc="84F4F5A6">
      <w:start w:val="1"/>
      <w:numFmt w:val="lowerLetter"/>
      <w:lvlText w:val="%5."/>
      <w:lvlJc w:val="left"/>
      <w:pPr>
        <w:ind w:left="3600" w:hanging="360"/>
      </w:pPr>
    </w:lvl>
    <w:lvl w:ilvl="5" w:tplc="8B247A6C">
      <w:start w:val="1"/>
      <w:numFmt w:val="lowerRoman"/>
      <w:lvlText w:val="%6."/>
      <w:lvlJc w:val="right"/>
      <w:pPr>
        <w:ind w:left="4320" w:hanging="180"/>
      </w:pPr>
    </w:lvl>
    <w:lvl w:ilvl="6" w:tplc="24E6F096">
      <w:start w:val="1"/>
      <w:numFmt w:val="decimal"/>
      <w:lvlText w:val="%7."/>
      <w:lvlJc w:val="left"/>
      <w:pPr>
        <w:ind w:left="5040" w:hanging="360"/>
      </w:pPr>
    </w:lvl>
    <w:lvl w:ilvl="7" w:tplc="6C80F9B6">
      <w:start w:val="1"/>
      <w:numFmt w:val="lowerLetter"/>
      <w:lvlText w:val="%8."/>
      <w:lvlJc w:val="left"/>
      <w:pPr>
        <w:ind w:left="5760" w:hanging="360"/>
      </w:pPr>
    </w:lvl>
    <w:lvl w:ilvl="8" w:tplc="7FD6C7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7F450"/>
    <w:multiLevelType w:val="hybridMultilevel"/>
    <w:tmpl w:val="526A1E74"/>
    <w:lvl w:ilvl="0" w:tplc="90FCA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0F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28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2C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09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0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CC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20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AA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1CDD63"/>
    <w:multiLevelType w:val="hybridMultilevel"/>
    <w:tmpl w:val="B518F02C"/>
    <w:lvl w:ilvl="0" w:tplc="649C2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29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E72D2">
      <w:start w:val="1"/>
      <w:numFmt w:val="bullet"/>
      <w:lvlText w:val="–"/>
      <w:lvlJc w:val="left"/>
      <w:pPr>
        <w:ind w:left="1418" w:hanging="567"/>
      </w:pPr>
      <w:rPr>
        <w:rFonts w:ascii="Calibri" w:hAnsi="Calibri" w:hint="default"/>
      </w:rPr>
    </w:lvl>
    <w:lvl w:ilvl="3" w:tplc="82521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A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0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AC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D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86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2D9E9"/>
    <w:multiLevelType w:val="hybridMultilevel"/>
    <w:tmpl w:val="EF9481E8"/>
    <w:lvl w:ilvl="0" w:tplc="050009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A87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48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8A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02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0C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4C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A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A9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87D6D"/>
    <w:multiLevelType w:val="hybridMultilevel"/>
    <w:tmpl w:val="FFFFFFFF"/>
    <w:lvl w:ilvl="0" w:tplc="DB7A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2B54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6C61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9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4D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26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C1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01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A2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7969C"/>
    <w:multiLevelType w:val="hybridMultilevel"/>
    <w:tmpl w:val="88AE1CD4"/>
    <w:lvl w:ilvl="0" w:tplc="509AB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CA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48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2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A7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A5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25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A4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22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0CAFF"/>
    <w:multiLevelType w:val="hybridMultilevel"/>
    <w:tmpl w:val="6F3E00A2"/>
    <w:lvl w:ilvl="0" w:tplc="A986F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83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2A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4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4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2D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C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86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A0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32570"/>
    <w:multiLevelType w:val="hybridMultilevel"/>
    <w:tmpl w:val="FFFFFFFF"/>
    <w:lvl w:ilvl="0" w:tplc="0EDE9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49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0F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ED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6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48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80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24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42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5DD62"/>
    <w:multiLevelType w:val="hybridMultilevel"/>
    <w:tmpl w:val="FFFFFFFF"/>
    <w:lvl w:ilvl="0" w:tplc="615A3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4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C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4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2D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5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E3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63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C8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D9568"/>
    <w:multiLevelType w:val="hybridMultilevel"/>
    <w:tmpl w:val="EF6A7CC2"/>
    <w:lvl w:ilvl="0" w:tplc="7A964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F83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22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69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E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4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7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EE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44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A3D06"/>
    <w:multiLevelType w:val="multilevel"/>
    <w:tmpl w:val="34064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%1"/>
      <w:lvlJc w:val="left"/>
      <w:pPr>
        <w:ind w:left="851" w:hanging="494"/>
      </w:pPr>
    </w:lvl>
    <w:lvl w:ilvl="2">
      <w:start w:val="1"/>
      <w:numFmt w:val="decimal"/>
      <w:lvlText w:val="%1.%2.%3"/>
      <w:lvlJc w:val="left"/>
      <w:pPr>
        <w:ind w:left="1559" w:hanging="708"/>
      </w:pPr>
    </w:lvl>
    <w:lvl w:ilvl="3">
      <w:start w:val="1"/>
      <w:numFmt w:val="decimal"/>
      <w:lvlText w:val="%1.%2.%3.%4"/>
      <w:lvlJc w:val="left"/>
      <w:pPr>
        <w:ind w:left="2381" w:hanging="822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D3D7C"/>
    <w:multiLevelType w:val="hybridMultilevel"/>
    <w:tmpl w:val="A8F41A54"/>
    <w:lvl w:ilvl="0" w:tplc="719E30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D49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6D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25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E2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08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8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67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E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8C806"/>
    <w:multiLevelType w:val="hybridMultilevel"/>
    <w:tmpl w:val="64B02C4E"/>
    <w:lvl w:ilvl="0" w:tplc="358E09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18D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C0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6F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0A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45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6C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E4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B5271"/>
    <w:multiLevelType w:val="multilevel"/>
    <w:tmpl w:val="8F5C446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97775">
    <w:abstractNumId w:val="11"/>
  </w:num>
  <w:num w:numId="2" w16cid:durableId="283656342">
    <w:abstractNumId w:val="32"/>
  </w:num>
  <w:num w:numId="3" w16cid:durableId="1473402473">
    <w:abstractNumId w:val="12"/>
  </w:num>
  <w:num w:numId="4" w16cid:durableId="1923448339">
    <w:abstractNumId w:val="23"/>
  </w:num>
  <w:num w:numId="5" w16cid:durableId="498737246">
    <w:abstractNumId w:val="31"/>
  </w:num>
  <w:num w:numId="6" w16cid:durableId="1290430957">
    <w:abstractNumId w:val="29"/>
  </w:num>
  <w:num w:numId="7" w16cid:durableId="874854176">
    <w:abstractNumId w:val="28"/>
  </w:num>
  <w:num w:numId="8" w16cid:durableId="2002081837">
    <w:abstractNumId w:val="27"/>
  </w:num>
  <w:num w:numId="9" w16cid:durableId="1975258074">
    <w:abstractNumId w:val="24"/>
  </w:num>
  <w:num w:numId="10" w16cid:durableId="1645162989">
    <w:abstractNumId w:val="25"/>
  </w:num>
  <w:num w:numId="11" w16cid:durableId="1456943126">
    <w:abstractNumId w:val="19"/>
  </w:num>
  <w:num w:numId="12" w16cid:durableId="1272544783">
    <w:abstractNumId w:val="17"/>
  </w:num>
  <w:num w:numId="13" w16cid:durableId="365522284">
    <w:abstractNumId w:val="26"/>
  </w:num>
  <w:num w:numId="14" w16cid:durableId="144322635">
    <w:abstractNumId w:val="22"/>
  </w:num>
  <w:num w:numId="15" w16cid:durableId="449973990">
    <w:abstractNumId w:val="10"/>
  </w:num>
  <w:num w:numId="16" w16cid:durableId="1545941931">
    <w:abstractNumId w:val="33"/>
  </w:num>
  <w:num w:numId="17" w16cid:durableId="1651179912">
    <w:abstractNumId w:val="30"/>
  </w:num>
  <w:num w:numId="18" w16cid:durableId="831676789">
    <w:abstractNumId w:val="16"/>
  </w:num>
  <w:num w:numId="19" w16cid:durableId="953024962">
    <w:abstractNumId w:val="18"/>
  </w:num>
  <w:num w:numId="20" w16cid:durableId="814295200">
    <w:abstractNumId w:val="15"/>
  </w:num>
  <w:num w:numId="21" w16cid:durableId="1057360396">
    <w:abstractNumId w:val="9"/>
  </w:num>
  <w:num w:numId="22" w16cid:durableId="342510552">
    <w:abstractNumId w:val="7"/>
  </w:num>
  <w:num w:numId="23" w16cid:durableId="1594895232">
    <w:abstractNumId w:val="6"/>
  </w:num>
  <w:num w:numId="24" w16cid:durableId="1820461966">
    <w:abstractNumId w:val="5"/>
  </w:num>
  <w:num w:numId="25" w16cid:durableId="1501845443">
    <w:abstractNumId w:val="4"/>
  </w:num>
  <w:num w:numId="26" w16cid:durableId="729040880">
    <w:abstractNumId w:val="8"/>
  </w:num>
  <w:num w:numId="27" w16cid:durableId="278419321">
    <w:abstractNumId w:val="3"/>
  </w:num>
  <w:num w:numId="28" w16cid:durableId="574701396">
    <w:abstractNumId w:val="2"/>
  </w:num>
  <w:num w:numId="29" w16cid:durableId="2082634113">
    <w:abstractNumId w:val="1"/>
  </w:num>
  <w:num w:numId="30" w16cid:durableId="806321090">
    <w:abstractNumId w:val="0"/>
  </w:num>
  <w:num w:numId="31" w16cid:durableId="63377158">
    <w:abstractNumId w:val="13"/>
  </w:num>
  <w:num w:numId="32" w16cid:durableId="1523323380">
    <w:abstractNumId w:val="20"/>
  </w:num>
  <w:num w:numId="33" w16cid:durableId="933829800">
    <w:abstractNumId w:val="21"/>
  </w:num>
  <w:num w:numId="34" w16cid:durableId="118181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5928808">
    <w:abstractNumId w:val="20"/>
  </w:num>
  <w:num w:numId="36" w16cid:durableId="1166021225">
    <w:abstractNumId w:val="21"/>
  </w:num>
  <w:num w:numId="37" w16cid:durableId="18149816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81E"/>
    <w:rsid w:val="0000502D"/>
    <w:rsid w:val="00005443"/>
    <w:rsid w:val="00011380"/>
    <w:rsid w:val="00013843"/>
    <w:rsid w:val="00014E4B"/>
    <w:rsid w:val="00025913"/>
    <w:rsid w:val="00030F07"/>
    <w:rsid w:val="00031EC7"/>
    <w:rsid w:val="00042F55"/>
    <w:rsid w:val="0005061C"/>
    <w:rsid w:val="00052BBC"/>
    <w:rsid w:val="000577B7"/>
    <w:rsid w:val="00067075"/>
    <w:rsid w:val="000700E8"/>
    <w:rsid w:val="00073151"/>
    <w:rsid w:val="0007364E"/>
    <w:rsid w:val="00076EF1"/>
    <w:rsid w:val="00077F45"/>
    <w:rsid w:val="00085EBA"/>
    <w:rsid w:val="00092D38"/>
    <w:rsid w:val="0009607D"/>
    <w:rsid w:val="000A453D"/>
    <w:rsid w:val="000C4CDF"/>
    <w:rsid w:val="000C626D"/>
    <w:rsid w:val="000D244B"/>
    <w:rsid w:val="000D5747"/>
    <w:rsid w:val="000D610D"/>
    <w:rsid w:val="000E1BDA"/>
    <w:rsid w:val="000E4293"/>
    <w:rsid w:val="000F6A54"/>
    <w:rsid w:val="000F6CA4"/>
    <w:rsid w:val="001013C2"/>
    <w:rsid w:val="001050C6"/>
    <w:rsid w:val="00107ADC"/>
    <w:rsid w:val="00111085"/>
    <w:rsid w:val="001146FF"/>
    <w:rsid w:val="001213FF"/>
    <w:rsid w:val="00122E94"/>
    <w:rsid w:val="00130ED5"/>
    <w:rsid w:val="00135409"/>
    <w:rsid w:val="00140A92"/>
    <w:rsid w:val="00144230"/>
    <w:rsid w:val="001503ED"/>
    <w:rsid w:val="00154471"/>
    <w:rsid w:val="00157F35"/>
    <w:rsid w:val="001624B0"/>
    <w:rsid w:val="00166398"/>
    <w:rsid w:val="001743F3"/>
    <w:rsid w:val="00177052"/>
    <w:rsid w:val="00185151"/>
    <w:rsid w:val="00186CCC"/>
    <w:rsid w:val="00191E32"/>
    <w:rsid w:val="00195029"/>
    <w:rsid w:val="00197C1B"/>
    <w:rsid w:val="001A0910"/>
    <w:rsid w:val="001A520F"/>
    <w:rsid w:val="001B3A38"/>
    <w:rsid w:val="001C7078"/>
    <w:rsid w:val="001D277B"/>
    <w:rsid w:val="001E7CE9"/>
    <w:rsid w:val="00217EAB"/>
    <w:rsid w:val="00224520"/>
    <w:rsid w:val="0022498C"/>
    <w:rsid w:val="0022626C"/>
    <w:rsid w:val="002321D7"/>
    <w:rsid w:val="00233194"/>
    <w:rsid w:val="00241D87"/>
    <w:rsid w:val="002424B6"/>
    <w:rsid w:val="00242FC0"/>
    <w:rsid w:val="00250599"/>
    <w:rsid w:val="00256483"/>
    <w:rsid w:val="002677C2"/>
    <w:rsid w:val="002724D0"/>
    <w:rsid w:val="00274948"/>
    <w:rsid w:val="00284D4E"/>
    <w:rsid w:val="00285EE5"/>
    <w:rsid w:val="00286560"/>
    <w:rsid w:val="00295194"/>
    <w:rsid w:val="00295FED"/>
    <w:rsid w:val="00296668"/>
    <w:rsid w:val="002A7840"/>
    <w:rsid w:val="002B04D8"/>
    <w:rsid w:val="002B1CE5"/>
    <w:rsid w:val="002B4963"/>
    <w:rsid w:val="002B758D"/>
    <w:rsid w:val="002C5BA7"/>
    <w:rsid w:val="002D753B"/>
    <w:rsid w:val="002E047A"/>
    <w:rsid w:val="002E5D4F"/>
    <w:rsid w:val="002F12D4"/>
    <w:rsid w:val="002F136F"/>
    <w:rsid w:val="002F4DB3"/>
    <w:rsid w:val="002F68B9"/>
    <w:rsid w:val="002F796A"/>
    <w:rsid w:val="00302A78"/>
    <w:rsid w:val="00305F05"/>
    <w:rsid w:val="0031043A"/>
    <w:rsid w:val="003108A5"/>
    <w:rsid w:val="00310902"/>
    <w:rsid w:val="00313337"/>
    <w:rsid w:val="00317AFC"/>
    <w:rsid w:val="0032523F"/>
    <w:rsid w:val="00327F44"/>
    <w:rsid w:val="00333352"/>
    <w:rsid w:val="003361C8"/>
    <w:rsid w:val="00337451"/>
    <w:rsid w:val="00342FE2"/>
    <w:rsid w:val="00345DBD"/>
    <w:rsid w:val="003507DA"/>
    <w:rsid w:val="00350FFA"/>
    <w:rsid w:val="00373D56"/>
    <w:rsid w:val="003808F3"/>
    <w:rsid w:val="00382464"/>
    <w:rsid w:val="00382F07"/>
    <w:rsid w:val="00394A1E"/>
    <w:rsid w:val="003A163F"/>
    <w:rsid w:val="003A2EFF"/>
    <w:rsid w:val="003A582D"/>
    <w:rsid w:val="003D0B18"/>
    <w:rsid w:val="003D14A1"/>
    <w:rsid w:val="003D4568"/>
    <w:rsid w:val="003D4DE1"/>
    <w:rsid w:val="003E479F"/>
    <w:rsid w:val="003F0A98"/>
    <w:rsid w:val="003F7587"/>
    <w:rsid w:val="004006F5"/>
    <w:rsid w:val="00400C3C"/>
    <w:rsid w:val="004022AA"/>
    <w:rsid w:val="0041004F"/>
    <w:rsid w:val="00414677"/>
    <w:rsid w:val="00415E73"/>
    <w:rsid w:val="00426A4D"/>
    <w:rsid w:val="00437F24"/>
    <w:rsid w:val="004430B1"/>
    <w:rsid w:val="00443B99"/>
    <w:rsid w:val="00447525"/>
    <w:rsid w:val="00450F8C"/>
    <w:rsid w:val="00453076"/>
    <w:rsid w:val="00453C04"/>
    <w:rsid w:val="004545D3"/>
    <w:rsid w:val="00455CF7"/>
    <w:rsid w:val="00461482"/>
    <w:rsid w:val="00466365"/>
    <w:rsid w:val="00482403"/>
    <w:rsid w:val="0048393C"/>
    <w:rsid w:val="00483967"/>
    <w:rsid w:val="00484261"/>
    <w:rsid w:val="00494BFD"/>
    <w:rsid w:val="00495658"/>
    <w:rsid w:val="00497764"/>
    <w:rsid w:val="00497B44"/>
    <w:rsid w:val="004B472A"/>
    <w:rsid w:val="004C3C15"/>
    <w:rsid w:val="004D6982"/>
    <w:rsid w:val="004E11D4"/>
    <w:rsid w:val="004E4665"/>
    <w:rsid w:val="004E46F0"/>
    <w:rsid w:val="004E7805"/>
    <w:rsid w:val="004F0F51"/>
    <w:rsid w:val="004F1B96"/>
    <w:rsid w:val="004F4F7B"/>
    <w:rsid w:val="004F55FF"/>
    <w:rsid w:val="00505F63"/>
    <w:rsid w:val="00506A8F"/>
    <w:rsid w:val="00511449"/>
    <w:rsid w:val="0051352E"/>
    <w:rsid w:val="00514CA4"/>
    <w:rsid w:val="00517DA7"/>
    <w:rsid w:val="00520A33"/>
    <w:rsid w:val="00527AE4"/>
    <w:rsid w:val="00530D7B"/>
    <w:rsid w:val="005336E6"/>
    <w:rsid w:val="005431DB"/>
    <w:rsid w:val="00543D4A"/>
    <w:rsid w:val="005440B9"/>
    <w:rsid w:val="005467C0"/>
    <w:rsid w:val="005544DF"/>
    <w:rsid w:val="00554DAC"/>
    <w:rsid w:val="0055569D"/>
    <w:rsid w:val="005651F5"/>
    <w:rsid w:val="00566EBB"/>
    <w:rsid w:val="005707C4"/>
    <w:rsid w:val="00576581"/>
    <w:rsid w:val="0058402C"/>
    <w:rsid w:val="005941D8"/>
    <w:rsid w:val="00596A88"/>
    <w:rsid w:val="005B3EB8"/>
    <w:rsid w:val="005C0623"/>
    <w:rsid w:val="005C0E7B"/>
    <w:rsid w:val="005C13AE"/>
    <w:rsid w:val="005C31A5"/>
    <w:rsid w:val="005C4BAB"/>
    <w:rsid w:val="005D5D46"/>
    <w:rsid w:val="005D6F0A"/>
    <w:rsid w:val="005D7CE7"/>
    <w:rsid w:val="005E1952"/>
    <w:rsid w:val="005F783F"/>
    <w:rsid w:val="005F7E56"/>
    <w:rsid w:val="00601F52"/>
    <w:rsid w:val="006033E7"/>
    <w:rsid w:val="00610A38"/>
    <w:rsid w:val="00613FB3"/>
    <w:rsid w:val="0061563A"/>
    <w:rsid w:val="00622EDE"/>
    <w:rsid w:val="00630DDF"/>
    <w:rsid w:val="00632736"/>
    <w:rsid w:val="006463DC"/>
    <w:rsid w:val="00651AE0"/>
    <w:rsid w:val="006621C2"/>
    <w:rsid w:val="00662A42"/>
    <w:rsid w:val="006657DB"/>
    <w:rsid w:val="006912A8"/>
    <w:rsid w:val="0069164F"/>
    <w:rsid w:val="006931F2"/>
    <w:rsid w:val="006A2791"/>
    <w:rsid w:val="006A7C27"/>
    <w:rsid w:val="006B0B39"/>
    <w:rsid w:val="006B0DED"/>
    <w:rsid w:val="006B1E6E"/>
    <w:rsid w:val="006B387B"/>
    <w:rsid w:val="006C0293"/>
    <w:rsid w:val="006C15DE"/>
    <w:rsid w:val="006D124A"/>
    <w:rsid w:val="006D154E"/>
    <w:rsid w:val="006D2EBF"/>
    <w:rsid w:val="006D486E"/>
    <w:rsid w:val="006E2412"/>
    <w:rsid w:val="006E5D6E"/>
    <w:rsid w:val="00704585"/>
    <w:rsid w:val="00713DEE"/>
    <w:rsid w:val="00714B4F"/>
    <w:rsid w:val="00721B03"/>
    <w:rsid w:val="007243E9"/>
    <w:rsid w:val="00724F9E"/>
    <w:rsid w:val="007310E9"/>
    <w:rsid w:val="00733175"/>
    <w:rsid w:val="00735175"/>
    <w:rsid w:val="007355F9"/>
    <w:rsid w:val="00745004"/>
    <w:rsid w:val="00752D00"/>
    <w:rsid w:val="007567BC"/>
    <w:rsid w:val="007570DC"/>
    <w:rsid w:val="007651FB"/>
    <w:rsid w:val="007654A0"/>
    <w:rsid w:val="007840B6"/>
    <w:rsid w:val="00786D2B"/>
    <w:rsid w:val="007929DE"/>
    <w:rsid w:val="007949EA"/>
    <w:rsid w:val="00796060"/>
    <w:rsid w:val="0079607F"/>
    <w:rsid w:val="007A15AF"/>
    <w:rsid w:val="007B1ABA"/>
    <w:rsid w:val="007B6B51"/>
    <w:rsid w:val="007B74C5"/>
    <w:rsid w:val="007C160C"/>
    <w:rsid w:val="007C2F8A"/>
    <w:rsid w:val="007C31F0"/>
    <w:rsid w:val="007E7DAC"/>
    <w:rsid w:val="007F6C82"/>
    <w:rsid w:val="007F7A31"/>
    <w:rsid w:val="00801EF3"/>
    <w:rsid w:val="00802DEE"/>
    <w:rsid w:val="008054CA"/>
    <w:rsid w:val="00824198"/>
    <w:rsid w:val="00830875"/>
    <w:rsid w:val="00842C50"/>
    <w:rsid w:val="008507C1"/>
    <w:rsid w:val="0085660A"/>
    <w:rsid w:val="00861934"/>
    <w:rsid w:val="0086377E"/>
    <w:rsid w:val="00866DBE"/>
    <w:rsid w:val="008700EE"/>
    <w:rsid w:val="0087779E"/>
    <w:rsid w:val="008834BF"/>
    <w:rsid w:val="00884335"/>
    <w:rsid w:val="00884584"/>
    <w:rsid w:val="008906A4"/>
    <w:rsid w:val="00895E0F"/>
    <w:rsid w:val="008979DD"/>
    <w:rsid w:val="008A1A5A"/>
    <w:rsid w:val="008A6195"/>
    <w:rsid w:val="008B00B6"/>
    <w:rsid w:val="008B35BA"/>
    <w:rsid w:val="008B39A6"/>
    <w:rsid w:val="008B5794"/>
    <w:rsid w:val="008B7277"/>
    <w:rsid w:val="008B796D"/>
    <w:rsid w:val="008C1BA3"/>
    <w:rsid w:val="008D1EAF"/>
    <w:rsid w:val="008E22BA"/>
    <w:rsid w:val="008E7AFA"/>
    <w:rsid w:val="008F0AC9"/>
    <w:rsid w:val="008F588F"/>
    <w:rsid w:val="00900F7F"/>
    <w:rsid w:val="00907049"/>
    <w:rsid w:val="00922914"/>
    <w:rsid w:val="009245A4"/>
    <w:rsid w:val="0092644D"/>
    <w:rsid w:val="009314F4"/>
    <w:rsid w:val="009333B8"/>
    <w:rsid w:val="00933DD6"/>
    <w:rsid w:val="0093473D"/>
    <w:rsid w:val="009373E3"/>
    <w:rsid w:val="009411D1"/>
    <w:rsid w:val="00944ECC"/>
    <w:rsid w:val="00946263"/>
    <w:rsid w:val="00946EA2"/>
    <w:rsid w:val="00950C30"/>
    <w:rsid w:val="009552A3"/>
    <w:rsid w:val="00964073"/>
    <w:rsid w:val="00964E48"/>
    <w:rsid w:val="00972F57"/>
    <w:rsid w:val="009738A9"/>
    <w:rsid w:val="009752AD"/>
    <w:rsid w:val="00975FFA"/>
    <w:rsid w:val="0098092E"/>
    <w:rsid w:val="00983047"/>
    <w:rsid w:val="00985CD8"/>
    <w:rsid w:val="00995280"/>
    <w:rsid w:val="009A4B77"/>
    <w:rsid w:val="009A54A5"/>
    <w:rsid w:val="009A5618"/>
    <w:rsid w:val="009A7362"/>
    <w:rsid w:val="009C2572"/>
    <w:rsid w:val="009D2597"/>
    <w:rsid w:val="009D6B0D"/>
    <w:rsid w:val="00A03283"/>
    <w:rsid w:val="00A07D4E"/>
    <w:rsid w:val="00A12E32"/>
    <w:rsid w:val="00A14B02"/>
    <w:rsid w:val="00A2199E"/>
    <w:rsid w:val="00A24E6E"/>
    <w:rsid w:val="00A37CBC"/>
    <w:rsid w:val="00A43694"/>
    <w:rsid w:val="00A56003"/>
    <w:rsid w:val="00A56E86"/>
    <w:rsid w:val="00A56FC7"/>
    <w:rsid w:val="00A57E9D"/>
    <w:rsid w:val="00A668BF"/>
    <w:rsid w:val="00A72575"/>
    <w:rsid w:val="00A73DE3"/>
    <w:rsid w:val="00A74071"/>
    <w:rsid w:val="00A754E4"/>
    <w:rsid w:val="00A860BD"/>
    <w:rsid w:val="00A91E79"/>
    <w:rsid w:val="00AA124A"/>
    <w:rsid w:val="00AA1998"/>
    <w:rsid w:val="00AA2425"/>
    <w:rsid w:val="00AA2A96"/>
    <w:rsid w:val="00AA40B6"/>
    <w:rsid w:val="00AA52EB"/>
    <w:rsid w:val="00AB48EF"/>
    <w:rsid w:val="00AB5E13"/>
    <w:rsid w:val="00AC72B8"/>
    <w:rsid w:val="00AD3BDE"/>
    <w:rsid w:val="00AD61DD"/>
    <w:rsid w:val="00AD643C"/>
    <w:rsid w:val="00AE04D4"/>
    <w:rsid w:val="00AE3809"/>
    <w:rsid w:val="00AE5928"/>
    <w:rsid w:val="00AF6DF6"/>
    <w:rsid w:val="00B06E20"/>
    <w:rsid w:val="00B100CC"/>
    <w:rsid w:val="00B14560"/>
    <w:rsid w:val="00B207CD"/>
    <w:rsid w:val="00B22634"/>
    <w:rsid w:val="00B238AF"/>
    <w:rsid w:val="00B25BD2"/>
    <w:rsid w:val="00B3745D"/>
    <w:rsid w:val="00B4136B"/>
    <w:rsid w:val="00B456C5"/>
    <w:rsid w:val="00B5055D"/>
    <w:rsid w:val="00B55EEC"/>
    <w:rsid w:val="00B63CCD"/>
    <w:rsid w:val="00B64BAA"/>
    <w:rsid w:val="00B6689D"/>
    <w:rsid w:val="00B67366"/>
    <w:rsid w:val="00B67F85"/>
    <w:rsid w:val="00B72368"/>
    <w:rsid w:val="00B824D1"/>
    <w:rsid w:val="00B84F54"/>
    <w:rsid w:val="00B943B9"/>
    <w:rsid w:val="00BA04E1"/>
    <w:rsid w:val="00BA0F88"/>
    <w:rsid w:val="00BA4EED"/>
    <w:rsid w:val="00BA6D18"/>
    <w:rsid w:val="00BC747C"/>
    <w:rsid w:val="00BD16B7"/>
    <w:rsid w:val="00BD3A61"/>
    <w:rsid w:val="00BD73D7"/>
    <w:rsid w:val="00BE47EA"/>
    <w:rsid w:val="00BE5A89"/>
    <w:rsid w:val="00BF4059"/>
    <w:rsid w:val="00BF69C7"/>
    <w:rsid w:val="00BF6A91"/>
    <w:rsid w:val="00BF7998"/>
    <w:rsid w:val="00C05FE5"/>
    <w:rsid w:val="00C1349E"/>
    <w:rsid w:val="00C152DA"/>
    <w:rsid w:val="00C17DAB"/>
    <w:rsid w:val="00C20A34"/>
    <w:rsid w:val="00C21D5A"/>
    <w:rsid w:val="00C2449F"/>
    <w:rsid w:val="00C25441"/>
    <w:rsid w:val="00C4403A"/>
    <w:rsid w:val="00C54D58"/>
    <w:rsid w:val="00C5568D"/>
    <w:rsid w:val="00C556A6"/>
    <w:rsid w:val="00C560D5"/>
    <w:rsid w:val="00C573E1"/>
    <w:rsid w:val="00C60222"/>
    <w:rsid w:val="00C62B08"/>
    <w:rsid w:val="00C6725B"/>
    <w:rsid w:val="00C71C50"/>
    <w:rsid w:val="00C736D3"/>
    <w:rsid w:val="00C77C56"/>
    <w:rsid w:val="00C807F6"/>
    <w:rsid w:val="00C93CC8"/>
    <w:rsid w:val="00C95DF6"/>
    <w:rsid w:val="00CA2DF3"/>
    <w:rsid w:val="00CA69B9"/>
    <w:rsid w:val="00CA76CC"/>
    <w:rsid w:val="00CC02E5"/>
    <w:rsid w:val="00CC3BA4"/>
    <w:rsid w:val="00CC5344"/>
    <w:rsid w:val="00CE088D"/>
    <w:rsid w:val="00D0504D"/>
    <w:rsid w:val="00D058BA"/>
    <w:rsid w:val="00D076CB"/>
    <w:rsid w:val="00D125B3"/>
    <w:rsid w:val="00D411A4"/>
    <w:rsid w:val="00D4161E"/>
    <w:rsid w:val="00D4439C"/>
    <w:rsid w:val="00D44D78"/>
    <w:rsid w:val="00D75A33"/>
    <w:rsid w:val="00D76ED8"/>
    <w:rsid w:val="00D7732E"/>
    <w:rsid w:val="00D85D41"/>
    <w:rsid w:val="00D95FD4"/>
    <w:rsid w:val="00D96B20"/>
    <w:rsid w:val="00D96FEF"/>
    <w:rsid w:val="00DA0F4E"/>
    <w:rsid w:val="00DA1B7B"/>
    <w:rsid w:val="00DB5CE0"/>
    <w:rsid w:val="00DB79DF"/>
    <w:rsid w:val="00DB7F3D"/>
    <w:rsid w:val="00DC3C36"/>
    <w:rsid w:val="00DC4607"/>
    <w:rsid w:val="00DE0402"/>
    <w:rsid w:val="00DE1281"/>
    <w:rsid w:val="00DE1D12"/>
    <w:rsid w:val="00DF0CFC"/>
    <w:rsid w:val="00DF2898"/>
    <w:rsid w:val="00E01C20"/>
    <w:rsid w:val="00E02099"/>
    <w:rsid w:val="00E03C53"/>
    <w:rsid w:val="00E03CB2"/>
    <w:rsid w:val="00E0641C"/>
    <w:rsid w:val="00E118C4"/>
    <w:rsid w:val="00E14881"/>
    <w:rsid w:val="00E15BA4"/>
    <w:rsid w:val="00E23BCF"/>
    <w:rsid w:val="00E275E2"/>
    <w:rsid w:val="00E31E47"/>
    <w:rsid w:val="00E36EF8"/>
    <w:rsid w:val="00E37172"/>
    <w:rsid w:val="00E5214C"/>
    <w:rsid w:val="00E5270E"/>
    <w:rsid w:val="00E54060"/>
    <w:rsid w:val="00E569A9"/>
    <w:rsid w:val="00E56C30"/>
    <w:rsid w:val="00E6257A"/>
    <w:rsid w:val="00E62C00"/>
    <w:rsid w:val="00E67289"/>
    <w:rsid w:val="00E70674"/>
    <w:rsid w:val="00E80EEF"/>
    <w:rsid w:val="00E9345D"/>
    <w:rsid w:val="00E93617"/>
    <w:rsid w:val="00EA32F7"/>
    <w:rsid w:val="00EA717F"/>
    <w:rsid w:val="00EB1CF1"/>
    <w:rsid w:val="00EB4433"/>
    <w:rsid w:val="00EC0A5C"/>
    <w:rsid w:val="00EC2DBF"/>
    <w:rsid w:val="00EC5432"/>
    <w:rsid w:val="00EC6A53"/>
    <w:rsid w:val="00ED7177"/>
    <w:rsid w:val="00ED7483"/>
    <w:rsid w:val="00EE35D7"/>
    <w:rsid w:val="00EE5EEB"/>
    <w:rsid w:val="00EE7AD6"/>
    <w:rsid w:val="00F00412"/>
    <w:rsid w:val="00F030FF"/>
    <w:rsid w:val="00F14E20"/>
    <w:rsid w:val="00F16A32"/>
    <w:rsid w:val="00F230CD"/>
    <w:rsid w:val="00F2554F"/>
    <w:rsid w:val="00F26E03"/>
    <w:rsid w:val="00F51C18"/>
    <w:rsid w:val="00F57DBE"/>
    <w:rsid w:val="00F64555"/>
    <w:rsid w:val="00F70A81"/>
    <w:rsid w:val="00F72B5F"/>
    <w:rsid w:val="00F845FB"/>
    <w:rsid w:val="00FA005F"/>
    <w:rsid w:val="00FA31E2"/>
    <w:rsid w:val="00FA70B3"/>
    <w:rsid w:val="00FB63C1"/>
    <w:rsid w:val="00FB6477"/>
    <w:rsid w:val="00FC770A"/>
    <w:rsid w:val="00FD0FFD"/>
    <w:rsid w:val="00FE2BB5"/>
    <w:rsid w:val="00FE3194"/>
    <w:rsid w:val="00FE52AC"/>
    <w:rsid w:val="00FF5B70"/>
    <w:rsid w:val="00FF5BB9"/>
    <w:rsid w:val="00FF5DDB"/>
    <w:rsid w:val="00FF784B"/>
    <w:rsid w:val="01598F1C"/>
    <w:rsid w:val="0217EB70"/>
    <w:rsid w:val="0278E27E"/>
    <w:rsid w:val="028950DB"/>
    <w:rsid w:val="034D9550"/>
    <w:rsid w:val="03BA68DD"/>
    <w:rsid w:val="03EDF514"/>
    <w:rsid w:val="04A447A0"/>
    <w:rsid w:val="0589C9EE"/>
    <w:rsid w:val="072678C0"/>
    <w:rsid w:val="078ECDFB"/>
    <w:rsid w:val="07E6CA66"/>
    <w:rsid w:val="08BE509E"/>
    <w:rsid w:val="096EF78A"/>
    <w:rsid w:val="0987E7D2"/>
    <w:rsid w:val="0ACF0DF3"/>
    <w:rsid w:val="0C45D955"/>
    <w:rsid w:val="0DA27284"/>
    <w:rsid w:val="0E013B24"/>
    <w:rsid w:val="0E97C17F"/>
    <w:rsid w:val="0ECE7023"/>
    <w:rsid w:val="103559EC"/>
    <w:rsid w:val="10B21995"/>
    <w:rsid w:val="10C77EB6"/>
    <w:rsid w:val="10C85DD7"/>
    <w:rsid w:val="1179360C"/>
    <w:rsid w:val="139B6EDA"/>
    <w:rsid w:val="143B2AE4"/>
    <w:rsid w:val="146CF022"/>
    <w:rsid w:val="15179E5E"/>
    <w:rsid w:val="15958A45"/>
    <w:rsid w:val="177B6BBB"/>
    <w:rsid w:val="184AC258"/>
    <w:rsid w:val="19A47143"/>
    <w:rsid w:val="19FE67B9"/>
    <w:rsid w:val="1A536095"/>
    <w:rsid w:val="1AD8E813"/>
    <w:rsid w:val="1B00F365"/>
    <w:rsid w:val="1B1B19E2"/>
    <w:rsid w:val="1B440068"/>
    <w:rsid w:val="1B941B01"/>
    <w:rsid w:val="1BBCE0DA"/>
    <w:rsid w:val="1BD6A788"/>
    <w:rsid w:val="1C0104F5"/>
    <w:rsid w:val="1C063C46"/>
    <w:rsid w:val="1C48A271"/>
    <w:rsid w:val="1D83DE78"/>
    <w:rsid w:val="1D8D300F"/>
    <w:rsid w:val="1D9981F7"/>
    <w:rsid w:val="1EE70517"/>
    <w:rsid w:val="1F075F65"/>
    <w:rsid w:val="22270881"/>
    <w:rsid w:val="23C93D51"/>
    <w:rsid w:val="2451E91A"/>
    <w:rsid w:val="250468B8"/>
    <w:rsid w:val="25D88541"/>
    <w:rsid w:val="269EA1E6"/>
    <w:rsid w:val="26D99637"/>
    <w:rsid w:val="27738D8F"/>
    <w:rsid w:val="2890D99F"/>
    <w:rsid w:val="291788FD"/>
    <w:rsid w:val="292384C3"/>
    <w:rsid w:val="29CA8A5A"/>
    <w:rsid w:val="2A0C6BEA"/>
    <w:rsid w:val="2A3FA17E"/>
    <w:rsid w:val="2CF372AE"/>
    <w:rsid w:val="2CF641F8"/>
    <w:rsid w:val="2D826CAE"/>
    <w:rsid w:val="2E102A8C"/>
    <w:rsid w:val="2E9DC5A8"/>
    <w:rsid w:val="2F878508"/>
    <w:rsid w:val="2FA96274"/>
    <w:rsid w:val="2FF9C0A7"/>
    <w:rsid w:val="300F1F2E"/>
    <w:rsid w:val="3037A4CE"/>
    <w:rsid w:val="30D4C636"/>
    <w:rsid w:val="31A74F70"/>
    <w:rsid w:val="31C4FB11"/>
    <w:rsid w:val="3240457A"/>
    <w:rsid w:val="328AAB1C"/>
    <w:rsid w:val="32C6D5B5"/>
    <w:rsid w:val="33D45294"/>
    <w:rsid w:val="33DC2476"/>
    <w:rsid w:val="34DCCFC1"/>
    <w:rsid w:val="35345542"/>
    <w:rsid w:val="3594811E"/>
    <w:rsid w:val="369A0C12"/>
    <w:rsid w:val="39D50390"/>
    <w:rsid w:val="3B7B2E3A"/>
    <w:rsid w:val="3B9F9643"/>
    <w:rsid w:val="3D45546D"/>
    <w:rsid w:val="3D742A4E"/>
    <w:rsid w:val="3E147CA1"/>
    <w:rsid w:val="3FF4C52A"/>
    <w:rsid w:val="4039F8B3"/>
    <w:rsid w:val="41D17730"/>
    <w:rsid w:val="42100152"/>
    <w:rsid w:val="4265D173"/>
    <w:rsid w:val="4292FD7B"/>
    <w:rsid w:val="42A8BC00"/>
    <w:rsid w:val="4354CC46"/>
    <w:rsid w:val="44FF26C9"/>
    <w:rsid w:val="4605EA62"/>
    <w:rsid w:val="4703E27A"/>
    <w:rsid w:val="4802E0D2"/>
    <w:rsid w:val="4869C17A"/>
    <w:rsid w:val="4936BC72"/>
    <w:rsid w:val="4A4AF894"/>
    <w:rsid w:val="4B167498"/>
    <w:rsid w:val="4B67851C"/>
    <w:rsid w:val="4C4557AF"/>
    <w:rsid w:val="4C967401"/>
    <w:rsid w:val="4CD618FE"/>
    <w:rsid w:val="4D4827DC"/>
    <w:rsid w:val="4E1AB4A4"/>
    <w:rsid w:val="4E575175"/>
    <w:rsid w:val="4FEFA3C7"/>
    <w:rsid w:val="50D52201"/>
    <w:rsid w:val="513BCEE7"/>
    <w:rsid w:val="514095BE"/>
    <w:rsid w:val="5190F0A3"/>
    <w:rsid w:val="534AD9F4"/>
    <w:rsid w:val="53991A4D"/>
    <w:rsid w:val="53D4B857"/>
    <w:rsid w:val="54E10128"/>
    <w:rsid w:val="555601A9"/>
    <w:rsid w:val="55D5ECC8"/>
    <w:rsid w:val="55DFCBFB"/>
    <w:rsid w:val="5623BB83"/>
    <w:rsid w:val="58DAC11A"/>
    <w:rsid w:val="59218340"/>
    <w:rsid w:val="59310F9B"/>
    <w:rsid w:val="598C2CE6"/>
    <w:rsid w:val="5A74F3A1"/>
    <w:rsid w:val="5B53C6DB"/>
    <w:rsid w:val="5C34C470"/>
    <w:rsid w:val="5CAF5277"/>
    <w:rsid w:val="5DB0D47C"/>
    <w:rsid w:val="5DE5796C"/>
    <w:rsid w:val="5F2EF4A3"/>
    <w:rsid w:val="5F49D22C"/>
    <w:rsid w:val="6024D371"/>
    <w:rsid w:val="60D567C6"/>
    <w:rsid w:val="616903B0"/>
    <w:rsid w:val="61751755"/>
    <w:rsid w:val="623F4F01"/>
    <w:rsid w:val="6400F82E"/>
    <w:rsid w:val="64A099E0"/>
    <w:rsid w:val="6675861A"/>
    <w:rsid w:val="672B9BCD"/>
    <w:rsid w:val="6761905F"/>
    <w:rsid w:val="677DBB96"/>
    <w:rsid w:val="695599CA"/>
    <w:rsid w:val="69C47FFA"/>
    <w:rsid w:val="6A4EE0CB"/>
    <w:rsid w:val="6B838E34"/>
    <w:rsid w:val="6DA35D44"/>
    <w:rsid w:val="6E2921E0"/>
    <w:rsid w:val="6E9AF1CD"/>
    <w:rsid w:val="6FC9A37D"/>
    <w:rsid w:val="713D5EA9"/>
    <w:rsid w:val="7198D637"/>
    <w:rsid w:val="71F14939"/>
    <w:rsid w:val="726CFCD4"/>
    <w:rsid w:val="72A49E38"/>
    <w:rsid w:val="734787DD"/>
    <w:rsid w:val="73D473A5"/>
    <w:rsid w:val="7432ED58"/>
    <w:rsid w:val="745BADAE"/>
    <w:rsid w:val="75E08070"/>
    <w:rsid w:val="760017A7"/>
    <w:rsid w:val="772D3D5D"/>
    <w:rsid w:val="782C3B0C"/>
    <w:rsid w:val="785C4519"/>
    <w:rsid w:val="78E52E29"/>
    <w:rsid w:val="7A5392EC"/>
    <w:rsid w:val="7AA8E807"/>
    <w:rsid w:val="7B650A9E"/>
    <w:rsid w:val="7C3E91F0"/>
    <w:rsid w:val="7D023F7B"/>
    <w:rsid w:val="7D4EE2F8"/>
    <w:rsid w:val="7E2194F6"/>
    <w:rsid w:val="7E86B2B1"/>
    <w:rsid w:val="7EB5D1EA"/>
    <w:rsid w:val="7F9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/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/>
    <w:tblStylePr w:type="firstRow">
      <w:rPr>
        <w:rFonts w:ascii="Aptos SemiBold" w:hAnsi="Aptos SemiBold"/>
        <w:b/>
        <w:color w:val="FFFFFF" w:themeColor="background1"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3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3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3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3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customStyle="1" w:styleId="body">
    <w:name w:val="body"/>
    <w:basedOn w:val="Normal"/>
    <w:uiPriority w:val="1"/>
    <w:rsid w:val="69C47FFA"/>
    <w:pPr>
      <w:spacing w:beforeAutospacing="1" w:afterAutospacing="1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Display" w:hAnsi="Aptos Displa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E0"/>
    <w:rPr>
      <w:rFonts w:ascii="Aptos Display" w:hAnsi="Aptos Display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1998"/>
    <w:pPr>
      <w:spacing w:after="0" w:line="240" w:lineRule="auto"/>
    </w:pPr>
    <w:rPr>
      <w:rFonts w:ascii="Aptos Display" w:hAnsi="Aptos Display"/>
    </w:rPr>
  </w:style>
  <w:style w:type="character" w:customStyle="1" w:styleId="normaltextrun">
    <w:name w:val="normaltextrun"/>
    <w:basedOn w:val="DefaultParagraphFont"/>
    <w:rsid w:val="00C20A34"/>
  </w:style>
  <w:style w:type="paragraph" w:styleId="FootnoteText">
    <w:name w:val="footnote text"/>
    <w:basedOn w:val="Normal"/>
    <w:link w:val="FootnoteTextChar"/>
    <w:uiPriority w:val="99"/>
    <w:semiHidden/>
    <w:unhideWhenUsed/>
    <w:rsid w:val="00CC53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344"/>
    <w:rPr>
      <w:rFonts w:ascii="Aptos Display" w:hAnsi="Aptos Display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344"/>
    <w:rPr>
      <w:vertAlign w:val="superscript"/>
    </w:rPr>
  </w:style>
  <w:style w:type="paragraph" w:customStyle="1" w:styleId="paragraph">
    <w:name w:val="paragraph"/>
    <w:basedOn w:val="Normal"/>
    <w:rsid w:val="0038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3808F3"/>
  </w:style>
  <w:style w:type="character" w:styleId="UnresolvedMention">
    <w:name w:val="Unresolved Mention"/>
    <w:basedOn w:val="DefaultParagraphFont"/>
    <w:uiPriority w:val="99"/>
    <w:semiHidden/>
    <w:unhideWhenUsed/>
    <w:rsid w:val="00AB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cation.gov.au/managed-system-international-education-2026/resources/factsheet-managed-growth-international-education-arrangement-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nagedgrowth@dewr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download/19545/factsheet-embedded-university-pathways-provider-nosc-exemption/42070/document/pdf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dewr.gov.au/international-skills-engagement/resources/indicative-allocation-vet-new-overseas-student-commencements-2026" TargetMode="Externa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3023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and managed growth arrangements for 2026 – Information for TAFE providers</dc:title>
  <dc:subject/>
  <dc:creator/>
  <cp:keywords/>
  <dc:description/>
  <cp:lastModifiedBy/>
  <cp:revision>1</cp:revision>
  <dcterms:created xsi:type="dcterms:W3CDTF">2025-11-04T04:31:00Z</dcterms:created>
  <dcterms:modified xsi:type="dcterms:W3CDTF">2025-11-04T04:31:00Z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2025-11-04T04:31:22Z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a490fc3d-04eb-49d0-b27d-7f4493052aee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