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FB48" w14:textId="4518D71C" w:rsidR="00670A07" w:rsidRDefault="00F45D68" w:rsidP="00670A07">
      <w:pPr>
        <w:spacing w:before="960"/>
        <w:jc w:val="right"/>
      </w:pPr>
      <w:bookmarkStart w:id="0" w:name="_mps572989050000000000000005028000000000"/>
      <w:r>
        <w:rPr>
          <w:rFonts w:cs="Arial"/>
          <w:noProof/>
          <w:lang w:eastAsia="en-AU"/>
        </w:rPr>
        <w:drawing>
          <wp:anchor distT="0" distB="0" distL="114300" distR="114300" simplePos="0" relativeHeight="251659264" behindDoc="1" locked="0" layoutInCell="1" allowOverlap="1" wp14:anchorId="035A65FC" wp14:editId="546BCF43">
            <wp:simplePos x="0" y="0"/>
            <wp:positionH relativeFrom="margin">
              <wp:posOffset>-790575</wp:posOffset>
            </wp:positionH>
            <wp:positionV relativeFrom="paragraph">
              <wp:posOffset>-913765</wp:posOffset>
            </wp:positionV>
            <wp:extent cx="7329170" cy="8915018"/>
            <wp:effectExtent l="0" t="0" r="5080" b="635"/>
            <wp:wrapNone/>
            <wp:docPr id="7" name="Picture 7" descr="Logo is a geometric shape formed from green, blue and yellow triangles." title="Seyfarth Sh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1-hires.jpg"/>
                    <pic:cNvPicPr/>
                  </pic:nvPicPr>
                  <pic:blipFill>
                    <a:blip r:embed="rId8">
                      <a:extLst>
                        <a:ext uri="{28A0092B-C50C-407E-A947-70E740481C1C}">
                          <a14:useLocalDpi xmlns:a14="http://schemas.microsoft.com/office/drawing/2010/main" val="0"/>
                        </a:ext>
                      </a:extLst>
                    </a:blip>
                    <a:stretch>
                      <a:fillRect/>
                    </a:stretch>
                  </pic:blipFill>
                  <pic:spPr>
                    <a:xfrm>
                      <a:off x="0" y="0"/>
                      <a:ext cx="7329170" cy="8915018"/>
                    </a:xfrm>
                    <a:prstGeom prst="rect">
                      <a:avLst/>
                    </a:prstGeom>
                  </pic:spPr>
                </pic:pic>
              </a:graphicData>
            </a:graphic>
            <wp14:sizeRelH relativeFrom="margin">
              <wp14:pctWidth>0</wp14:pctWidth>
            </wp14:sizeRelH>
            <wp14:sizeRelV relativeFrom="margin">
              <wp14:pctHeight>0</wp14:pctHeight>
            </wp14:sizeRelV>
          </wp:anchor>
        </w:drawing>
      </w:r>
      <w:bookmarkEnd w:id="0"/>
      <w:r>
        <w:t xml:space="preserve">Department of Jobs and Small </w:t>
      </w:r>
      <w:r w:rsidRPr="00670A07">
        <w:t>Business</w:t>
      </w:r>
    </w:p>
    <w:p w14:paraId="4373F9CC" w14:textId="77777777" w:rsidR="00670A07" w:rsidRDefault="00F45D68" w:rsidP="00670A07">
      <w:pPr>
        <w:pStyle w:val="Title"/>
        <w:spacing w:before="600"/>
      </w:pPr>
      <w:r>
        <w:t>Issues Paper</w:t>
      </w:r>
    </w:p>
    <w:p w14:paraId="1F3DBE59" w14:textId="3A284880" w:rsidR="00F45D68" w:rsidRDefault="00F45D68" w:rsidP="00670A07">
      <w:pPr>
        <w:pStyle w:val="Title"/>
        <w:spacing w:before="600"/>
      </w:pPr>
      <w:r>
        <w:t>Review of Work Health and Safety</w:t>
      </w:r>
      <w:r w:rsidR="00321B48">
        <w:t xml:space="preserve"> </w:t>
      </w:r>
      <w:r>
        <w:t>Regulatory</w:t>
      </w:r>
      <w:r w:rsidR="00321B48">
        <w:t xml:space="preserve"> </w:t>
      </w:r>
      <w:r>
        <w:t>Framework</w:t>
      </w:r>
      <w:r w:rsidR="00670A07">
        <w:br/>
      </w:r>
      <w:r>
        <w:t>in the Building and Construction Industry</w:t>
      </w:r>
    </w:p>
    <w:p w14:paraId="2F752CD9" w14:textId="59B3DBCD" w:rsidR="00F45D68" w:rsidRDefault="00F45D68" w:rsidP="00670A07">
      <w:pPr>
        <w:pStyle w:val="Title"/>
      </w:pPr>
      <w:r>
        <w:t>2</w:t>
      </w:r>
      <w:r w:rsidR="00321B48">
        <w:t>9</w:t>
      </w:r>
      <w:r>
        <w:t xml:space="preserve"> March 2018</w:t>
      </w:r>
    </w:p>
    <w:p w14:paraId="3D4645EB" w14:textId="77777777" w:rsidR="00F45D68" w:rsidRDefault="00F45D68">
      <w:pPr>
        <w:spacing w:after="0"/>
        <w:jc w:val="left"/>
      </w:pPr>
      <w:bookmarkStart w:id="1" w:name="_mps922249500000000000000005028000000000"/>
      <w:r>
        <w:br w:type="page"/>
      </w:r>
    </w:p>
    <w:p w14:paraId="4BF50DFB" w14:textId="77777777" w:rsidR="005D71F4" w:rsidRDefault="00C01127" w:rsidP="005D71F4">
      <w:r>
        <w:lastRenderedPageBreak/>
        <w:t>Table of Contents</w:t>
      </w:r>
    </w:p>
    <w:p w14:paraId="13262636" w14:textId="77777777" w:rsidR="00C01127" w:rsidRDefault="00C01127" w:rsidP="005D71F4"/>
    <w:p w14:paraId="399498CB" w14:textId="77777777" w:rsidR="00F45D68" w:rsidRDefault="00F45D68" w:rsidP="005D71F4">
      <w:pPr>
        <w:sectPr w:rsidR="00F45D68" w:rsidSect="00BC3243">
          <w:headerReference w:type="default" r:id="rId9"/>
          <w:footerReference w:type="default" r:id="rId10"/>
          <w:headerReference w:type="first" r:id="rId11"/>
          <w:type w:val="continuous"/>
          <w:pgSz w:w="11906" w:h="16838" w:code="1"/>
          <w:pgMar w:top="1440" w:right="1196" w:bottom="1440" w:left="1440" w:header="708" w:footer="708" w:gutter="0"/>
          <w:cols w:space="720"/>
          <w:titlePg/>
          <w:docGrid w:linePitch="360"/>
        </w:sectPr>
      </w:pPr>
    </w:p>
    <w:p w14:paraId="7B877E6C" w14:textId="16608102" w:rsidR="00416BD6" w:rsidRDefault="005D71F4">
      <w:pPr>
        <w:pStyle w:val="TOC1"/>
        <w:tabs>
          <w:tab w:val="left" w:pos="400"/>
          <w:tab w:val="right" w:leader="dot" w:pos="9016"/>
        </w:tabs>
        <w:rPr>
          <w:rFonts w:asciiTheme="minorHAnsi" w:hAnsiTheme="minorHAnsi"/>
          <w:noProof/>
          <w:sz w:val="22"/>
          <w:lang w:eastAsia="en-AU"/>
        </w:rPr>
      </w:pPr>
      <w:r>
        <w:fldChar w:fldCharType="begin"/>
      </w:r>
      <w:r>
        <w:instrText xml:space="preserve"> TOC \f C \t "Heading 1,1" GUID=439f7936-c1e1-4c4a-9a4f-628b012b8bff</w:instrText>
      </w:r>
      <w:r>
        <w:fldChar w:fldCharType="separate"/>
      </w:r>
      <w:r w:rsidR="00416BD6" w:rsidRPr="003C5A61">
        <w:rPr>
          <w:rFonts w:ascii="Arial Bold" w:hAnsi="Arial Bold"/>
          <w:noProof/>
        </w:rPr>
        <w:t>1.</w:t>
      </w:r>
      <w:r w:rsidR="00416BD6">
        <w:rPr>
          <w:rFonts w:asciiTheme="minorHAnsi" w:hAnsiTheme="minorHAnsi"/>
          <w:noProof/>
          <w:sz w:val="22"/>
          <w:lang w:eastAsia="en-AU"/>
        </w:rPr>
        <w:tab/>
      </w:r>
      <w:r w:rsidR="00416BD6">
        <w:rPr>
          <w:noProof/>
        </w:rPr>
        <w:t>Background to the Review</w:t>
      </w:r>
      <w:r w:rsidR="00416BD6">
        <w:rPr>
          <w:noProof/>
        </w:rPr>
        <w:tab/>
      </w:r>
      <w:r w:rsidR="00416BD6">
        <w:rPr>
          <w:noProof/>
        </w:rPr>
        <w:fldChar w:fldCharType="begin"/>
      </w:r>
      <w:r w:rsidR="00416BD6">
        <w:rPr>
          <w:noProof/>
        </w:rPr>
        <w:instrText xml:space="preserve"> PAGEREF _Toc509995542 \h </w:instrText>
      </w:r>
      <w:r w:rsidR="00416BD6">
        <w:rPr>
          <w:noProof/>
        </w:rPr>
      </w:r>
      <w:r w:rsidR="00416BD6">
        <w:rPr>
          <w:noProof/>
        </w:rPr>
        <w:fldChar w:fldCharType="separate"/>
      </w:r>
      <w:r w:rsidR="00A2226D">
        <w:rPr>
          <w:noProof/>
        </w:rPr>
        <w:t>1</w:t>
      </w:r>
      <w:r w:rsidR="00416BD6">
        <w:rPr>
          <w:noProof/>
        </w:rPr>
        <w:fldChar w:fldCharType="end"/>
      </w:r>
    </w:p>
    <w:p w14:paraId="1809E33B" w14:textId="6DB5DB37" w:rsidR="00416BD6" w:rsidRDefault="00416BD6">
      <w:pPr>
        <w:pStyle w:val="TOC1"/>
        <w:tabs>
          <w:tab w:val="left" w:pos="400"/>
          <w:tab w:val="right" w:leader="dot" w:pos="9016"/>
        </w:tabs>
        <w:rPr>
          <w:rFonts w:asciiTheme="minorHAnsi" w:hAnsiTheme="minorHAnsi"/>
          <w:noProof/>
          <w:sz w:val="22"/>
          <w:lang w:eastAsia="en-AU"/>
        </w:rPr>
      </w:pPr>
      <w:r w:rsidRPr="003C5A61">
        <w:rPr>
          <w:rFonts w:ascii="Arial Bold" w:hAnsi="Arial Bold"/>
          <w:noProof/>
        </w:rPr>
        <w:t>2.</w:t>
      </w:r>
      <w:r>
        <w:rPr>
          <w:rFonts w:asciiTheme="minorHAnsi" w:hAnsiTheme="minorHAnsi"/>
          <w:noProof/>
          <w:sz w:val="22"/>
          <w:lang w:eastAsia="en-AU"/>
        </w:rPr>
        <w:tab/>
      </w:r>
      <w:r>
        <w:rPr>
          <w:noProof/>
        </w:rPr>
        <w:t>Contributing to the Review</w:t>
      </w:r>
      <w:r>
        <w:rPr>
          <w:noProof/>
        </w:rPr>
        <w:tab/>
      </w:r>
      <w:r>
        <w:rPr>
          <w:noProof/>
        </w:rPr>
        <w:fldChar w:fldCharType="begin"/>
      </w:r>
      <w:r>
        <w:rPr>
          <w:noProof/>
        </w:rPr>
        <w:instrText xml:space="preserve"> PAGEREF _Toc509995543 \h </w:instrText>
      </w:r>
      <w:r>
        <w:rPr>
          <w:noProof/>
        </w:rPr>
      </w:r>
      <w:r>
        <w:rPr>
          <w:noProof/>
        </w:rPr>
        <w:fldChar w:fldCharType="separate"/>
      </w:r>
      <w:r w:rsidR="00A2226D">
        <w:rPr>
          <w:noProof/>
        </w:rPr>
        <w:t>3</w:t>
      </w:r>
      <w:r>
        <w:rPr>
          <w:noProof/>
        </w:rPr>
        <w:fldChar w:fldCharType="end"/>
      </w:r>
    </w:p>
    <w:p w14:paraId="4E5F1AC9" w14:textId="60FC3DE9" w:rsidR="00416BD6" w:rsidRDefault="00416BD6">
      <w:pPr>
        <w:pStyle w:val="TOC1"/>
        <w:tabs>
          <w:tab w:val="left" w:pos="400"/>
          <w:tab w:val="right" w:leader="dot" w:pos="9016"/>
        </w:tabs>
        <w:rPr>
          <w:rFonts w:asciiTheme="minorHAnsi" w:hAnsiTheme="minorHAnsi"/>
          <w:noProof/>
          <w:sz w:val="22"/>
          <w:lang w:eastAsia="en-AU"/>
        </w:rPr>
      </w:pPr>
      <w:r w:rsidRPr="003C5A61">
        <w:rPr>
          <w:rFonts w:ascii="Arial Bold" w:hAnsi="Arial Bold"/>
          <w:noProof/>
          <w:lang w:eastAsia="en-US"/>
        </w:rPr>
        <w:t>3.</w:t>
      </w:r>
      <w:r>
        <w:rPr>
          <w:rFonts w:asciiTheme="minorHAnsi" w:hAnsiTheme="minorHAnsi"/>
          <w:noProof/>
          <w:sz w:val="22"/>
          <w:lang w:eastAsia="en-AU"/>
        </w:rPr>
        <w:tab/>
      </w:r>
      <w:r>
        <w:rPr>
          <w:noProof/>
          <w:lang w:eastAsia="en-US"/>
        </w:rPr>
        <w:t>Context of the Review</w:t>
      </w:r>
      <w:r>
        <w:rPr>
          <w:noProof/>
        </w:rPr>
        <w:tab/>
      </w:r>
      <w:r>
        <w:rPr>
          <w:noProof/>
        </w:rPr>
        <w:fldChar w:fldCharType="begin"/>
      </w:r>
      <w:r>
        <w:rPr>
          <w:noProof/>
        </w:rPr>
        <w:instrText xml:space="preserve"> PAGEREF _Toc509995544 \h </w:instrText>
      </w:r>
      <w:r>
        <w:rPr>
          <w:noProof/>
        </w:rPr>
      </w:r>
      <w:r>
        <w:rPr>
          <w:noProof/>
        </w:rPr>
        <w:fldChar w:fldCharType="separate"/>
      </w:r>
      <w:r w:rsidR="00A2226D">
        <w:rPr>
          <w:noProof/>
        </w:rPr>
        <w:t>4</w:t>
      </w:r>
      <w:r>
        <w:rPr>
          <w:noProof/>
        </w:rPr>
        <w:fldChar w:fldCharType="end"/>
      </w:r>
    </w:p>
    <w:p w14:paraId="31936E62" w14:textId="775E206B" w:rsidR="00416BD6" w:rsidRDefault="00416BD6">
      <w:pPr>
        <w:pStyle w:val="TOC1"/>
        <w:tabs>
          <w:tab w:val="left" w:pos="400"/>
          <w:tab w:val="right" w:leader="dot" w:pos="9016"/>
        </w:tabs>
        <w:rPr>
          <w:rFonts w:asciiTheme="minorHAnsi" w:hAnsiTheme="minorHAnsi"/>
          <w:noProof/>
          <w:sz w:val="22"/>
          <w:lang w:eastAsia="en-AU"/>
        </w:rPr>
      </w:pPr>
      <w:r w:rsidRPr="003C5A61">
        <w:rPr>
          <w:rFonts w:ascii="Arial Bold" w:hAnsi="Arial Bold"/>
          <w:noProof/>
        </w:rPr>
        <w:t>4.</w:t>
      </w:r>
      <w:r>
        <w:rPr>
          <w:rFonts w:asciiTheme="minorHAnsi" w:hAnsiTheme="minorHAnsi"/>
          <w:noProof/>
          <w:sz w:val="22"/>
          <w:lang w:eastAsia="en-AU"/>
        </w:rPr>
        <w:tab/>
      </w:r>
      <w:r>
        <w:rPr>
          <w:noProof/>
        </w:rPr>
        <w:t>Questions for Stakeholders</w:t>
      </w:r>
      <w:r>
        <w:rPr>
          <w:noProof/>
        </w:rPr>
        <w:tab/>
      </w:r>
      <w:r>
        <w:rPr>
          <w:noProof/>
        </w:rPr>
        <w:fldChar w:fldCharType="begin"/>
      </w:r>
      <w:r>
        <w:rPr>
          <w:noProof/>
        </w:rPr>
        <w:instrText xml:space="preserve"> PAGEREF _Toc509995545 \h </w:instrText>
      </w:r>
      <w:r>
        <w:rPr>
          <w:noProof/>
        </w:rPr>
      </w:r>
      <w:r>
        <w:rPr>
          <w:noProof/>
        </w:rPr>
        <w:fldChar w:fldCharType="separate"/>
      </w:r>
      <w:r w:rsidR="00A2226D">
        <w:rPr>
          <w:noProof/>
        </w:rPr>
        <w:t>8</w:t>
      </w:r>
      <w:r>
        <w:rPr>
          <w:noProof/>
        </w:rPr>
        <w:fldChar w:fldCharType="end"/>
      </w:r>
    </w:p>
    <w:p w14:paraId="7FFE6583" w14:textId="5A6D902A" w:rsidR="00416BD6" w:rsidRDefault="00416BD6">
      <w:pPr>
        <w:pStyle w:val="TOC1"/>
        <w:tabs>
          <w:tab w:val="right" w:leader="dot" w:pos="9016"/>
        </w:tabs>
        <w:rPr>
          <w:rFonts w:asciiTheme="minorHAnsi" w:hAnsiTheme="minorHAnsi"/>
          <w:noProof/>
          <w:sz w:val="22"/>
          <w:lang w:eastAsia="en-AU"/>
        </w:rPr>
      </w:pPr>
      <w:r w:rsidRPr="003C5A61">
        <w:rPr>
          <w:noProof/>
          <w:lang w:val="en-US"/>
        </w:rPr>
        <w:t>Annexure A - Overview of the WHS Regulatory Framework</w:t>
      </w:r>
      <w:r>
        <w:rPr>
          <w:noProof/>
        </w:rPr>
        <w:tab/>
      </w:r>
      <w:r>
        <w:rPr>
          <w:noProof/>
        </w:rPr>
        <w:fldChar w:fldCharType="begin"/>
      </w:r>
      <w:r>
        <w:rPr>
          <w:noProof/>
        </w:rPr>
        <w:instrText xml:space="preserve"> PAGEREF _Toc509995546 \h </w:instrText>
      </w:r>
      <w:r>
        <w:rPr>
          <w:noProof/>
        </w:rPr>
      </w:r>
      <w:r>
        <w:rPr>
          <w:noProof/>
        </w:rPr>
        <w:fldChar w:fldCharType="separate"/>
      </w:r>
      <w:r w:rsidR="00A2226D">
        <w:rPr>
          <w:noProof/>
        </w:rPr>
        <w:t>10</w:t>
      </w:r>
      <w:r>
        <w:rPr>
          <w:noProof/>
        </w:rPr>
        <w:fldChar w:fldCharType="end"/>
      </w:r>
    </w:p>
    <w:p w14:paraId="5D895078" w14:textId="1F4E69EC" w:rsidR="00416BD6" w:rsidRDefault="00416BD6">
      <w:pPr>
        <w:pStyle w:val="TOC1"/>
        <w:tabs>
          <w:tab w:val="right" w:leader="dot" w:pos="9016"/>
        </w:tabs>
        <w:rPr>
          <w:rFonts w:asciiTheme="minorHAnsi" w:hAnsiTheme="minorHAnsi"/>
          <w:noProof/>
          <w:sz w:val="22"/>
          <w:lang w:eastAsia="en-AU"/>
        </w:rPr>
      </w:pPr>
      <w:r w:rsidRPr="003C5A61">
        <w:rPr>
          <w:noProof/>
          <w:lang w:val="en-US"/>
        </w:rPr>
        <w:t>Annexure B - Comment Template</w:t>
      </w:r>
      <w:r>
        <w:rPr>
          <w:noProof/>
        </w:rPr>
        <w:tab/>
      </w:r>
      <w:r>
        <w:rPr>
          <w:noProof/>
        </w:rPr>
        <w:fldChar w:fldCharType="begin"/>
      </w:r>
      <w:r>
        <w:rPr>
          <w:noProof/>
        </w:rPr>
        <w:instrText xml:space="preserve"> PAGEREF _Toc509995547 \h </w:instrText>
      </w:r>
      <w:r>
        <w:rPr>
          <w:noProof/>
        </w:rPr>
      </w:r>
      <w:r>
        <w:rPr>
          <w:noProof/>
        </w:rPr>
        <w:fldChar w:fldCharType="separate"/>
      </w:r>
      <w:r w:rsidR="00A2226D">
        <w:rPr>
          <w:noProof/>
        </w:rPr>
        <w:t>16</w:t>
      </w:r>
      <w:r>
        <w:rPr>
          <w:noProof/>
        </w:rPr>
        <w:fldChar w:fldCharType="end"/>
      </w:r>
    </w:p>
    <w:p w14:paraId="77E0EB6D" w14:textId="72568B8A" w:rsidR="00416BD6" w:rsidRDefault="00416BD6">
      <w:pPr>
        <w:pStyle w:val="TOC1"/>
        <w:tabs>
          <w:tab w:val="right" w:leader="dot" w:pos="9016"/>
        </w:tabs>
        <w:rPr>
          <w:rFonts w:asciiTheme="minorHAnsi" w:hAnsiTheme="minorHAnsi"/>
          <w:noProof/>
          <w:sz w:val="22"/>
          <w:lang w:eastAsia="en-AU"/>
        </w:rPr>
      </w:pPr>
      <w:r w:rsidRPr="003C5A61">
        <w:rPr>
          <w:noProof/>
          <w:lang w:val="en-US"/>
        </w:rPr>
        <w:t>Annexure C - Terms of Reference</w:t>
      </w:r>
      <w:r>
        <w:rPr>
          <w:noProof/>
        </w:rPr>
        <w:tab/>
      </w:r>
      <w:r>
        <w:rPr>
          <w:noProof/>
        </w:rPr>
        <w:fldChar w:fldCharType="begin"/>
      </w:r>
      <w:r>
        <w:rPr>
          <w:noProof/>
        </w:rPr>
        <w:instrText xml:space="preserve"> PAGEREF _Toc509995548 \h </w:instrText>
      </w:r>
      <w:r>
        <w:rPr>
          <w:noProof/>
        </w:rPr>
      </w:r>
      <w:r>
        <w:rPr>
          <w:noProof/>
        </w:rPr>
        <w:fldChar w:fldCharType="separate"/>
      </w:r>
      <w:r w:rsidR="00A2226D">
        <w:rPr>
          <w:noProof/>
        </w:rPr>
        <w:t>17</w:t>
      </w:r>
      <w:r>
        <w:rPr>
          <w:noProof/>
        </w:rPr>
        <w:fldChar w:fldCharType="end"/>
      </w:r>
    </w:p>
    <w:p w14:paraId="458FB554" w14:textId="1756E478" w:rsidR="005D71F4" w:rsidRDefault="005D71F4" w:rsidP="005D71F4">
      <w:pPr>
        <w:sectPr w:rsidR="005D71F4" w:rsidSect="00BC3243">
          <w:headerReference w:type="default" r:id="rId12"/>
          <w:footerReference w:type="default" r:id="rId13"/>
          <w:headerReference w:type="first" r:id="rId14"/>
          <w:footerReference w:type="first" r:id="rId15"/>
          <w:type w:val="continuous"/>
          <w:pgSz w:w="11906" w:h="16838" w:code="1"/>
          <w:pgMar w:top="1440" w:right="1440" w:bottom="1440" w:left="1440" w:header="720" w:footer="708" w:gutter="0"/>
          <w:pgNumType w:start="1"/>
          <w:cols w:space="720"/>
          <w:titlePg/>
          <w:docGrid w:linePitch="360"/>
        </w:sectPr>
      </w:pPr>
      <w:r>
        <w:fldChar w:fldCharType="end"/>
      </w:r>
    </w:p>
    <w:p w14:paraId="352C237E" w14:textId="77777777" w:rsidR="00FD43F1" w:rsidRPr="00B656CF" w:rsidRDefault="008752C2" w:rsidP="00B656CF">
      <w:pPr>
        <w:pStyle w:val="Heading1"/>
        <w:rPr>
          <w:sz w:val="48"/>
          <w:szCs w:val="48"/>
        </w:rPr>
      </w:pPr>
      <w:bookmarkStart w:id="4" w:name="_Toc506887833"/>
      <w:bookmarkStart w:id="5" w:name="_Toc509995542"/>
      <w:r w:rsidRPr="00B656CF">
        <w:rPr>
          <w:sz w:val="48"/>
          <w:szCs w:val="48"/>
        </w:rPr>
        <w:lastRenderedPageBreak/>
        <w:t xml:space="preserve">Background </w:t>
      </w:r>
      <w:r w:rsidR="00AA6220" w:rsidRPr="00B656CF">
        <w:rPr>
          <w:sz w:val="48"/>
          <w:szCs w:val="48"/>
        </w:rPr>
        <w:t>to the R</w:t>
      </w:r>
      <w:r w:rsidR="00EB2457" w:rsidRPr="00B656CF">
        <w:rPr>
          <w:sz w:val="48"/>
          <w:szCs w:val="48"/>
        </w:rPr>
        <w:t>eview</w:t>
      </w:r>
      <w:bookmarkEnd w:id="4"/>
      <w:bookmarkEnd w:id="5"/>
    </w:p>
    <w:p w14:paraId="795A79A7" w14:textId="2EB4C64B" w:rsidR="00662025" w:rsidRPr="00662025" w:rsidRDefault="008B645B" w:rsidP="00662025">
      <w:pPr>
        <w:pStyle w:val="Heading2"/>
        <w:rPr>
          <w:szCs w:val="20"/>
          <w:lang w:eastAsia="en-US"/>
        </w:rPr>
      </w:pPr>
      <w:r>
        <w:rPr>
          <w:szCs w:val="20"/>
          <w:lang w:eastAsia="en-US"/>
        </w:rPr>
        <w:t>1.1</w:t>
      </w:r>
      <w:r>
        <w:rPr>
          <w:szCs w:val="20"/>
          <w:lang w:eastAsia="en-US"/>
        </w:rPr>
        <w:tab/>
      </w:r>
      <w:r w:rsidR="00C01127">
        <w:rPr>
          <w:szCs w:val="20"/>
          <w:lang w:eastAsia="en-US"/>
        </w:rPr>
        <w:t>Background</w:t>
      </w:r>
    </w:p>
    <w:p w14:paraId="1EF9F68D" w14:textId="77777777" w:rsidR="00662025" w:rsidRPr="00662025" w:rsidRDefault="00662025" w:rsidP="00662025">
      <w:pPr>
        <w:pStyle w:val="Indent1"/>
        <w:rPr>
          <w:lang w:eastAsia="en-US"/>
        </w:rPr>
      </w:pPr>
      <w:r w:rsidRPr="00662025">
        <w:rPr>
          <w:lang w:eastAsia="en-US"/>
        </w:rPr>
        <w:t>Building and construction</w:t>
      </w:r>
      <w:r w:rsidR="00B656CF">
        <w:rPr>
          <w:rStyle w:val="FootnoteReference"/>
          <w:lang w:eastAsia="en-US"/>
        </w:rPr>
        <w:footnoteReference w:id="1"/>
      </w:r>
      <w:r w:rsidRPr="00662025">
        <w:rPr>
          <w:lang w:eastAsia="en-US"/>
        </w:rPr>
        <w:t xml:space="preserve"> is a national priority industry under the Australian Work Health and Safety Strategy 2012-2022, however the rate of serious in</w:t>
      </w:r>
      <w:r>
        <w:rPr>
          <w:lang w:eastAsia="en-US"/>
        </w:rPr>
        <w:t xml:space="preserve">jury and fatality remains </w:t>
      </w:r>
      <w:r w:rsidR="002023DC">
        <w:rPr>
          <w:lang w:eastAsia="en-US"/>
        </w:rPr>
        <w:t xml:space="preserve">relatively </w:t>
      </w:r>
      <w:r>
        <w:rPr>
          <w:lang w:eastAsia="en-US"/>
        </w:rPr>
        <w:t xml:space="preserve">high. </w:t>
      </w:r>
      <w:r w:rsidRPr="00662025">
        <w:rPr>
          <w:lang w:eastAsia="en-US"/>
        </w:rPr>
        <w:t>The proposal for a review of work health and safety (</w:t>
      </w:r>
      <w:r w:rsidRPr="00B656CF">
        <w:rPr>
          <w:b/>
          <w:lang w:eastAsia="en-US"/>
        </w:rPr>
        <w:t>WHS</w:t>
      </w:r>
      <w:r w:rsidRPr="00662025">
        <w:rPr>
          <w:lang w:eastAsia="en-US"/>
        </w:rPr>
        <w:t>)</w:t>
      </w:r>
      <w:r w:rsidR="002023DC">
        <w:rPr>
          <w:lang w:eastAsia="en-US"/>
        </w:rPr>
        <w:t xml:space="preserve"> laws</w:t>
      </w:r>
      <w:r w:rsidRPr="00662025">
        <w:rPr>
          <w:lang w:eastAsia="en-US"/>
        </w:rPr>
        <w:t xml:space="preserve"> in the building and construction industry arose during the Senate debate on the </w:t>
      </w:r>
      <w:r w:rsidRPr="002F4648">
        <w:rPr>
          <w:lang w:eastAsia="en-US"/>
        </w:rPr>
        <w:t>Building and Construction Industry (Improving Productivity) Amendment Bill 2017</w:t>
      </w:r>
      <w:r>
        <w:rPr>
          <w:lang w:eastAsia="en-US"/>
        </w:rPr>
        <w:t xml:space="preserve"> (</w:t>
      </w:r>
      <w:proofErr w:type="spellStart"/>
      <w:r>
        <w:rPr>
          <w:lang w:eastAsia="en-US"/>
        </w:rPr>
        <w:t>Cth</w:t>
      </w:r>
      <w:proofErr w:type="spellEnd"/>
      <w:r>
        <w:rPr>
          <w:lang w:eastAsia="en-US"/>
        </w:rPr>
        <w:t>)</w:t>
      </w:r>
      <w:r w:rsidRPr="00662025">
        <w:rPr>
          <w:lang w:eastAsia="en-US"/>
        </w:rPr>
        <w:t xml:space="preserve">, reflecting a shared desire to improve safety in this priority industry. </w:t>
      </w:r>
    </w:p>
    <w:p w14:paraId="767454DD" w14:textId="1AD47351" w:rsidR="00662025" w:rsidRPr="00662025" w:rsidRDefault="008B645B" w:rsidP="00662025">
      <w:pPr>
        <w:pStyle w:val="Heading2"/>
        <w:rPr>
          <w:szCs w:val="20"/>
          <w:lang w:eastAsia="en-US"/>
        </w:rPr>
      </w:pPr>
      <w:r>
        <w:rPr>
          <w:szCs w:val="20"/>
          <w:lang w:eastAsia="en-US"/>
        </w:rPr>
        <w:t>1.2</w:t>
      </w:r>
      <w:r>
        <w:rPr>
          <w:szCs w:val="20"/>
          <w:lang w:eastAsia="en-US"/>
        </w:rPr>
        <w:tab/>
      </w:r>
      <w:r w:rsidR="00662025" w:rsidRPr="00662025">
        <w:rPr>
          <w:szCs w:val="20"/>
          <w:lang w:eastAsia="en-US"/>
        </w:rPr>
        <w:t>The Review</w:t>
      </w:r>
    </w:p>
    <w:p w14:paraId="67E893B9" w14:textId="3EDF6939" w:rsidR="00662025" w:rsidRDefault="00662025" w:rsidP="00662025">
      <w:pPr>
        <w:pStyle w:val="Indent1"/>
        <w:rPr>
          <w:lang w:eastAsia="en-US"/>
        </w:rPr>
      </w:pPr>
      <w:r>
        <w:rPr>
          <w:lang w:eastAsia="en-US"/>
        </w:rPr>
        <w:t xml:space="preserve">The Department of Jobs and Small Business (the </w:t>
      </w:r>
      <w:r w:rsidRPr="00662025">
        <w:rPr>
          <w:b/>
          <w:lang w:eastAsia="en-US"/>
        </w:rPr>
        <w:t>Department</w:t>
      </w:r>
      <w:r>
        <w:rPr>
          <w:lang w:eastAsia="en-US"/>
        </w:rPr>
        <w:t xml:space="preserve">) has commissioned an independent review into the </w:t>
      </w:r>
      <w:r w:rsidR="00B656CF">
        <w:rPr>
          <w:lang w:eastAsia="en-US"/>
        </w:rPr>
        <w:t>WHS</w:t>
      </w:r>
      <w:r>
        <w:rPr>
          <w:lang w:eastAsia="en-US"/>
        </w:rPr>
        <w:t xml:space="preserve"> regulatory framework in the building and construction industry (the </w:t>
      </w:r>
      <w:r w:rsidRPr="00662025">
        <w:rPr>
          <w:b/>
          <w:lang w:eastAsia="en-US"/>
        </w:rPr>
        <w:t>Review</w:t>
      </w:r>
      <w:r>
        <w:rPr>
          <w:lang w:eastAsia="en-US"/>
        </w:rPr>
        <w:t>).</w:t>
      </w:r>
      <w:r w:rsidR="00A25E4A">
        <w:rPr>
          <w:rStyle w:val="FootnoteReference"/>
          <w:lang w:eastAsia="en-US"/>
        </w:rPr>
        <w:footnoteReference w:id="2"/>
      </w:r>
      <w:r>
        <w:rPr>
          <w:lang w:eastAsia="en-US"/>
        </w:rPr>
        <w:t xml:space="preserve"> </w:t>
      </w:r>
    </w:p>
    <w:p w14:paraId="607820B5" w14:textId="77777777" w:rsidR="00B656CF" w:rsidRDefault="00662025" w:rsidP="00662025">
      <w:pPr>
        <w:pStyle w:val="Indent1"/>
        <w:rPr>
          <w:lang w:eastAsia="en-US"/>
        </w:rPr>
      </w:pPr>
      <w:r w:rsidRPr="00662025">
        <w:rPr>
          <w:lang w:eastAsia="en-US"/>
        </w:rPr>
        <w:t xml:space="preserve">The Review will focus on the effectiveness of specific aspects of the </w:t>
      </w:r>
      <w:r w:rsidR="00B656CF">
        <w:rPr>
          <w:lang w:eastAsia="en-US"/>
        </w:rPr>
        <w:t xml:space="preserve">WHS </w:t>
      </w:r>
      <w:r w:rsidRPr="00662025">
        <w:rPr>
          <w:lang w:eastAsia="en-US"/>
        </w:rPr>
        <w:t>regulatory framework that address the top three mechanisms of injury over the 10-year period 2007-2016 that accounted for the highest proportion of fatalities in the building and construction sector.</w:t>
      </w:r>
      <w:r w:rsidR="00A25E4A">
        <w:rPr>
          <w:rStyle w:val="FootnoteReference"/>
          <w:lang w:eastAsia="en-US"/>
        </w:rPr>
        <w:footnoteReference w:id="3"/>
      </w:r>
      <w:r w:rsidR="00A25E4A">
        <w:rPr>
          <w:lang w:eastAsia="en-US"/>
        </w:rPr>
        <w:t xml:space="preserve"> </w:t>
      </w:r>
      <w:r w:rsidRPr="00662025">
        <w:rPr>
          <w:lang w:eastAsia="en-US"/>
        </w:rPr>
        <w:t xml:space="preserve"> They are: </w:t>
      </w:r>
    </w:p>
    <w:p w14:paraId="7B8BAD4C" w14:textId="54940A44" w:rsidR="00B656CF" w:rsidRDefault="00B656CF" w:rsidP="00B656CF">
      <w:pPr>
        <w:pStyle w:val="Bullet"/>
        <w:rPr>
          <w:lang w:eastAsia="en-US"/>
        </w:rPr>
      </w:pPr>
      <w:r>
        <w:rPr>
          <w:lang w:eastAsia="en-US"/>
        </w:rPr>
        <w:t>F</w:t>
      </w:r>
      <w:r w:rsidR="00662025" w:rsidRPr="00662025">
        <w:rPr>
          <w:lang w:eastAsia="en-US"/>
        </w:rPr>
        <w:t>all</w:t>
      </w:r>
      <w:r w:rsidR="00321B48">
        <w:rPr>
          <w:lang w:eastAsia="en-US"/>
        </w:rPr>
        <w:t>ing</w:t>
      </w:r>
      <w:r w:rsidR="00662025" w:rsidRPr="00662025">
        <w:rPr>
          <w:lang w:eastAsia="en-US"/>
        </w:rPr>
        <w:t xml:space="preserve"> from </w:t>
      </w:r>
      <w:r w:rsidR="008B564C">
        <w:rPr>
          <w:lang w:eastAsia="en-US"/>
        </w:rPr>
        <w:t xml:space="preserve">a </w:t>
      </w:r>
      <w:r w:rsidR="00662025" w:rsidRPr="00662025">
        <w:rPr>
          <w:lang w:eastAsia="en-US"/>
        </w:rPr>
        <w:t xml:space="preserve">height </w:t>
      </w:r>
      <w:r w:rsidR="00556600">
        <w:rPr>
          <w:lang w:eastAsia="en-US"/>
        </w:rPr>
        <w:t xml:space="preserve">or </w:t>
      </w:r>
      <w:r w:rsidR="00662025" w:rsidRPr="00662025">
        <w:rPr>
          <w:lang w:eastAsia="en-US"/>
        </w:rPr>
        <w:t xml:space="preserve">being hit by </w:t>
      </w:r>
      <w:r w:rsidR="00556600">
        <w:rPr>
          <w:lang w:eastAsia="en-US"/>
        </w:rPr>
        <w:t xml:space="preserve">a </w:t>
      </w:r>
      <w:r w:rsidR="00662025" w:rsidRPr="00662025">
        <w:rPr>
          <w:lang w:eastAsia="en-US"/>
        </w:rPr>
        <w:t>falli</w:t>
      </w:r>
      <w:r>
        <w:rPr>
          <w:lang w:eastAsia="en-US"/>
        </w:rPr>
        <w:t>ng object (40% of fatalities)</w:t>
      </w:r>
      <w:r w:rsidR="00DF229A">
        <w:rPr>
          <w:lang w:eastAsia="en-US"/>
        </w:rPr>
        <w:t>;</w:t>
      </w:r>
    </w:p>
    <w:p w14:paraId="38842BE1" w14:textId="54267F1D" w:rsidR="00B656CF" w:rsidRDefault="008B564C" w:rsidP="00B656CF">
      <w:pPr>
        <w:pStyle w:val="Bullet"/>
        <w:rPr>
          <w:lang w:eastAsia="en-US"/>
        </w:rPr>
      </w:pPr>
      <w:r>
        <w:rPr>
          <w:lang w:eastAsia="en-US"/>
        </w:rPr>
        <w:t>V</w:t>
      </w:r>
      <w:r w:rsidR="00662025" w:rsidRPr="00662025">
        <w:rPr>
          <w:lang w:eastAsia="en-US"/>
        </w:rPr>
        <w:t>ehicle incident</w:t>
      </w:r>
      <w:r>
        <w:rPr>
          <w:lang w:eastAsia="en-US"/>
        </w:rPr>
        <w:t>s</w:t>
      </w:r>
      <w:r w:rsidR="00662025" w:rsidRPr="00662025">
        <w:rPr>
          <w:lang w:eastAsia="en-US"/>
        </w:rPr>
        <w:t xml:space="preserve"> (16% of fatalities)</w:t>
      </w:r>
      <w:r w:rsidR="00DF229A">
        <w:rPr>
          <w:lang w:eastAsia="en-US"/>
        </w:rPr>
        <w:t>;</w:t>
      </w:r>
      <w:r w:rsidR="00EE6FE0">
        <w:rPr>
          <w:lang w:eastAsia="en-US"/>
        </w:rPr>
        <w:t xml:space="preserve"> and</w:t>
      </w:r>
      <w:r w:rsidR="00B656CF">
        <w:rPr>
          <w:lang w:eastAsia="en-US"/>
        </w:rPr>
        <w:t xml:space="preserve"> </w:t>
      </w:r>
    </w:p>
    <w:p w14:paraId="4194268A" w14:textId="77777777" w:rsidR="00B656CF" w:rsidRDefault="00B656CF" w:rsidP="00B656CF">
      <w:pPr>
        <w:pStyle w:val="Bullet"/>
        <w:rPr>
          <w:lang w:eastAsia="en-US"/>
        </w:rPr>
      </w:pPr>
      <w:r>
        <w:rPr>
          <w:lang w:eastAsia="en-US"/>
        </w:rPr>
        <w:t>C</w:t>
      </w:r>
      <w:r w:rsidR="00662025" w:rsidRPr="00662025">
        <w:rPr>
          <w:lang w:eastAsia="en-US"/>
        </w:rPr>
        <w:t xml:space="preserve">ontact with electricity (12% of fatalities). </w:t>
      </w:r>
    </w:p>
    <w:p w14:paraId="6B9740C4" w14:textId="24D7EB9B" w:rsidR="00662025" w:rsidRPr="00662025" w:rsidRDefault="00662025" w:rsidP="00662025">
      <w:pPr>
        <w:pStyle w:val="Indent1"/>
        <w:rPr>
          <w:lang w:eastAsia="en-US"/>
        </w:rPr>
      </w:pPr>
      <w:r w:rsidRPr="00662025">
        <w:rPr>
          <w:lang w:eastAsia="en-US"/>
        </w:rPr>
        <w:t xml:space="preserve">The Review will assess the </w:t>
      </w:r>
      <w:r w:rsidR="00674703">
        <w:rPr>
          <w:lang w:eastAsia="en-US"/>
        </w:rPr>
        <w:t xml:space="preserve">effectiveness </w:t>
      </w:r>
      <w:r w:rsidRPr="00662025">
        <w:rPr>
          <w:lang w:eastAsia="en-US"/>
        </w:rPr>
        <w:t>of the WHS regulatory framework</w:t>
      </w:r>
      <w:r w:rsidR="00321B48">
        <w:rPr>
          <w:lang w:eastAsia="en-US"/>
        </w:rPr>
        <w:t>,</w:t>
      </w:r>
      <w:r w:rsidRPr="00662025">
        <w:rPr>
          <w:lang w:eastAsia="en-US"/>
        </w:rPr>
        <w:t xml:space="preserve"> </w:t>
      </w:r>
      <w:r w:rsidR="00556600">
        <w:rPr>
          <w:lang w:eastAsia="en-US"/>
        </w:rPr>
        <w:t xml:space="preserve">consistent with the scope </w:t>
      </w:r>
      <w:r w:rsidR="0056753A">
        <w:rPr>
          <w:noProof/>
        </w:rPr>
        <w:t>outlined at Annexure A</w:t>
      </w:r>
      <w:r w:rsidR="00321B48">
        <w:rPr>
          <w:noProof/>
        </w:rPr>
        <w:t>,</w:t>
      </w:r>
      <w:r w:rsidR="0056753A">
        <w:rPr>
          <w:noProof/>
        </w:rPr>
        <w:t xml:space="preserve"> </w:t>
      </w:r>
      <w:r w:rsidR="00674703">
        <w:rPr>
          <w:lang w:eastAsia="en-US"/>
        </w:rPr>
        <w:t xml:space="preserve">in </w:t>
      </w:r>
      <w:r w:rsidRPr="00662025">
        <w:rPr>
          <w:lang w:eastAsia="en-US"/>
        </w:rPr>
        <w:t>preventing such incidents</w:t>
      </w:r>
      <w:r w:rsidR="008B564C">
        <w:rPr>
          <w:lang w:eastAsia="en-US"/>
        </w:rPr>
        <w:t>. The Review will examine</w:t>
      </w:r>
      <w:r w:rsidRPr="00662025">
        <w:rPr>
          <w:lang w:eastAsia="en-US"/>
        </w:rPr>
        <w:t xml:space="preserve"> the efficiency and effectiveness of all relevant WHS regulations and the regulatory tools in use. The Review will also examine the performance of companies accredited by </w:t>
      </w:r>
      <w:r w:rsidR="004B0E9E">
        <w:rPr>
          <w:lang w:eastAsia="en-US"/>
        </w:rPr>
        <w:t>the</w:t>
      </w:r>
      <w:r w:rsidR="00B656CF">
        <w:rPr>
          <w:lang w:eastAsia="en-US"/>
        </w:rPr>
        <w:t xml:space="preserve"> </w:t>
      </w:r>
      <w:r w:rsidRPr="00662025">
        <w:rPr>
          <w:lang w:eastAsia="en-US"/>
        </w:rPr>
        <w:t>Federal Safety Commissioner</w:t>
      </w:r>
      <w:r w:rsidR="00B656CF">
        <w:rPr>
          <w:lang w:eastAsia="en-US"/>
        </w:rPr>
        <w:t xml:space="preserve"> (</w:t>
      </w:r>
      <w:r w:rsidR="00B656CF" w:rsidRPr="00B656CF">
        <w:rPr>
          <w:b/>
          <w:lang w:eastAsia="en-US"/>
        </w:rPr>
        <w:t>FSC</w:t>
      </w:r>
      <w:r w:rsidR="00B656CF">
        <w:rPr>
          <w:lang w:eastAsia="en-US"/>
        </w:rPr>
        <w:t>)</w:t>
      </w:r>
      <w:r w:rsidR="008B564C">
        <w:rPr>
          <w:lang w:eastAsia="en-US"/>
        </w:rPr>
        <w:t>,</w:t>
      </w:r>
      <w:r w:rsidRPr="00662025">
        <w:rPr>
          <w:lang w:eastAsia="en-US"/>
        </w:rPr>
        <w:t xml:space="preserve"> including any aspects of the building and construction WHS accreditation scheme (the </w:t>
      </w:r>
      <w:r w:rsidR="00B81738" w:rsidRPr="00A22215">
        <w:rPr>
          <w:b/>
          <w:lang w:eastAsia="en-US"/>
        </w:rPr>
        <w:t xml:space="preserve">WHS Accreditation </w:t>
      </w:r>
      <w:r w:rsidRPr="00B656CF">
        <w:rPr>
          <w:b/>
          <w:lang w:eastAsia="en-US"/>
        </w:rPr>
        <w:t>Scheme</w:t>
      </w:r>
      <w:r w:rsidRPr="00662025">
        <w:rPr>
          <w:lang w:eastAsia="en-US"/>
        </w:rPr>
        <w:t>) ad</w:t>
      </w:r>
      <w:r w:rsidR="004B0E9E">
        <w:rPr>
          <w:lang w:eastAsia="en-US"/>
        </w:rPr>
        <w:t xml:space="preserve">ministered by the </w:t>
      </w:r>
      <w:r w:rsidR="00B656CF">
        <w:rPr>
          <w:lang w:eastAsia="en-US"/>
        </w:rPr>
        <w:t>FSC</w:t>
      </w:r>
      <w:r w:rsidRPr="00662025">
        <w:rPr>
          <w:lang w:eastAsia="en-US"/>
        </w:rPr>
        <w:t xml:space="preserve">, that could inform options to improve outcomes </w:t>
      </w:r>
      <w:r w:rsidR="008B564C">
        <w:rPr>
          <w:lang w:eastAsia="en-US"/>
        </w:rPr>
        <w:t xml:space="preserve">related to these mechanisms </w:t>
      </w:r>
      <w:r w:rsidRPr="00662025">
        <w:rPr>
          <w:lang w:eastAsia="en-US"/>
        </w:rPr>
        <w:t>across the industry.</w:t>
      </w:r>
    </w:p>
    <w:p w14:paraId="2A013C30" w14:textId="77777777" w:rsidR="002F4648" w:rsidRDefault="002F4648" w:rsidP="00662025">
      <w:pPr>
        <w:pStyle w:val="Heading2"/>
        <w:rPr>
          <w:szCs w:val="20"/>
          <w:lang w:eastAsia="en-US"/>
        </w:rPr>
        <w:sectPr w:rsidR="002F4648" w:rsidSect="00827DCD">
          <w:headerReference w:type="even" r:id="rId16"/>
          <w:headerReference w:type="default" r:id="rId17"/>
          <w:footerReference w:type="even" r:id="rId18"/>
          <w:footerReference w:type="default" r:id="rId19"/>
          <w:headerReference w:type="first" r:id="rId20"/>
          <w:footerReference w:type="first" r:id="rId21"/>
          <w:pgSz w:w="11906" w:h="16838" w:code="1"/>
          <w:pgMar w:top="1440" w:right="1196" w:bottom="1440" w:left="1440" w:header="0" w:footer="737" w:gutter="0"/>
          <w:pgNumType w:start="1"/>
          <w:cols w:space="720"/>
          <w:titlePg/>
          <w:docGrid w:linePitch="360"/>
        </w:sectPr>
      </w:pPr>
    </w:p>
    <w:p w14:paraId="249C87BB" w14:textId="579BE841" w:rsidR="00662025" w:rsidRPr="00662025" w:rsidRDefault="008B645B" w:rsidP="00662025">
      <w:pPr>
        <w:pStyle w:val="Heading2"/>
        <w:rPr>
          <w:szCs w:val="20"/>
          <w:lang w:eastAsia="en-US"/>
        </w:rPr>
      </w:pPr>
      <w:r>
        <w:rPr>
          <w:szCs w:val="20"/>
          <w:lang w:eastAsia="en-US"/>
        </w:rPr>
        <w:lastRenderedPageBreak/>
        <w:t xml:space="preserve">1.3 </w:t>
      </w:r>
      <w:r>
        <w:rPr>
          <w:szCs w:val="20"/>
          <w:lang w:eastAsia="en-US"/>
        </w:rPr>
        <w:tab/>
      </w:r>
      <w:r w:rsidR="00662025" w:rsidRPr="00662025">
        <w:rPr>
          <w:szCs w:val="20"/>
          <w:lang w:eastAsia="en-US"/>
        </w:rPr>
        <w:t>Scope of the Review</w:t>
      </w:r>
    </w:p>
    <w:p w14:paraId="08A9CF6B" w14:textId="79A414D3" w:rsidR="008B564C" w:rsidRDefault="00662025" w:rsidP="00A22215">
      <w:pPr>
        <w:pStyle w:val="Indent1"/>
        <w:rPr>
          <w:lang w:eastAsia="en-US"/>
        </w:rPr>
      </w:pPr>
      <w:r w:rsidRPr="00662025">
        <w:rPr>
          <w:lang w:eastAsia="en-US"/>
        </w:rPr>
        <w:t xml:space="preserve">The Review may, where appropriate, draw on </w:t>
      </w:r>
      <w:r>
        <w:rPr>
          <w:lang w:eastAsia="en-US"/>
        </w:rPr>
        <w:t>(but will</w:t>
      </w:r>
      <w:r w:rsidRPr="00662025">
        <w:rPr>
          <w:lang w:eastAsia="en-US"/>
        </w:rPr>
        <w:t xml:space="preserve"> not duplicate) the work of o</w:t>
      </w:r>
      <w:r w:rsidR="008038B0">
        <w:rPr>
          <w:lang w:eastAsia="en-US"/>
        </w:rPr>
        <w:t xml:space="preserve">ther recent or current reviews. </w:t>
      </w:r>
      <w:r w:rsidRPr="00662025">
        <w:rPr>
          <w:lang w:eastAsia="en-US"/>
        </w:rPr>
        <w:t>The Review will take into account the views of stakeholders and make observations and re</w:t>
      </w:r>
      <w:r w:rsidR="00B656CF">
        <w:rPr>
          <w:lang w:eastAsia="en-US"/>
        </w:rPr>
        <w:t>commendations on ways in which the WHS regulatory framework</w:t>
      </w:r>
      <w:r w:rsidRPr="00662025">
        <w:rPr>
          <w:lang w:eastAsia="en-US"/>
        </w:rPr>
        <w:t xml:space="preserve"> could be improved to enhance safety outcomes. </w:t>
      </w:r>
    </w:p>
    <w:p w14:paraId="6E1228CC" w14:textId="77777777" w:rsidR="008B564C" w:rsidRDefault="00662025" w:rsidP="00A22215">
      <w:pPr>
        <w:pStyle w:val="Indent1"/>
        <w:rPr>
          <w:lang w:eastAsia="en-US"/>
        </w:rPr>
      </w:pPr>
      <w:r w:rsidRPr="00662025">
        <w:rPr>
          <w:lang w:eastAsia="en-US"/>
        </w:rPr>
        <w:t xml:space="preserve">The Review will not assess the effectiveness of practical compliance and enforcement strategies implemented by regulators to address these issues. </w:t>
      </w:r>
    </w:p>
    <w:p w14:paraId="240FD366" w14:textId="22172C7B" w:rsidR="00B656CF" w:rsidRPr="00662025" w:rsidRDefault="00662025" w:rsidP="00A22215">
      <w:pPr>
        <w:pStyle w:val="Indent1"/>
        <w:rPr>
          <w:lang w:eastAsia="en-US"/>
        </w:rPr>
      </w:pPr>
      <w:r w:rsidRPr="00662025">
        <w:rPr>
          <w:lang w:eastAsia="en-US"/>
        </w:rPr>
        <w:t>The outcomes of the Review will inform the 2018 Review of the model WHS laws being conducted by Safe Work Australia.</w:t>
      </w:r>
      <w:r>
        <w:rPr>
          <w:rStyle w:val="FootnoteReference"/>
          <w:lang w:eastAsia="en-US"/>
        </w:rPr>
        <w:footnoteReference w:id="4"/>
      </w:r>
    </w:p>
    <w:p w14:paraId="0E2DA7F4" w14:textId="1914532F" w:rsidR="00662025" w:rsidRPr="00662025" w:rsidRDefault="008B645B" w:rsidP="00662025">
      <w:pPr>
        <w:pStyle w:val="Heading2"/>
        <w:rPr>
          <w:szCs w:val="20"/>
          <w:lang w:eastAsia="en-US"/>
        </w:rPr>
      </w:pPr>
      <w:r>
        <w:rPr>
          <w:szCs w:val="20"/>
          <w:lang w:eastAsia="en-US"/>
        </w:rPr>
        <w:t>1.4</w:t>
      </w:r>
      <w:r>
        <w:rPr>
          <w:szCs w:val="20"/>
          <w:lang w:eastAsia="en-US"/>
        </w:rPr>
        <w:tab/>
      </w:r>
      <w:r w:rsidR="00662025" w:rsidRPr="00662025">
        <w:rPr>
          <w:szCs w:val="20"/>
          <w:lang w:eastAsia="en-US"/>
        </w:rPr>
        <w:t>Principles for the Review</w:t>
      </w:r>
    </w:p>
    <w:p w14:paraId="08910274" w14:textId="77777777" w:rsidR="00662025" w:rsidRPr="00662025" w:rsidRDefault="00662025" w:rsidP="00662025">
      <w:pPr>
        <w:pStyle w:val="Indent1"/>
        <w:rPr>
          <w:lang w:eastAsia="en-US"/>
        </w:rPr>
      </w:pPr>
      <w:r w:rsidRPr="00662025">
        <w:rPr>
          <w:lang w:eastAsia="en-US"/>
        </w:rPr>
        <w:t>The Review will be guided by the following principles:</w:t>
      </w:r>
    </w:p>
    <w:p w14:paraId="3E17C234" w14:textId="77777777" w:rsidR="00662025" w:rsidRPr="00662025" w:rsidRDefault="00B656CF" w:rsidP="00662025">
      <w:pPr>
        <w:pStyle w:val="Bullet"/>
        <w:rPr>
          <w:lang w:eastAsia="en-US"/>
        </w:rPr>
      </w:pPr>
      <w:r>
        <w:rPr>
          <w:lang w:eastAsia="en-US"/>
        </w:rPr>
        <w:t>T</w:t>
      </w:r>
      <w:r w:rsidR="00662025" w:rsidRPr="00662025">
        <w:rPr>
          <w:lang w:eastAsia="en-US"/>
        </w:rPr>
        <w:t>hat the needs of all sectors within the building and construction industry are appropriately considered, particularly noting the high number of small businesses within the industry</w:t>
      </w:r>
      <w:r>
        <w:rPr>
          <w:lang w:eastAsia="en-US"/>
        </w:rPr>
        <w:t>.</w:t>
      </w:r>
    </w:p>
    <w:p w14:paraId="30822939" w14:textId="77777777" w:rsidR="00662025" w:rsidRPr="00662025" w:rsidRDefault="00B656CF" w:rsidP="00662025">
      <w:pPr>
        <w:pStyle w:val="Bullet"/>
        <w:rPr>
          <w:lang w:eastAsia="en-US"/>
        </w:rPr>
      </w:pPr>
      <w:r>
        <w:rPr>
          <w:lang w:eastAsia="en-US"/>
        </w:rPr>
        <w:t>A</w:t>
      </w:r>
      <w:r w:rsidR="00662025" w:rsidRPr="00662025">
        <w:rPr>
          <w:lang w:eastAsia="en-US"/>
        </w:rPr>
        <w:t>ny recommended amendments to existing laws, regulations, codes or guidance material are to be supported by substantial evidence of their effectiveness in improving safety, enabling the development of any requir</w:t>
      </w:r>
      <w:r>
        <w:rPr>
          <w:lang w:eastAsia="en-US"/>
        </w:rPr>
        <w:t xml:space="preserve">ed Regulation Impact Statements. </w:t>
      </w:r>
    </w:p>
    <w:p w14:paraId="0C742B81" w14:textId="77777777" w:rsidR="00662025" w:rsidRPr="00662025" w:rsidRDefault="00B656CF" w:rsidP="00662025">
      <w:pPr>
        <w:pStyle w:val="Bullet"/>
        <w:rPr>
          <w:lang w:eastAsia="en-US"/>
        </w:rPr>
      </w:pPr>
      <w:r>
        <w:rPr>
          <w:lang w:eastAsia="en-US"/>
        </w:rPr>
        <w:t>T</w:t>
      </w:r>
      <w:r w:rsidR="00662025" w:rsidRPr="00662025">
        <w:rPr>
          <w:lang w:eastAsia="en-US"/>
        </w:rPr>
        <w:t>hat recommendations do not undermine the model WHS legislation and a harmonised approach to WHS.</w:t>
      </w:r>
    </w:p>
    <w:p w14:paraId="5FB5A564" w14:textId="77777777" w:rsidR="00651E0E" w:rsidRDefault="00651E0E">
      <w:pPr>
        <w:spacing w:after="0"/>
        <w:jc w:val="left"/>
        <w:rPr>
          <w:lang w:eastAsia="en-US"/>
        </w:rPr>
      </w:pPr>
      <w:r>
        <w:rPr>
          <w:lang w:eastAsia="en-US"/>
        </w:rPr>
        <w:br w:type="page"/>
      </w:r>
    </w:p>
    <w:p w14:paraId="5696C9A4" w14:textId="77777777" w:rsidR="005D71F4" w:rsidRDefault="005D71F4" w:rsidP="00651E0E">
      <w:pPr>
        <w:pStyle w:val="Bullet"/>
        <w:numPr>
          <w:ilvl w:val="0"/>
          <w:numId w:val="0"/>
        </w:numPr>
        <w:ind w:left="1440"/>
        <w:rPr>
          <w:lang w:eastAsia="en-US"/>
        </w:rPr>
      </w:pPr>
    </w:p>
    <w:p w14:paraId="71C26A06" w14:textId="77777777" w:rsidR="00A63716" w:rsidRPr="00C33B62" w:rsidRDefault="00A63716" w:rsidP="00A63716">
      <w:pPr>
        <w:pStyle w:val="Heading1"/>
        <w:rPr>
          <w:sz w:val="48"/>
          <w:szCs w:val="48"/>
        </w:rPr>
      </w:pPr>
      <w:bookmarkStart w:id="6" w:name="_Toc506887834"/>
      <w:bookmarkStart w:id="7" w:name="_Toc509995543"/>
      <w:r w:rsidRPr="00C33B62">
        <w:rPr>
          <w:sz w:val="48"/>
          <w:szCs w:val="48"/>
        </w:rPr>
        <w:t>Contributing to the Review</w:t>
      </w:r>
      <w:bookmarkEnd w:id="6"/>
      <w:bookmarkEnd w:id="7"/>
    </w:p>
    <w:p w14:paraId="4BF2F0C0" w14:textId="04551011" w:rsidR="008B564C" w:rsidRPr="00D97845" w:rsidRDefault="008B645B" w:rsidP="008B564C">
      <w:pPr>
        <w:pStyle w:val="Heading2"/>
        <w:rPr>
          <w:sz w:val="22"/>
        </w:rPr>
      </w:pPr>
      <w:r>
        <w:rPr>
          <w:sz w:val="22"/>
        </w:rPr>
        <w:t>2.1</w:t>
      </w:r>
      <w:r>
        <w:rPr>
          <w:sz w:val="22"/>
        </w:rPr>
        <w:tab/>
      </w:r>
      <w:r w:rsidR="008B564C" w:rsidRPr="00D97845">
        <w:rPr>
          <w:sz w:val="22"/>
        </w:rPr>
        <w:t>Making a submission</w:t>
      </w:r>
    </w:p>
    <w:p w14:paraId="4A6A5307" w14:textId="26CAED35" w:rsidR="00A63716" w:rsidRDefault="00A63716" w:rsidP="00A63716">
      <w:pPr>
        <w:pStyle w:val="Indent1"/>
      </w:pPr>
      <w:r>
        <w:t xml:space="preserve">The </w:t>
      </w:r>
      <w:r w:rsidR="00EE6FE0">
        <w:t xml:space="preserve">Reviewer and the </w:t>
      </w:r>
      <w:r>
        <w:t xml:space="preserve">Department </w:t>
      </w:r>
      <w:r w:rsidR="00EE6FE0">
        <w:t>are</w:t>
      </w:r>
      <w:r>
        <w:t xml:space="preserve"> keen to receive your feedback. All interested individuals and organisations are invited to share their views by providing comment and responses to the questions in this </w:t>
      </w:r>
      <w:r w:rsidR="00EE6FE0">
        <w:t>issues paper</w:t>
      </w:r>
      <w:r>
        <w:t>.</w:t>
      </w:r>
    </w:p>
    <w:p w14:paraId="6C000E47" w14:textId="1E555671" w:rsidR="00A63716" w:rsidRDefault="00A63716" w:rsidP="00A63716">
      <w:pPr>
        <w:pStyle w:val="Indent1"/>
      </w:pPr>
      <w:r>
        <w:t xml:space="preserve">Submissions can address any or all of the questions and can include any evidence, examples or case studies that you think may be relevant. All submissions will be acknowledged and </w:t>
      </w:r>
      <w:r w:rsidR="008342ED">
        <w:t xml:space="preserve">relevant submissions will be </w:t>
      </w:r>
      <w:r>
        <w:t xml:space="preserve">posted on the Department’s website. </w:t>
      </w:r>
    </w:p>
    <w:p w14:paraId="5930B8B8" w14:textId="544AA344" w:rsidR="00A63716" w:rsidRDefault="00A63716" w:rsidP="00A63716">
      <w:pPr>
        <w:pStyle w:val="Indent1"/>
      </w:pPr>
      <w:r>
        <w:t>Individuals and organisations can request that their submissions remain confidential.</w:t>
      </w:r>
      <w:r w:rsidR="00BD3A1A">
        <w:t xml:space="preserve"> Please be aware that even where you request information be treated as confidential, there may be circumstances in which the Department is authorised or required by law to release that information, for example, in accordance with the </w:t>
      </w:r>
      <w:r w:rsidR="00BD3A1A" w:rsidRPr="00802084">
        <w:rPr>
          <w:i/>
        </w:rPr>
        <w:t>Freedom of Information Act 1982</w:t>
      </w:r>
      <w:r w:rsidR="00BD3A1A" w:rsidRPr="00D006BF">
        <w:t xml:space="preserve"> </w:t>
      </w:r>
      <w:r w:rsidR="00BD3A1A">
        <w:t>(</w:t>
      </w:r>
      <w:proofErr w:type="spellStart"/>
      <w:r w:rsidR="00BD3A1A">
        <w:t>Cth</w:t>
      </w:r>
      <w:proofErr w:type="spellEnd"/>
      <w:r w:rsidR="00BD3A1A">
        <w:t xml:space="preserve">) or for the purpose of parliamentary processes. </w:t>
      </w:r>
    </w:p>
    <w:p w14:paraId="23DA135D" w14:textId="0A7664FD" w:rsidR="008B564C" w:rsidRDefault="00A63716" w:rsidP="00A63716">
      <w:pPr>
        <w:pStyle w:val="Indent1"/>
      </w:pPr>
      <w:r>
        <w:t xml:space="preserve">The </w:t>
      </w:r>
      <w:r w:rsidR="00276AE1">
        <w:t xml:space="preserve">Reviewer and the </w:t>
      </w:r>
      <w:r>
        <w:t>D</w:t>
      </w:r>
      <w:r w:rsidR="00810457">
        <w:t>epartment will assess all</w:t>
      </w:r>
      <w:r>
        <w:t xml:space="preserve"> submissions received.</w:t>
      </w:r>
    </w:p>
    <w:p w14:paraId="0C196CB9" w14:textId="4EC50521" w:rsidR="008B564C" w:rsidRPr="00D97845" w:rsidRDefault="008B645B" w:rsidP="008B564C">
      <w:pPr>
        <w:pStyle w:val="Heading2"/>
        <w:rPr>
          <w:sz w:val="22"/>
        </w:rPr>
      </w:pPr>
      <w:r>
        <w:rPr>
          <w:sz w:val="22"/>
        </w:rPr>
        <w:t>2.2</w:t>
      </w:r>
      <w:r>
        <w:rPr>
          <w:sz w:val="22"/>
        </w:rPr>
        <w:tab/>
      </w:r>
      <w:r w:rsidR="008B564C" w:rsidRPr="00D97845">
        <w:rPr>
          <w:sz w:val="22"/>
        </w:rPr>
        <w:t>Closing date for submissions</w:t>
      </w:r>
    </w:p>
    <w:p w14:paraId="440190B0" w14:textId="55352BFE" w:rsidR="00A63716" w:rsidRDefault="00A63716" w:rsidP="00A63716">
      <w:pPr>
        <w:pStyle w:val="Indent1"/>
      </w:pPr>
      <w:r>
        <w:t xml:space="preserve">The closing date for submissions is </w:t>
      </w:r>
      <w:r w:rsidR="00A25E4A" w:rsidRPr="00A22215">
        <w:rPr>
          <w:b/>
        </w:rPr>
        <w:t>4 pm on Friday 27 April 2018</w:t>
      </w:r>
      <w:r>
        <w:t>.</w:t>
      </w:r>
    </w:p>
    <w:p w14:paraId="0BA7D5B3" w14:textId="659F2C47" w:rsidR="008B564C" w:rsidRPr="00D97845" w:rsidRDefault="008B645B" w:rsidP="008B564C">
      <w:pPr>
        <w:pStyle w:val="Heading2"/>
        <w:rPr>
          <w:sz w:val="22"/>
        </w:rPr>
      </w:pPr>
      <w:r>
        <w:rPr>
          <w:sz w:val="22"/>
        </w:rPr>
        <w:t>2.3</w:t>
      </w:r>
      <w:r>
        <w:rPr>
          <w:sz w:val="22"/>
        </w:rPr>
        <w:tab/>
      </w:r>
      <w:r w:rsidR="008B564C" w:rsidRPr="00D97845">
        <w:rPr>
          <w:sz w:val="22"/>
        </w:rPr>
        <w:t>How to lodge a submission</w:t>
      </w:r>
    </w:p>
    <w:p w14:paraId="20D8A769" w14:textId="7FE911DD" w:rsidR="00A63716" w:rsidRDefault="00A63716" w:rsidP="00802084">
      <w:pPr>
        <w:pStyle w:val="Indent1"/>
      </w:pPr>
      <w:r>
        <w:t>Written submissions can be lodged by</w:t>
      </w:r>
      <w:r w:rsidR="003C5C77">
        <w:t xml:space="preserve"> d</w:t>
      </w:r>
      <w:r>
        <w:t>ownloading and completing the comment template</w:t>
      </w:r>
      <w:r w:rsidR="00B81738">
        <w:rPr>
          <w:rStyle w:val="FootnoteReference"/>
        </w:rPr>
        <w:footnoteReference w:id="5"/>
      </w:r>
      <w:r>
        <w:t xml:space="preserve"> from the </w:t>
      </w:r>
      <w:r w:rsidR="003C5C77">
        <w:t xml:space="preserve">Department’s </w:t>
      </w:r>
      <w:r>
        <w:t xml:space="preserve">website </w:t>
      </w:r>
      <w:r w:rsidR="00674703">
        <w:t xml:space="preserve">at </w:t>
      </w:r>
      <w:hyperlink r:id="rId22" w:history="1">
        <w:r w:rsidR="00674703" w:rsidRPr="00674703">
          <w:rPr>
            <w:rStyle w:val="Hyperlink"/>
          </w:rPr>
          <w:t>www.jobs.gov.au/review-whs-laws-construction-industry</w:t>
        </w:r>
      </w:hyperlink>
      <w:r w:rsidR="00674703">
        <w:t xml:space="preserve"> </w:t>
      </w:r>
      <w:r>
        <w:t xml:space="preserve">and sending an email with </w:t>
      </w:r>
      <w:r w:rsidR="00A233B3">
        <w:t xml:space="preserve">the </w:t>
      </w:r>
      <w:r>
        <w:t>completed template</w:t>
      </w:r>
      <w:r w:rsidR="00105E5A">
        <w:t xml:space="preserve"> in word or pdf format</w:t>
      </w:r>
      <w:r>
        <w:t xml:space="preserve"> to</w:t>
      </w:r>
      <w:r w:rsidR="003C5C77">
        <w:t xml:space="preserve"> </w:t>
      </w:r>
      <w:hyperlink r:id="rId23" w:history="1">
        <w:r w:rsidR="003C5C77" w:rsidRPr="00C811EE">
          <w:rPr>
            <w:rStyle w:val="Hyperlink"/>
          </w:rPr>
          <w:t>Reviews@jobs.gov.au</w:t>
        </w:r>
      </w:hyperlink>
      <w:r w:rsidR="003C5C77">
        <w:t>.</w:t>
      </w:r>
    </w:p>
    <w:p w14:paraId="3E1CBE0C" w14:textId="4F290B29" w:rsidR="003C5C77" w:rsidRPr="00D97845" w:rsidRDefault="008B645B" w:rsidP="003C5C77">
      <w:pPr>
        <w:pStyle w:val="Heading2"/>
        <w:rPr>
          <w:sz w:val="22"/>
        </w:rPr>
      </w:pPr>
      <w:r>
        <w:rPr>
          <w:sz w:val="22"/>
        </w:rPr>
        <w:t>2.4</w:t>
      </w:r>
      <w:r>
        <w:rPr>
          <w:sz w:val="22"/>
        </w:rPr>
        <w:tab/>
      </w:r>
      <w:r w:rsidR="003C5C77" w:rsidRPr="00D97845">
        <w:rPr>
          <w:sz w:val="22"/>
        </w:rPr>
        <w:t>Assistance</w:t>
      </w:r>
    </w:p>
    <w:p w14:paraId="329B2556" w14:textId="2B5F49D7" w:rsidR="00B064D5" w:rsidRPr="00B064D5" w:rsidRDefault="000C1284" w:rsidP="00802084">
      <w:pPr>
        <w:pStyle w:val="Bullet"/>
        <w:numPr>
          <w:ilvl w:val="0"/>
          <w:numId w:val="0"/>
        </w:numPr>
        <w:ind w:left="720"/>
      </w:pPr>
      <w:r>
        <w:t>If you are unable to complete the template</w:t>
      </w:r>
      <w:r w:rsidR="00105E5A">
        <w:t xml:space="preserve"> electronically</w:t>
      </w:r>
      <w:r>
        <w:t xml:space="preserve"> please contact the </w:t>
      </w:r>
      <w:r w:rsidR="00B064D5">
        <w:t>Review Team</w:t>
      </w:r>
      <w:r>
        <w:t xml:space="preserve"> in the</w:t>
      </w:r>
      <w:r w:rsidR="003C5C77">
        <w:t xml:space="preserve"> </w:t>
      </w:r>
      <w:r>
        <w:t>Department of Jobs and Small Business by email</w:t>
      </w:r>
      <w:r w:rsidR="00F87697">
        <w:t xml:space="preserve"> at</w:t>
      </w:r>
      <w:r w:rsidR="00A914E5">
        <w:t xml:space="preserve"> </w:t>
      </w:r>
      <w:hyperlink r:id="rId24" w:history="1">
        <w:r w:rsidR="00674703" w:rsidRPr="00674703">
          <w:rPr>
            <w:rStyle w:val="Hyperlink"/>
          </w:rPr>
          <w:t>Reviews@jobs.gov.au</w:t>
        </w:r>
      </w:hyperlink>
      <w:r w:rsidR="00A914E5">
        <w:t xml:space="preserve"> </w:t>
      </w:r>
      <w:r>
        <w:t>or by phone on (</w:t>
      </w:r>
      <w:r w:rsidR="00B064D5">
        <w:t>02</w:t>
      </w:r>
      <w:r>
        <w:t>)</w:t>
      </w:r>
      <w:r w:rsidR="00B064D5">
        <w:t xml:space="preserve"> 6121 6174</w:t>
      </w:r>
      <w:r w:rsidR="00105E5A">
        <w:t xml:space="preserve"> for assistance</w:t>
      </w:r>
      <w:r>
        <w:t>.</w:t>
      </w:r>
    </w:p>
    <w:p w14:paraId="04F424F2" w14:textId="77777777" w:rsidR="00480D0D" w:rsidRPr="00F76A96" w:rsidRDefault="00A63716" w:rsidP="00F76A96">
      <w:pPr>
        <w:spacing w:after="0"/>
        <w:jc w:val="left"/>
        <w:rPr>
          <w:rFonts w:eastAsiaTheme="majorEastAsia" w:cs="Arial"/>
          <w:bCs/>
          <w:iCs/>
          <w:color w:val="000000"/>
        </w:rPr>
      </w:pPr>
      <w:r>
        <w:br w:type="page"/>
      </w:r>
    </w:p>
    <w:p w14:paraId="2539FD15" w14:textId="77777777" w:rsidR="00D51396" w:rsidRDefault="000F0379" w:rsidP="00AF4DB3">
      <w:pPr>
        <w:pStyle w:val="Heading1"/>
        <w:rPr>
          <w:sz w:val="48"/>
          <w:szCs w:val="48"/>
          <w:lang w:eastAsia="en-US"/>
        </w:rPr>
      </w:pPr>
      <w:bookmarkStart w:id="8" w:name="_Toc506887835"/>
      <w:bookmarkStart w:id="9" w:name="_Toc509995544"/>
      <w:r w:rsidRPr="00AF4DB3">
        <w:rPr>
          <w:sz w:val="48"/>
          <w:szCs w:val="48"/>
          <w:lang w:eastAsia="en-US"/>
        </w:rPr>
        <w:lastRenderedPageBreak/>
        <w:t>Context</w:t>
      </w:r>
      <w:bookmarkEnd w:id="8"/>
      <w:r w:rsidR="00DC664B">
        <w:rPr>
          <w:sz w:val="48"/>
          <w:szCs w:val="48"/>
          <w:lang w:eastAsia="en-US"/>
        </w:rPr>
        <w:t xml:space="preserve"> of the Review</w:t>
      </w:r>
      <w:bookmarkEnd w:id="9"/>
      <w:r w:rsidR="00DC664B">
        <w:rPr>
          <w:sz w:val="48"/>
          <w:szCs w:val="48"/>
          <w:lang w:eastAsia="en-US"/>
        </w:rPr>
        <w:t xml:space="preserve"> </w:t>
      </w:r>
    </w:p>
    <w:p w14:paraId="3CAEC5B4" w14:textId="77777777" w:rsidR="009C48EB" w:rsidRDefault="00B24C6E" w:rsidP="00D7771B">
      <w:pPr>
        <w:pStyle w:val="Indent1"/>
        <w:rPr>
          <w:lang w:eastAsia="en-US"/>
        </w:rPr>
      </w:pPr>
      <w:r>
        <w:rPr>
          <w:lang w:eastAsia="en-US"/>
        </w:rPr>
        <w:t>The R</w:t>
      </w:r>
      <w:r w:rsidR="00D12AFA">
        <w:rPr>
          <w:lang w:eastAsia="en-US"/>
        </w:rPr>
        <w:t>eview has been commissioned</w:t>
      </w:r>
      <w:r w:rsidR="006D6F21" w:rsidRPr="00D37797">
        <w:rPr>
          <w:lang w:eastAsia="en-US"/>
        </w:rPr>
        <w:t xml:space="preserve"> </w:t>
      </w:r>
      <w:r w:rsidR="009C48EB">
        <w:rPr>
          <w:lang w:eastAsia="en-US"/>
        </w:rPr>
        <w:t>in the following context:</w:t>
      </w:r>
    </w:p>
    <w:p w14:paraId="17E35147" w14:textId="38F75F47" w:rsidR="00342A78" w:rsidRDefault="008B645B" w:rsidP="00342A78">
      <w:pPr>
        <w:pStyle w:val="Heading2"/>
        <w:rPr>
          <w:lang w:eastAsia="en-US"/>
        </w:rPr>
      </w:pPr>
      <w:r>
        <w:rPr>
          <w:lang w:eastAsia="en-US"/>
        </w:rPr>
        <w:t>3.1</w:t>
      </w:r>
      <w:r>
        <w:rPr>
          <w:lang w:eastAsia="en-US"/>
        </w:rPr>
        <w:tab/>
      </w:r>
      <w:r w:rsidR="00A9494D">
        <w:rPr>
          <w:lang w:eastAsia="en-US"/>
        </w:rPr>
        <w:t>Fatalities</w:t>
      </w:r>
      <w:r w:rsidR="00342A78" w:rsidRPr="00D7771B">
        <w:rPr>
          <w:lang w:eastAsia="en-US"/>
        </w:rPr>
        <w:t xml:space="preserve"> as a result of </w:t>
      </w:r>
      <w:r w:rsidR="00342A78">
        <w:rPr>
          <w:lang w:eastAsia="en-US"/>
        </w:rPr>
        <w:t xml:space="preserve">the top three mechanisms </w:t>
      </w:r>
      <w:r w:rsidR="00A9494D">
        <w:rPr>
          <w:lang w:eastAsia="en-US"/>
        </w:rPr>
        <w:t>in the period 2007-2016</w:t>
      </w:r>
    </w:p>
    <w:p w14:paraId="06B1BDD4" w14:textId="01A08F02" w:rsidR="00C87FB8" w:rsidRDefault="00A25E4A" w:rsidP="00342A78">
      <w:pPr>
        <w:pStyle w:val="Indent1"/>
        <w:rPr>
          <w:lang w:eastAsia="en-US"/>
        </w:rPr>
      </w:pPr>
      <w:r>
        <w:rPr>
          <w:lang w:eastAsia="en-US"/>
        </w:rPr>
        <w:t>In the 10</w:t>
      </w:r>
      <w:r w:rsidR="009B6306">
        <w:rPr>
          <w:lang w:eastAsia="en-US"/>
        </w:rPr>
        <w:t>-</w:t>
      </w:r>
      <w:r>
        <w:rPr>
          <w:lang w:eastAsia="en-US"/>
        </w:rPr>
        <w:t>year period 2007-2016</w:t>
      </w:r>
      <w:r w:rsidR="00C519A9">
        <w:rPr>
          <w:lang w:eastAsia="en-US"/>
        </w:rPr>
        <w:t xml:space="preserve">, </w:t>
      </w:r>
      <w:r w:rsidR="00674703">
        <w:rPr>
          <w:lang w:eastAsia="en-US"/>
        </w:rPr>
        <w:t xml:space="preserve">there were a total of 354 fatalities in </w:t>
      </w:r>
      <w:r w:rsidR="00980451">
        <w:rPr>
          <w:lang w:eastAsia="en-US"/>
        </w:rPr>
        <w:t xml:space="preserve">the building and construction </w:t>
      </w:r>
      <w:r w:rsidR="00674703">
        <w:rPr>
          <w:lang w:eastAsia="en-US"/>
        </w:rPr>
        <w:t xml:space="preserve">industry, </w:t>
      </w:r>
      <w:r w:rsidR="009B6306">
        <w:rPr>
          <w:lang w:eastAsia="en-US"/>
        </w:rPr>
        <w:t xml:space="preserve">with </w:t>
      </w:r>
      <w:r w:rsidR="00BB58E0">
        <w:rPr>
          <w:lang w:eastAsia="en-US"/>
        </w:rPr>
        <w:t>240</w:t>
      </w:r>
      <w:r w:rsidR="00C87FB8" w:rsidRPr="00D7771B">
        <w:rPr>
          <w:lang w:eastAsia="en-US"/>
        </w:rPr>
        <w:t xml:space="preserve"> </w:t>
      </w:r>
      <w:r w:rsidR="00674703">
        <w:rPr>
          <w:lang w:eastAsia="en-US"/>
        </w:rPr>
        <w:t xml:space="preserve">of these fatalities from </w:t>
      </w:r>
      <w:r w:rsidR="00D7771B">
        <w:rPr>
          <w:lang w:eastAsia="en-US"/>
        </w:rPr>
        <w:t xml:space="preserve">the </w:t>
      </w:r>
      <w:r w:rsidR="008342ED">
        <w:rPr>
          <w:lang w:eastAsia="en-US"/>
        </w:rPr>
        <w:t>t</w:t>
      </w:r>
      <w:r w:rsidR="00980451">
        <w:rPr>
          <w:lang w:eastAsia="en-US"/>
        </w:rPr>
        <w:t>op three mechanisms of injury</w:t>
      </w:r>
      <w:r w:rsidR="00C87FB8" w:rsidRPr="00D7771B">
        <w:rPr>
          <w:lang w:eastAsia="en-US"/>
        </w:rPr>
        <w:t xml:space="preserve">. </w:t>
      </w:r>
      <w:r w:rsidR="00674703">
        <w:rPr>
          <w:lang w:eastAsia="en-US"/>
        </w:rPr>
        <w:t xml:space="preserve">The incidence of work-related fatalities in the </w:t>
      </w:r>
      <w:r w:rsidR="007610D5">
        <w:rPr>
          <w:lang w:eastAsia="en-US"/>
        </w:rPr>
        <w:t xml:space="preserve">building and </w:t>
      </w:r>
      <w:r w:rsidR="00674703">
        <w:rPr>
          <w:lang w:eastAsia="en-US"/>
        </w:rPr>
        <w:t xml:space="preserve">construction industry has decreased steadily since </w:t>
      </w:r>
      <w:r w:rsidR="007610D5">
        <w:rPr>
          <w:lang w:eastAsia="en-US"/>
        </w:rPr>
        <w:t>2004</w:t>
      </w:r>
      <w:r w:rsidR="005410FA">
        <w:rPr>
          <w:lang w:eastAsia="en-US"/>
        </w:rPr>
        <w:t>.</w:t>
      </w:r>
      <w:r w:rsidR="00C519A9">
        <w:rPr>
          <w:rStyle w:val="FootnoteReference"/>
          <w:lang w:eastAsia="en-US"/>
        </w:rPr>
        <w:footnoteReference w:id="6"/>
      </w:r>
    </w:p>
    <w:p w14:paraId="6BCC27DC" w14:textId="254C99E8" w:rsidR="00980451" w:rsidRDefault="00980451" w:rsidP="00342A78">
      <w:pPr>
        <w:pStyle w:val="Indent1"/>
        <w:rPr>
          <w:lang w:eastAsia="en-US"/>
        </w:rPr>
      </w:pPr>
      <w:r>
        <w:rPr>
          <w:lang w:eastAsia="en-US"/>
        </w:rPr>
        <w:t xml:space="preserve">The breakdown of the fatalities by the top three mechanisms of injury </w:t>
      </w:r>
      <w:r w:rsidR="007610D5">
        <w:rPr>
          <w:lang w:eastAsia="en-US"/>
        </w:rPr>
        <w:t xml:space="preserve">is </w:t>
      </w:r>
      <w:r>
        <w:rPr>
          <w:lang w:eastAsia="en-US"/>
        </w:rPr>
        <w:t xml:space="preserve">set out in </w:t>
      </w:r>
      <w:r w:rsidR="006A1D10">
        <w:rPr>
          <w:lang w:eastAsia="en-US"/>
        </w:rPr>
        <w:fldChar w:fldCharType="begin"/>
      </w:r>
      <w:r w:rsidR="006A1D10">
        <w:rPr>
          <w:lang w:eastAsia="en-US"/>
        </w:rPr>
        <w:instrText xml:space="preserve"> REF _Ref509583668 \h </w:instrText>
      </w:r>
      <w:r w:rsidR="006A1D10">
        <w:rPr>
          <w:lang w:eastAsia="en-US"/>
        </w:rPr>
      </w:r>
      <w:r w:rsidR="006A1D10">
        <w:rPr>
          <w:lang w:eastAsia="en-US"/>
        </w:rPr>
        <w:fldChar w:fldCharType="separate"/>
      </w:r>
      <w:r w:rsidR="00A2226D">
        <w:t xml:space="preserve">Table </w:t>
      </w:r>
      <w:r w:rsidR="00A2226D">
        <w:rPr>
          <w:noProof/>
        </w:rPr>
        <w:t>1</w:t>
      </w:r>
      <w:r w:rsidR="006A1D10">
        <w:rPr>
          <w:lang w:eastAsia="en-US"/>
        </w:rPr>
        <w:fldChar w:fldCharType="end"/>
      </w:r>
      <w:r w:rsidR="006A1D10">
        <w:rPr>
          <w:lang w:eastAsia="en-US"/>
        </w:rPr>
        <w:t xml:space="preserve">. </w:t>
      </w:r>
    </w:p>
    <w:p w14:paraId="12220575" w14:textId="75CB27D6" w:rsidR="00980451" w:rsidRPr="00F76A96" w:rsidRDefault="00980451" w:rsidP="00980451">
      <w:pPr>
        <w:pStyle w:val="Caption"/>
        <w:rPr>
          <w:lang w:eastAsia="en-US"/>
        </w:rPr>
      </w:pPr>
      <w:bookmarkStart w:id="10" w:name="_Ref509583668"/>
      <w:r>
        <w:t xml:space="preserve">Table </w:t>
      </w:r>
      <w:r>
        <w:fldChar w:fldCharType="begin"/>
      </w:r>
      <w:r>
        <w:instrText xml:space="preserve"> SEQ Table \* ARABIC </w:instrText>
      </w:r>
      <w:r>
        <w:fldChar w:fldCharType="separate"/>
      </w:r>
      <w:r w:rsidR="00A2226D">
        <w:rPr>
          <w:noProof/>
        </w:rPr>
        <w:t>1</w:t>
      </w:r>
      <w:r>
        <w:fldChar w:fldCharType="end"/>
      </w:r>
      <w:bookmarkEnd w:id="10"/>
      <w:r>
        <w:t xml:space="preserve"> </w:t>
      </w:r>
      <w:bookmarkStart w:id="11" w:name="_Ref509583659"/>
      <w:r>
        <w:t xml:space="preserve">- </w:t>
      </w:r>
      <w:r w:rsidR="009B6306">
        <w:t>T</w:t>
      </w:r>
      <w:r w:rsidR="007610D5">
        <w:t xml:space="preserve">otal </w:t>
      </w:r>
      <w:r w:rsidRPr="00F76A96">
        <w:t xml:space="preserve">number of </w:t>
      </w:r>
      <w:r w:rsidR="007610D5">
        <w:t xml:space="preserve">construction </w:t>
      </w:r>
      <w:r w:rsidRPr="00F76A96">
        <w:t>fatalities with reference to top three mechanisms of injury</w:t>
      </w:r>
      <w:bookmarkEnd w:id="11"/>
      <w:r w:rsidR="007610D5">
        <w:t xml:space="preserve"> 2007-2016</w:t>
      </w:r>
    </w:p>
    <w:tbl>
      <w:tblPr>
        <w:tblStyle w:val="TableGrid"/>
        <w:tblW w:w="0" w:type="auto"/>
        <w:tblInd w:w="720" w:type="dxa"/>
        <w:tblLook w:val="04A0" w:firstRow="1" w:lastRow="0" w:firstColumn="1" w:lastColumn="0" w:noHBand="0" w:noVBand="1"/>
        <w:tblCaption w:val="Fatality data showing number of fatalities with reference to top three mechanisms of injury"/>
        <w:tblDescription w:val="Column 1 shows the three causes of fatality - falls from height and being hit by falling objects, contact with electricity and vehicle incidents. Column 2 shows the number of fatalities between 2007 and 2016 against each mechanism of fatality - falls from height or being hit by falling objects accounted for 141 fatalities, contact with electricity accounted for 42 fatalities and vehicle incidents accounted for 57 fatalities. The third column shows the mechanisms of fatality as a percentage of total fatalities."/>
      </w:tblPr>
      <w:tblGrid>
        <w:gridCol w:w="2853"/>
        <w:gridCol w:w="2817"/>
        <w:gridCol w:w="2870"/>
      </w:tblGrid>
      <w:tr w:rsidR="00980451" w:rsidRPr="0016166E" w14:paraId="60D405E7" w14:textId="77777777" w:rsidTr="00C01127">
        <w:trPr>
          <w:tblHeader/>
        </w:trPr>
        <w:tc>
          <w:tcPr>
            <w:tcW w:w="2853" w:type="dxa"/>
            <w:shd w:val="clear" w:color="auto" w:fill="003479"/>
          </w:tcPr>
          <w:p w14:paraId="3E380796" w14:textId="7E33E128" w:rsidR="00980451" w:rsidRPr="0016166E" w:rsidRDefault="00B87891" w:rsidP="000D5EAC">
            <w:pPr>
              <w:pStyle w:val="Indent1"/>
              <w:ind w:left="0"/>
              <w:rPr>
                <w:b/>
                <w:color w:val="FFFFFF" w:themeColor="background1"/>
                <w:sz w:val="18"/>
                <w:szCs w:val="18"/>
                <w:lang w:eastAsia="en-US"/>
              </w:rPr>
            </w:pPr>
            <w:r>
              <w:rPr>
                <w:b/>
                <w:color w:val="FFFFFF" w:themeColor="background1"/>
                <w:sz w:val="18"/>
                <w:szCs w:val="18"/>
                <w:lang w:eastAsia="en-US"/>
              </w:rPr>
              <w:t>Mechanism</w:t>
            </w:r>
            <w:r w:rsidRPr="0016166E">
              <w:rPr>
                <w:b/>
                <w:color w:val="FFFFFF" w:themeColor="background1"/>
                <w:sz w:val="18"/>
                <w:szCs w:val="18"/>
                <w:lang w:eastAsia="en-US"/>
              </w:rPr>
              <w:t xml:space="preserve"> </w:t>
            </w:r>
            <w:r w:rsidR="00980451" w:rsidRPr="0016166E">
              <w:rPr>
                <w:b/>
                <w:color w:val="FFFFFF" w:themeColor="background1"/>
                <w:sz w:val="18"/>
                <w:szCs w:val="18"/>
                <w:lang w:eastAsia="en-US"/>
              </w:rPr>
              <w:t xml:space="preserve">of fatality </w:t>
            </w:r>
          </w:p>
        </w:tc>
        <w:tc>
          <w:tcPr>
            <w:tcW w:w="2817" w:type="dxa"/>
            <w:shd w:val="clear" w:color="auto" w:fill="003479"/>
          </w:tcPr>
          <w:p w14:paraId="0687D42C" w14:textId="1CF25662" w:rsidR="00980451" w:rsidRPr="0016166E" w:rsidRDefault="00980451" w:rsidP="007610D5">
            <w:pPr>
              <w:pStyle w:val="Indent1"/>
              <w:ind w:left="0"/>
              <w:rPr>
                <w:b/>
                <w:color w:val="FFFFFF" w:themeColor="background1"/>
                <w:sz w:val="18"/>
                <w:szCs w:val="18"/>
                <w:lang w:eastAsia="en-US"/>
              </w:rPr>
            </w:pPr>
            <w:r w:rsidRPr="0016166E">
              <w:rPr>
                <w:b/>
                <w:color w:val="FFFFFF" w:themeColor="background1"/>
                <w:sz w:val="18"/>
                <w:szCs w:val="18"/>
                <w:lang w:eastAsia="en-US"/>
              </w:rPr>
              <w:t xml:space="preserve">Number of fatalities </w:t>
            </w:r>
          </w:p>
        </w:tc>
        <w:tc>
          <w:tcPr>
            <w:tcW w:w="2870" w:type="dxa"/>
            <w:shd w:val="clear" w:color="auto" w:fill="003479"/>
          </w:tcPr>
          <w:p w14:paraId="23E344D3" w14:textId="126CABE2" w:rsidR="00980451" w:rsidRPr="0016166E" w:rsidRDefault="00B87891" w:rsidP="007610D5">
            <w:pPr>
              <w:pStyle w:val="Indent1"/>
              <w:ind w:left="0"/>
              <w:rPr>
                <w:b/>
                <w:color w:val="FFFFFF" w:themeColor="background1"/>
                <w:sz w:val="18"/>
                <w:szCs w:val="18"/>
                <w:lang w:eastAsia="en-US"/>
              </w:rPr>
            </w:pPr>
            <w:r>
              <w:rPr>
                <w:b/>
                <w:color w:val="FFFFFF" w:themeColor="background1"/>
                <w:sz w:val="18"/>
                <w:szCs w:val="18"/>
                <w:lang w:eastAsia="en-US"/>
              </w:rPr>
              <w:t>Mechanism</w:t>
            </w:r>
            <w:r w:rsidR="00576C3D">
              <w:rPr>
                <w:b/>
                <w:color w:val="FFFFFF" w:themeColor="background1"/>
                <w:sz w:val="18"/>
                <w:szCs w:val="18"/>
                <w:lang w:eastAsia="en-US"/>
              </w:rPr>
              <w:t xml:space="preserve"> of fatality as a p</w:t>
            </w:r>
            <w:r w:rsidR="00980451" w:rsidRPr="0016166E">
              <w:rPr>
                <w:b/>
                <w:color w:val="FFFFFF" w:themeColor="background1"/>
                <w:sz w:val="18"/>
                <w:szCs w:val="18"/>
                <w:lang w:eastAsia="en-US"/>
              </w:rPr>
              <w:t xml:space="preserve">ercentage of total fatalities </w:t>
            </w:r>
          </w:p>
        </w:tc>
      </w:tr>
      <w:tr w:rsidR="00980451" w:rsidRPr="0016166E" w14:paraId="54A21088" w14:textId="77777777" w:rsidTr="00C01127">
        <w:trPr>
          <w:trHeight w:val="584"/>
          <w:tblHeader/>
        </w:trPr>
        <w:tc>
          <w:tcPr>
            <w:tcW w:w="2853" w:type="dxa"/>
          </w:tcPr>
          <w:p w14:paraId="40F3520C" w14:textId="5BC1E279" w:rsidR="00980451" w:rsidRPr="0016166E" w:rsidRDefault="00980451" w:rsidP="00556600">
            <w:pPr>
              <w:pStyle w:val="BodySingle"/>
              <w:rPr>
                <w:i w:val="0"/>
                <w:sz w:val="18"/>
                <w:szCs w:val="18"/>
                <w:lang w:eastAsia="en-US"/>
              </w:rPr>
            </w:pPr>
            <w:r w:rsidRPr="0016166E">
              <w:rPr>
                <w:i w:val="0"/>
                <w:sz w:val="18"/>
                <w:szCs w:val="18"/>
                <w:lang w:eastAsia="en-US"/>
              </w:rPr>
              <w:t xml:space="preserve">Fall from </w:t>
            </w:r>
            <w:r w:rsidR="007610D5">
              <w:rPr>
                <w:i w:val="0"/>
                <w:sz w:val="18"/>
                <w:szCs w:val="18"/>
                <w:lang w:eastAsia="en-US"/>
              </w:rPr>
              <w:t xml:space="preserve">a </w:t>
            </w:r>
            <w:r w:rsidRPr="0016166E">
              <w:rPr>
                <w:i w:val="0"/>
                <w:sz w:val="18"/>
                <w:szCs w:val="18"/>
                <w:lang w:eastAsia="en-US"/>
              </w:rPr>
              <w:t xml:space="preserve">height </w:t>
            </w:r>
            <w:r w:rsidR="00556600">
              <w:rPr>
                <w:i w:val="0"/>
                <w:sz w:val="18"/>
                <w:szCs w:val="18"/>
                <w:lang w:eastAsia="en-US"/>
              </w:rPr>
              <w:t xml:space="preserve">or </w:t>
            </w:r>
            <w:r w:rsidRPr="0016166E">
              <w:rPr>
                <w:i w:val="0"/>
                <w:sz w:val="18"/>
                <w:szCs w:val="18"/>
                <w:lang w:eastAsia="en-US"/>
              </w:rPr>
              <w:t xml:space="preserve">being hit by </w:t>
            </w:r>
            <w:r w:rsidR="007610D5">
              <w:rPr>
                <w:i w:val="0"/>
                <w:sz w:val="18"/>
                <w:szCs w:val="18"/>
                <w:lang w:eastAsia="en-US"/>
              </w:rPr>
              <w:t xml:space="preserve">a </w:t>
            </w:r>
            <w:r w:rsidRPr="0016166E">
              <w:rPr>
                <w:i w:val="0"/>
                <w:sz w:val="18"/>
                <w:szCs w:val="18"/>
                <w:lang w:eastAsia="en-US"/>
              </w:rPr>
              <w:t>falling object</w:t>
            </w:r>
            <w:r w:rsidR="00A233B3">
              <w:rPr>
                <w:i w:val="0"/>
                <w:sz w:val="18"/>
                <w:szCs w:val="18"/>
                <w:lang w:eastAsia="en-US"/>
              </w:rPr>
              <w:t xml:space="preserve"> </w:t>
            </w:r>
          </w:p>
        </w:tc>
        <w:tc>
          <w:tcPr>
            <w:tcW w:w="2817" w:type="dxa"/>
          </w:tcPr>
          <w:p w14:paraId="519F7C1C" w14:textId="77777777" w:rsidR="00980451" w:rsidRPr="0016166E" w:rsidRDefault="00980451" w:rsidP="000D5EAC">
            <w:pPr>
              <w:pStyle w:val="Indent1"/>
              <w:ind w:left="0"/>
              <w:jc w:val="center"/>
              <w:rPr>
                <w:sz w:val="18"/>
                <w:szCs w:val="18"/>
                <w:lang w:eastAsia="en-US"/>
              </w:rPr>
            </w:pPr>
            <w:r w:rsidRPr="0016166E">
              <w:rPr>
                <w:sz w:val="18"/>
                <w:szCs w:val="18"/>
                <w:lang w:eastAsia="en-US"/>
              </w:rPr>
              <w:t>141</w:t>
            </w:r>
          </w:p>
        </w:tc>
        <w:tc>
          <w:tcPr>
            <w:tcW w:w="2870" w:type="dxa"/>
          </w:tcPr>
          <w:p w14:paraId="6E6931A2" w14:textId="77777777" w:rsidR="00980451" w:rsidRPr="0016166E" w:rsidRDefault="00980451" w:rsidP="000D5EAC">
            <w:pPr>
              <w:pStyle w:val="Indent1"/>
              <w:ind w:left="0"/>
              <w:jc w:val="center"/>
              <w:rPr>
                <w:sz w:val="18"/>
                <w:szCs w:val="18"/>
                <w:lang w:eastAsia="en-US"/>
              </w:rPr>
            </w:pPr>
            <w:r w:rsidRPr="0016166E">
              <w:rPr>
                <w:sz w:val="18"/>
                <w:szCs w:val="18"/>
                <w:lang w:eastAsia="en-US"/>
              </w:rPr>
              <w:t>40%</w:t>
            </w:r>
          </w:p>
        </w:tc>
      </w:tr>
      <w:tr w:rsidR="00980451" w:rsidRPr="0016166E" w14:paraId="0FF0C5DD" w14:textId="77777777" w:rsidTr="00C01127">
        <w:trPr>
          <w:trHeight w:val="512"/>
          <w:tblHeader/>
        </w:trPr>
        <w:tc>
          <w:tcPr>
            <w:tcW w:w="2853" w:type="dxa"/>
            <w:tcBorders>
              <w:top w:val="single" w:sz="4" w:space="0" w:color="auto"/>
            </w:tcBorders>
          </w:tcPr>
          <w:p w14:paraId="686114D5" w14:textId="0194923C" w:rsidR="00980451" w:rsidRPr="0016166E" w:rsidRDefault="004B0E9E" w:rsidP="004B0E9E">
            <w:pPr>
              <w:pStyle w:val="BodySingle"/>
              <w:rPr>
                <w:i w:val="0"/>
                <w:sz w:val="18"/>
                <w:szCs w:val="18"/>
                <w:lang w:eastAsia="en-US"/>
              </w:rPr>
            </w:pPr>
            <w:r w:rsidRPr="0016166E">
              <w:rPr>
                <w:i w:val="0"/>
                <w:sz w:val="18"/>
                <w:szCs w:val="18"/>
                <w:lang w:eastAsia="en-US"/>
              </w:rPr>
              <w:t>Vehicle incidents</w:t>
            </w:r>
          </w:p>
        </w:tc>
        <w:tc>
          <w:tcPr>
            <w:tcW w:w="2817" w:type="dxa"/>
            <w:tcBorders>
              <w:top w:val="single" w:sz="4" w:space="0" w:color="auto"/>
            </w:tcBorders>
          </w:tcPr>
          <w:p w14:paraId="6F693101" w14:textId="6E4884F9" w:rsidR="00980451" w:rsidRPr="0016166E" w:rsidRDefault="004B0E9E" w:rsidP="004B0E9E">
            <w:pPr>
              <w:pStyle w:val="Indent1"/>
              <w:ind w:left="0"/>
              <w:jc w:val="center"/>
              <w:rPr>
                <w:sz w:val="18"/>
                <w:szCs w:val="18"/>
                <w:lang w:eastAsia="en-US"/>
              </w:rPr>
            </w:pPr>
            <w:r w:rsidRPr="0016166E">
              <w:rPr>
                <w:sz w:val="18"/>
                <w:szCs w:val="18"/>
                <w:lang w:eastAsia="en-US"/>
              </w:rPr>
              <w:t>57</w:t>
            </w:r>
          </w:p>
        </w:tc>
        <w:tc>
          <w:tcPr>
            <w:tcW w:w="2870" w:type="dxa"/>
            <w:tcBorders>
              <w:top w:val="single" w:sz="4" w:space="0" w:color="auto"/>
            </w:tcBorders>
          </w:tcPr>
          <w:p w14:paraId="3189D658" w14:textId="3D9181F7" w:rsidR="00980451" w:rsidRPr="0016166E" w:rsidRDefault="004B0E9E" w:rsidP="004B0E9E">
            <w:pPr>
              <w:pStyle w:val="Indent1"/>
              <w:ind w:left="0"/>
              <w:jc w:val="center"/>
              <w:rPr>
                <w:sz w:val="18"/>
                <w:szCs w:val="18"/>
                <w:lang w:eastAsia="en-US"/>
              </w:rPr>
            </w:pPr>
            <w:r w:rsidRPr="0016166E">
              <w:rPr>
                <w:sz w:val="18"/>
                <w:szCs w:val="18"/>
                <w:lang w:eastAsia="en-US"/>
              </w:rPr>
              <w:t>16%</w:t>
            </w:r>
          </w:p>
        </w:tc>
      </w:tr>
      <w:tr w:rsidR="00980451" w:rsidRPr="0016166E" w14:paraId="2155D81A" w14:textId="77777777" w:rsidTr="00576C3D">
        <w:trPr>
          <w:trHeight w:val="188"/>
          <w:tblHeader/>
        </w:trPr>
        <w:tc>
          <w:tcPr>
            <w:tcW w:w="2853" w:type="dxa"/>
          </w:tcPr>
          <w:p w14:paraId="22E3653C" w14:textId="3BBAC5D7" w:rsidR="00980451" w:rsidRPr="0016166E" w:rsidRDefault="004B0E9E" w:rsidP="000D5EAC">
            <w:pPr>
              <w:pStyle w:val="BodySingle"/>
              <w:rPr>
                <w:i w:val="0"/>
                <w:sz w:val="18"/>
                <w:szCs w:val="18"/>
                <w:lang w:eastAsia="en-US"/>
              </w:rPr>
            </w:pPr>
            <w:r>
              <w:rPr>
                <w:i w:val="0"/>
                <w:sz w:val="18"/>
                <w:szCs w:val="18"/>
                <w:lang w:eastAsia="en-US"/>
              </w:rPr>
              <w:t xml:space="preserve">Contact with </w:t>
            </w:r>
            <w:r w:rsidRPr="0016166E">
              <w:rPr>
                <w:i w:val="0"/>
                <w:sz w:val="18"/>
                <w:szCs w:val="18"/>
                <w:lang w:eastAsia="en-US"/>
              </w:rPr>
              <w:t xml:space="preserve">electricity </w:t>
            </w:r>
          </w:p>
        </w:tc>
        <w:tc>
          <w:tcPr>
            <w:tcW w:w="2817" w:type="dxa"/>
          </w:tcPr>
          <w:p w14:paraId="08AF803F" w14:textId="6F2227F6" w:rsidR="00980451" w:rsidRPr="0016166E" w:rsidRDefault="004B0E9E" w:rsidP="000D5EAC">
            <w:pPr>
              <w:pStyle w:val="Indent1"/>
              <w:ind w:left="0"/>
              <w:jc w:val="center"/>
              <w:rPr>
                <w:sz w:val="18"/>
                <w:szCs w:val="18"/>
                <w:lang w:eastAsia="en-US"/>
              </w:rPr>
            </w:pPr>
            <w:r w:rsidRPr="0016166E">
              <w:rPr>
                <w:sz w:val="18"/>
                <w:szCs w:val="18"/>
                <w:lang w:eastAsia="en-US"/>
              </w:rPr>
              <w:t>42</w:t>
            </w:r>
          </w:p>
        </w:tc>
        <w:tc>
          <w:tcPr>
            <w:tcW w:w="2870" w:type="dxa"/>
          </w:tcPr>
          <w:p w14:paraId="4FD7B55F" w14:textId="6FB84C82" w:rsidR="00980451" w:rsidRPr="0016166E" w:rsidRDefault="004B0E9E" w:rsidP="000D5EAC">
            <w:pPr>
              <w:pStyle w:val="Indent1"/>
              <w:ind w:left="0"/>
              <w:jc w:val="center"/>
              <w:rPr>
                <w:sz w:val="18"/>
                <w:szCs w:val="18"/>
                <w:lang w:eastAsia="en-US"/>
              </w:rPr>
            </w:pPr>
            <w:r w:rsidRPr="0016166E">
              <w:rPr>
                <w:sz w:val="18"/>
                <w:szCs w:val="18"/>
                <w:lang w:eastAsia="en-US"/>
              </w:rPr>
              <w:t>12%</w:t>
            </w:r>
          </w:p>
        </w:tc>
      </w:tr>
      <w:tr w:rsidR="00576C3D" w:rsidRPr="0016166E" w14:paraId="2B999EBD" w14:textId="77777777" w:rsidTr="00C01127">
        <w:trPr>
          <w:trHeight w:val="188"/>
          <w:tblHeader/>
        </w:trPr>
        <w:tc>
          <w:tcPr>
            <w:tcW w:w="2853" w:type="dxa"/>
          </w:tcPr>
          <w:p w14:paraId="75502812" w14:textId="77777777" w:rsidR="00576C3D" w:rsidRPr="0016166E" w:rsidRDefault="00576C3D" w:rsidP="000D5EAC">
            <w:pPr>
              <w:pStyle w:val="BodySingle"/>
              <w:rPr>
                <w:i w:val="0"/>
                <w:sz w:val="18"/>
                <w:szCs w:val="18"/>
                <w:lang w:eastAsia="en-US"/>
              </w:rPr>
            </w:pPr>
            <w:r>
              <w:rPr>
                <w:i w:val="0"/>
                <w:sz w:val="18"/>
                <w:szCs w:val="18"/>
                <w:lang w:eastAsia="en-US"/>
              </w:rPr>
              <w:t>Other mechanisms</w:t>
            </w:r>
          </w:p>
        </w:tc>
        <w:tc>
          <w:tcPr>
            <w:tcW w:w="2817" w:type="dxa"/>
            <w:tcBorders>
              <w:bottom w:val="single" w:sz="4" w:space="0" w:color="auto"/>
            </w:tcBorders>
          </w:tcPr>
          <w:p w14:paraId="1F1E3772" w14:textId="77777777" w:rsidR="00576C3D" w:rsidRPr="0016166E" w:rsidRDefault="00576C3D" w:rsidP="000D5EAC">
            <w:pPr>
              <w:pStyle w:val="Indent1"/>
              <w:ind w:left="0"/>
              <w:jc w:val="center"/>
              <w:rPr>
                <w:sz w:val="18"/>
                <w:szCs w:val="18"/>
                <w:lang w:eastAsia="en-US"/>
              </w:rPr>
            </w:pPr>
            <w:r>
              <w:rPr>
                <w:sz w:val="18"/>
                <w:szCs w:val="18"/>
                <w:lang w:eastAsia="en-US"/>
              </w:rPr>
              <w:t>114</w:t>
            </w:r>
          </w:p>
        </w:tc>
        <w:tc>
          <w:tcPr>
            <w:tcW w:w="2870" w:type="dxa"/>
            <w:tcBorders>
              <w:bottom w:val="single" w:sz="4" w:space="0" w:color="auto"/>
            </w:tcBorders>
          </w:tcPr>
          <w:p w14:paraId="6541E275" w14:textId="77777777" w:rsidR="00576C3D" w:rsidRPr="0016166E" w:rsidRDefault="00576C3D" w:rsidP="000D5EAC">
            <w:pPr>
              <w:pStyle w:val="Indent1"/>
              <w:ind w:left="0"/>
              <w:jc w:val="center"/>
              <w:rPr>
                <w:sz w:val="18"/>
                <w:szCs w:val="18"/>
                <w:lang w:eastAsia="en-US"/>
              </w:rPr>
            </w:pPr>
            <w:r>
              <w:rPr>
                <w:sz w:val="18"/>
                <w:szCs w:val="18"/>
                <w:lang w:eastAsia="en-US"/>
              </w:rPr>
              <w:t>32%</w:t>
            </w:r>
          </w:p>
        </w:tc>
      </w:tr>
    </w:tbl>
    <w:p w14:paraId="3F6B7248" w14:textId="77777777" w:rsidR="004F2132" w:rsidRDefault="004F2132" w:rsidP="004F2132">
      <w:pPr>
        <w:pStyle w:val="Heading2"/>
        <w:ind w:left="720"/>
        <w:rPr>
          <w:b w:val="0"/>
          <w:lang w:eastAsia="en-US"/>
        </w:rPr>
      </w:pPr>
    </w:p>
    <w:p w14:paraId="180C01C9" w14:textId="77777777" w:rsidR="00965F19" w:rsidRDefault="00965F19">
      <w:pPr>
        <w:spacing w:after="0"/>
        <w:jc w:val="left"/>
        <w:rPr>
          <w:rFonts w:eastAsiaTheme="majorEastAsia" w:cs="Arial"/>
          <w:bCs/>
          <w:color w:val="000000"/>
          <w:szCs w:val="26"/>
          <w:lang w:eastAsia="en-US"/>
        </w:rPr>
      </w:pPr>
      <w:r>
        <w:rPr>
          <w:b/>
          <w:lang w:eastAsia="en-US"/>
        </w:rPr>
        <w:br w:type="page"/>
      </w:r>
    </w:p>
    <w:p w14:paraId="1FAD3664" w14:textId="77777777" w:rsidR="00965F19" w:rsidRDefault="00965F19" w:rsidP="00EE6FE0">
      <w:pPr>
        <w:pStyle w:val="Heading2"/>
        <w:ind w:left="720"/>
        <w:rPr>
          <w:b w:val="0"/>
          <w:lang w:eastAsia="en-US"/>
        </w:rPr>
      </w:pPr>
    </w:p>
    <w:p w14:paraId="530C60E9" w14:textId="6D8B8B24" w:rsidR="004F2132" w:rsidRPr="00EE6FE0" w:rsidRDefault="004F2132" w:rsidP="00EE6FE0">
      <w:pPr>
        <w:pStyle w:val="Heading2"/>
        <w:ind w:left="720"/>
        <w:rPr>
          <w:b w:val="0"/>
          <w:lang w:eastAsia="en-US"/>
        </w:rPr>
      </w:pPr>
      <w:r w:rsidRPr="00DC664B">
        <w:rPr>
          <w:b w:val="0"/>
          <w:lang w:eastAsia="en-US"/>
        </w:rPr>
        <w:fldChar w:fldCharType="begin"/>
      </w:r>
      <w:r w:rsidRPr="00DC664B">
        <w:rPr>
          <w:b w:val="0"/>
          <w:lang w:eastAsia="en-US"/>
        </w:rPr>
        <w:instrText xml:space="preserve"> REF _Ref506888708 \h  \* MERGEFORMAT </w:instrText>
      </w:r>
      <w:r w:rsidRPr="00DC664B">
        <w:rPr>
          <w:b w:val="0"/>
          <w:lang w:eastAsia="en-US"/>
        </w:rPr>
      </w:r>
      <w:r w:rsidRPr="00DC664B">
        <w:rPr>
          <w:b w:val="0"/>
          <w:lang w:eastAsia="en-US"/>
        </w:rPr>
        <w:fldChar w:fldCharType="separate"/>
      </w:r>
      <w:r w:rsidR="00A2226D" w:rsidRPr="00A2226D">
        <w:rPr>
          <w:b w:val="0"/>
        </w:rPr>
        <w:t xml:space="preserve">Figure </w:t>
      </w:r>
      <w:r w:rsidR="00A2226D" w:rsidRPr="00A2226D">
        <w:rPr>
          <w:b w:val="0"/>
          <w:noProof/>
        </w:rPr>
        <w:t>1</w:t>
      </w:r>
      <w:r w:rsidRPr="00DC664B">
        <w:rPr>
          <w:b w:val="0"/>
          <w:lang w:eastAsia="en-US"/>
        </w:rPr>
        <w:fldChar w:fldCharType="end"/>
      </w:r>
      <w:r w:rsidRPr="009C069E">
        <w:rPr>
          <w:b w:val="0"/>
          <w:lang w:eastAsia="en-US"/>
        </w:rPr>
        <w:t xml:space="preserve"> below </w:t>
      </w:r>
      <w:r>
        <w:rPr>
          <w:b w:val="0"/>
          <w:lang w:eastAsia="en-US"/>
        </w:rPr>
        <w:t>sets out the number of fat</w:t>
      </w:r>
      <w:r w:rsidR="00253E47">
        <w:rPr>
          <w:b w:val="0"/>
          <w:lang w:eastAsia="en-US"/>
        </w:rPr>
        <w:t>alities by the three main mechanisms</w:t>
      </w:r>
      <w:r>
        <w:rPr>
          <w:b w:val="0"/>
          <w:lang w:eastAsia="en-US"/>
        </w:rPr>
        <w:t xml:space="preserve"> </w:t>
      </w:r>
      <w:r w:rsidR="009B6306">
        <w:rPr>
          <w:b w:val="0"/>
          <w:lang w:eastAsia="en-US"/>
        </w:rPr>
        <w:t>from 2007-2016</w:t>
      </w:r>
      <w:r>
        <w:rPr>
          <w:b w:val="0"/>
          <w:lang w:eastAsia="en-US"/>
        </w:rPr>
        <w:t xml:space="preserve">. </w:t>
      </w:r>
    </w:p>
    <w:p w14:paraId="1CEEA888" w14:textId="315D1FD7" w:rsidR="004F2132" w:rsidRDefault="004F2132" w:rsidP="004F2132">
      <w:pPr>
        <w:pStyle w:val="Caption"/>
      </w:pPr>
      <w:bookmarkStart w:id="12" w:name="_Ref506888708"/>
      <w:bookmarkStart w:id="13" w:name="_Ref506887592"/>
      <w:r>
        <w:t xml:space="preserve">Figure </w:t>
      </w:r>
      <w:r>
        <w:fldChar w:fldCharType="begin"/>
      </w:r>
      <w:r>
        <w:instrText xml:space="preserve"> SEQ Figure \* ARABIC </w:instrText>
      </w:r>
      <w:r>
        <w:fldChar w:fldCharType="separate"/>
      </w:r>
      <w:r w:rsidR="00A2226D">
        <w:rPr>
          <w:noProof/>
        </w:rPr>
        <w:t>1</w:t>
      </w:r>
      <w:r>
        <w:fldChar w:fldCharType="end"/>
      </w:r>
      <w:bookmarkEnd w:id="12"/>
      <w:r>
        <w:t xml:space="preserve"> - </w:t>
      </w:r>
      <w:r w:rsidRPr="00F76A96">
        <w:t xml:space="preserve">Number of construction fatalities by top </w:t>
      </w:r>
      <w:r>
        <w:t xml:space="preserve">three </w:t>
      </w:r>
      <w:r w:rsidR="00253E47">
        <w:t>mechanisms</w:t>
      </w:r>
      <w:r w:rsidRPr="00F76A96">
        <w:t xml:space="preserve"> (2007-2016)</w:t>
      </w:r>
      <w:r>
        <w:t xml:space="preserve"> </w:t>
      </w:r>
      <w:bookmarkEnd w:id="13"/>
    </w:p>
    <w:p w14:paraId="0AC433BD" w14:textId="74D89928" w:rsidR="00980451" w:rsidRDefault="00253E47" w:rsidP="001F40A0">
      <w:pPr>
        <w:jc w:val="center"/>
      </w:pPr>
      <w:r>
        <w:rPr>
          <w:noProof/>
          <w:lang w:eastAsia="en-AU"/>
        </w:rPr>
        <w:drawing>
          <wp:inline distT="0" distB="0" distL="0" distR="0" wp14:anchorId="163EC38F" wp14:editId="64A944A2">
            <wp:extent cx="5901690" cy="3121660"/>
            <wp:effectExtent l="0" t="0" r="3810" b="2540"/>
            <wp:docPr id="5" name="Picture 5" descr="A line graph that plots construction fatalities by the top three causes over the time span 2007 to 2016. Falls from heights are represented by a dark blue line, vehicle incidents are represented by a dark grey line, and contact with electricity is represented by a light blue line. " title="Line graph plotting the construction fatalities by top three causes between 2007 an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1690" cy="3121660"/>
                    </a:xfrm>
                    <a:prstGeom prst="rect">
                      <a:avLst/>
                    </a:prstGeom>
                    <a:noFill/>
                  </pic:spPr>
                </pic:pic>
              </a:graphicData>
            </a:graphic>
          </wp:inline>
        </w:drawing>
      </w:r>
    </w:p>
    <w:p w14:paraId="24019455" w14:textId="19850B22" w:rsidR="004F2132" w:rsidRPr="00D7771B" w:rsidRDefault="008B645B" w:rsidP="003228DC">
      <w:pPr>
        <w:pStyle w:val="Heading2"/>
        <w:rPr>
          <w:lang w:eastAsia="en-US"/>
        </w:rPr>
      </w:pPr>
      <w:r>
        <w:rPr>
          <w:lang w:eastAsia="en-US"/>
        </w:rPr>
        <w:t>3.2</w:t>
      </w:r>
      <w:r>
        <w:rPr>
          <w:lang w:eastAsia="en-US"/>
        </w:rPr>
        <w:tab/>
      </w:r>
      <w:r w:rsidR="00CF2C25" w:rsidRPr="004F2132">
        <w:rPr>
          <w:lang w:eastAsia="en-US"/>
        </w:rPr>
        <w:t>Australian Work Health and Safety Strategy 2012-2022</w:t>
      </w:r>
    </w:p>
    <w:p w14:paraId="6BA43CF8" w14:textId="32BDC979" w:rsidR="0001627E" w:rsidRPr="004F2132" w:rsidRDefault="00775DED" w:rsidP="003228DC">
      <w:pPr>
        <w:pStyle w:val="Indent1"/>
        <w:rPr>
          <w:lang w:eastAsia="en-US"/>
        </w:rPr>
      </w:pPr>
      <w:r w:rsidRPr="004F2132">
        <w:rPr>
          <w:lang w:eastAsia="en-US"/>
        </w:rPr>
        <w:t>The construction industry is a national priority under the Australian Work Health and Safety Strategy 2012-2022</w:t>
      </w:r>
      <w:r w:rsidR="008342ED" w:rsidRPr="004F2132">
        <w:rPr>
          <w:lang w:eastAsia="en-US"/>
        </w:rPr>
        <w:t>,</w:t>
      </w:r>
      <w:r w:rsidRPr="004F2132">
        <w:rPr>
          <w:lang w:eastAsia="en-US"/>
        </w:rPr>
        <w:t xml:space="preserve"> due t</w:t>
      </w:r>
      <w:r w:rsidR="00D006BF">
        <w:rPr>
          <w:lang w:eastAsia="en-US"/>
        </w:rPr>
        <w:t xml:space="preserve">o the high number of fatalities. </w:t>
      </w:r>
      <w:r w:rsidR="008342ED" w:rsidRPr="004F2132">
        <w:rPr>
          <w:lang w:eastAsia="en-US"/>
        </w:rPr>
        <w:t xml:space="preserve">The industry </w:t>
      </w:r>
      <w:r w:rsidR="00C66784" w:rsidRPr="004F2132">
        <w:rPr>
          <w:lang w:eastAsia="en-US"/>
        </w:rPr>
        <w:t xml:space="preserve">accounts for the </w:t>
      </w:r>
      <w:r w:rsidR="008342ED" w:rsidRPr="004F2132">
        <w:rPr>
          <w:lang w:eastAsia="en-US"/>
        </w:rPr>
        <w:t xml:space="preserve">third </w:t>
      </w:r>
      <w:r w:rsidR="00C66784" w:rsidRPr="004F2132">
        <w:rPr>
          <w:lang w:eastAsia="en-US"/>
        </w:rPr>
        <w:t xml:space="preserve">highest number of fatalities and the </w:t>
      </w:r>
      <w:r w:rsidR="008342ED" w:rsidRPr="004F2132">
        <w:rPr>
          <w:lang w:eastAsia="en-US"/>
        </w:rPr>
        <w:t xml:space="preserve">sixth </w:t>
      </w:r>
      <w:r w:rsidR="00C66784" w:rsidRPr="004F2132">
        <w:rPr>
          <w:lang w:eastAsia="en-US"/>
        </w:rPr>
        <w:t>highest fatality rate</w:t>
      </w:r>
      <w:r w:rsidR="008342ED" w:rsidRPr="004F2132">
        <w:rPr>
          <w:lang w:eastAsia="en-US"/>
        </w:rPr>
        <w:t xml:space="preserve"> Australia wide</w:t>
      </w:r>
      <w:r w:rsidR="00C66784" w:rsidRPr="004F2132">
        <w:rPr>
          <w:lang w:eastAsia="en-US"/>
        </w:rPr>
        <w:t>.</w:t>
      </w:r>
      <w:r w:rsidR="004F2132">
        <w:rPr>
          <w:rStyle w:val="FootnoteReference"/>
          <w:lang w:eastAsia="en-US"/>
        </w:rPr>
        <w:footnoteReference w:id="7"/>
      </w:r>
      <w:r w:rsidR="00C66784" w:rsidRPr="004F2132">
        <w:rPr>
          <w:lang w:eastAsia="en-US"/>
        </w:rPr>
        <w:t xml:space="preserve"> </w:t>
      </w:r>
    </w:p>
    <w:p w14:paraId="16C3E9DC" w14:textId="66DC258B" w:rsidR="009402E8" w:rsidRPr="0001627E" w:rsidRDefault="008B645B" w:rsidP="009402E8">
      <w:pPr>
        <w:pStyle w:val="Heading2"/>
        <w:rPr>
          <w:lang w:eastAsia="en-US"/>
        </w:rPr>
      </w:pPr>
      <w:r>
        <w:rPr>
          <w:lang w:eastAsia="en-US"/>
        </w:rPr>
        <w:t>3.3</w:t>
      </w:r>
      <w:r>
        <w:rPr>
          <w:lang w:eastAsia="en-US"/>
        </w:rPr>
        <w:tab/>
      </w:r>
      <w:r w:rsidR="009C48EB" w:rsidRPr="0001627E">
        <w:rPr>
          <w:lang w:eastAsia="en-US"/>
        </w:rPr>
        <w:t>Introduction of t</w:t>
      </w:r>
      <w:r w:rsidR="001D19F4">
        <w:rPr>
          <w:lang w:eastAsia="en-US"/>
        </w:rPr>
        <w:t>he</w:t>
      </w:r>
      <w:r w:rsidR="00475383">
        <w:rPr>
          <w:lang w:eastAsia="en-US"/>
        </w:rPr>
        <w:t xml:space="preserve"> model</w:t>
      </w:r>
      <w:r w:rsidR="00596CA2" w:rsidRPr="0001627E">
        <w:rPr>
          <w:lang w:eastAsia="en-US"/>
        </w:rPr>
        <w:t xml:space="preserve"> work health and safety legislation </w:t>
      </w:r>
      <w:r w:rsidR="0001627E" w:rsidRPr="0001627E">
        <w:rPr>
          <w:lang w:eastAsia="en-US"/>
        </w:rPr>
        <w:t>in 2012</w:t>
      </w:r>
      <w:r w:rsidR="007610D5">
        <w:rPr>
          <w:lang w:eastAsia="en-US"/>
        </w:rPr>
        <w:t>-</w:t>
      </w:r>
      <w:r w:rsidR="0001627E" w:rsidRPr="0001627E">
        <w:rPr>
          <w:lang w:eastAsia="en-US"/>
        </w:rPr>
        <w:t xml:space="preserve">13 </w:t>
      </w:r>
    </w:p>
    <w:p w14:paraId="74EF68D2" w14:textId="59FB8EE4" w:rsidR="00FC5DCD" w:rsidRPr="00D7771B" w:rsidRDefault="00FC5DCD" w:rsidP="003228DC">
      <w:pPr>
        <w:pStyle w:val="Indent1"/>
        <w:rPr>
          <w:lang w:eastAsia="en-US"/>
        </w:rPr>
      </w:pPr>
      <w:r w:rsidRPr="00D7771B">
        <w:rPr>
          <w:lang w:eastAsia="en-US"/>
        </w:rPr>
        <w:t>The known hazards</w:t>
      </w:r>
      <w:r>
        <w:rPr>
          <w:lang w:eastAsia="en-US"/>
        </w:rPr>
        <w:t xml:space="preserve"> </w:t>
      </w:r>
      <w:r w:rsidRPr="00FC5DCD">
        <w:rPr>
          <w:szCs w:val="20"/>
          <w:lang w:eastAsia="en-US"/>
        </w:rPr>
        <w:t>and</w:t>
      </w:r>
      <w:r>
        <w:rPr>
          <w:lang w:eastAsia="en-US"/>
        </w:rPr>
        <w:t xml:space="preserve"> risks</w:t>
      </w:r>
      <w:r w:rsidRPr="00D7771B">
        <w:rPr>
          <w:lang w:eastAsia="en-US"/>
        </w:rPr>
        <w:t xml:space="preserve"> of the three </w:t>
      </w:r>
      <w:r>
        <w:rPr>
          <w:lang w:eastAsia="en-US"/>
        </w:rPr>
        <w:t>main</w:t>
      </w:r>
      <w:r w:rsidR="00D006BF">
        <w:rPr>
          <w:lang w:eastAsia="en-US"/>
        </w:rPr>
        <w:t xml:space="preserve"> mechanisms</w:t>
      </w:r>
      <w:r w:rsidRPr="00D7771B">
        <w:rPr>
          <w:lang w:eastAsia="en-US"/>
        </w:rPr>
        <w:t xml:space="preserve"> of fatalities in the building and construction industry are subject to </w:t>
      </w:r>
      <w:r w:rsidR="00B87891">
        <w:rPr>
          <w:lang w:eastAsia="en-US"/>
        </w:rPr>
        <w:t xml:space="preserve">comprehensive </w:t>
      </w:r>
      <w:r w:rsidRPr="00D7771B">
        <w:rPr>
          <w:lang w:eastAsia="en-US"/>
        </w:rPr>
        <w:t>regula</w:t>
      </w:r>
      <w:r>
        <w:rPr>
          <w:lang w:eastAsia="en-US"/>
        </w:rPr>
        <w:t>tion through the WHS regulatory framework</w:t>
      </w:r>
      <w:r w:rsidRPr="00D7771B">
        <w:rPr>
          <w:lang w:eastAsia="en-US"/>
        </w:rPr>
        <w:t xml:space="preserve">. </w:t>
      </w:r>
    </w:p>
    <w:p w14:paraId="1F954092" w14:textId="4F83FCD0" w:rsidR="00DD02E3" w:rsidRDefault="00DD02E3" w:rsidP="00DD02E3">
      <w:pPr>
        <w:pStyle w:val="Indent1"/>
        <w:rPr>
          <w:szCs w:val="20"/>
          <w:lang w:eastAsia="en-US"/>
        </w:rPr>
      </w:pPr>
      <w:r>
        <w:rPr>
          <w:szCs w:val="20"/>
          <w:lang w:eastAsia="en-US"/>
        </w:rPr>
        <w:t>The Review is being conducted at a time whe</w:t>
      </w:r>
      <w:r w:rsidR="007610D5">
        <w:rPr>
          <w:szCs w:val="20"/>
          <w:lang w:eastAsia="en-US"/>
        </w:rPr>
        <w:t>n</w:t>
      </w:r>
      <w:r>
        <w:rPr>
          <w:szCs w:val="20"/>
          <w:lang w:eastAsia="en-US"/>
        </w:rPr>
        <w:t xml:space="preserve"> all Australian jurisdictions (with the exception of Victoria and Western Australia) have enacted laws based on the </w:t>
      </w:r>
      <w:r w:rsidR="0068222B">
        <w:rPr>
          <w:szCs w:val="20"/>
          <w:lang w:eastAsia="en-US"/>
        </w:rPr>
        <w:t>m</w:t>
      </w:r>
      <w:r>
        <w:rPr>
          <w:szCs w:val="20"/>
          <w:lang w:eastAsia="en-US"/>
        </w:rPr>
        <w:t>odel Work Health and Safety Act (</w:t>
      </w:r>
      <w:r w:rsidRPr="004737FD">
        <w:rPr>
          <w:b/>
          <w:szCs w:val="20"/>
          <w:lang w:eastAsia="en-US"/>
        </w:rPr>
        <w:t>WHS Act</w:t>
      </w:r>
      <w:r w:rsidRPr="00E92B99">
        <w:rPr>
          <w:szCs w:val="20"/>
          <w:lang w:eastAsia="en-US"/>
        </w:rPr>
        <w:t>)</w:t>
      </w:r>
      <w:r>
        <w:rPr>
          <w:szCs w:val="20"/>
          <w:lang w:eastAsia="en-US"/>
        </w:rPr>
        <w:t xml:space="preserve"> and the </w:t>
      </w:r>
      <w:r w:rsidR="0068222B">
        <w:rPr>
          <w:szCs w:val="20"/>
          <w:lang w:eastAsia="en-US"/>
        </w:rPr>
        <w:t>m</w:t>
      </w:r>
      <w:r>
        <w:rPr>
          <w:szCs w:val="20"/>
          <w:lang w:eastAsia="en-US"/>
        </w:rPr>
        <w:t>odel Work Health and Safety Regulations (</w:t>
      </w:r>
      <w:r w:rsidRPr="004737FD">
        <w:rPr>
          <w:b/>
          <w:szCs w:val="20"/>
          <w:lang w:eastAsia="en-US"/>
        </w:rPr>
        <w:t>WHS Regulations</w:t>
      </w:r>
      <w:r>
        <w:rPr>
          <w:szCs w:val="20"/>
          <w:lang w:eastAsia="en-US"/>
        </w:rPr>
        <w:t>)</w:t>
      </w:r>
      <w:r w:rsidR="00556600">
        <w:rPr>
          <w:szCs w:val="20"/>
          <w:lang w:eastAsia="en-US"/>
        </w:rPr>
        <w:t>.</w:t>
      </w:r>
      <w:r>
        <w:rPr>
          <w:rStyle w:val="FootnoteReference"/>
          <w:szCs w:val="20"/>
          <w:lang w:eastAsia="en-US"/>
        </w:rPr>
        <w:footnoteReference w:id="8"/>
      </w:r>
      <w:r>
        <w:rPr>
          <w:szCs w:val="20"/>
          <w:lang w:eastAsia="en-US"/>
        </w:rPr>
        <w:t xml:space="preserve"> </w:t>
      </w:r>
      <w:r w:rsidR="0068222B">
        <w:rPr>
          <w:szCs w:val="20"/>
          <w:lang w:eastAsia="en-US"/>
        </w:rPr>
        <w:t xml:space="preserve">Victoria has similar laws in place and Western Australia is consulting stakeholders with a view to </w:t>
      </w:r>
      <w:r w:rsidR="00253E47">
        <w:rPr>
          <w:szCs w:val="20"/>
          <w:lang w:eastAsia="en-US"/>
        </w:rPr>
        <w:t xml:space="preserve">potentially </w:t>
      </w:r>
      <w:r w:rsidR="0068222B">
        <w:rPr>
          <w:szCs w:val="20"/>
          <w:lang w:eastAsia="en-US"/>
        </w:rPr>
        <w:t>aligning its laws with the model WHS laws.</w:t>
      </w:r>
    </w:p>
    <w:p w14:paraId="15868617" w14:textId="1061CDCA" w:rsidR="00DF229A" w:rsidRDefault="00DF229A" w:rsidP="00DD02E3">
      <w:pPr>
        <w:pStyle w:val="Indent1"/>
        <w:rPr>
          <w:szCs w:val="20"/>
          <w:lang w:eastAsia="en-US"/>
        </w:rPr>
      </w:pPr>
    </w:p>
    <w:p w14:paraId="13208B30" w14:textId="77777777" w:rsidR="00DF229A" w:rsidRDefault="00DF229A" w:rsidP="00DD02E3">
      <w:pPr>
        <w:pStyle w:val="Indent1"/>
        <w:rPr>
          <w:szCs w:val="20"/>
          <w:lang w:eastAsia="en-US"/>
        </w:rPr>
      </w:pPr>
    </w:p>
    <w:p w14:paraId="77BD61DC" w14:textId="4A67960A" w:rsidR="0068222B" w:rsidRPr="00EA3D9E" w:rsidRDefault="008B645B" w:rsidP="00253E47">
      <w:pPr>
        <w:pStyle w:val="Heading2"/>
        <w:rPr>
          <w:lang w:eastAsia="en-AU"/>
        </w:rPr>
      </w:pPr>
      <w:r>
        <w:rPr>
          <w:lang w:eastAsia="en-AU"/>
        </w:rPr>
        <w:lastRenderedPageBreak/>
        <w:t>3.4</w:t>
      </w:r>
      <w:r>
        <w:rPr>
          <w:lang w:eastAsia="en-AU"/>
        </w:rPr>
        <w:tab/>
      </w:r>
      <w:r w:rsidR="0068222B" w:rsidRPr="00EA3D9E">
        <w:rPr>
          <w:lang w:eastAsia="en-AU"/>
        </w:rPr>
        <w:t xml:space="preserve">WHS </w:t>
      </w:r>
      <w:r w:rsidR="00BF4DA6">
        <w:rPr>
          <w:lang w:eastAsia="en-AU"/>
        </w:rPr>
        <w:t xml:space="preserve">regulatory </w:t>
      </w:r>
      <w:r w:rsidR="0068222B" w:rsidRPr="00EA3D9E">
        <w:rPr>
          <w:lang w:eastAsia="en-AU"/>
        </w:rPr>
        <w:t>framework</w:t>
      </w:r>
      <w:r w:rsidR="0068222B">
        <w:rPr>
          <w:lang w:eastAsia="en-AU"/>
        </w:rPr>
        <w:t xml:space="preserve"> </w:t>
      </w:r>
    </w:p>
    <w:p w14:paraId="3E2B294D" w14:textId="6EF48AD8" w:rsidR="0068222B" w:rsidRDefault="00BF4DA6" w:rsidP="00253E47">
      <w:pPr>
        <w:ind w:left="720"/>
        <w:rPr>
          <w:noProof/>
        </w:rPr>
      </w:pPr>
      <w:r>
        <w:rPr>
          <w:noProof/>
        </w:rPr>
        <w:t>The WHS r</w:t>
      </w:r>
      <w:r w:rsidR="0068222B">
        <w:rPr>
          <w:noProof/>
        </w:rPr>
        <w:t xml:space="preserve">egulatory </w:t>
      </w:r>
      <w:r>
        <w:rPr>
          <w:noProof/>
        </w:rPr>
        <w:t>f</w:t>
      </w:r>
      <w:r w:rsidR="0068222B">
        <w:rPr>
          <w:noProof/>
        </w:rPr>
        <w:t>ramework includes:</w:t>
      </w:r>
    </w:p>
    <w:p w14:paraId="18DC5481" w14:textId="7A457E63" w:rsidR="0068222B" w:rsidRPr="00C92BD0" w:rsidRDefault="0068222B" w:rsidP="00C92BD0">
      <w:pPr>
        <w:pStyle w:val="Indent1"/>
      </w:pPr>
      <w:r>
        <w:t xml:space="preserve">A </w:t>
      </w:r>
      <w:r w:rsidRPr="00802084">
        <w:t>principal</w:t>
      </w:r>
      <w:r w:rsidRPr="00BF4DA6">
        <w:rPr>
          <w:b/>
        </w:rPr>
        <w:t xml:space="preserve"> WHS Act</w:t>
      </w:r>
      <w:r>
        <w:t xml:space="preserve"> </w:t>
      </w:r>
      <w:r w:rsidR="001E0E45">
        <w:t xml:space="preserve">that </w:t>
      </w:r>
      <w:r w:rsidRPr="00C92BD0">
        <w:t>provides the overarching framework of WHS duties and rights at work. The princ</w:t>
      </w:r>
      <w:r w:rsidR="001E0E45">
        <w:t>ipal</w:t>
      </w:r>
      <w:r w:rsidR="00D006BF">
        <w:t xml:space="preserve"> Act is supported by WHS R</w:t>
      </w:r>
      <w:r w:rsidRPr="00C92BD0">
        <w:t>egulations and codes of practice made under the Act as well as guidance</w:t>
      </w:r>
      <w:r w:rsidR="00984424">
        <w:t xml:space="preserve"> material</w:t>
      </w:r>
      <w:r w:rsidRPr="00C92BD0">
        <w:t>.</w:t>
      </w:r>
    </w:p>
    <w:p w14:paraId="57A2910F" w14:textId="77777777" w:rsidR="0068222B" w:rsidRPr="00C92BD0" w:rsidRDefault="0068222B" w:rsidP="00C92BD0">
      <w:pPr>
        <w:pStyle w:val="Indent1"/>
      </w:pPr>
      <w:r w:rsidRPr="00C92BD0">
        <w:rPr>
          <w:b/>
        </w:rPr>
        <w:t>WHS Regulations</w:t>
      </w:r>
      <w:r w:rsidRPr="00C92BD0">
        <w:t xml:space="preserve"> set out detailed requirements to support the general duties in the Act and other procedural or administrative requirements. WHS Regulations identify practical steps and processes that must be applied to specific work activities and hazards to achieve a health and safety standard. </w:t>
      </w:r>
    </w:p>
    <w:p w14:paraId="12A3CF22" w14:textId="2DB2E516" w:rsidR="0068222B" w:rsidRPr="00C92BD0" w:rsidRDefault="0068222B" w:rsidP="00C92BD0">
      <w:pPr>
        <w:pStyle w:val="Indent1"/>
      </w:pPr>
      <w:r w:rsidRPr="00C92BD0">
        <w:rPr>
          <w:b/>
        </w:rPr>
        <w:t>Codes of Practice</w:t>
      </w:r>
      <w:r w:rsidRPr="00C92BD0">
        <w:t xml:space="preserve"> are developed to assist duty holders </w:t>
      </w:r>
      <w:r w:rsidR="009B6306">
        <w:t xml:space="preserve">to </w:t>
      </w:r>
      <w:r w:rsidRPr="00C92BD0">
        <w:t>comply with the WHS regulatory framework. They provide further</w:t>
      </w:r>
      <w:r w:rsidR="00D006BF">
        <w:t xml:space="preserve"> practical guidance to achieve</w:t>
      </w:r>
      <w:r w:rsidRPr="00C92BD0">
        <w:t xml:space="preserve"> the standards of health and safety required under the WHS Act and Regulations. </w:t>
      </w:r>
    </w:p>
    <w:p w14:paraId="314E074C" w14:textId="78ED2365" w:rsidR="0068222B" w:rsidRPr="00C92BD0" w:rsidRDefault="0068222B" w:rsidP="00C92BD0">
      <w:pPr>
        <w:pStyle w:val="Indent1"/>
      </w:pPr>
      <w:r w:rsidRPr="00C92BD0">
        <w:t xml:space="preserve">The Codes of Practice set out specific requirements to </w:t>
      </w:r>
      <w:r w:rsidR="009B6306">
        <w:t xml:space="preserve">help </w:t>
      </w:r>
      <w:r w:rsidRPr="00C92BD0">
        <w:t xml:space="preserve">eliminate or minimise risks to health and safety from certain risks. </w:t>
      </w:r>
    </w:p>
    <w:p w14:paraId="197AAE14" w14:textId="77777777" w:rsidR="0068222B" w:rsidRPr="00C92BD0" w:rsidRDefault="0068222B" w:rsidP="00C92BD0">
      <w:pPr>
        <w:pStyle w:val="Indent1"/>
      </w:pPr>
      <w:r w:rsidRPr="00C92BD0">
        <w:t xml:space="preserve">Additional </w:t>
      </w:r>
      <w:r w:rsidRPr="00C92BD0">
        <w:rPr>
          <w:b/>
        </w:rPr>
        <w:t>guidance material</w:t>
      </w:r>
      <w:r w:rsidRPr="00C92BD0">
        <w:t xml:space="preserve"> is also developed to provide further information and examples on how duty holders may discharge their obligations under the WHS regulatory framework. </w:t>
      </w:r>
    </w:p>
    <w:p w14:paraId="384B10C0" w14:textId="5DEE1FB3" w:rsidR="00E45EC6" w:rsidRPr="00AF4DB3" w:rsidRDefault="008B645B" w:rsidP="00E45EC6">
      <w:pPr>
        <w:pStyle w:val="Heading2"/>
        <w:rPr>
          <w:lang w:eastAsia="en-US"/>
        </w:rPr>
      </w:pPr>
      <w:r>
        <w:rPr>
          <w:lang w:eastAsia="en-US"/>
        </w:rPr>
        <w:t>3.5</w:t>
      </w:r>
      <w:r>
        <w:rPr>
          <w:lang w:eastAsia="en-US"/>
        </w:rPr>
        <w:tab/>
      </w:r>
      <w:r w:rsidR="00A63716">
        <w:rPr>
          <w:lang w:eastAsia="en-US"/>
        </w:rPr>
        <w:t>Accreditation by the</w:t>
      </w:r>
      <w:r w:rsidR="00E45EC6">
        <w:rPr>
          <w:lang w:eastAsia="en-US"/>
        </w:rPr>
        <w:t xml:space="preserve"> </w:t>
      </w:r>
      <w:r w:rsidR="00E45EC6" w:rsidRPr="00AF4DB3">
        <w:rPr>
          <w:lang w:eastAsia="en-US"/>
        </w:rPr>
        <w:t>F</w:t>
      </w:r>
      <w:r w:rsidR="00D006BF">
        <w:rPr>
          <w:lang w:eastAsia="en-US"/>
        </w:rPr>
        <w:t>SC</w:t>
      </w:r>
    </w:p>
    <w:p w14:paraId="32CE6B3F" w14:textId="02962195" w:rsidR="00CF2C25" w:rsidRDefault="00CF2C25" w:rsidP="003228DC">
      <w:pPr>
        <w:pStyle w:val="Indent1"/>
        <w:rPr>
          <w:lang w:eastAsia="en-US"/>
        </w:rPr>
      </w:pPr>
      <w:r w:rsidRPr="00D7771B">
        <w:rPr>
          <w:lang w:eastAsia="en-US"/>
        </w:rPr>
        <w:t xml:space="preserve">In addition to </w:t>
      </w:r>
      <w:r w:rsidR="007610D5">
        <w:rPr>
          <w:lang w:eastAsia="en-US"/>
        </w:rPr>
        <w:t>obligations imposed by WHS laws</w:t>
      </w:r>
      <w:r w:rsidRPr="00D7771B">
        <w:rPr>
          <w:lang w:eastAsia="en-US"/>
        </w:rPr>
        <w:t>, some</w:t>
      </w:r>
      <w:r>
        <w:rPr>
          <w:lang w:eastAsia="en-US"/>
        </w:rPr>
        <w:t xml:space="preserve"> organisations in the building and </w:t>
      </w:r>
      <w:r>
        <w:t>construction</w:t>
      </w:r>
      <w:r w:rsidRPr="00D7771B">
        <w:rPr>
          <w:lang w:eastAsia="en-US"/>
        </w:rPr>
        <w:t xml:space="preserve"> industry are also accredited </w:t>
      </w:r>
      <w:r w:rsidR="007610D5">
        <w:rPr>
          <w:lang w:eastAsia="en-US"/>
        </w:rPr>
        <w:t>und</w:t>
      </w:r>
      <w:r w:rsidR="00D006BF">
        <w:rPr>
          <w:lang w:eastAsia="en-US"/>
        </w:rPr>
        <w:t>er the WHS Accreditation Scheme</w:t>
      </w:r>
      <w:r w:rsidR="00984424">
        <w:rPr>
          <w:lang w:eastAsia="en-US"/>
        </w:rPr>
        <w:t xml:space="preserve"> for </w:t>
      </w:r>
      <w:r w:rsidR="00462C65">
        <w:rPr>
          <w:lang w:eastAsia="en-US"/>
        </w:rPr>
        <w:t xml:space="preserve">Australian Government funded </w:t>
      </w:r>
      <w:r w:rsidR="00984424">
        <w:rPr>
          <w:lang w:eastAsia="en-US"/>
        </w:rPr>
        <w:t xml:space="preserve">building work (the </w:t>
      </w:r>
      <w:r w:rsidR="00984424" w:rsidRPr="00DF229A">
        <w:rPr>
          <w:b/>
          <w:lang w:eastAsia="en-US"/>
        </w:rPr>
        <w:t>WHS Accreditation Scheme</w:t>
      </w:r>
      <w:r w:rsidR="00984424">
        <w:rPr>
          <w:lang w:eastAsia="en-US"/>
        </w:rPr>
        <w:t>)</w:t>
      </w:r>
      <w:r w:rsidR="00D006BF">
        <w:rPr>
          <w:lang w:eastAsia="en-US"/>
        </w:rPr>
        <w:t>.</w:t>
      </w:r>
    </w:p>
    <w:p w14:paraId="33F5187E" w14:textId="7D3CC53D" w:rsidR="00A63716" w:rsidRDefault="002534FA" w:rsidP="00E45EC6">
      <w:pPr>
        <w:pStyle w:val="Indent1"/>
        <w:rPr>
          <w:lang w:eastAsia="en-US"/>
        </w:rPr>
      </w:pPr>
      <w:r>
        <w:rPr>
          <w:lang w:eastAsia="en-US"/>
        </w:rPr>
        <w:t xml:space="preserve">Established in 2005, </w:t>
      </w:r>
      <w:r w:rsidR="00D006BF">
        <w:rPr>
          <w:lang w:eastAsia="en-US"/>
        </w:rPr>
        <w:t>the FSC</w:t>
      </w:r>
      <w:r w:rsidR="00C87FB8">
        <w:rPr>
          <w:lang w:eastAsia="en-US"/>
        </w:rPr>
        <w:t xml:space="preserve"> </w:t>
      </w:r>
      <w:r w:rsidR="00E45EC6" w:rsidRPr="00FA0CF1">
        <w:rPr>
          <w:lang w:eastAsia="en-US"/>
        </w:rPr>
        <w:t xml:space="preserve">works with industry and government stakeholders towards achieving the highest possible </w:t>
      </w:r>
      <w:r w:rsidR="00015FA3">
        <w:rPr>
          <w:lang w:eastAsia="en-US"/>
        </w:rPr>
        <w:t xml:space="preserve">WHS </w:t>
      </w:r>
      <w:r w:rsidR="00E45EC6" w:rsidRPr="00FA0CF1">
        <w:rPr>
          <w:lang w:eastAsia="en-US"/>
        </w:rPr>
        <w:t xml:space="preserve">standards on Australian </w:t>
      </w:r>
      <w:r w:rsidR="00462C65">
        <w:rPr>
          <w:lang w:eastAsia="en-US"/>
        </w:rPr>
        <w:t xml:space="preserve">Government </w:t>
      </w:r>
      <w:r w:rsidR="00E45EC6" w:rsidRPr="00FA0CF1">
        <w:rPr>
          <w:lang w:eastAsia="en-US"/>
        </w:rPr>
        <w:t>building and construction projects</w:t>
      </w:r>
      <w:r w:rsidR="00E45EC6">
        <w:rPr>
          <w:lang w:eastAsia="en-US"/>
        </w:rPr>
        <w:t xml:space="preserve">. </w:t>
      </w:r>
    </w:p>
    <w:p w14:paraId="084E4D9A" w14:textId="34339946" w:rsidR="00E45EC6" w:rsidRPr="00504B56" w:rsidRDefault="00E45EC6" w:rsidP="00E45EC6">
      <w:pPr>
        <w:pStyle w:val="BodySingle0"/>
        <w:rPr>
          <w:i/>
        </w:rPr>
      </w:pPr>
      <w:r w:rsidRPr="00504B56">
        <w:t xml:space="preserve">The key functions of the </w:t>
      </w:r>
      <w:r w:rsidR="00E107D9">
        <w:t>FSC</w:t>
      </w:r>
      <w:r w:rsidRPr="00504B56">
        <w:t xml:space="preserve"> include:</w:t>
      </w:r>
    </w:p>
    <w:p w14:paraId="3F03B6AE" w14:textId="77777777" w:rsidR="00E45EC6" w:rsidRDefault="0054525F" w:rsidP="0054525F">
      <w:pPr>
        <w:pStyle w:val="Bullet"/>
      </w:pPr>
      <w:r>
        <w:t>P</w:t>
      </w:r>
      <w:r w:rsidR="00E45EC6">
        <w:t>romoting sustainable WHS cultural change in the bui</w:t>
      </w:r>
      <w:r>
        <w:t>lding and construction industry.</w:t>
      </w:r>
    </w:p>
    <w:p w14:paraId="0C8411B9" w14:textId="77777777" w:rsidR="00E45EC6" w:rsidRDefault="0054525F" w:rsidP="0054525F">
      <w:pPr>
        <w:pStyle w:val="Bullet"/>
      </w:pPr>
      <w:r>
        <w:t>D</w:t>
      </w:r>
      <w:r w:rsidR="00E45EC6">
        <w:t xml:space="preserve">eveloping and administering the </w:t>
      </w:r>
      <w:r w:rsidR="00A4719B">
        <w:t>WHS</w:t>
      </w:r>
      <w:r>
        <w:t xml:space="preserve"> Accreditation Scheme. </w:t>
      </w:r>
    </w:p>
    <w:p w14:paraId="41A897E2" w14:textId="77777777" w:rsidR="00E45EC6" w:rsidRDefault="0054525F" w:rsidP="0054525F">
      <w:pPr>
        <w:pStyle w:val="Bullet"/>
      </w:pPr>
      <w:r>
        <w:t>I</w:t>
      </w:r>
      <w:r w:rsidR="00E45EC6">
        <w:t>dentifying and progressing initiatives to improve WHS performance.</w:t>
      </w:r>
    </w:p>
    <w:p w14:paraId="671DDE95" w14:textId="1F67B7B0" w:rsidR="00C451EC" w:rsidRPr="001E0E45" w:rsidRDefault="00B81738" w:rsidP="00C451EC">
      <w:pPr>
        <w:pStyle w:val="Indent1"/>
        <w:rPr>
          <w:lang w:eastAsia="en-US"/>
        </w:rPr>
      </w:pPr>
      <w:r w:rsidRPr="001E0E45">
        <w:rPr>
          <w:lang w:eastAsia="en-US"/>
        </w:rPr>
        <w:t>The WHS Accreditation</w:t>
      </w:r>
      <w:r w:rsidR="00C451EC" w:rsidRPr="001E0E45">
        <w:rPr>
          <w:lang w:eastAsia="en-US"/>
        </w:rPr>
        <w:t xml:space="preserve"> Scheme </w:t>
      </w:r>
      <w:r w:rsidR="0054525F" w:rsidRPr="001E0E45">
        <w:rPr>
          <w:lang w:eastAsia="en-US"/>
        </w:rPr>
        <w:t>focus</w:t>
      </w:r>
      <w:r w:rsidR="009B6306">
        <w:rPr>
          <w:lang w:eastAsia="en-US"/>
        </w:rPr>
        <w:t>es</w:t>
      </w:r>
      <w:r w:rsidR="0054525F" w:rsidRPr="001E0E45">
        <w:rPr>
          <w:lang w:eastAsia="en-US"/>
        </w:rPr>
        <w:t xml:space="preserve"> on</w:t>
      </w:r>
      <w:r w:rsidR="00C451EC" w:rsidRPr="001E0E45">
        <w:rPr>
          <w:lang w:eastAsia="en-US"/>
        </w:rPr>
        <w:t xml:space="preserve"> safety processes and implementat</w:t>
      </w:r>
      <w:r w:rsidR="00004EBB" w:rsidRPr="001E0E45">
        <w:rPr>
          <w:lang w:eastAsia="en-US"/>
        </w:rPr>
        <w:t>ion to improve safety outcomes</w:t>
      </w:r>
      <w:r w:rsidR="00C451EC" w:rsidRPr="001E0E45">
        <w:rPr>
          <w:lang w:eastAsia="en-US"/>
        </w:rPr>
        <w:t xml:space="preserve">. The </w:t>
      </w:r>
      <w:r w:rsidR="00BA3E5D">
        <w:rPr>
          <w:lang w:eastAsia="en-US"/>
        </w:rPr>
        <w:t xml:space="preserve">WHS Accreditation Scheme is based on </w:t>
      </w:r>
      <w:r w:rsidR="00D006BF">
        <w:rPr>
          <w:lang w:eastAsia="en-US"/>
        </w:rPr>
        <w:t>over 100 criteria to which</w:t>
      </w:r>
      <w:r w:rsidR="00C451EC" w:rsidRPr="001E0E45">
        <w:rPr>
          <w:lang w:eastAsia="en-US"/>
        </w:rPr>
        <w:t xml:space="preserve"> accredit</w:t>
      </w:r>
      <w:r w:rsidR="00D006BF">
        <w:rPr>
          <w:lang w:eastAsia="en-US"/>
        </w:rPr>
        <w:t>ed companies must adhere</w:t>
      </w:r>
      <w:r w:rsidR="00C451EC" w:rsidRPr="001E0E45">
        <w:rPr>
          <w:lang w:eastAsia="en-US"/>
        </w:rPr>
        <w:t xml:space="preserve">. The </w:t>
      </w:r>
      <w:r w:rsidR="00A4719B" w:rsidRPr="001E0E45">
        <w:rPr>
          <w:lang w:eastAsia="en-US"/>
        </w:rPr>
        <w:t xml:space="preserve">WHS Accreditation </w:t>
      </w:r>
      <w:r w:rsidR="00C451EC" w:rsidRPr="001E0E45">
        <w:rPr>
          <w:lang w:eastAsia="en-US"/>
        </w:rPr>
        <w:t xml:space="preserve">Scheme criteria </w:t>
      </w:r>
      <w:r w:rsidR="009B6306">
        <w:rPr>
          <w:lang w:eastAsia="en-US"/>
        </w:rPr>
        <w:t>sets out</w:t>
      </w:r>
      <w:r w:rsidR="001E0E45">
        <w:rPr>
          <w:lang w:eastAsia="en-US"/>
        </w:rPr>
        <w:t xml:space="preserve"> </w:t>
      </w:r>
      <w:r w:rsidR="00BA3E5D">
        <w:rPr>
          <w:lang w:eastAsia="en-US"/>
        </w:rPr>
        <w:t xml:space="preserve">system and implementation outcomes </w:t>
      </w:r>
      <w:r w:rsidR="009B6306">
        <w:rPr>
          <w:lang w:eastAsia="en-US"/>
        </w:rPr>
        <w:t xml:space="preserve">that </w:t>
      </w:r>
      <w:r w:rsidR="00BA3E5D">
        <w:rPr>
          <w:lang w:eastAsia="en-US"/>
        </w:rPr>
        <w:t>must be met to maintain accreditation, but do</w:t>
      </w:r>
      <w:r w:rsidR="009B6306">
        <w:rPr>
          <w:lang w:eastAsia="en-US"/>
        </w:rPr>
        <w:t>es</w:t>
      </w:r>
      <w:r w:rsidR="00BA3E5D">
        <w:rPr>
          <w:lang w:eastAsia="en-US"/>
        </w:rPr>
        <w:t xml:space="preserve"> not prescribe the method by which companies </w:t>
      </w:r>
      <w:r w:rsidR="00462C65">
        <w:rPr>
          <w:lang w:eastAsia="en-US"/>
        </w:rPr>
        <w:t xml:space="preserve">must </w:t>
      </w:r>
      <w:r w:rsidR="00BA3E5D">
        <w:rPr>
          <w:lang w:eastAsia="en-US"/>
        </w:rPr>
        <w:t>achieve th</w:t>
      </w:r>
      <w:r w:rsidR="00462C65">
        <w:rPr>
          <w:lang w:eastAsia="en-US"/>
        </w:rPr>
        <w:t>o</w:t>
      </w:r>
      <w:r w:rsidR="00BA3E5D">
        <w:rPr>
          <w:lang w:eastAsia="en-US"/>
        </w:rPr>
        <w:t>se outcomes</w:t>
      </w:r>
      <w:r w:rsidR="00C451EC" w:rsidRPr="001E0E45">
        <w:rPr>
          <w:lang w:eastAsia="en-US"/>
        </w:rPr>
        <w:t xml:space="preserve">. This is designed to give all companies scope to achieve </w:t>
      </w:r>
      <w:r w:rsidR="00A4719B" w:rsidRPr="001E0E45">
        <w:rPr>
          <w:lang w:eastAsia="en-US"/>
        </w:rPr>
        <w:t xml:space="preserve">the WHS Accreditation </w:t>
      </w:r>
      <w:r w:rsidR="00C451EC" w:rsidRPr="001E0E45">
        <w:rPr>
          <w:lang w:eastAsia="en-US"/>
        </w:rPr>
        <w:t>Scheme criteria compliance in a manner that fit</w:t>
      </w:r>
      <w:r w:rsidR="009B6306">
        <w:rPr>
          <w:lang w:eastAsia="en-US"/>
        </w:rPr>
        <w:t>s</w:t>
      </w:r>
      <w:r w:rsidR="00C451EC" w:rsidRPr="001E0E45">
        <w:rPr>
          <w:lang w:eastAsia="en-US"/>
        </w:rPr>
        <w:t xml:space="preserve"> </w:t>
      </w:r>
      <w:r w:rsidR="00004EBB" w:rsidRPr="001E0E45">
        <w:rPr>
          <w:lang w:eastAsia="en-US"/>
        </w:rPr>
        <w:t xml:space="preserve">their business. </w:t>
      </w:r>
    </w:p>
    <w:p w14:paraId="7CA7E61D" w14:textId="68FE9E98" w:rsidR="00C92BD0" w:rsidRPr="00C92BD0" w:rsidRDefault="009B6306" w:rsidP="00C92BD0">
      <w:pPr>
        <w:pStyle w:val="Heading3"/>
        <w:numPr>
          <w:ilvl w:val="0"/>
          <w:numId w:val="0"/>
        </w:numPr>
        <w:ind w:left="720"/>
        <w:rPr>
          <w:lang w:eastAsia="en-US"/>
        </w:rPr>
      </w:pPr>
      <w:r>
        <w:rPr>
          <w:lang w:eastAsia="en-US"/>
        </w:rPr>
        <w:t>A review of t</w:t>
      </w:r>
      <w:r w:rsidR="00C451EC" w:rsidRPr="001E0E45">
        <w:rPr>
          <w:lang w:eastAsia="en-US"/>
        </w:rPr>
        <w:t xml:space="preserve">he </w:t>
      </w:r>
      <w:r w:rsidR="00BA3E5D">
        <w:rPr>
          <w:lang w:eastAsia="en-US"/>
        </w:rPr>
        <w:t xml:space="preserve">WHS Accreditation Scheme in 2014 </w:t>
      </w:r>
      <w:r>
        <w:rPr>
          <w:lang w:eastAsia="en-US"/>
        </w:rPr>
        <w:t xml:space="preserve">considered </w:t>
      </w:r>
      <w:r w:rsidR="00BA3E5D">
        <w:rPr>
          <w:lang w:eastAsia="en-US"/>
        </w:rPr>
        <w:t>opportunities to streamline and modernise</w:t>
      </w:r>
      <w:r>
        <w:rPr>
          <w:lang w:eastAsia="en-US"/>
        </w:rPr>
        <w:t xml:space="preserve"> the scheme</w:t>
      </w:r>
      <w:r w:rsidR="00D006BF">
        <w:rPr>
          <w:lang w:eastAsia="en-US"/>
        </w:rPr>
        <w:t>. One of the r</w:t>
      </w:r>
      <w:r w:rsidR="00BA3E5D">
        <w:rPr>
          <w:lang w:eastAsia="en-US"/>
        </w:rPr>
        <w:t xml:space="preserve">eview outcomes was the introduction of </w:t>
      </w:r>
      <w:r w:rsidR="00C451EC" w:rsidRPr="001E0E45">
        <w:rPr>
          <w:lang w:eastAsia="en-US"/>
        </w:rPr>
        <w:t>a risk</w:t>
      </w:r>
      <w:r w:rsidR="00462C65">
        <w:rPr>
          <w:lang w:eastAsia="en-US"/>
        </w:rPr>
        <w:t>-</w:t>
      </w:r>
      <w:r w:rsidR="00C451EC" w:rsidRPr="001E0E45">
        <w:rPr>
          <w:lang w:eastAsia="en-US"/>
        </w:rPr>
        <w:t xml:space="preserve">based approach to monitoring and enforcing compliance with the </w:t>
      </w:r>
      <w:r w:rsidR="00E74E4A" w:rsidRPr="001E0E45">
        <w:rPr>
          <w:lang w:eastAsia="en-US"/>
        </w:rPr>
        <w:t xml:space="preserve">WHS Accreditation </w:t>
      </w:r>
      <w:r w:rsidR="00C451EC" w:rsidRPr="001E0E45">
        <w:rPr>
          <w:lang w:eastAsia="en-US"/>
        </w:rPr>
        <w:t>Scheme requirements, meaning those companies with a strong track record of compliance are subject to les</w:t>
      </w:r>
      <w:r w:rsidR="004B0E9E">
        <w:rPr>
          <w:lang w:eastAsia="en-US"/>
        </w:rPr>
        <w:t xml:space="preserve">s </w:t>
      </w:r>
      <w:r w:rsidR="00C451EC" w:rsidRPr="001E0E45">
        <w:rPr>
          <w:lang w:eastAsia="en-US"/>
        </w:rPr>
        <w:t>FSC intervention than those with a poor compliance history</w:t>
      </w:r>
      <w:r w:rsidR="00C451EC" w:rsidRPr="00BA3E5D">
        <w:rPr>
          <w:lang w:eastAsia="en-US"/>
        </w:rPr>
        <w:t>.</w:t>
      </w:r>
      <w:r w:rsidR="00C451EC">
        <w:rPr>
          <w:lang w:eastAsia="en-US"/>
        </w:rPr>
        <w:t xml:space="preserve">  </w:t>
      </w:r>
    </w:p>
    <w:p w14:paraId="194C8AFC" w14:textId="5774EA75" w:rsidR="00E45EC6" w:rsidRPr="003228DC" w:rsidRDefault="00E45EC6" w:rsidP="00C92BD0">
      <w:pPr>
        <w:pStyle w:val="Caption"/>
        <w:keepNext/>
        <w:ind w:left="720"/>
        <w:rPr>
          <w:rStyle w:val="IntenseEmphasis"/>
        </w:rPr>
      </w:pPr>
      <w:r w:rsidRPr="003228DC">
        <w:rPr>
          <w:rStyle w:val="IntenseEmphasis"/>
        </w:rPr>
        <w:lastRenderedPageBreak/>
        <w:t>How many businesses are currently accredited?</w:t>
      </w:r>
    </w:p>
    <w:p w14:paraId="287CAFA7" w14:textId="2BBB0C4A" w:rsidR="00C451EC" w:rsidRDefault="00C451EC" w:rsidP="00C92BD0">
      <w:pPr>
        <w:pStyle w:val="Indent1"/>
        <w:keepNext/>
        <w:rPr>
          <w:lang w:eastAsia="en-US"/>
        </w:rPr>
      </w:pPr>
      <w:r>
        <w:rPr>
          <w:lang w:eastAsia="en-US"/>
        </w:rPr>
        <w:t>As at 31 January 2018, 443 co</w:t>
      </w:r>
      <w:r w:rsidR="004B0E9E">
        <w:rPr>
          <w:lang w:eastAsia="en-US"/>
        </w:rPr>
        <w:t xml:space="preserve">mpanies were accredited by the </w:t>
      </w:r>
      <w:r>
        <w:rPr>
          <w:lang w:eastAsia="en-US"/>
        </w:rPr>
        <w:t>FSC.</w:t>
      </w:r>
      <w:r>
        <w:rPr>
          <w:rStyle w:val="FootnoteReference"/>
          <w:lang w:eastAsia="en-US"/>
        </w:rPr>
        <w:footnoteReference w:id="9"/>
      </w:r>
    </w:p>
    <w:p w14:paraId="526B65CB" w14:textId="48F9C0D1" w:rsidR="00C451EC" w:rsidRPr="00D7771B" w:rsidRDefault="00C451EC" w:rsidP="00C451EC">
      <w:pPr>
        <w:pStyle w:val="Indent1"/>
        <w:rPr>
          <w:lang w:eastAsia="en-US"/>
        </w:rPr>
      </w:pPr>
      <w:r w:rsidRPr="00D7771B">
        <w:rPr>
          <w:lang w:eastAsia="en-US"/>
        </w:rPr>
        <w:t>Since the FSC was established, it has been notified of 1,</w:t>
      </w:r>
      <w:r>
        <w:rPr>
          <w:lang w:eastAsia="en-US"/>
        </w:rPr>
        <w:t>712</w:t>
      </w:r>
      <w:r w:rsidRPr="00D7771B">
        <w:rPr>
          <w:lang w:eastAsia="en-US"/>
        </w:rPr>
        <w:t xml:space="preserve"> directly and indirectly funded contracts for building work covered </w:t>
      </w:r>
      <w:r>
        <w:rPr>
          <w:lang w:eastAsia="en-US"/>
        </w:rPr>
        <w:t xml:space="preserve">by </w:t>
      </w:r>
      <w:r w:rsidRPr="00D7771B">
        <w:rPr>
          <w:lang w:eastAsia="en-US"/>
        </w:rPr>
        <w:t>the WHS Accreditation Scheme with a combined value of $</w:t>
      </w:r>
      <w:r>
        <w:rPr>
          <w:lang w:eastAsia="en-US"/>
        </w:rPr>
        <w:t>105</w:t>
      </w:r>
      <w:r w:rsidRPr="00D7771B">
        <w:rPr>
          <w:lang w:eastAsia="en-US"/>
        </w:rPr>
        <w:t>.3 billion.</w:t>
      </w:r>
      <w:r w:rsidRPr="00D7771B">
        <w:rPr>
          <w:rStyle w:val="FootnoteReference"/>
          <w:lang w:eastAsia="en-US"/>
        </w:rPr>
        <w:footnoteReference w:id="10"/>
      </w:r>
    </w:p>
    <w:p w14:paraId="7D2D0B90" w14:textId="79F9E672" w:rsidR="00E45EC6" w:rsidRDefault="00C451EC" w:rsidP="00CF2C25">
      <w:pPr>
        <w:pStyle w:val="Indent1"/>
        <w:rPr>
          <w:lang w:eastAsia="en-US"/>
        </w:rPr>
      </w:pPr>
      <w:r>
        <w:rPr>
          <w:lang w:eastAsia="en-US"/>
        </w:rPr>
        <w:t xml:space="preserve">In the </w:t>
      </w:r>
      <w:r w:rsidR="00851B1F">
        <w:rPr>
          <w:lang w:eastAsia="en-US"/>
        </w:rPr>
        <w:t xml:space="preserve">10-year </w:t>
      </w:r>
      <w:r>
        <w:rPr>
          <w:lang w:eastAsia="en-US"/>
        </w:rPr>
        <w:t xml:space="preserve">period </w:t>
      </w:r>
      <w:r w:rsidR="00DD7242">
        <w:rPr>
          <w:lang w:eastAsia="en-US"/>
        </w:rPr>
        <w:t>2007-</w:t>
      </w:r>
      <w:r w:rsidR="00004EBB">
        <w:rPr>
          <w:lang w:eastAsia="en-US"/>
        </w:rPr>
        <w:t>2016</w:t>
      </w:r>
      <w:r w:rsidR="009A4789">
        <w:rPr>
          <w:lang w:eastAsia="en-US"/>
        </w:rPr>
        <w:t>,</w:t>
      </w:r>
      <w:r w:rsidR="00004EBB">
        <w:rPr>
          <w:lang w:eastAsia="en-US"/>
        </w:rPr>
        <w:t xml:space="preserve"> </w:t>
      </w:r>
      <w:r w:rsidR="00BA3E5D">
        <w:rPr>
          <w:lang w:eastAsia="en-US"/>
        </w:rPr>
        <w:t xml:space="preserve">53 </w:t>
      </w:r>
      <w:r>
        <w:rPr>
          <w:lang w:eastAsia="en-US"/>
        </w:rPr>
        <w:t xml:space="preserve">fatalities </w:t>
      </w:r>
      <w:r w:rsidR="009A4789">
        <w:rPr>
          <w:lang w:eastAsia="en-US"/>
        </w:rPr>
        <w:t xml:space="preserve">were </w:t>
      </w:r>
      <w:r>
        <w:rPr>
          <w:lang w:eastAsia="en-US"/>
        </w:rPr>
        <w:t>reported by accredited companies</w:t>
      </w:r>
      <w:r w:rsidR="00DF2327">
        <w:rPr>
          <w:lang w:eastAsia="en-US"/>
        </w:rPr>
        <w:t xml:space="preserve"> across all mechanisms of injury</w:t>
      </w:r>
      <w:r w:rsidR="00A62D0A">
        <w:rPr>
          <w:lang w:eastAsia="en-US"/>
        </w:rPr>
        <w:t>,</w:t>
      </w:r>
      <w:r w:rsidR="00A62D0A" w:rsidRPr="00A62D0A">
        <w:rPr>
          <w:lang w:eastAsia="en-US"/>
        </w:rPr>
        <w:t xml:space="preserve"> </w:t>
      </w:r>
      <w:r w:rsidR="00A62D0A">
        <w:rPr>
          <w:lang w:eastAsia="en-US"/>
        </w:rPr>
        <w:t>29 of which were caused by the three main mechanisms of injury.</w:t>
      </w:r>
      <w:r>
        <w:rPr>
          <w:rStyle w:val="FootnoteReference"/>
          <w:lang w:eastAsia="en-US"/>
        </w:rPr>
        <w:footnoteReference w:id="11"/>
      </w:r>
      <w:r>
        <w:rPr>
          <w:lang w:eastAsia="en-US"/>
        </w:rPr>
        <w:t xml:space="preserve"> </w:t>
      </w:r>
      <w:r w:rsidR="00A62D0A">
        <w:rPr>
          <w:lang w:eastAsia="en-US"/>
        </w:rPr>
        <w:t xml:space="preserve">This represented </w:t>
      </w:r>
      <w:r>
        <w:rPr>
          <w:lang w:eastAsia="en-US"/>
        </w:rPr>
        <w:t>15</w:t>
      </w:r>
      <w:r w:rsidR="009A4789">
        <w:rPr>
          <w:lang w:eastAsia="en-US"/>
        </w:rPr>
        <w:t xml:space="preserve"> per cent</w:t>
      </w:r>
      <w:r>
        <w:rPr>
          <w:lang w:eastAsia="en-US"/>
        </w:rPr>
        <w:t xml:space="preserve"> of </w:t>
      </w:r>
      <w:r w:rsidR="004D0D4B">
        <w:rPr>
          <w:lang w:eastAsia="en-US"/>
        </w:rPr>
        <w:t xml:space="preserve">all </w:t>
      </w:r>
      <w:r>
        <w:rPr>
          <w:lang w:eastAsia="en-US"/>
        </w:rPr>
        <w:t>fatalities in the building and construction industry</w:t>
      </w:r>
      <w:r w:rsidR="00A62D0A">
        <w:rPr>
          <w:lang w:eastAsia="en-US"/>
        </w:rPr>
        <w:t xml:space="preserve"> and </w:t>
      </w:r>
      <w:r w:rsidR="00D006BF">
        <w:rPr>
          <w:lang w:eastAsia="en-US"/>
        </w:rPr>
        <w:t>12 per cent of total fatalities</w:t>
      </w:r>
      <w:r w:rsidR="00A62D0A">
        <w:rPr>
          <w:lang w:eastAsia="en-US"/>
        </w:rPr>
        <w:t xml:space="preserve"> caused by the three main mechanisms of injury</w:t>
      </w:r>
      <w:r w:rsidR="00D006BF">
        <w:rPr>
          <w:lang w:eastAsia="en-US"/>
        </w:rPr>
        <w:t xml:space="preserve">. </w:t>
      </w:r>
      <w:r w:rsidR="009A4789">
        <w:rPr>
          <w:lang w:eastAsia="en-US"/>
        </w:rPr>
        <w:t>A</w:t>
      </w:r>
      <w:r>
        <w:rPr>
          <w:lang w:eastAsia="en-US"/>
        </w:rPr>
        <w:t>ccredited companies account for approximately 40-50</w:t>
      </w:r>
      <w:r w:rsidR="009A4789">
        <w:rPr>
          <w:lang w:eastAsia="en-US"/>
        </w:rPr>
        <w:t xml:space="preserve"> per cent</w:t>
      </w:r>
      <w:r>
        <w:rPr>
          <w:lang w:eastAsia="en-US"/>
        </w:rPr>
        <w:t xml:space="preserve"> of the market turnover.</w:t>
      </w:r>
      <w:r w:rsidR="0031002B" w:rsidRPr="0031002B">
        <w:rPr>
          <w:lang w:eastAsia="en-US"/>
        </w:rPr>
        <w:t xml:space="preserve"> </w:t>
      </w:r>
    </w:p>
    <w:p w14:paraId="49D2B50C" w14:textId="77777777" w:rsidR="00D37797" w:rsidRPr="00D37797" w:rsidRDefault="00D37797" w:rsidP="00D37797">
      <w:pPr>
        <w:pStyle w:val="Indent1"/>
        <w:ind w:left="0"/>
        <w:rPr>
          <w:lang w:eastAsia="en-US"/>
        </w:rPr>
      </w:pPr>
    </w:p>
    <w:p w14:paraId="33785C43" w14:textId="77777777" w:rsidR="008023B4" w:rsidRPr="00C33B62" w:rsidRDefault="00564F70" w:rsidP="008023B4">
      <w:pPr>
        <w:pStyle w:val="Heading1"/>
        <w:jc w:val="left"/>
        <w:rPr>
          <w:sz w:val="48"/>
          <w:szCs w:val="48"/>
        </w:rPr>
      </w:pPr>
      <w:r>
        <w:br w:type="page"/>
      </w:r>
      <w:bookmarkStart w:id="14" w:name="_Toc506887836"/>
      <w:bookmarkStart w:id="15" w:name="_Toc509995545"/>
      <w:r w:rsidR="008023B4" w:rsidRPr="00C33B62">
        <w:rPr>
          <w:sz w:val="48"/>
          <w:szCs w:val="48"/>
        </w:rPr>
        <w:lastRenderedPageBreak/>
        <w:t>Questions</w:t>
      </w:r>
      <w:r w:rsidR="005B361E">
        <w:rPr>
          <w:sz w:val="48"/>
          <w:szCs w:val="48"/>
        </w:rPr>
        <w:t xml:space="preserve"> for </w:t>
      </w:r>
      <w:r w:rsidR="00EE6FE0">
        <w:rPr>
          <w:sz w:val="48"/>
          <w:szCs w:val="48"/>
        </w:rPr>
        <w:t>S</w:t>
      </w:r>
      <w:r w:rsidR="005B361E">
        <w:rPr>
          <w:sz w:val="48"/>
          <w:szCs w:val="48"/>
        </w:rPr>
        <w:t>takeholders</w:t>
      </w:r>
      <w:bookmarkEnd w:id="14"/>
      <w:bookmarkEnd w:id="15"/>
    </w:p>
    <w:p w14:paraId="2B783415" w14:textId="77777777" w:rsidR="00CF2C25" w:rsidRPr="003228DC" w:rsidRDefault="00CF2C25" w:rsidP="003228DC">
      <w:pPr>
        <w:pStyle w:val="Caption"/>
        <w:ind w:left="720"/>
        <w:rPr>
          <w:rStyle w:val="IntenseEmphasis"/>
        </w:rPr>
      </w:pPr>
      <w:r w:rsidRPr="003228DC">
        <w:rPr>
          <w:rStyle w:val="IntenseEmphasis"/>
        </w:rPr>
        <w:t xml:space="preserve">Who should provide feedback? </w:t>
      </w:r>
    </w:p>
    <w:p w14:paraId="3D72D6E1" w14:textId="78A3A0B8" w:rsidR="00CF2C25" w:rsidRDefault="00CF2C25" w:rsidP="003228DC">
      <w:pPr>
        <w:pStyle w:val="Indent1"/>
      </w:pPr>
      <w:r>
        <w:t xml:space="preserve">We are keen to hear from a </w:t>
      </w:r>
      <w:r w:rsidR="00E13C4D">
        <w:t xml:space="preserve">diverse </w:t>
      </w:r>
      <w:r>
        <w:t xml:space="preserve">range of stakeholders who will bring unique perspectives on the </w:t>
      </w:r>
      <w:r w:rsidRPr="003228DC">
        <w:rPr>
          <w:b/>
        </w:rPr>
        <w:t>effectiveness</w:t>
      </w:r>
      <w:r>
        <w:t xml:space="preserve"> (including the accessibility, user friendliness, utility and appropriateness for </w:t>
      </w:r>
      <w:r w:rsidR="00D006BF">
        <w:t xml:space="preserve">eliminating or minimising </w:t>
      </w:r>
      <w:r>
        <w:t xml:space="preserve">risks) of the WHS regulatory framework. </w:t>
      </w:r>
    </w:p>
    <w:p w14:paraId="79AA59FD" w14:textId="77777777" w:rsidR="002E31C0" w:rsidRDefault="002E31C0" w:rsidP="002E31C0">
      <w:pPr>
        <w:pStyle w:val="Indent1"/>
        <w:rPr>
          <w:szCs w:val="20"/>
          <w:lang w:eastAsia="en-US"/>
        </w:rPr>
      </w:pPr>
      <w:r>
        <w:rPr>
          <w:szCs w:val="20"/>
          <w:lang w:eastAsia="en-US"/>
        </w:rPr>
        <w:t>We would like your views on:</w:t>
      </w:r>
    </w:p>
    <w:p w14:paraId="174B4077" w14:textId="030AAB57" w:rsidR="002E31C0" w:rsidRDefault="002E31C0" w:rsidP="002E31C0">
      <w:pPr>
        <w:pStyle w:val="Bullet"/>
        <w:rPr>
          <w:lang w:eastAsia="en-US"/>
        </w:rPr>
      </w:pPr>
      <w:r>
        <w:rPr>
          <w:lang w:eastAsia="en-US"/>
        </w:rPr>
        <w:t xml:space="preserve">What is working and why </w:t>
      </w:r>
    </w:p>
    <w:p w14:paraId="3CF4CAF4" w14:textId="4B5BC8E6" w:rsidR="002E31C0" w:rsidRDefault="002E31C0" w:rsidP="002E31C0">
      <w:pPr>
        <w:pStyle w:val="Bullet"/>
        <w:rPr>
          <w:lang w:eastAsia="en-US"/>
        </w:rPr>
      </w:pPr>
      <w:r>
        <w:rPr>
          <w:lang w:eastAsia="en-US"/>
        </w:rPr>
        <w:t xml:space="preserve">What doesn’t work and why </w:t>
      </w:r>
    </w:p>
    <w:p w14:paraId="161AD58D" w14:textId="1B37046A" w:rsidR="002E31C0" w:rsidRDefault="002E31C0" w:rsidP="003228DC">
      <w:pPr>
        <w:pStyle w:val="Bullet"/>
      </w:pPr>
      <w:r>
        <w:rPr>
          <w:lang w:eastAsia="en-US"/>
        </w:rPr>
        <w:t>What we could do to make it work</w:t>
      </w:r>
    </w:p>
    <w:p w14:paraId="1E7F2CB6" w14:textId="77777777" w:rsidR="00CF2C25" w:rsidRPr="00B26B2D" w:rsidRDefault="00CF2C25" w:rsidP="00CF2C25">
      <w:pPr>
        <w:pStyle w:val="Caption"/>
        <w:ind w:left="720"/>
        <w:rPr>
          <w:rStyle w:val="IntenseEmphasis"/>
        </w:rPr>
      </w:pPr>
      <w:r w:rsidRPr="00B26B2D">
        <w:rPr>
          <w:rStyle w:val="IntenseEmphasis"/>
        </w:rPr>
        <w:t xml:space="preserve">What is effectiveness? </w:t>
      </w:r>
    </w:p>
    <w:p w14:paraId="0FE2F539" w14:textId="77777777" w:rsidR="00CF2C25" w:rsidRDefault="00CF2C25" w:rsidP="003228DC">
      <w:pPr>
        <w:pStyle w:val="Indent1"/>
      </w:pPr>
      <w:r>
        <w:t xml:space="preserve">‘Effectiveness’ is </w:t>
      </w:r>
      <w:r w:rsidRPr="006B667F">
        <w:t>the degree to which something is successful</w:t>
      </w:r>
      <w:r>
        <w:t xml:space="preserve"> in producing a desired result. </w:t>
      </w:r>
    </w:p>
    <w:p w14:paraId="10E63A8A" w14:textId="77777777" w:rsidR="003D19C8" w:rsidRDefault="002E31C0" w:rsidP="00CF2C25">
      <w:pPr>
        <w:pStyle w:val="Indent1"/>
      </w:pPr>
      <w:r>
        <w:t>In the context of the Review this includes consideration</w:t>
      </w:r>
      <w:r w:rsidR="00E13C4D">
        <w:t xml:space="preserve"> </w:t>
      </w:r>
      <w:r>
        <w:t xml:space="preserve">of </w:t>
      </w:r>
      <w:r w:rsidR="003D19C8">
        <w:t xml:space="preserve">a key objective of the WHS regulatory framework: the </w:t>
      </w:r>
      <w:r w:rsidR="00CF2C25" w:rsidRPr="00014BC1">
        <w:t>protecti</w:t>
      </w:r>
      <w:r>
        <w:t>on of</w:t>
      </w:r>
      <w:r w:rsidR="00CF2C25" w:rsidRPr="00014BC1">
        <w:t xml:space="preserve"> workers and other persons against harm to their health, safety and welfare through the elimination or minimisation of risks arising from work</w:t>
      </w:r>
      <w:r w:rsidR="00CF2C25">
        <w:t xml:space="preserve">. </w:t>
      </w:r>
    </w:p>
    <w:p w14:paraId="6B6087C3" w14:textId="77777777" w:rsidR="00420054" w:rsidRPr="00B26B2D" w:rsidRDefault="00420054" w:rsidP="00420054">
      <w:pPr>
        <w:pStyle w:val="Caption"/>
        <w:ind w:left="720"/>
        <w:rPr>
          <w:rStyle w:val="IntenseEmphasis"/>
        </w:rPr>
      </w:pPr>
      <w:r>
        <w:rPr>
          <w:rStyle w:val="IntenseEmphasis"/>
        </w:rPr>
        <w:t>Questions</w:t>
      </w:r>
    </w:p>
    <w:p w14:paraId="7145368D" w14:textId="41394443" w:rsidR="000D5EAC" w:rsidRDefault="00E13C4D" w:rsidP="003D19C8">
      <w:pPr>
        <w:pStyle w:val="Indent1"/>
      </w:pPr>
      <w:r>
        <w:t xml:space="preserve">You </w:t>
      </w:r>
      <w:r w:rsidR="00CF2C25">
        <w:t xml:space="preserve">are </w:t>
      </w:r>
      <w:r w:rsidR="00CF2C25">
        <w:rPr>
          <w:lang w:eastAsia="en-US"/>
        </w:rPr>
        <w:t>encouraged</w:t>
      </w:r>
      <w:r w:rsidR="00CF2C25">
        <w:t xml:space="preserve"> to provide </w:t>
      </w:r>
      <w:r w:rsidR="00CF2C25">
        <w:rPr>
          <w:lang w:eastAsia="en-US"/>
        </w:rPr>
        <w:t>feedback</w:t>
      </w:r>
      <w:r w:rsidR="00CF2C25">
        <w:t xml:space="preserve"> </w:t>
      </w:r>
      <w:r w:rsidR="00420054">
        <w:t>in response to</w:t>
      </w:r>
      <w:r w:rsidR="00CF2C25">
        <w:t xml:space="preserve"> </w:t>
      </w:r>
      <w:r w:rsidR="00AF7A02" w:rsidRPr="005B361E">
        <w:t>the following questions</w:t>
      </w:r>
      <w:r w:rsidR="000D5EAC">
        <w:t xml:space="preserve"> about the WHS Regulatory Framework relevant to</w:t>
      </w:r>
      <w:r w:rsidR="004D6B42">
        <w:t>:</w:t>
      </w:r>
    </w:p>
    <w:p w14:paraId="074AC306" w14:textId="2FBBE1B5" w:rsidR="004D6B42" w:rsidRDefault="004D6B42" w:rsidP="004D6B42">
      <w:pPr>
        <w:pStyle w:val="Bullet"/>
        <w:rPr>
          <w:lang w:eastAsia="en-US"/>
        </w:rPr>
      </w:pPr>
      <w:r>
        <w:rPr>
          <w:lang w:eastAsia="en-US"/>
        </w:rPr>
        <w:t>F</w:t>
      </w:r>
      <w:r w:rsidRPr="00662025">
        <w:rPr>
          <w:lang w:eastAsia="en-US"/>
        </w:rPr>
        <w:t>alls from heights and being hit by falli</w:t>
      </w:r>
      <w:r w:rsidR="00D006BF">
        <w:rPr>
          <w:lang w:eastAsia="en-US"/>
        </w:rPr>
        <w:t>ng objects;</w:t>
      </w:r>
    </w:p>
    <w:p w14:paraId="5A288423" w14:textId="017C7C18" w:rsidR="004D6B42" w:rsidRDefault="004D6B42" w:rsidP="004D6B42">
      <w:pPr>
        <w:pStyle w:val="Bullet"/>
        <w:rPr>
          <w:lang w:eastAsia="en-US"/>
        </w:rPr>
      </w:pPr>
      <w:r>
        <w:rPr>
          <w:lang w:eastAsia="en-US"/>
        </w:rPr>
        <w:t>V</w:t>
      </w:r>
      <w:r w:rsidRPr="00662025">
        <w:rPr>
          <w:lang w:eastAsia="en-US"/>
        </w:rPr>
        <w:t>ehic</w:t>
      </w:r>
      <w:r>
        <w:rPr>
          <w:lang w:eastAsia="en-US"/>
        </w:rPr>
        <w:t>le incidents</w:t>
      </w:r>
      <w:r w:rsidR="00D006BF">
        <w:rPr>
          <w:lang w:eastAsia="en-US"/>
        </w:rPr>
        <w:t>; and</w:t>
      </w:r>
      <w:r>
        <w:rPr>
          <w:lang w:eastAsia="en-US"/>
        </w:rPr>
        <w:t xml:space="preserve"> </w:t>
      </w:r>
    </w:p>
    <w:p w14:paraId="5F620D14" w14:textId="6E613BBE" w:rsidR="00F76A96" w:rsidRDefault="004D6B42" w:rsidP="003228DC">
      <w:pPr>
        <w:pStyle w:val="Bullet"/>
        <w:rPr>
          <w:lang w:eastAsia="en-US"/>
        </w:rPr>
      </w:pPr>
      <w:r>
        <w:rPr>
          <w:lang w:eastAsia="en-US"/>
        </w:rPr>
        <w:t>C</w:t>
      </w:r>
      <w:r w:rsidRPr="00662025">
        <w:rPr>
          <w:lang w:eastAsia="en-US"/>
        </w:rPr>
        <w:t>ontact with electri</w:t>
      </w:r>
      <w:r>
        <w:rPr>
          <w:lang w:eastAsia="en-US"/>
        </w:rPr>
        <w:t>city</w:t>
      </w:r>
      <w:r w:rsidR="00D006BF">
        <w:rPr>
          <w:lang w:eastAsia="en-US"/>
        </w:rPr>
        <w:t>.</w:t>
      </w:r>
      <w:r w:rsidRPr="00662025">
        <w:rPr>
          <w:lang w:eastAsia="en-US"/>
        </w:rPr>
        <w:t xml:space="preserve"> </w:t>
      </w:r>
    </w:p>
    <w:bookmarkEnd w:id="1"/>
    <w:p w14:paraId="3283A891" w14:textId="109D12A4" w:rsidR="002F4648" w:rsidRPr="001E0E45" w:rsidRDefault="00487826" w:rsidP="001E0E45">
      <w:pPr>
        <w:pStyle w:val="Indent1"/>
      </w:pPr>
      <w:r w:rsidRPr="001E0E45">
        <w:t>Please answer questions from your</w:t>
      </w:r>
      <w:r w:rsidR="00A3079B" w:rsidRPr="001E0E45">
        <w:t xml:space="preserve"> (or your organisation’s)</w:t>
      </w:r>
      <w:r w:rsidRPr="001E0E45">
        <w:t xml:space="preserve"> perspective, that is, as someone who owes a duty, is owed a duty or assists duty holders to discharge their duties:</w:t>
      </w:r>
    </w:p>
    <w:p w14:paraId="44F4239A" w14:textId="48E57561" w:rsidR="00A34A30" w:rsidRDefault="00F26273" w:rsidP="00E74A07">
      <w:pPr>
        <w:ind w:left="2127" w:hanging="1418"/>
        <w:rPr>
          <w:lang w:val="en-US"/>
        </w:rPr>
      </w:pPr>
      <w:r>
        <w:rPr>
          <w:lang w:val="en-US"/>
        </w:rPr>
        <w:t>Question 1</w:t>
      </w:r>
      <w:r>
        <w:rPr>
          <w:lang w:val="en-US"/>
        </w:rPr>
        <w:tab/>
        <w:t xml:space="preserve">Have you got any comments on </w:t>
      </w:r>
      <w:r w:rsidR="002F4648">
        <w:rPr>
          <w:lang w:val="en-US"/>
        </w:rPr>
        <w:t xml:space="preserve">whether </w:t>
      </w:r>
      <w:r>
        <w:rPr>
          <w:lang w:val="en-US"/>
        </w:rPr>
        <w:t xml:space="preserve">the </w:t>
      </w:r>
      <w:r w:rsidR="00521BCD">
        <w:rPr>
          <w:lang w:val="en-US"/>
        </w:rPr>
        <w:t>guidance in t</w:t>
      </w:r>
      <w:r>
        <w:rPr>
          <w:lang w:val="en-US"/>
        </w:rPr>
        <w:t xml:space="preserve">he WHS regulatory framework </w:t>
      </w:r>
      <w:r w:rsidR="006360B8">
        <w:rPr>
          <w:lang w:val="en-US"/>
        </w:rPr>
        <w:t xml:space="preserve">(refer to Annexure A) </w:t>
      </w:r>
      <w:r w:rsidR="00521BCD">
        <w:rPr>
          <w:lang w:val="en-US"/>
        </w:rPr>
        <w:t>is readily available</w:t>
      </w:r>
      <w:r w:rsidR="00C92BD0">
        <w:rPr>
          <w:lang w:val="en-US"/>
        </w:rPr>
        <w:t>, easy</w:t>
      </w:r>
      <w:r w:rsidR="001E0E45">
        <w:rPr>
          <w:lang w:val="en-US"/>
        </w:rPr>
        <w:t xml:space="preserve"> to understand</w:t>
      </w:r>
      <w:r w:rsidR="00C92BD0">
        <w:rPr>
          <w:lang w:val="en-US"/>
        </w:rPr>
        <w:t>,</w:t>
      </w:r>
      <w:r w:rsidR="00521BCD">
        <w:rPr>
          <w:lang w:val="en-US"/>
        </w:rPr>
        <w:t xml:space="preserve"> and in a useful format </w:t>
      </w:r>
      <w:r>
        <w:rPr>
          <w:lang w:val="en-US"/>
        </w:rPr>
        <w:t xml:space="preserve">to assist you </w:t>
      </w:r>
      <w:r w:rsidR="00A3079B">
        <w:rPr>
          <w:lang w:val="en-US"/>
        </w:rPr>
        <w:t xml:space="preserve">to eliminate or </w:t>
      </w:r>
      <w:proofErr w:type="spellStart"/>
      <w:r w:rsidR="00A3079B">
        <w:rPr>
          <w:lang w:val="en-US"/>
        </w:rPr>
        <w:t>minimise</w:t>
      </w:r>
      <w:proofErr w:type="spellEnd"/>
      <w:r w:rsidR="00A3079B">
        <w:rPr>
          <w:lang w:val="en-US"/>
        </w:rPr>
        <w:t xml:space="preserve"> risk</w:t>
      </w:r>
      <w:r w:rsidR="00C92BD0">
        <w:rPr>
          <w:lang w:val="en-US"/>
        </w:rPr>
        <w:t>s</w:t>
      </w:r>
      <w:r>
        <w:rPr>
          <w:lang w:val="en-US"/>
        </w:rPr>
        <w:t>?</w:t>
      </w:r>
    </w:p>
    <w:p w14:paraId="65069BCA" w14:textId="42C4BB5C" w:rsidR="00F26273" w:rsidRDefault="00F26273" w:rsidP="00A23956">
      <w:pPr>
        <w:ind w:left="2127" w:hanging="1418"/>
        <w:rPr>
          <w:lang w:val="en-US"/>
        </w:rPr>
      </w:pPr>
      <w:r>
        <w:rPr>
          <w:lang w:val="en-US"/>
        </w:rPr>
        <w:t>Question 2</w:t>
      </w:r>
      <w:r>
        <w:rPr>
          <w:lang w:val="en-US"/>
        </w:rPr>
        <w:tab/>
        <w:t xml:space="preserve">Have you got any comments on whether the WHS regulatory framework </w:t>
      </w:r>
      <w:r w:rsidR="006360B8">
        <w:rPr>
          <w:lang w:val="en-US"/>
        </w:rPr>
        <w:t xml:space="preserve">(refer to Annexure A) </w:t>
      </w:r>
      <w:r>
        <w:rPr>
          <w:lang w:val="en-US"/>
        </w:rPr>
        <w:t xml:space="preserve">provides sufficient guidance to help you eliminate or </w:t>
      </w:r>
      <w:proofErr w:type="spellStart"/>
      <w:r>
        <w:rPr>
          <w:lang w:val="en-US"/>
        </w:rPr>
        <w:t>minimise</w:t>
      </w:r>
      <w:proofErr w:type="spellEnd"/>
      <w:r>
        <w:rPr>
          <w:lang w:val="en-US"/>
        </w:rPr>
        <w:t xml:space="preserve"> risks?</w:t>
      </w:r>
    </w:p>
    <w:p w14:paraId="49939436" w14:textId="5469E602" w:rsidR="00F26273" w:rsidRDefault="00DF229A" w:rsidP="00E74A07">
      <w:pPr>
        <w:ind w:left="2127" w:hanging="1418"/>
        <w:rPr>
          <w:lang w:val="en-US"/>
        </w:rPr>
      </w:pPr>
      <w:r>
        <w:rPr>
          <w:lang w:val="en-US"/>
        </w:rPr>
        <w:t>Question 3</w:t>
      </w:r>
      <w:r>
        <w:rPr>
          <w:lang w:val="en-US"/>
        </w:rPr>
        <w:tab/>
        <w:t xml:space="preserve">Have you get </w:t>
      </w:r>
      <w:r w:rsidR="00F26273">
        <w:rPr>
          <w:lang w:val="en-US"/>
        </w:rPr>
        <w:t>any comment</w:t>
      </w:r>
      <w:r w:rsidR="00C92BD0">
        <w:rPr>
          <w:lang w:val="en-US"/>
        </w:rPr>
        <w:t>s</w:t>
      </w:r>
      <w:r w:rsidR="00F26273">
        <w:rPr>
          <w:lang w:val="en-US"/>
        </w:rPr>
        <w:t xml:space="preserve"> on </w:t>
      </w:r>
      <w:r w:rsidR="00613F18">
        <w:rPr>
          <w:lang w:val="en-US"/>
        </w:rPr>
        <w:t xml:space="preserve">how </w:t>
      </w:r>
      <w:r w:rsidR="00F26273">
        <w:rPr>
          <w:lang w:val="en-US"/>
        </w:rPr>
        <w:t xml:space="preserve">the WHS regulatory framework </w:t>
      </w:r>
      <w:r w:rsidR="006360B8">
        <w:rPr>
          <w:lang w:val="en-US"/>
        </w:rPr>
        <w:t xml:space="preserve">(refer to Annexure A) </w:t>
      </w:r>
      <w:r w:rsidR="00F26273">
        <w:rPr>
          <w:lang w:val="en-US"/>
        </w:rPr>
        <w:t>could be improved?</w:t>
      </w:r>
    </w:p>
    <w:p w14:paraId="060E9FF2" w14:textId="0418D89C" w:rsidR="001E0E45" w:rsidRDefault="001E0E45" w:rsidP="00A23956">
      <w:pPr>
        <w:ind w:left="2127" w:hanging="1418"/>
        <w:rPr>
          <w:lang w:val="en-US"/>
        </w:rPr>
      </w:pPr>
      <w:r>
        <w:rPr>
          <w:lang w:val="en-US"/>
        </w:rPr>
        <w:t>Question 4</w:t>
      </w:r>
      <w:r>
        <w:rPr>
          <w:lang w:val="en-US"/>
        </w:rPr>
        <w:tab/>
        <w:t>Have you got any comments on</w:t>
      </w:r>
      <w:r w:rsidRPr="001E0E45">
        <w:rPr>
          <w:lang w:val="en-US"/>
        </w:rPr>
        <w:t xml:space="preserve"> what is most helpful</w:t>
      </w:r>
      <w:r>
        <w:rPr>
          <w:lang w:val="en-US"/>
        </w:rPr>
        <w:t xml:space="preserve"> </w:t>
      </w:r>
      <w:r w:rsidRPr="001E0E45">
        <w:rPr>
          <w:lang w:val="en-US"/>
        </w:rPr>
        <w:t>in the WHS regulatory framework</w:t>
      </w:r>
      <w:r>
        <w:rPr>
          <w:lang w:val="en-US"/>
        </w:rPr>
        <w:t xml:space="preserve"> </w:t>
      </w:r>
      <w:r w:rsidR="006360B8">
        <w:rPr>
          <w:lang w:val="en-US"/>
        </w:rPr>
        <w:t xml:space="preserve">(refer to Annexure A) </w:t>
      </w:r>
      <w:r>
        <w:rPr>
          <w:lang w:val="en-US"/>
        </w:rPr>
        <w:t xml:space="preserve">to eliminate or </w:t>
      </w:r>
      <w:proofErr w:type="spellStart"/>
      <w:r>
        <w:rPr>
          <w:lang w:val="en-US"/>
        </w:rPr>
        <w:t>minimise</w:t>
      </w:r>
      <w:proofErr w:type="spellEnd"/>
      <w:r>
        <w:rPr>
          <w:lang w:val="en-US"/>
        </w:rPr>
        <w:t xml:space="preserve"> risks</w:t>
      </w:r>
      <w:r w:rsidRPr="001E0E45">
        <w:rPr>
          <w:lang w:val="en-US"/>
        </w:rPr>
        <w:t>?</w:t>
      </w:r>
    </w:p>
    <w:p w14:paraId="2BC0FD8C" w14:textId="1E9F860A" w:rsidR="002F4648" w:rsidRDefault="00F26273" w:rsidP="00A23956">
      <w:pPr>
        <w:ind w:left="2127" w:hanging="1418"/>
        <w:rPr>
          <w:lang w:val="en-US"/>
        </w:rPr>
      </w:pPr>
      <w:r>
        <w:rPr>
          <w:lang w:val="en-US"/>
        </w:rPr>
        <w:t xml:space="preserve">Question </w:t>
      </w:r>
      <w:r w:rsidR="00984424">
        <w:rPr>
          <w:lang w:val="en-US"/>
        </w:rPr>
        <w:t>5</w:t>
      </w:r>
      <w:r>
        <w:rPr>
          <w:lang w:val="en-US"/>
        </w:rPr>
        <w:tab/>
        <w:t xml:space="preserve">Are there </w:t>
      </w:r>
      <w:r w:rsidR="00A62D0A">
        <w:rPr>
          <w:lang w:val="en-US"/>
        </w:rPr>
        <w:t xml:space="preserve">any </w:t>
      </w:r>
      <w:r w:rsidR="007D7A06">
        <w:rPr>
          <w:lang w:val="en-US"/>
        </w:rPr>
        <w:t>elements</w:t>
      </w:r>
      <w:r w:rsidR="00C72260">
        <w:rPr>
          <w:lang w:val="en-US"/>
        </w:rPr>
        <w:t xml:space="preserve"> </w:t>
      </w:r>
      <w:r w:rsidR="00521BCD">
        <w:rPr>
          <w:lang w:val="en-US"/>
        </w:rPr>
        <w:t>of the WHS regulatory frameworks not currently contained in the model WHS</w:t>
      </w:r>
      <w:r w:rsidR="00C92BD0">
        <w:rPr>
          <w:lang w:val="en-US"/>
        </w:rPr>
        <w:t xml:space="preserve"> regulations, codes of practice or guidance materials</w:t>
      </w:r>
      <w:r w:rsidR="00521BCD">
        <w:rPr>
          <w:lang w:val="en-US"/>
        </w:rPr>
        <w:t xml:space="preserve"> </w:t>
      </w:r>
      <w:r w:rsidR="00C92BD0">
        <w:rPr>
          <w:lang w:val="en-US"/>
        </w:rPr>
        <w:t>that should</w:t>
      </w:r>
      <w:r w:rsidR="00521BCD">
        <w:rPr>
          <w:lang w:val="en-US"/>
        </w:rPr>
        <w:t xml:space="preserve"> be considered </w:t>
      </w:r>
      <w:r w:rsidR="00C92BD0">
        <w:rPr>
          <w:lang w:val="en-US"/>
        </w:rPr>
        <w:t>as part of a nationally consistent framework</w:t>
      </w:r>
      <w:r w:rsidR="00A62D0A">
        <w:rPr>
          <w:lang w:val="en-US"/>
        </w:rPr>
        <w:t>?</w:t>
      </w:r>
      <w:r w:rsidR="00521BCD">
        <w:rPr>
          <w:lang w:val="en-US"/>
        </w:rPr>
        <w:t xml:space="preserve"> </w:t>
      </w:r>
    </w:p>
    <w:p w14:paraId="66352577" w14:textId="4F1917E5" w:rsidR="00BA3E5D" w:rsidRDefault="00BA3E5D" w:rsidP="00A23956">
      <w:pPr>
        <w:tabs>
          <w:tab w:val="left" w:pos="2268"/>
        </w:tabs>
        <w:ind w:left="2127" w:hanging="1418"/>
        <w:rPr>
          <w:lang w:val="en-US"/>
        </w:rPr>
      </w:pPr>
      <w:r>
        <w:rPr>
          <w:lang w:val="en-US"/>
        </w:rPr>
        <w:lastRenderedPageBreak/>
        <w:t xml:space="preserve">Question </w:t>
      </w:r>
      <w:r w:rsidR="00984424">
        <w:rPr>
          <w:lang w:val="en-US"/>
        </w:rPr>
        <w:t>6</w:t>
      </w:r>
      <w:r>
        <w:rPr>
          <w:lang w:val="en-US"/>
        </w:rPr>
        <w:tab/>
        <w:t>Have you got any comments on how the WHS Accreditation Scheme, administered by the FSC, assists you to eliminate or</w:t>
      </w:r>
      <w:r w:rsidR="00C92BD0">
        <w:rPr>
          <w:lang w:val="en-US"/>
        </w:rPr>
        <w:t xml:space="preserve"> </w:t>
      </w:r>
      <w:proofErr w:type="spellStart"/>
      <w:r w:rsidR="00C92BD0">
        <w:rPr>
          <w:lang w:val="en-US"/>
        </w:rPr>
        <w:t>minimis</w:t>
      </w:r>
      <w:r>
        <w:rPr>
          <w:lang w:val="en-US"/>
        </w:rPr>
        <w:t>e</w:t>
      </w:r>
      <w:proofErr w:type="spellEnd"/>
      <w:r>
        <w:rPr>
          <w:lang w:val="en-US"/>
        </w:rPr>
        <w:t xml:space="preserve"> risks? </w:t>
      </w:r>
    </w:p>
    <w:p w14:paraId="78BDDB2C" w14:textId="77777777" w:rsidR="00521BCD" w:rsidRPr="00F26273" w:rsidRDefault="00521BCD" w:rsidP="00C92BD0">
      <w:pPr>
        <w:ind w:left="1440" w:hanging="1440"/>
        <w:rPr>
          <w:lang w:val="en-US"/>
        </w:rPr>
      </w:pPr>
    </w:p>
    <w:p w14:paraId="31F0E332" w14:textId="77777777" w:rsidR="005E7320" w:rsidRPr="00BC3243" w:rsidRDefault="00FF642B">
      <w:pPr>
        <w:spacing w:after="0"/>
        <w:jc w:val="left"/>
        <w:rPr>
          <w:lang w:val="en-US"/>
        </w:rPr>
      </w:pPr>
      <w:r>
        <w:rPr>
          <w:lang w:val="en-US"/>
        </w:rPr>
        <w:br w:type="page"/>
      </w:r>
    </w:p>
    <w:p w14:paraId="0148C185" w14:textId="77777777" w:rsidR="00BC3243" w:rsidRDefault="00BC3243">
      <w:pPr>
        <w:pStyle w:val="Heading1"/>
        <w:numPr>
          <w:ilvl w:val="0"/>
          <w:numId w:val="0"/>
        </w:numPr>
        <w:rPr>
          <w:sz w:val="48"/>
          <w:szCs w:val="48"/>
          <w:lang w:val="en-US"/>
        </w:rPr>
        <w:sectPr w:rsidR="00BC3243" w:rsidSect="00802084">
          <w:pgSz w:w="11906" w:h="16838" w:code="1"/>
          <w:pgMar w:top="1440" w:right="1196" w:bottom="1440" w:left="1440" w:header="0" w:footer="454" w:gutter="0"/>
          <w:pgNumType w:start="2"/>
          <w:cols w:space="720"/>
          <w:titlePg/>
          <w:docGrid w:linePitch="360"/>
        </w:sectPr>
      </w:pPr>
    </w:p>
    <w:p w14:paraId="167CB597" w14:textId="18D2BB81" w:rsidR="008A4882" w:rsidRPr="00DF229A" w:rsidRDefault="0059375F" w:rsidP="00DF229A">
      <w:pPr>
        <w:pStyle w:val="Heading1"/>
        <w:numPr>
          <w:ilvl w:val="0"/>
          <w:numId w:val="0"/>
        </w:numPr>
        <w:ind w:left="720"/>
        <w:rPr>
          <w:sz w:val="48"/>
          <w:szCs w:val="48"/>
          <w:lang w:val="en-US"/>
        </w:rPr>
      </w:pPr>
      <w:bookmarkStart w:id="16" w:name="_Toc509995546"/>
      <w:r>
        <w:rPr>
          <w:sz w:val="48"/>
          <w:szCs w:val="48"/>
          <w:lang w:val="en-US"/>
        </w:rPr>
        <w:lastRenderedPageBreak/>
        <w:t xml:space="preserve">Annexure A </w:t>
      </w:r>
      <w:r w:rsidR="00A22215">
        <w:rPr>
          <w:sz w:val="48"/>
          <w:szCs w:val="48"/>
          <w:lang w:val="en-US"/>
        </w:rPr>
        <w:t xml:space="preserve">- </w:t>
      </w:r>
      <w:r>
        <w:rPr>
          <w:sz w:val="48"/>
          <w:szCs w:val="48"/>
          <w:lang w:val="en-US"/>
        </w:rPr>
        <w:t>Overview of t</w:t>
      </w:r>
      <w:r w:rsidR="00C718FD" w:rsidRPr="00C718FD">
        <w:rPr>
          <w:sz w:val="48"/>
          <w:szCs w:val="48"/>
          <w:lang w:val="en-US"/>
        </w:rPr>
        <w:t xml:space="preserve">he WHS </w:t>
      </w:r>
      <w:r w:rsidR="00EE6FE0">
        <w:rPr>
          <w:sz w:val="48"/>
          <w:szCs w:val="48"/>
          <w:lang w:val="en-US"/>
        </w:rPr>
        <w:t>R</w:t>
      </w:r>
      <w:r w:rsidR="00C718FD" w:rsidRPr="00C718FD">
        <w:rPr>
          <w:sz w:val="48"/>
          <w:szCs w:val="48"/>
          <w:lang w:val="en-US"/>
        </w:rPr>
        <w:t xml:space="preserve">egulatory </w:t>
      </w:r>
      <w:r w:rsidR="00EE6FE0">
        <w:rPr>
          <w:sz w:val="48"/>
          <w:szCs w:val="48"/>
          <w:lang w:val="en-US"/>
        </w:rPr>
        <w:t>F</w:t>
      </w:r>
      <w:r w:rsidR="00C718FD" w:rsidRPr="00C718FD">
        <w:rPr>
          <w:sz w:val="48"/>
          <w:szCs w:val="48"/>
          <w:lang w:val="en-US"/>
        </w:rPr>
        <w:t>ramework</w:t>
      </w:r>
      <w:bookmarkEnd w:id="16"/>
      <w:r w:rsidR="00C718FD" w:rsidRPr="00C718FD">
        <w:rPr>
          <w:sz w:val="48"/>
          <w:szCs w:val="48"/>
          <w:lang w:val="en-US"/>
        </w:rPr>
        <w:t xml:space="preserve"> </w:t>
      </w:r>
    </w:p>
    <w:p w14:paraId="6BD6DF9C" w14:textId="77777777" w:rsidR="00802084" w:rsidRPr="00802084" w:rsidRDefault="00802084" w:rsidP="00DF229A">
      <w:pPr>
        <w:pStyle w:val="NumList0"/>
        <w:numPr>
          <w:ilvl w:val="0"/>
          <w:numId w:val="0"/>
        </w:numPr>
        <w:ind w:firstLine="720"/>
        <w:rPr>
          <w:b/>
          <w:sz w:val="24"/>
          <w:szCs w:val="24"/>
          <w:lang w:eastAsia="en-US"/>
        </w:rPr>
      </w:pPr>
      <w:r w:rsidRPr="00802084">
        <w:rPr>
          <w:b/>
          <w:sz w:val="24"/>
          <w:szCs w:val="24"/>
          <w:lang w:eastAsia="en-US"/>
        </w:rPr>
        <w:t xml:space="preserve">Falls and being hit by falling objects </w:t>
      </w:r>
    </w:p>
    <w:p w14:paraId="2D4D64DA" w14:textId="38598E4B" w:rsidR="00802084" w:rsidRPr="00DF229A" w:rsidRDefault="00E74A07" w:rsidP="00DF229A">
      <w:pPr>
        <w:pStyle w:val="Heading2"/>
        <w:keepLines/>
        <w:suppressAutoHyphens w:val="0"/>
        <w:ind w:left="720" w:hanging="720"/>
        <w:jc w:val="left"/>
        <w:rPr>
          <w:rFonts w:cstheme="majorBidi"/>
          <w:lang w:eastAsia="en-US"/>
        </w:rPr>
      </w:pPr>
      <w:r w:rsidRPr="00DF229A">
        <w:rPr>
          <w:rFonts w:cstheme="majorBidi"/>
          <w:lang w:eastAsia="en-US"/>
        </w:rPr>
        <w:t>1.1</w:t>
      </w:r>
      <w:r w:rsidR="008038B0" w:rsidRPr="00DF229A">
        <w:rPr>
          <w:rFonts w:cstheme="majorBidi"/>
          <w:lang w:eastAsia="en-US"/>
        </w:rPr>
        <w:t xml:space="preserve"> </w:t>
      </w:r>
      <w:r w:rsidR="008038B0" w:rsidRPr="00DF229A">
        <w:rPr>
          <w:rFonts w:cstheme="majorBidi"/>
          <w:lang w:eastAsia="en-US"/>
        </w:rPr>
        <w:tab/>
        <w:t>O</w:t>
      </w:r>
      <w:r w:rsidR="00802084" w:rsidRPr="00DF229A">
        <w:rPr>
          <w:rFonts w:cstheme="majorBidi"/>
          <w:lang w:eastAsia="en-US"/>
        </w:rPr>
        <w:t xml:space="preserve">ut of scope of review </w:t>
      </w:r>
    </w:p>
    <w:p w14:paraId="5EB49E79" w14:textId="02E0DB09" w:rsidR="008038B0" w:rsidRPr="008038B0" w:rsidRDefault="008038B0" w:rsidP="008038B0">
      <w:pPr>
        <w:pStyle w:val="Indent1"/>
        <w:rPr>
          <w:lang w:eastAsia="en-US"/>
        </w:rPr>
      </w:pPr>
      <w:r w:rsidRPr="008038B0">
        <w:rPr>
          <w:lang w:eastAsia="en-US"/>
        </w:rPr>
        <w:t xml:space="preserve">The </w:t>
      </w:r>
      <w:r>
        <w:rPr>
          <w:lang w:eastAsia="en-US"/>
        </w:rPr>
        <w:t>following parts of the WHS Regulatory framework will inform the Review, but are out of scope and will not be directly cons</w:t>
      </w:r>
      <w:r w:rsidR="00DF229A">
        <w:rPr>
          <w:lang w:eastAsia="en-US"/>
        </w:rPr>
        <w:t>idered as a part of the Review:</w:t>
      </w:r>
    </w:p>
    <w:p w14:paraId="0D22B85E" w14:textId="168317A7" w:rsidR="00802084" w:rsidRPr="00802084" w:rsidRDefault="00802084" w:rsidP="00C525F6">
      <w:pPr>
        <w:ind w:firstLine="1418"/>
        <w:jc w:val="left"/>
        <w:rPr>
          <w:rFonts w:eastAsiaTheme="minorHAnsi"/>
          <w:lang w:eastAsia="en-US"/>
        </w:rPr>
      </w:pPr>
      <w:r w:rsidRPr="00802084">
        <w:rPr>
          <w:rFonts w:eastAsiaTheme="minorHAnsi"/>
          <w:lang w:eastAsia="en-US"/>
        </w:rPr>
        <w:t xml:space="preserve">Model WHS Act </w:t>
      </w:r>
    </w:p>
    <w:p w14:paraId="0807B855" w14:textId="77777777" w:rsidR="00802084" w:rsidRPr="00802084" w:rsidRDefault="00802084" w:rsidP="00C525F6">
      <w:pPr>
        <w:ind w:firstLine="1418"/>
        <w:jc w:val="left"/>
        <w:rPr>
          <w:rFonts w:eastAsiaTheme="minorHAnsi"/>
          <w:lang w:eastAsia="en-US"/>
        </w:rPr>
      </w:pPr>
      <w:r w:rsidRPr="00802084">
        <w:rPr>
          <w:rFonts w:eastAsiaTheme="minorHAnsi"/>
          <w:lang w:eastAsia="en-US"/>
        </w:rPr>
        <w:t>Work Health and Safety Act 2011 (</w:t>
      </w:r>
      <w:proofErr w:type="spellStart"/>
      <w:r w:rsidRPr="00802084">
        <w:rPr>
          <w:rFonts w:eastAsiaTheme="minorHAnsi"/>
          <w:lang w:eastAsia="en-US"/>
        </w:rPr>
        <w:t>Cth</w:t>
      </w:r>
      <w:proofErr w:type="spellEnd"/>
      <w:r w:rsidRPr="00802084">
        <w:rPr>
          <w:rFonts w:eastAsiaTheme="minorHAnsi"/>
          <w:lang w:eastAsia="en-US"/>
        </w:rPr>
        <w:t>)</w:t>
      </w:r>
    </w:p>
    <w:p w14:paraId="2B37419D" w14:textId="77777777" w:rsidR="00802084" w:rsidRPr="00802084" w:rsidRDefault="00802084" w:rsidP="00C525F6">
      <w:pPr>
        <w:ind w:firstLine="1418"/>
        <w:jc w:val="left"/>
        <w:rPr>
          <w:rFonts w:eastAsiaTheme="minorHAnsi"/>
          <w:lang w:eastAsia="en-US"/>
        </w:rPr>
      </w:pPr>
      <w:r w:rsidRPr="00802084">
        <w:rPr>
          <w:rFonts w:eastAsiaTheme="minorHAnsi"/>
          <w:lang w:eastAsia="en-US"/>
        </w:rPr>
        <w:t>Work Health and Safety Act 2011 (ACT)</w:t>
      </w:r>
    </w:p>
    <w:p w14:paraId="01DCE860" w14:textId="77777777" w:rsidR="00802084" w:rsidRPr="00802084" w:rsidRDefault="00802084" w:rsidP="00C525F6">
      <w:pPr>
        <w:ind w:firstLine="1418"/>
        <w:jc w:val="left"/>
        <w:rPr>
          <w:rFonts w:eastAsiaTheme="minorHAnsi"/>
          <w:lang w:eastAsia="en-US"/>
        </w:rPr>
      </w:pPr>
      <w:r w:rsidRPr="00802084">
        <w:rPr>
          <w:rFonts w:eastAsiaTheme="minorHAnsi"/>
          <w:lang w:eastAsia="en-US"/>
        </w:rPr>
        <w:t xml:space="preserve">Work Health and Safety Act 2011 (NSW) </w:t>
      </w:r>
    </w:p>
    <w:p w14:paraId="12CB512B" w14:textId="77777777" w:rsidR="00802084" w:rsidRPr="00802084" w:rsidRDefault="00802084" w:rsidP="00C525F6">
      <w:pPr>
        <w:ind w:firstLine="1418"/>
        <w:jc w:val="left"/>
        <w:rPr>
          <w:rFonts w:eastAsiaTheme="minorHAnsi"/>
          <w:lang w:eastAsia="en-US"/>
        </w:rPr>
      </w:pPr>
      <w:r w:rsidRPr="00802084">
        <w:rPr>
          <w:rFonts w:eastAsiaTheme="minorHAnsi"/>
          <w:lang w:eastAsia="en-US"/>
        </w:rPr>
        <w:t xml:space="preserve">Work Health and Safety Act 2011 (Qld) </w:t>
      </w:r>
    </w:p>
    <w:p w14:paraId="1CF58B22" w14:textId="77777777" w:rsidR="00802084" w:rsidRPr="00802084" w:rsidRDefault="00802084" w:rsidP="00C525F6">
      <w:pPr>
        <w:ind w:firstLine="1418"/>
        <w:jc w:val="left"/>
        <w:rPr>
          <w:rFonts w:eastAsiaTheme="minorHAnsi"/>
          <w:lang w:eastAsia="en-US"/>
        </w:rPr>
      </w:pPr>
      <w:r w:rsidRPr="00802084">
        <w:rPr>
          <w:rFonts w:eastAsiaTheme="minorHAnsi"/>
          <w:lang w:eastAsia="en-US"/>
        </w:rPr>
        <w:t>Work Health and Safety (National Uniform Legislation) Act 2011 (NT)</w:t>
      </w:r>
    </w:p>
    <w:p w14:paraId="12E75DCA" w14:textId="77777777" w:rsidR="00802084" w:rsidRPr="00802084" w:rsidRDefault="00802084" w:rsidP="00C525F6">
      <w:pPr>
        <w:ind w:firstLine="1418"/>
        <w:jc w:val="left"/>
        <w:rPr>
          <w:rFonts w:eastAsiaTheme="minorHAnsi"/>
          <w:lang w:eastAsia="en-US"/>
        </w:rPr>
      </w:pPr>
      <w:r w:rsidRPr="00802084">
        <w:rPr>
          <w:rFonts w:eastAsiaTheme="minorHAnsi"/>
          <w:lang w:eastAsia="en-US"/>
        </w:rPr>
        <w:t>Work Health and Safety Act 2012 (SA)</w:t>
      </w:r>
    </w:p>
    <w:p w14:paraId="5105B7F8" w14:textId="77777777" w:rsidR="00802084" w:rsidRPr="00802084" w:rsidRDefault="00802084" w:rsidP="00C525F6">
      <w:pPr>
        <w:ind w:firstLine="1418"/>
        <w:jc w:val="left"/>
        <w:rPr>
          <w:rFonts w:eastAsiaTheme="minorHAnsi"/>
          <w:lang w:eastAsia="en-US"/>
        </w:rPr>
      </w:pPr>
      <w:r w:rsidRPr="00802084">
        <w:rPr>
          <w:rFonts w:eastAsiaTheme="minorHAnsi"/>
          <w:lang w:eastAsia="en-US"/>
        </w:rPr>
        <w:t>Work Health and Safety Act 2012 (</w:t>
      </w:r>
      <w:proofErr w:type="spellStart"/>
      <w:r w:rsidRPr="00802084">
        <w:rPr>
          <w:rFonts w:eastAsiaTheme="minorHAnsi"/>
          <w:lang w:eastAsia="en-US"/>
        </w:rPr>
        <w:t>Tas</w:t>
      </w:r>
      <w:proofErr w:type="spellEnd"/>
      <w:r w:rsidRPr="00802084">
        <w:rPr>
          <w:rFonts w:eastAsiaTheme="minorHAnsi"/>
          <w:lang w:eastAsia="en-US"/>
        </w:rPr>
        <w:t>)</w:t>
      </w:r>
    </w:p>
    <w:p w14:paraId="636F77AA" w14:textId="77777777" w:rsidR="00802084" w:rsidRPr="00802084" w:rsidRDefault="00802084" w:rsidP="00C525F6">
      <w:pPr>
        <w:ind w:firstLine="1418"/>
        <w:jc w:val="left"/>
        <w:rPr>
          <w:rFonts w:eastAsiaTheme="minorHAnsi"/>
          <w:lang w:eastAsia="en-US"/>
        </w:rPr>
      </w:pPr>
      <w:r w:rsidRPr="00802084">
        <w:rPr>
          <w:rFonts w:eastAsiaTheme="minorHAnsi"/>
          <w:lang w:eastAsia="en-US"/>
        </w:rPr>
        <w:t xml:space="preserve">Occupational Health and Safety Act 2004 (Vic) </w:t>
      </w:r>
    </w:p>
    <w:p w14:paraId="464E950A" w14:textId="77777777" w:rsidR="00802084" w:rsidRPr="00802084" w:rsidRDefault="00802084" w:rsidP="00C525F6">
      <w:pPr>
        <w:ind w:firstLine="1418"/>
        <w:jc w:val="left"/>
        <w:rPr>
          <w:rFonts w:eastAsiaTheme="minorHAnsi"/>
          <w:lang w:eastAsia="en-US"/>
        </w:rPr>
      </w:pPr>
      <w:r w:rsidRPr="00802084">
        <w:rPr>
          <w:rFonts w:eastAsiaTheme="minorHAnsi"/>
          <w:lang w:eastAsia="en-US"/>
        </w:rPr>
        <w:t>Occupational Safety and Health Act 1984 (WA)</w:t>
      </w:r>
    </w:p>
    <w:p w14:paraId="4FB88A22" w14:textId="77777777" w:rsidR="00802084" w:rsidRPr="00802084" w:rsidRDefault="00802084" w:rsidP="00C525F6">
      <w:pPr>
        <w:ind w:firstLine="1418"/>
        <w:jc w:val="left"/>
        <w:rPr>
          <w:rFonts w:eastAsiaTheme="minorHAnsi"/>
          <w:lang w:eastAsia="en-US"/>
        </w:rPr>
      </w:pPr>
      <w:r w:rsidRPr="00802084">
        <w:rPr>
          <w:rFonts w:eastAsiaTheme="minorHAnsi"/>
          <w:lang w:eastAsia="en-US"/>
        </w:rPr>
        <w:t xml:space="preserve">Model WHS Regulations (other than provisions specifically in scope of review) </w:t>
      </w:r>
    </w:p>
    <w:p w14:paraId="75980A99" w14:textId="77777777" w:rsidR="00802084" w:rsidRPr="00802084" w:rsidRDefault="00802084" w:rsidP="00C525F6">
      <w:pPr>
        <w:ind w:firstLine="1418"/>
        <w:jc w:val="left"/>
        <w:rPr>
          <w:rFonts w:eastAsiaTheme="minorHAnsi"/>
          <w:lang w:eastAsia="en-US"/>
        </w:rPr>
      </w:pPr>
      <w:r w:rsidRPr="00802084">
        <w:rPr>
          <w:rFonts w:eastAsiaTheme="minorHAnsi"/>
          <w:lang w:eastAsia="en-US"/>
        </w:rPr>
        <w:t xml:space="preserve">Jurisdictional based electrical safety legislation </w:t>
      </w:r>
    </w:p>
    <w:p w14:paraId="64DB7E06" w14:textId="77777777" w:rsidR="00802084" w:rsidRPr="00802084" w:rsidRDefault="00802084" w:rsidP="00C525F6">
      <w:pPr>
        <w:keepLines/>
        <w:ind w:left="720" w:firstLine="698"/>
        <w:jc w:val="left"/>
        <w:outlineLvl w:val="1"/>
        <w:rPr>
          <w:rFonts w:eastAsiaTheme="majorEastAsia" w:cstheme="majorBidi"/>
          <w:bCs/>
          <w:color w:val="000000"/>
          <w:szCs w:val="26"/>
          <w:lang w:eastAsia="en-US"/>
        </w:rPr>
      </w:pPr>
      <w:r w:rsidRPr="00802084">
        <w:rPr>
          <w:rFonts w:eastAsiaTheme="majorEastAsia" w:cstheme="majorBidi"/>
          <w:bCs/>
          <w:color w:val="000000"/>
          <w:szCs w:val="26"/>
          <w:lang w:eastAsia="en-US"/>
        </w:rPr>
        <w:t>Road traffic laws</w:t>
      </w:r>
    </w:p>
    <w:p w14:paraId="537EA27E" w14:textId="77777777" w:rsidR="00802084" w:rsidRPr="00802084" w:rsidRDefault="00802084" w:rsidP="00C525F6">
      <w:pPr>
        <w:keepLines/>
        <w:ind w:left="720" w:firstLine="698"/>
        <w:jc w:val="left"/>
        <w:outlineLvl w:val="1"/>
        <w:rPr>
          <w:rFonts w:eastAsiaTheme="majorEastAsia" w:cstheme="majorBidi"/>
          <w:bCs/>
          <w:color w:val="000000"/>
          <w:szCs w:val="26"/>
          <w:lang w:eastAsia="en-US"/>
        </w:rPr>
      </w:pPr>
      <w:r w:rsidRPr="00802084">
        <w:rPr>
          <w:rFonts w:eastAsiaTheme="majorEastAsia" w:cstheme="majorBidi"/>
          <w:bCs/>
          <w:color w:val="000000"/>
          <w:szCs w:val="26"/>
          <w:lang w:eastAsia="en-US"/>
        </w:rPr>
        <w:t xml:space="preserve">Heavy vehicle national laws </w:t>
      </w:r>
    </w:p>
    <w:p w14:paraId="3C2C8E58" w14:textId="3CE05910" w:rsidR="00802084" w:rsidRPr="00DF229A" w:rsidRDefault="00802084" w:rsidP="00DF229A">
      <w:pPr>
        <w:pStyle w:val="Heading2"/>
        <w:keepLines/>
        <w:suppressAutoHyphens w:val="0"/>
        <w:ind w:left="720" w:hanging="720"/>
        <w:jc w:val="left"/>
        <w:rPr>
          <w:rFonts w:cstheme="majorBidi"/>
          <w:lang w:eastAsia="en-US"/>
        </w:rPr>
      </w:pPr>
      <w:r w:rsidRPr="00DF229A">
        <w:rPr>
          <w:rFonts w:cstheme="majorBidi"/>
          <w:lang w:eastAsia="en-US"/>
        </w:rPr>
        <w:t>1.2</w:t>
      </w:r>
      <w:r w:rsidRPr="00DF229A">
        <w:rPr>
          <w:rFonts w:cstheme="majorBidi"/>
          <w:lang w:eastAsia="en-US"/>
        </w:rPr>
        <w:tab/>
        <w:t xml:space="preserve">Model WHS regulatory framework </w:t>
      </w:r>
    </w:p>
    <w:p w14:paraId="547F474A" w14:textId="7177727F" w:rsidR="008038B0" w:rsidRPr="008038B0" w:rsidRDefault="008038B0" w:rsidP="00DF229A">
      <w:pPr>
        <w:keepNext/>
        <w:keepLines/>
        <w:ind w:left="720"/>
        <w:rPr>
          <w:rFonts w:eastAsiaTheme="minorHAnsi"/>
          <w:lang w:eastAsia="en-US"/>
        </w:rPr>
      </w:pPr>
      <w:r>
        <w:rPr>
          <w:rFonts w:eastAsiaTheme="minorHAnsi"/>
          <w:lang w:eastAsia="en-US"/>
        </w:rPr>
        <w:t>The model WHS regulatory framework relevant to a fall and being hit by falling objects</w:t>
      </w:r>
      <w:r w:rsidR="001C5361">
        <w:rPr>
          <w:rFonts w:eastAsiaTheme="minorHAnsi"/>
          <w:lang w:eastAsia="en-US"/>
        </w:rPr>
        <w:t xml:space="preserve"> is</w:t>
      </w:r>
      <w:r>
        <w:rPr>
          <w:rFonts w:eastAsiaTheme="minorHAnsi"/>
          <w:lang w:eastAsia="en-US"/>
        </w:rPr>
        <w:t xml:space="preserve">: </w:t>
      </w:r>
    </w:p>
    <w:p w14:paraId="145DA641"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WHS Regulations: Part 3.1; Part 3.2, Division 10; Part 4.4; Part 5.1 (as it relates to scaffolds and falls when working on powered mobile plant); clauses 291; 297; 298; 299 to 303; 304 to 306; and high risk work licences (relevant to working at height) </w:t>
      </w:r>
    </w:p>
    <w:p w14:paraId="67BFCEBF"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How to manage work health and safety risks</w:t>
      </w:r>
    </w:p>
    <w:p w14:paraId="446B6C00"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xml:space="preserve">: Construction work </w:t>
      </w:r>
    </w:p>
    <w:p w14:paraId="681B0414"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xml:space="preserve">: Managing the risk of falls at workplaces </w:t>
      </w:r>
    </w:p>
    <w:p w14:paraId="6F78696D"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xml:space="preserve">: Preventing falls in housing construction  </w:t>
      </w:r>
    </w:p>
    <w:p w14:paraId="79716598" w14:textId="77777777" w:rsidR="00802084" w:rsidRPr="00802084" w:rsidRDefault="00802084" w:rsidP="00C525F6">
      <w:pPr>
        <w:ind w:left="1440"/>
        <w:jc w:val="left"/>
        <w:rPr>
          <w:rFonts w:eastAsiaTheme="minorHAnsi"/>
          <w:lang w:eastAsia="en-US"/>
        </w:rPr>
      </w:pPr>
      <w:r w:rsidRPr="00802084">
        <w:rPr>
          <w:rFonts w:eastAsiaTheme="minorHAnsi"/>
          <w:lang w:eastAsia="en-US"/>
        </w:rPr>
        <w:lastRenderedPageBreak/>
        <w:t xml:space="preserve">Fact sheet: Falling objects </w:t>
      </w:r>
    </w:p>
    <w:p w14:paraId="2FB341D9" w14:textId="5B7F0805" w:rsidR="00802084" w:rsidRPr="00802084" w:rsidRDefault="00802084" w:rsidP="00C525F6">
      <w:pPr>
        <w:ind w:left="1440"/>
        <w:jc w:val="left"/>
        <w:rPr>
          <w:rFonts w:eastAsiaTheme="minorHAnsi"/>
          <w:lang w:eastAsia="en-US"/>
        </w:rPr>
      </w:pPr>
      <w:r w:rsidRPr="00802084">
        <w:rPr>
          <w:rFonts w:eastAsiaTheme="minorHAnsi"/>
          <w:lang w:eastAsia="en-US"/>
        </w:rPr>
        <w:t>Information sheet: Safe work on roofs  </w:t>
      </w:r>
    </w:p>
    <w:p w14:paraId="0AF20018" w14:textId="10A783F7" w:rsidR="00802084" w:rsidRPr="00DF229A" w:rsidRDefault="00DF229A" w:rsidP="00DF229A">
      <w:pPr>
        <w:pStyle w:val="Heading2"/>
        <w:keepLines/>
        <w:suppressAutoHyphens w:val="0"/>
        <w:ind w:left="720" w:hanging="720"/>
        <w:jc w:val="left"/>
        <w:rPr>
          <w:rFonts w:cstheme="majorBidi"/>
          <w:lang w:eastAsia="en-US"/>
        </w:rPr>
      </w:pPr>
      <w:r w:rsidRPr="00DF229A">
        <w:rPr>
          <w:rFonts w:cstheme="majorBidi"/>
          <w:lang w:eastAsia="en-US"/>
        </w:rPr>
        <w:t xml:space="preserve">1.3   </w:t>
      </w:r>
      <w:r w:rsidR="00802084" w:rsidRPr="00DF229A">
        <w:rPr>
          <w:rFonts w:cstheme="majorBidi"/>
          <w:lang w:eastAsia="en-US"/>
        </w:rPr>
        <w:t xml:space="preserve">Jurisdictional </w:t>
      </w:r>
      <w:r w:rsidR="00E52BCB">
        <w:rPr>
          <w:rFonts w:cstheme="majorBidi"/>
          <w:lang w:eastAsia="en-US"/>
        </w:rPr>
        <w:t>difference</w:t>
      </w:r>
      <w:r w:rsidR="00E52BCB" w:rsidRPr="00DF229A">
        <w:rPr>
          <w:rFonts w:cstheme="majorBidi"/>
          <w:lang w:eastAsia="en-US"/>
        </w:rPr>
        <w:t>s</w:t>
      </w:r>
      <w:r w:rsidR="00802084" w:rsidRPr="00DF229A">
        <w:rPr>
          <w:rFonts w:cstheme="majorBidi"/>
          <w:lang w:eastAsia="en-US"/>
        </w:rPr>
        <w:t xml:space="preserve"> (exception</w:t>
      </w:r>
      <w:r w:rsidR="00E52BCB">
        <w:rPr>
          <w:rFonts w:cstheme="majorBidi"/>
          <w:lang w:eastAsia="en-US"/>
        </w:rPr>
        <w:t>s</w:t>
      </w:r>
      <w:r w:rsidR="00802084" w:rsidRPr="00DF229A">
        <w:rPr>
          <w:rFonts w:cstheme="majorBidi"/>
          <w:lang w:eastAsia="en-US"/>
        </w:rPr>
        <w:t xml:space="preserve"> to the model WHS regulatory framework)  </w:t>
      </w:r>
    </w:p>
    <w:p w14:paraId="2F19E0EB" w14:textId="63B5AD20" w:rsidR="008038B0" w:rsidRPr="008038B0" w:rsidRDefault="008038B0" w:rsidP="00FE57EF">
      <w:pPr>
        <w:pStyle w:val="Indent1"/>
        <w:ind w:left="426"/>
        <w:rPr>
          <w:lang w:eastAsia="en-US"/>
        </w:rPr>
      </w:pPr>
      <w:r w:rsidRPr="008038B0">
        <w:rPr>
          <w:lang w:eastAsia="en-US"/>
        </w:rPr>
        <w:t xml:space="preserve">The </w:t>
      </w:r>
      <w:r w:rsidR="006A3FCD">
        <w:rPr>
          <w:lang w:eastAsia="en-US"/>
        </w:rPr>
        <w:t>jurisdictional</w:t>
      </w:r>
      <w:r>
        <w:rPr>
          <w:lang w:eastAsia="en-US"/>
        </w:rPr>
        <w:t xml:space="preserve"> </w:t>
      </w:r>
      <w:r w:rsidR="00E52BCB">
        <w:rPr>
          <w:lang w:eastAsia="en-US"/>
        </w:rPr>
        <w:t>differences</w:t>
      </w:r>
      <w:r>
        <w:rPr>
          <w:lang w:eastAsia="en-US"/>
        </w:rPr>
        <w:t xml:space="preserve"> to the model WHS regulatory framework relevant to a fall and being hit by falling objects are: </w:t>
      </w:r>
    </w:p>
    <w:p w14:paraId="00FA5F88" w14:textId="77777777" w:rsidR="00802084" w:rsidRPr="00DF229A" w:rsidRDefault="00802084" w:rsidP="00C525F6">
      <w:pPr>
        <w:ind w:left="720" w:firstLine="720"/>
        <w:jc w:val="left"/>
        <w:rPr>
          <w:rFonts w:eastAsiaTheme="minorHAnsi"/>
          <w:color w:val="4F81BD" w:themeColor="accent1"/>
          <w:lang w:eastAsia="en-US"/>
        </w:rPr>
      </w:pPr>
      <w:r w:rsidRPr="00DF229A">
        <w:rPr>
          <w:rFonts w:eastAsiaTheme="minorHAnsi"/>
          <w:color w:val="4F81BD" w:themeColor="accent1"/>
          <w:lang w:eastAsia="en-US"/>
        </w:rPr>
        <w:t xml:space="preserve">ACT  </w:t>
      </w:r>
    </w:p>
    <w:p w14:paraId="202F8A7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Work Health and Safety (Formwork) Code of Practice </w:t>
      </w:r>
    </w:p>
    <w:p w14:paraId="5AE001EC" w14:textId="77777777" w:rsidR="00802084" w:rsidRPr="00DF229A" w:rsidRDefault="00802084" w:rsidP="00C525F6">
      <w:pPr>
        <w:ind w:left="720" w:firstLine="720"/>
        <w:jc w:val="left"/>
        <w:rPr>
          <w:rFonts w:eastAsiaTheme="minorHAnsi"/>
          <w:color w:val="4F81BD" w:themeColor="accent1"/>
          <w:lang w:eastAsia="en-US"/>
        </w:rPr>
      </w:pPr>
      <w:r w:rsidRPr="00DF229A">
        <w:rPr>
          <w:rFonts w:eastAsiaTheme="minorHAnsi"/>
          <w:color w:val="4F81BD" w:themeColor="accent1"/>
          <w:lang w:eastAsia="en-US"/>
        </w:rPr>
        <w:t xml:space="preserve">NSW </w:t>
      </w:r>
    </w:p>
    <w:p w14:paraId="5EB6A864"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Safe Work on roofs - Part 1 Commercial industrial code of practice</w:t>
      </w:r>
    </w:p>
    <w:p w14:paraId="2066EAD5" w14:textId="77777777" w:rsidR="00802084" w:rsidRPr="00DF229A" w:rsidRDefault="00802084" w:rsidP="00C525F6">
      <w:pPr>
        <w:ind w:left="720" w:firstLine="720"/>
        <w:jc w:val="left"/>
        <w:rPr>
          <w:rFonts w:eastAsiaTheme="minorHAnsi"/>
          <w:color w:val="4F81BD" w:themeColor="accent1"/>
          <w:lang w:eastAsia="en-US"/>
        </w:rPr>
      </w:pPr>
      <w:r w:rsidRPr="00DF229A">
        <w:rPr>
          <w:rFonts w:eastAsiaTheme="minorHAnsi"/>
          <w:color w:val="4F81BD" w:themeColor="accent1"/>
          <w:lang w:eastAsia="en-US"/>
        </w:rPr>
        <w:t>Qld</w:t>
      </w:r>
    </w:p>
    <w:p w14:paraId="274BB370"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Clause 299(4) of the WHS Regulations is included which provides that in certain circumstances all control measures considered in determining which control measures to implement must be stated in the SWMS. </w:t>
      </w:r>
    </w:p>
    <w:p w14:paraId="1E2FA32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Tilt up and pre-cast construction Code of Practice 2003 </w:t>
      </w:r>
    </w:p>
    <w:p w14:paraId="24931CB6"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Scaffolding Code of Practice 2009</w:t>
      </w:r>
    </w:p>
    <w:p w14:paraId="3AC12A2A" w14:textId="77777777" w:rsidR="00802084" w:rsidRPr="00DF229A" w:rsidRDefault="00802084" w:rsidP="00C525F6">
      <w:pPr>
        <w:ind w:left="720" w:firstLine="720"/>
        <w:jc w:val="left"/>
        <w:rPr>
          <w:rFonts w:eastAsiaTheme="minorHAnsi"/>
          <w:color w:val="4F81BD" w:themeColor="accent1"/>
          <w:lang w:eastAsia="en-US"/>
        </w:rPr>
      </w:pPr>
      <w:r w:rsidRPr="00DF229A">
        <w:rPr>
          <w:rFonts w:eastAsiaTheme="minorHAnsi"/>
          <w:color w:val="4F81BD" w:themeColor="accent1"/>
          <w:lang w:eastAsia="en-US"/>
        </w:rPr>
        <w:t>SA</w:t>
      </w:r>
    </w:p>
    <w:p w14:paraId="1F7B6201"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Certain offences (including those set out in clauses 301-304 of the WHS Regulations) are subject to an expiation fee. </w:t>
      </w:r>
    </w:p>
    <w:p w14:paraId="5B6B848C"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Codes based on the Model </w:t>
      </w:r>
      <w:proofErr w:type="spellStart"/>
      <w:r w:rsidRPr="00802084">
        <w:rPr>
          <w:rFonts w:eastAsiaTheme="minorHAnsi"/>
          <w:lang w:eastAsia="en-US"/>
        </w:rPr>
        <w:t>CoP</w:t>
      </w:r>
      <w:proofErr w:type="spellEnd"/>
      <w:r w:rsidRPr="00802084">
        <w:rPr>
          <w:rFonts w:eastAsiaTheme="minorHAnsi"/>
          <w:lang w:eastAsia="en-US"/>
        </w:rPr>
        <w:t xml:space="preserve">: Construction work, Model </w:t>
      </w:r>
      <w:proofErr w:type="spellStart"/>
      <w:r w:rsidRPr="00802084">
        <w:rPr>
          <w:rFonts w:eastAsiaTheme="minorHAnsi"/>
          <w:lang w:eastAsia="en-US"/>
        </w:rPr>
        <w:t>CoP</w:t>
      </w:r>
      <w:proofErr w:type="spellEnd"/>
      <w:r w:rsidRPr="00802084">
        <w:rPr>
          <w:rFonts w:eastAsiaTheme="minorHAnsi"/>
          <w:lang w:eastAsia="en-US"/>
        </w:rPr>
        <w:t xml:space="preserve">: Managing the risks of falls at workplaces and the Model </w:t>
      </w:r>
      <w:proofErr w:type="spellStart"/>
      <w:r w:rsidRPr="00802084">
        <w:rPr>
          <w:rFonts w:eastAsiaTheme="minorHAnsi"/>
          <w:lang w:eastAsia="en-US"/>
        </w:rPr>
        <w:t>CoP</w:t>
      </w:r>
      <w:proofErr w:type="spellEnd"/>
      <w:r w:rsidRPr="00802084">
        <w:rPr>
          <w:rFonts w:eastAsiaTheme="minorHAnsi"/>
          <w:lang w:eastAsia="en-US"/>
        </w:rPr>
        <w:t xml:space="preserve">: Preventing falls in housing construction have not been adopted in South Australia. </w:t>
      </w:r>
    </w:p>
    <w:p w14:paraId="487B4DD8" w14:textId="098D1AA5" w:rsidR="008038B0" w:rsidRPr="00802084" w:rsidRDefault="00802084" w:rsidP="00DF229A">
      <w:pPr>
        <w:ind w:left="1440"/>
        <w:jc w:val="left"/>
        <w:rPr>
          <w:rFonts w:eastAsiaTheme="minorHAnsi"/>
          <w:lang w:eastAsia="en-US"/>
        </w:rPr>
      </w:pPr>
      <w:r w:rsidRPr="00802084">
        <w:rPr>
          <w:rFonts w:eastAsiaTheme="minorHAnsi"/>
          <w:lang w:eastAsia="en-US"/>
        </w:rPr>
        <w:t xml:space="preserve">National Code of Practice for pre-cast, tilt up and concrete elements in building construction </w:t>
      </w:r>
    </w:p>
    <w:p w14:paraId="2177794D" w14:textId="77777777" w:rsidR="00802084" w:rsidRPr="00DF229A" w:rsidRDefault="00802084" w:rsidP="00C525F6">
      <w:pPr>
        <w:ind w:left="1440"/>
        <w:jc w:val="left"/>
        <w:rPr>
          <w:rFonts w:eastAsiaTheme="minorHAnsi"/>
          <w:color w:val="4F81BD" w:themeColor="accent1"/>
          <w:lang w:eastAsia="en-US"/>
        </w:rPr>
      </w:pPr>
      <w:r w:rsidRPr="00DF229A">
        <w:rPr>
          <w:rFonts w:eastAsiaTheme="minorHAnsi"/>
          <w:color w:val="4F81BD" w:themeColor="accent1"/>
          <w:lang w:eastAsia="en-US"/>
        </w:rPr>
        <w:t>NT</w:t>
      </w:r>
    </w:p>
    <w:p w14:paraId="7F755403" w14:textId="77777777" w:rsidR="00802084" w:rsidRPr="00802084" w:rsidRDefault="00802084" w:rsidP="00C525F6">
      <w:pPr>
        <w:ind w:left="1440"/>
        <w:jc w:val="left"/>
        <w:rPr>
          <w:rFonts w:eastAsiaTheme="minorHAnsi"/>
          <w:lang w:eastAsia="en-US"/>
        </w:rPr>
      </w:pPr>
      <w:r w:rsidRPr="00802084">
        <w:rPr>
          <w:rFonts w:eastAsiaTheme="minorHAnsi"/>
          <w:lang w:eastAsia="en-US"/>
        </w:rPr>
        <w:t>National Code of Practice for pre-cast, tilt up and concrete elements in building construction</w:t>
      </w:r>
    </w:p>
    <w:p w14:paraId="5324FD83"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National Code of Practice for the prevention </w:t>
      </w:r>
      <w:r w:rsidRPr="00DF229A">
        <w:rPr>
          <w:rFonts w:eastAsiaTheme="minorHAnsi"/>
          <w:b/>
          <w:lang w:eastAsia="en-US"/>
        </w:rPr>
        <w:t>of</w:t>
      </w:r>
      <w:r w:rsidRPr="00802084">
        <w:rPr>
          <w:rFonts w:eastAsiaTheme="minorHAnsi"/>
          <w:lang w:eastAsia="en-US"/>
        </w:rPr>
        <w:t xml:space="preserve"> falls in general construction  </w:t>
      </w:r>
    </w:p>
    <w:p w14:paraId="4D1E5F55" w14:textId="69BE6572" w:rsidR="00802084" w:rsidRPr="00DF229A" w:rsidRDefault="00802084" w:rsidP="00DF229A">
      <w:pPr>
        <w:pStyle w:val="Heading2"/>
        <w:keepLines/>
        <w:suppressAutoHyphens w:val="0"/>
        <w:ind w:left="720" w:hanging="720"/>
        <w:jc w:val="left"/>
        <w:rPr>
          <w:rFonts w:cstheme="majorBidi"/>
          <w:lang w:eastAsia="en-US"/>
        </w:rPr>
      </w:pPr>
      <w:r w:rsidRPr="00DF229A">
        <w:rPr>
          <w:rFonts w:cstheme="majorBidi"/>
          <w:lang w:eastAsia="en-US"/>
        </w:rPr>
        <w:t>1.4</w:t>
      </w:r>
      <w:r w:rsidR="00723732">
        <w:rPr>
          <w:rFonts w:cstheme="majorBidi"/>
          <w:lang w:eastAsia="en-US"/>
        </w:rPr>
        <w:t xml:space="preserve"> </w:t>
      </w:r>
      <w:r w:rsidRPr="00DF229A">
        <w:rPr>
          <w:rFonts w:cstheme="majorBidi"/>
          <w:lang w:eastAsia="en-US"/>
        </w:rPr>
        <w:t xml:space="preserve">Victorian WHS regulatory framework </w:t>
      </w:r>
    </w:p>
    <w:p w14:paraId="10157433" w14:textId="09C77E7E" w:rsidR="008038B0" w:rsidRPr="008038B0" w:rsidRDefault="008038B0" w:rsidP="008B645B">
      <w:pPr>
        <w:pStyle w:val="Indent1"/>
        <w:ind w:left="284" w:firstLine="436"/>
        <w:rPr>
          <w:lang w:eastAsia="en-US"/>
        </w:rPr>
      </w:pPr>
      <w:r w:rsidRPr="008038B0">
        <w:rPr>
          <w:lang w:eastAsia="en-US"/>
        </w:rPr>
        <w:t xml:space="preserve">The Victorian WHS regulatory framework relevant to a fall and being hit by falling objects is: </w:t>
      </w:r>
    </w:p>
    <w:p w14:paraId="213C2A6E" w14:textId="2CFD64EC" w:rsidR="00802084" w:rsidRPr="00802084" w:rsidRDefault="00802084" w:rsidP="00C525F6">
      <w:pPr>
        <w:ind w:left="1440"/>
        <w:jc w:val="left"/>
        <w:rPr>
          <w:rFonts w:eastAsiaTheme="minorHAnsi"/>
          <w:lang w:eastAsia="en-US"/>
        </w:rPr>
      </w:pPr>
      <w:r w:rsidRPr="00802084">
        <w:rPr>
          <w:rFonts w:eastAsiaTheme="minorHAnsi"/>
          <w:lang w:eastAsia="en-US"/>
        </w:rPr>
        <w:t>OHS Regulations Part 3.3; clause 322; clause 109 (as it relates to falling objects); clause 116 (as it relates to falling objects); part 3.5 (as it relates to objects falling on a person)</w:t>
      </w:r>
    </w:p>
    <w:p w14:paraId="1C347CAE"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Prevention of falls in general construction - Compliance Code </w:t>
      </w:r>
    </w:p>
    <w:p w14:paraId="249FD3F6" w14:textId="77777777" w:rsidR="00802084" w:rsidRPr="00802084" w:rsidRDefault="00802084" w:rsidP="00C525F6">
      <w:pPr>
        <w:ind w:left="1440"/>
        <w:jc w:val="left"/>
        <w:rPr>
          <w:rFonts w:eastAsiaTheme="minorHAnsi"/>
          <w:lang w:eastAsia="en-US"/>
        </w:rPr>
      </w:pPr>
      <w:r w:rsidRPr="00802084">
        <w:rPr>
          <w:rFonts w:eastAsiaTheme="minorHAnsi"/>
          <w:lang w:eastAsia="en-US"/>
        </w:rPr>
        <w:lastRenderedPageBreak/>
        <w:t xml:space="preserve">Code of Practice: Prevention of falls in housing construction (this code of practice continues to be available as a source of practical guidance. However, as it is made under repealed legislation compliance with the code may not necessarily mean compliance with a duty under the OHS Act). </w:t>
      </w:r>
    </w:p>
    <w:p w14:paraId="2293596A" w14:textId="3F6F3AC3" w:rsidR="00802084" w:rsidRPr="00DF229A" w:rsidRDefault="00802084" w:rsidP="00DF229A">
      <w:pPr>
        <w:pStyle w:val="Heading2"/>
        <w:keepLines/>
        <w:suppressAutoHyphens w:val="0"/>
        <w:ind w:left="720" w:hanging="720"/>
        <w:jc w:val="left"/>
        <w:rPr>
          <w:rFonts w:cstheme="majorBidi"/>
          <w:lang w:eastAsia="en-US"/>
        </w:rPr>
      </w:pPr>
      <w:r w:rsidRPr="00DF229A">
        <w:rPr>
          <w:rFonts w:cstheme="majorBidi"/>
          <w:lang w:eastAsia="en-US"/>
        </w:rPr>
        <w:t>1.5</w:t>
      </w:r>
      <w:r w:rsidRPr="00DF229A">
        <w:rPr>
          <w:rFonts w:cstheme="majorBidi"/>
          <w:lang w:eastAsia="en-US"/>
        </w:rPr>
        <w:tab/>
        <w:t xml:space="preserve">Western Australian regulatory framework </w:t>
      </w:r>
    </w:p>
    <w:p w14:paraId="77317829" w14:textId="26C2D6D4" w:rsidR="008038B0" w:rsidRPr="008038B0" w:rsidRDefault="008038B0" w:rsidP="00FE57EF">
      <w:pPr>
        <w:pStyle w:val="Indent1"/>
        <w:ind w:left="851"/>
        <w:rPr>
          <w:lang w:eastAsia="en-US"/>
        </w:rPr>
      </w:pPr>
      <w:r w:rsidRPr="008038B0">
        <w:rPr>
          <w:lang w:eastAsia="en-US"/>
        </w:rPr>
        <w:t xml:space="preserve">The </w:t>
      </w:r>
      <w:r>
        <w:rPr>
          <w:lang w:eastAsia="en-US"/>
        </w:rPr>
        <w:t xml:space="preserve">Western Australian WHS regulatory framework relevant to a fall and being hit by falling objects is: </w:t>
      </w:r>
    </w:p>
    <w:p w14:paraId="09D9F135"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OSH Regulations Part 3, Division 5; Clause 3.18; clause 3.30; clause 3.31; clause 3.36; Part 3, Division 12 (as it relates to falls); Part 4, Division 4 (as it relates to falling objects); Schedule 6.3 (as it relates to falls) </w:t>
      </w:r>
    </w:p>
    <w:p w14:paraId="09072C7D" w14:textId="77777777" w:rsidR="00802084" w:rsidRPr="00802084" w:rsidRDefault="00802084" w:rsidP="00C525F6">
      <w:pPr>
        <w:ind w:left="1440"/>
        <w:jc w:val="left"/>
        <w:rPr>
          <w:rFonts w:eastAsiaTheme="minorHAnsi"/>
          <w:lang w:eastAsia="en-US"/>
        </w:rPr>
      </w:pPr>
      <w:r w:rsidRPr="00802084">
        <w:rPr>
          <w:rFonts w:eastAsiaTheme="minorHAnsi"/>
          <w:lang w:eastAsia="en-US"/>
        </w:rPr>
        <w:t>Code of Practice: Prevention of falls at workplaces</w:t>
      </w:r>
    </w:p>
    <w:p w14:paraId="73426DA8"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Code of Practice: Safe design of buildings and structures  </w:t>
      </w:r>
    </w:p>
    <w:p w14:paraId="5675B35A" w14:textId="77777777" w:rsidR="00802084" w:rsidRPr="00802084" w:rsidRDefault="00802084" w:rsidP="00C525F6">
      <w:pPr>
        <w:ind w:left="1440"/>
        <w:jc w:val="left"/>
        <w:rPr>
          <w:rFonts w:eastAsiaTheme="minorHAnsi"/>
          <w:lang w:eastAsia="en-US"/>
        </w:rPr>
      </w:pPr>
      <w:r w:rsidRPr="00802084">
        <w:rPr>
          <w:rFonts w:eastAsiaTheme="minorHAnsi"/>
          <w:lang w:eastAsia="en-US"/>
        </w:rPr>
        <w:t>AS-NZS 4576-1995 Guidelines for scaffolding</w:t>
      </w:r>
    </w:p>
    <w:p w14:paraId="7C6E5E21" w14:textId="7A4BAF87" w:rsidR="00802084" w:rsidRPr="00802084" w:rsidRDefault="00802084" w:rsidP="00DF229A">
      <w:pPr>
        <w:pStyle w:val="NumList0"/>
        <w:numPr>
          <w:ilvl w:val="0"/>
          <w:numId w:val="0"/>
        </w:numPr>
        <w:ind w:firstLine="720"/>
        <w:rPr>
          <w:b/>
          <w:sz w:val="24"/>
          <w:szCs w:val="24"/>
          <w:lang w:eastAsia="en-US"/>
        </w:rPr>
      </w:pPr>
      <w:r w:rsidRPr="00802084">
        <w:rPr>
          <w:b/>
          <w:sz w:val="24"/>
          <w:szCs w:val="24"/>
          <w:lang w:eastAsia="en-US"/>
        </w:rPr>
        <w:t xml:space="preserve">Vehicle incidents </w:t>
      </w:r>
    </w:p>
    <w:p w14:paraId="311E2168" w14:textId="74C82C46" w:rsidR="00802084" w:rsidRPr="00DF229A" w:rsidRDefault="00DF229A" w:rsidP="00DF229A">
      <w:pPr>
        <w:pStyle w:val="Heading2"/>
        <w:keepLines/>
        <w:suppressAutoHyphens w:val="0"/>
        <w:ind w:left="720" w:hanging="720"/>
        <w:jc w:val="left"/>
        <w:rPr>
          <w:rFonts w:cstheme="majorBidi"/>
          <w:lang w:eastAsia="en-US"/>
        </w:rPr>
      </w:pPr>
      <w:r w:rsidRPr="00DF229A">
        <w:rPr>
          <w:rFonts w:cstheme="majorBidi"/>
          <w:lang w:eastAsia="en-US"/>
        </w:rPr>
        <w:t>1.6</w:t>
      </w:r>
      <w:r w:rsidR="00DA6836" w:rsidRPr="00DF229A">
        <w:rPr>
          <w:rFonts w:cstheme="majorBidi"/>
          <w:lang w:eastAsia="en-US"/>
        </w:rPr>
        <w:tab/>
        <w:t>O</w:t>
      </w:r>
      <w:r w:rsidR="00802084" w:rsidRPr="00DF229A">
        <w:rPr>
          <w:rFonts w:cstheme="majorBidi"/>
          <w:lang w:eastAsia="en-US"/>
        </w:rPr>
        <w:t xml:space="preserve">ut of scope of review </w:t>
      </w:r>
    </w:p>
    <w:p w14:paraId="43B7D556" w14:textId="1919FCFC" w:rsidR="0097342B" w:rsidRPr="0097342B" w:rsidRDefault="0097342B" w:rsidP="0097342B">
      <w:pPr>
        <w:pStyle w:val="Indent1"/>
        <w:rPr>
          <w:lang w:eastAsia="en-US"/>
        </w:rPr>
      </w:pPr>
      <w:r w:rsidRPr="008038B0">
        <w:rPr>
          <w:lang w:eastAsia="en-US"/>
        </w:rPr>
        <w:t xml:space="preserve">The </w:t>
      </w:r>
      <w:r>
        <w:rPr>
          <w:lang w:eastAsia="en-US"/>
        </w:rPr>
        <w:t>following parts of the WHS Regulatory framework will inform the Review, but are out of scope and will not be directly con</w:t>
      </w:r>
      <w:r w:rsidR="00E52BCB">
        <w:rPr>
          <w:lang w:eastAsia="en-US"/>
        </w:rPr>
        <w:t>sidered as a part of the Review:</w:t>
      </w:r>
      <w:r>
        <w:rPr>
          <w:lang w:eastAsia="en-US"/>
        </w:rPr>
        <w:t xml:space="preserve"> </w:t>
      </w:r>
    </w:p>
    <w:p w14:paraId="6BF471B7"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WHS Act </w:t>
      </w:r>
    </w:p>
    <w:p w14:paraId="1BBB58A4"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2011 (</w:t>
      </w:r>
      <w:proofErr w:type="spellStart"/>
      <w:r w:rsidRPr="00802084">
        <w:rPr>
          <w:rFonts w:eastAsiaTheme="minorHAnsi"/>
          <w:lang w:eastAsia="en-US"/>
        </w:rPr>
        <w:t>Cth</w:t>
      </w:r>
      <w:proofErr w:type="spellEnd"/>
      <w:r w:rsidRPr="00802084">
        <w:rPr>
          <w:rFonts w:eastAsiaTheme="minorHAnsi"/>
          <w:lang w:eastAsia="en-US"/>
        </w:rPr>
        <w:t>)</w:t>
      </w:r>
    </w:p>
    <w:p w14:paraId="7D44596D"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2011 (ACT)</w:t>
      </w:r>
    </w:p>
    <w:p w14:paraId="4227A03C"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Work Health and Safety Act 2011 (NSW) </w:t>
      </w:r>
    </w:p>
    <w:p w14:paraId="053AFE8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Work Health and Safety Act 2011 (Qld) </w:t>
      </w:r>
    </w:p>
    <w:p w14:paraId="43436DFD"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(National Uniform Legislation) Act 2011 (NT)</w:t>
      </w:r>
    </w:p>
    <w:p w14:paraId="0CDF60CC"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2012 (SA)</w:t>
      </w:r>
    </w:p>
    <w:p w14:paraId="70913C70"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2012 (</w:t>
      </w:r>
      <w:proofErr w:type="spellStart"/>
      <w:r w:rsidRPr="00802084">
        <w:rPr>
          <w:rFonts w:eastAsiaTheme="minorHAnsi"/>
          <w:lang w:eastAsia="en-US"/>
        </w:rPr>
        <w:t>Tas</w:t>
      </w:r>
      <w:proofErr w:type="spellEnd"/>
      <w:r w:rsidRPr="00802084">
        <w:rPr>
          <w:rFonts w:eastAsiaTheme="minorHAnsi"/>
          <w:lang w:eastAsia="en-US"/>
        </w:rPr>
        <w:t>)</w:t>
      </w:r>
    </w:p>
    <w:p w14:paraId="0EC875B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Occupational Health and Safety Act 2004 (Vic) </w:t>
      </w:r>
    </w:p>
    <w:p w14:paraId="3B58F660"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Occupational Safety and Health Act 1984 (WA)</w:t>
      </w:r>
    </w:p>
    <w:p w14:paraId="5EF0953E"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WHS Regulations (other than provisions specifically in scope of review) </w:t>
      </w:r>
    </w:p>
    <w:p w14:paraId="4E9A5998"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Jurisdictional based electrical safety legislation </w:t>
      </w:r>
    </w:p>
    <w:p w14:paraId="126BEF8B"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Road traffic laws</w:t>
      </w:r>
    </w:p>
    <w:p w14:paraId="51D15A5F"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Heavy vehicle national laws </w:t>
      </w:r>
    </w:p>
    <w:p w14:paraId="6784D529" w14:textId="5346664C" w:rsidR="00802084" w:rsidRPr="00DF229A" w:rsidRDefault="00FE57EF" w:rsidP="00DF229A">
      <w:pPr>
        <w:pStyle w:val="Heading2"/>
        <w:keepLines/>
        <w:suppressAutoHyphens w:val="0"/>
        <w:ind w:left="720" w:hanging="720"/>
        <w:jc w:val="left"/>
        <w:rPr>
          <w:rFonts w:cstheme="majorBidi"/>
          <w:lang w:eastAsia="en-US"/>
        </w:rPr>
      </w:pPr>
      <w:r>
        <w:rPr>
          <w:rFonts w:cstheme="majorBidi"/>
          <w:lang w:eastAsia="en-US"/>
        </w:rPr>
        <w:t>1.7</w:t>
      </w:r>
      <w:r w:rsidR="00802084" w:rsidRPr="00DF229A">
        <w:rPr>
          <w:rFonts w:cstheme="majorBidi"/>
          <w:lang w:eastAsia="en-US"/>
        </w:rPr>
        <w:tab/>
        <w:t xml:space="preserve">Model WHS regulatory framework </w:t>
      </w:r>
    </w:p>
    <w:p w14:paraId="0BB52528" w14:textId="1130B304" w:rsidR="0097342B" w:rsidRPr="001C5361" w:rsidRDefault="001C5361" w:rsidP="001C5361">
      <w:pPr>
        <w:keepNext/>
        <w:keepLines/>
        <w:ind w:firstLine="720"/>
        <w:rPr>
          <w:rFonts w:eastAsiaTheme="minorHAnsi"/>
          <w:lang w:eastAsia="en-US"/>
        </w:rPr>
      </w:pPr>
      <w:r>
        <w:rPr>
          <w:rFonts w:eastAsiaTheme="minorHAnsi"/>
          <w:lang w:eastAsia="en-US"/>
        </w:rPr>
        <w:lastRenderedPageBreak/>
        <w:t xml:space="preserve">The model WHS regulatory framework relevant to a fall and being hit by falling objects is: </w:t>
      </w:r>
    </w:p>
    <w:p w14:paraId="6DF28040"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Model WHS Regulations: Part 3.1</w:t>
      </w:r>
    </w:p>
    <w:p w14:paraId="0B2F08D8"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How to manage work health and safety risks</w:t>
      </w:r>
    </w:p>
    <w:p w14:paraId="26730808"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Construction work</w:t>
      </w:r>
    </w:p>
    <w:p w14:paraId="2607F246"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Guide: Traffic management general guide </w:t>
      </w:r>
    </w:p>
    <w:p w14:paraId="19E63954"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Guide: Traffic management guide - construction work </w:t>
      </w:r>
    </w:p>
    <w:p w14:paraId="30321373"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Information sheet: Traffic management</w:t>
      </w:r>
    </w:p>
    <w:p w14:paraId="0C20E4A5"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Checklist: Traffic hazards </w:t>
      </w:r>
    </w:p>
    <w:p w14:paraId="64F03474"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Checklist: Traffic control measures </w:t>
      </w:r>
    </w:p>
    <w:p w14:paraId="6E192DEA" w14:textId="77035C0C" w:rsidR="00802084" w:rsidRPr="00DF229A" w:rsidRDefault="00FE57EF" w:rsidP="00DF229A">
      <w:pPr>
        <w:pStyle w:val="Heading2"/>
        <w:keepLines/>
        <w:suppressAutoHyphens w:val="0"/>
        <w:ind w:left="720" w:hanging="720"/>
        <w:jc w:val="left"/>
        <w:rPr>
          <w:rFonts w:cstheme="majorBidi"/>
          <w:lang w:eastAsia="en-US"/>
        </w:rPr>
      </w:pPr>
      <w:r>
        <w:rPr>
          <w:rFonts w:cstheme="majorBidi"/>
          <w:lang w:eastAsia="en-US"/>
        </w:rPr>
        <w:t>1.8</w:t>
      </w:r>
      <w:r w:rsidR="001C5361" w:rsidRPr="00DF229A">
        <w:rPr>
          <w:rFonts w:cstheme="majorBidi"/>
          <w:lang w:eastAsia="en-US"/>
        </w:rPr>
        <w:tab/>
        <w:t xml:space="preserve">Jurisdictional </w:t>
      </w:r>
      <w:r w:rsidR="00E52BCB">
        <w:rPr>
          <w:rFonts w:cstheme="majorBidi"/>
          <w:lang w:eastAsia="en-US"/>
        </w:rPr>
        <w:t>differences</w:t>
      </w:r>
      <w:r w:rsidR="001C5361" w:rsidRPr="00DF229A">
        <w:rPr>
          <w:rFonts w:cstheme="majorBidi"/>
          <w:lang w:eastAsia="en-US"/>
        </w:rPr>
        <w:t xml:space="preserve"> </w:t>
      </w:r>
      <w:r w:rsidR="00E52BCB">
        <w:rPr>
          <w:rFonts w:cstheme="majorBidi"/>
          <w:lang w:eastAsia="en-US"/>
        </w:rPr>
        <w:t>(</w:t>
      </w:r>
      <w:r w:rsidR="001C5361" w:rsidRPr="00DF229A">
        <w:rPr>
          <w:rFonts w:cstheme="majorBidi"/>
          <w:lang w:eastAsia="en-US"/>
        </w:rPr>
        <w:t>exception</w:t>
      </w:r>
      <w:r w:rsidR="00E52BCB">
        <w:rPr>
          <w:rFonts w:cstheme="majorBidi"/>
          <w:lang w:eastAsia="en-US"/>
        </w:rPr>
        <w:t>s</w:t>
      </w:r>
      <w:r w:rsidR="001C5361" w:rsidRPr="00DF229A">
        <w:rPr>
          <w:rFonts w:cstheme="majorBidi"/>
          <w:lang w:eastAsia="en-US"/>
        </w:rPr>
        <w:t xml:space="preserve"> to the model WHS regulatory framework)  </w:t>
      </w:r>
    </w:p>
    <w:p w14:paraId="0909C34C" w14:textId="6358CDB6" w:rsidR="001C5361" w:rsidRPr="001C5361" w:rsidRDefault="001C5361" w:rsidP="001C5361">
      <w:pPr>
        <w:pStyle w:val="Indent1"/>
        <w:rPr>
          <w:lang w:eastAsia="en-US"/>
        </w:rPr>
      </w:pPr>
      <w:r w:rsidRPr="008038B0">
        <w:rPr>
          <w:lang w:eastAsia="en-US"/>
        </w:rPr>
        <w:t xml:space="preserve">The </w:t>
      </w:r>
      <w:r w:rsidR="006A3FCD">
        <w:rPr>
          <w:lang w:eastAsia="en-US"/>
        </w:rPr>
        <w:t>jurisdictional</w:t>
      </w:r>
      <w:r>
        <w:rPr>
          <w:lang w:eastAsia="en-US"/>
        </w:rPr>
        <w:t xml:space="preserve"> </w:t>
      </w:r>
      <w:r w:rsidR="00E52BCB">
        <w:rPr>
          <w:lang w:eastAsia="en-US"/>
        </w:rPr>
        <w:t>differences</w:t>
      </w:r>
      <w:r>
        <w:rPr>
          <w:lang w:eastAsia="en-US"/>
        </w:rPr>
        <w:t xml:space="preserve"> to the model WHS regulatory framework relevant to vehicle incidents are: </w:t>
      </w:r>
    </w:p>
    <w:p w14:paraId="570359CD" w14:textId="77777777" w:rsidR="00802084" w:rsidRPr="00FE57EF" w:rsidRDefault="00802084" w:rsidP="00C525F6">
      <w:pPr>
        <w:ind w:left="1440"/>
        <w:jc w:val="left"/>
        <w:rPr>
          <w:rFonts w:eastAsiaTheme="minorHAnsi"/>
          <w:color w:val="4F81BD" w:themeColor="accent1"/>
          <w:lang w:eastAsia="en-US"/>
        </w:rPr>
      </w:pPr>
      <w:r w:rsidRPr="00FE57EF">
        <w:rPr>
          <w:rFonts w:eastAsiaTheme="minorHAnsi"/>
          <w:color w:val="4F81BD" w:themeColor="accent1"/>
          <w:lang w:eastAsia="en-US"/>
        </w:rPr>
        <w:t>Qld</w:t>
      </w:r>
    </w:p>
    <w:p w14:paraId="22FA3938" w14:textId="38F90F51" w:rsidR="00802084" w:rsidRPr="00802084" w:rsidRDefault="00802084" w:rsidP="00C525F6">
      <w:pPr>
        <w:ind w:left="1440"/>
        <w:jc w:val="left"/>
        <w:rPr>
          <w:rFonts w:eastAsiaTheme="minorHAnsi"/>
          <w:lang w:eastAsia="en-US"/>
        </w:rPr>
      </w:pPr>
      <w:r w:rsidRPr="00802084">
        <w:rPr>
          <w:rFonts w:eastAsiaTheme="minorHAnsi"/>
          <w:lang w:eastAsia="en-US"/>
        </w:rPr>
        <w:t>Traffic management for construction or maintenance work code of practice 2008</w:t>
      </w:r>
    </w:p>
    <w:p w14:paraId="7471E23F" w14:textId="77777777" w:rsidR="00802084" w:rsidRPr="00FE57EF" w:rsidRDefault="00802084" w:rsidP="00C525F6">
      <w:pPr>
        <w:ind w:left="1440"/>
        <w:jc w:val="left"/>
        <w:rPr>
          <w:rFonts w:eastAsiaTheme="minorHAnsi"/>
          <w:color w:val="4F81BD" w:themeColor="accent1"/>
          <w:lang w:eastAsia="en-US"/>
        </w:rPr>
      </w:pPr>
      <w:r w:rsidRPr="00FE57EF">
        <w:rPr>
          <w:rFonts w:eastAsiaTheme="minorHAnsi"/>
          <w:color w:val="4F81BD" w:themeColor="accent1"/>
          <w:lang w:eastAsia="en-US"/>
        </w:rPr>
        <w:t>SA</w:t>
      </w:r>
    </w:p>
    <w:p w14:paraId="500180F9"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A code based on the Model </w:t>
      </w:r>
      <w:proofErr w:type="spellStart"/>
      <w:r w:rsidRPr="00802084">
        <w:rPr>
          <w:rFonts w:eastAsiaTheme="minorHAnsi"/>
          <w:lang w:eastAsia="en-US"/>
        </w:rPr>
        <w:t>CoP</w:t>
      </w:r>
      <w:proofErr w:type="spellEnd"/>
      <w:r w:rsidRPr="00802084">
        <w:rPr>
          <w:rFonts w:eastAsiaTheme="minorHAnsi"/>
          <w:lang w:eastAsia="en-US"/>
        </w:rPr>
        <w:t xml:space="preserve">: Construction work has not been adopted in South Australia. </w:t>
      </w:r>
    </w:p>
    <w:p w14:paraId="64BDB47C" w14:textId="70EC9FB7" w:rsidR="00802084" w:rsidRPr="00DF229A" w:rsidRDefault="00FE57EF" w:rsidP="00DF229A">
      <w:pPr>
        <w:pStyle w:val="Heading2"/>
        <w:keepLines/>
        <w:suppressAutoHyphens w:val="0"/>
        <w:ind w:left="720" w:hanging="720"/>
        <w:jc w:val="left"/>
        <w:rPr>
          <w:rFonts w:cstheme="majorBidi"/>
          <w:lang w:eastAsia="en-US"/>
        </w:rPr>
      </w:pPr>
      <w:r>
        <w:rPr>
          <w:rFonts w:cstheme="majorBidi"/>
          <w:lang w:eastAsia="en-US"/>
        </w:rPr>
        <w:t>1.9</w:t>
      </w:r>
      <w:r w:rsidR="00802084" w:rsidRPr="00DF229A">
        <w:rPr>
          <w:rFonts w:cstheme="majorBidi"/>
          <w:lang w:eastAsia="en-US"/>
        </w:rPr>
        <w:tab/>
        <w:t xml:space="preserve">Victorian WHS regulatory framework </w:t>
      </w:r>
    </w:p>
    <w:p w14:paraId="5A819ADB" w14:textId="7B6C4EE9" w:rsidR="001C5361" w:rsidRPr="001C5361" w:rsidRDefault="001C5361" w:rsidP="001C5361">
      <w:pPr>
        <w:pStyle w:val="Indent1"/>
        <w:rPr>
          <w:lang w:eastAsia="en-US"/>
        </w:rPr>
      </w:pPr>
      <w:r w:rsidRPr="008038B0">
        <w:rPr>
          <w:lang w:eastAsia="en-US"/>
        </w:rPr>
        <w:t xml:space="preserve">The Victorian WHS regulatory framework relevant to </w:t>
      </w:r>
      <w:r>
        <w:rPr>
          <w:lang w:eastAsia="en-US"/>
        </w:rPr>
        <w:t>vehicle incidents is</w:t>
      </w:r>
      <w:r w:rsidRPr="008038B0">
        <w:rPr>
          <w:lang w:eastAsia="en-US"/>
        </w:rPr>
        <w:t xml:space="preserve">: </w:t>
      </w:r>
    </w:p>
    <w:p w14:paraId="5CC1E5B1"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Guidance sheet: Work-related driving – Selecting safe vehicles</w:t>
      </w:r>
    </w:p>
    <w:p w14:paraId="15959FAE"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Guidance sheet: Transporting people and equipment in vehicles </w:t>
      </w:r>
    </w:p>
    <w:p w14:paraId="281B8AAA" w14:textId="031FCC39" w:rsidR="00802084" w:rsidRPr="00DF229A" w:rsidRDefault="00FE57EF" w:rsidP="00DF229A">
      <w:pPr>
        <w:pStyle w:val="Heading2"/>
        <w:keepLines/>
        <w:suppressAutoHyphens w:val="0"/>
        <w:ind w:left="720" w:hanging="720"/>
        <w:jc w:val="left"/>
        <w:rPr>
          <w:rFonts w:cstheme="majorBidi"/>
          <w:lang w:eastAsia="en-US"/>
        </w:rPr>
      </w:pPr>
      <w:r>
        <w:rPr>
          <w:rFonts w:cstheme="majorBidi"/>
          <w:lang w:eastAsia="en-US"/>
        </w:rPr>
        <w:t>1.10</w:t>
      </w:r>
      <w:r w:rsidR="00802084" w:rsidRPr="00DF229A">
        <w:rPr>
          <w:rFonts w:cstheme="majorBidi"/>
          <w:lang w:eastAsia="en-US"/>
        </w:rPr>
        <w:tab/>
        <w:t xml:space="preserve">Western Australian regulatory framework </w:t>
      </w:r>
    </w:p>
    <w:p w14:paraId="664A26A2" w14:textId="06C035A7" w:rsidR="001C5361" w:rsidRPr="001C5361" w:rsidRDefault="001C5361" w:rsidP="001C5361">
      <w:pPr>
        <w:pStyle w:val="Indent1"/>
        <w:rPr>
          <w:lang w:eastAsia="en-US"/>
        </w:rPr>
      </w:pPr>
      <w:r w:rsidRPr="008038B0">
        <w:rPr>
          <w:lang w:eastAsia="en-US"/>
        </w:rPr>
        <w:t xml:space="preserve">The </w:t>
      </w:r>
      <w:r>
        <w:rPr>
          <w:lang w:eastAsia="en-US"/>
        </w:rPr>
        <w:t xml:space="preserve">Western Australian WHS regulatory framework relevant to vehicle incidents is: </w:t>
      </w:r>
    </w:p>
    <w:p w14:paraId="43A354EE"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OSH Regulations: Clause 3.22; Part 3, Division 10 </w:t>
      </w:r>
    </w:p>
    <w:p w14:paraId="6BFDF8A3"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Code of Practice: Fatigue Management for Commercial Drivers </w:t>
      </w:r>
    </w:p>
    <w:p w14:paraId="3A4FB6F4" w14:textId="77777777" w:rsidR="00723732" w:rsidRDefault="00723732" w:rsidP="00FE57EF">
      <w:pPr>
        <w:pStyle w:val="NumList0"/>
        <w:numPr>
          <w:ilvl w:val="0"/>
          <w:numId w:val="0"/>
        </w:numPr>
        <w:ind w:firstLine="720"/>
        <w:rPr>
          <w:b/>
          <w:sz w:val="24"/>
          <w:szCs w:val="24"/>
          <w:lang w:eastAsia="en-US"/>
        </w:rPr>
      </w:pPr>
      <w:r>
        <w:rPr>
          <w:b/>
          <w:sz w:val="24"/>
          <w:szCs w:val="24"/>
          <w:lang w:eastAsia="en-US"/>
        </w:rPr>
        <w:br w:type="page"/>
      </w:r>
    </w:p>
    <w:p w14:paraId="09387EAD" w14:textId="34EE701C" w:rsidR="00802084" w:rsidRPr="00802084" w:rsidRDefault="00802084" w:rsidP="00FE57EF">
      <w:pPr>
        <w:pStyle w:val="NumList0"/>
        <w:numPr>
          <w:ilvl w:val="0"/>
          <w:numId w:val="0"/>
        </w:numPr>
        <w:ind w:firstLine="720"/>
        <w:rPr>
          <w:b/>
          <w:sz w:val="24"/>
          <w:szCs w:val="24"/>
          <w:lang w:eastAsia="en-US"/>
        </w:rPr>
      </w:pPr>
      <w:r w:rsidRPr="00802084">
        <w:rPr>
          <w:b/>
          <w:sz w:val="24"/>
          <w:szCs w:val="24"/>
          <w:lang w:eastAsia="en-US"/>
        </w:rPr>
        <w:lastRenderedPageBreak/>
        <w:t xml:space="preserve">Contact with electricity </w:t>
      </w:r>
    </w:p>
    <w:p w14:paraId="57607742" w14:textId="4C1C9DFC" w:rsidR="00802084" w:rsidRPr="00DF229A" w:rsidRDefault="00FE57EF" w:rsidP="00DF229A">
      <w:pPr>
        <w:pStyle w:val="Heading2"/>
        <w:keepLines/>
        <w:suppressAutoHyphens w:val="0"/>
        <w:ind w:left="720" w:hanging="720"/>
        <w:jc w:val="left"/>
        <w:rPr>
          <w:rFonts w:cstheme="majorBidi"/>
          <w:lang w:eastAsia="en-US"/>
        </w:rPr>
      </w:pPr>
      <w:r>
        <w:rPr>
          <w:rFonts w:cstheme="majorBidi"/>
          <w:lang w:eastAsia="en-US"/>
        </w:rPr>
        <w:t>1</w:t>
      </w:r>
      <w:r w:rsidR="00327732" w:rsidRPr="00DF229A">
        <w:rPr>
          <w:rFonts w:cstheme="majorBidi"/>
          <w:lang w:eastAsia="en-US"/>
        </w:rPr>
        <w:t>.1</w:t>
      </w:r>
      <w:r w:rsidR="00E52BCB">
        <w:rPr>
          <w:rFonts w:cstheme="majorBidi"/>
          <w:lang w:eastAsia="en-US"/>
        </w:rPr>
        <w:t>1</w:t>
      </w:r>
      <w:r w:rsidR="00327732" w:rsidRPr="00DF229A">
        <w:rPr>
          <w:rFonts w:cstheme="majorBidi"/>
          <w:lang w:eastAsia="en-US"/>
        </w:rPr>
        <w:tab/>
        <w:t>O</w:t>
      </w:r>
      <w:r w:rsidR="00802084" w:rsidRPr="00DF229A">
        <w:rPr>
          <w:rFonts w:cstheme="majorBidi"/>
          <w:lang w:eastAsia="en-US"/>
        </w:rPr>
        <w:t xml:space="preserve">ut of scope of review </w:t>
      </w:r>
    </w:p>
    <w:p w14:paraId="6EFB8D25" w14:textId="389A1994" w:rsidR="00A92919" w:rsidRPr="00A92919" w:rsidRDefault="00A92919" w:rsidP="00A92919">
      <w:pPr>
        <w:pStyle w:val="Indent1"/>
        <w:rPr>
          <w:lang w:eastAsia="en-US"/>
        </w:rPr>
      </w:pPr>
      <w:r w:rsidRPr="008038B0">
        <w:rPr>
          <w:lang w:eastAsia="en-US"/>
        </w:rPr>
        <w:t xml:space="preserve">The </w:t>
      </w:r>
      <w:r>
        <w:rPr>
          <w:lang w:eastAsia="en-US"/>
        </w:rPr>
        <w:t xml:space="preserve">following parts of the WHS Regulatory framework will inform the Review, but are out of scope and will not be directly considered as a part of the Review. </w:t>
      </w:r>
    </w:p>
    <w:p w14:paraId="2ACBF29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WHS Act </w:t>
      </w:r>
    </w:p>
    <w:p w14:paraId="6D26A654"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2011 (</w:t>
      </w:r>
      <w:proofErr w:type="spellStart"/>
      <w:r w:rsidRPr="00802084">
        <w:rPr>
          <w:rFonts w:eastAsiaTheme="minorHAnsi"/>
          <w:lang w:eastAsia="en-US"/>
        </w:rPr>
        <w:t>Cth</w:t>
      </w:r>
      <w:proofErr w:type="spellEnd"/>
      <w:r w:rsidRPr="00802084">
        <w:rPr>
          <w:rFonts w:eastAsiaTheme="minorHAnsi"/>
          <w:lang w:eastAsia="en-US"/>
        </w:rPr>
        <w:t>)</w:t>
      </w:r>
    </w:p>
    <w:p w14:paraId="7EC7E10B"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2011 (ACT)</w:t>
      </w:r>
    </w:p>
    <w:p w14:paraId="55115F00"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Work Health and Safety Act 2011 (NSW) </w:t>
      </w:r>
    </w:p>
    <w:p w14:paraId="16767485"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Work Health and Safety Act 2011 (Qld) </w:t>
      </w:r>
    </w:p>
    <w:p w14:paraId="5960CCE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(National Uniform Legislation) Act 2011 (NT)</w:t>
      </w:r>
    </w:p>
    <w:p w14:paraId="71A1E221"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2012 (SA)</w:t>
      </w:r>
    </w:p>
    <w:p w14:paraId="6A6D03DF"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Work Health and Safety Act 2012 (</w:t>
      </w:r>
      <w:proofErr w:type="spellStart"/>
      <w:r w:rsidRPr="00802084">
        <w:rPr>
          <w:rFonts w:eastAsiaTheme="minorHAnsi"/>
          <w:lang w:eastAsia="en-US"/>
        </w:rPr>
        <w:t>Tas</w:t>
      </w:r>
      <w:proofErr w:type="spellEnd"/>
      <w:r w:rsidRPr="00802084">
        <w:rPr>
          <w:rFonts w:eastAsiaTheme="minorHAnsi"/>
          <w:lang w:eastAsia="en-US"/>
        </w:rPr>
        <w:t>)</w:t>
      </w:r>
    </w:p>
    <w:p w14:paraId="733A73D3"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Occupational Health and Safety Act 2004 (Vic) </w:t>
      </w:r>
    </w:p>
    <w:p w14:paraId="247A627C"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Occupational Safety and Health Act 1984 (WA)</w:t>
      </w:r>
    </w:p>
    <w:p w14:paraId="0620FA34"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WHS Regulations (other than provisions specifically in scope of review) </w:t>
      </w:r>
    </w:p>
    <w:p w14:paraId="3A2B577C"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Jurisdictional based electrical safety legislation </w:t>
      </w:r>
    </w:p>
    <w:p w14:paraId="2BC80B8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Road traffic laws</w:t>
      </w:r>
    </w:p>
    <w:p w14:paraId="346F584B"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Heavy vehicle national laws </w:t>
      </w:r>
    </w:p>
    <w:p w14:paraId="2E9B00B3" w14:textId="4401B752" w:rsidR="00802084" w:rsidRPr="00DF229A" w:rsidRDefault="00E52BCB" w:rsidP="00DF229A">
      <w:pPr>
        <w:pStyle w:val="Heading2"/>
        <w:keepLines/>
        <w:suppressAutoHyphens w:val="0"/>
        <w:ind w:left="720" w:hanging="720"/>
        <w:jc w:val="left"/>
        <w:rPr>
          <w:rFonts w:cstheme="majorBidi"/>
          <w:lang w:eastAsia="en-US"/>
        </w:rPr>
      </w:pPr>
      <w:r>
        <w:rPr>
          <w:rFonts w:cstheme="majorBidi"/>
          <w:lang w:eastAsia="en-US"/>
        </w:rPr>
        <w:t>1</w:t>
      </w:r>
      <w:r w:rsidR="00802084" w:rsidRPr="00DF229A">
        <w:rPr>
          <w:rFonts w:cstheme="majorBidi"/>
          <w:lang w:eastAsia="en-US"/>
        </w:rPr>
        <w:t>.</w:t>
      </w:r>
      <w:r>
        <w:rPr>
          <w:rFonts w:cstheme="majorBidi"/>
          <w:lang w:eastAsia="en-US"/>
        </w:rPr>
        <w:t>1</w:t>
      </w:r>
      <w:r w:rsidR="00802084" w:rsidRPr="00DF229A">
        <w:rPr>
          <w:rFonts w:cstheme="majorBidi"/>
          <w:lang w:eastAsia="en-US"/>
        </w:rPr>
        <w:t>2</w:t>
      </w:r>
      <w:r w:rsidR="00802084" w:rsidRPr="00DF229A">
        <w:rPr>
          <w:rFonts w:cstheme="majorBidi"/>
          <w:lang w:eastAsia="en-US"/>
        </w:rPr>
        <w:tab/>
        <w:t xml:space="preserve">Model WHS regulatory framework </w:t>
      </w:r>
    </w:p>
    <w:p w14:paraId="08D4059A" w14:textId="14018D99" w:rsidR="00A92919" w:rsidRPr="00A92919" w:rsidRDefault="00A92919" w:rsidP="00A92919">
      <w:pPr>
        <w:keepNext/>
        <w:keepLines/>
        <w:ind w:firstLine="720"/>
        <w:rPr>
          <w:rFonts w:eastAsiaTheme="minorHAnsi"/>
          <w:lang w:eastAsia="en-US"/>
        </w:rPr>
      </w:pPr>
      <w:r>
        <w:rPr>
          <w:rFonts w:eastAsiaTheme="minorHAnsi"/>
          <w:lang w:eastAsia="en-US"/>
        </w:rPr>
        <w:t xml:space="preserve">The model WHS regulatory framework relevant to contact with electricity is: </w:t>
      </w:r>
    </w:p>
    <w:p w14:paraId="0B76A980"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Model WHS Regulations: Part 3.1; Part 4.7</w:t>
      </w:r>
    </w:p>
    <w:p w14:paraId="62513823"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How to manage work health and safety risks</w:t>
      </w:r>
    </w:p>
    <w:p w14:paraId="60E3901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Construction work</w:t>
      </w:r>
    </w:p>
    <w:p w14:paraId="151BF2D1"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Model </w:t>
      </w:r>
      <w:proofErr w:type="spellStart"/>
      <w:r w:rsidRPr="00802084">
        <w:rPr>
          <w:rFonts w:eastAsiaTheme="minorHAnsi"/>
          <w:lang w:eastAsia="en-US"/>
        </w:rPr>
        <w:t>CoP</w:t>
      </w:r>
      <w:proofErr w:type="spellEnd"/>
      <w:r w:rsidRPr="00802084">
        <w:rPr>
          <w:rFonts w:eastAsiaTheme="minorHAnsi"/>
          <w:lang w:eastAsia="en-US"/>
        </w:rPr>
        <w:t xml:space="preserve">: Managing electrical risks in the workplace </w:t>
      </w:r>
    </w:p>
    <w:p w14:paraId="6C3EE655"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General guide: Definitions OHEL</w:t>
      </w:r>
    </w:p>
    <w:p w14:paraId="441743BD"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Guide: Working in the vicinity of overhead and underground electrical lines </w:t>
      </w:r>
    </w:p>
    <w:p w14:paraId="4B8E830D"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Guide: Working near low voltage OHEL near structures </w:t>
      </w:r>
    </w:p>
    <w:p w14:paraId="354657F3"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Guide: Operating cranes and mobile plant near OHEL </w:t>
      </w:r>
    </w:p>
    <w:p w14:paraId="66A8D107"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Guide: Transporting high load near OHEL </w:t>
      </w:r>
    </w:p>
    <w:p w14:paraId="7567EBE1"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lastRenderedPageBreak/>
        <w:t xml:space="preserve">Information sheet: Working in the vicinity of overhead and underground electrical lines </w:t>
      </w:r>
    </w:p>
    <w:p w14:paraId="2ED11DFC"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Information sheet: Scaffolding near OHEL </w:t>
      </w:r>
    </w:p>
    <w:p w14:paraId="27782125"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Fact sheet: Electrical risks</w:t>
      </w:r>
    </w:p>
    <w:p w14:paraId="469C3EB0"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Incidents and scenarios: Case studies  </w:t>
      </w:r>
    </w:p>
    <w:p w14:paraId="731DD341" w14:textId="5648D4E5" w:rsidR="00802084" w:rsidRPr="00DF229A" w:rsidRDefault="00E52BCB" w:rsidP="00DF229A">
      <w:pPr>
        <w:pStyle w:val="Heading2"/>
        <w:keepLines/>
        <w:suppressAutoHyphens w:val="0"/>
        <w:ind w:left="720" w:hanging="720"/>
        <w:jc w:val="left"/>
        <w:rPr>
          <w:rFonts w:cstheme="majorBidi"/>
          <w:lang w:eastAsia="en-US"/>
        </w:rPr>
      </w:pPr>
      <w:r>
        <w:rPr>
          <w:rFonts w:cstheme="majorBidi"/>
          <w:lang w:eastAsia="en-US"/>
        </w:rPr>
        <w:t>1</w:t>
      </w:r>
      <w:r w:rsidR="00993760" w:rsidRPr="00DF229A">
        <w:rPr>
          <w:rFonts w:cstheme="majorBidi"/>
          <w:lang w:eastAsia="en-US"/>
        </w:rPr>
        <w:t>.</w:t>
      </w:r>
      <w:r>
        <w:rPr>
          <w:rFonts w:cstheme="majorBidi"/>
          <w:lang w:eastAsia="en-US"/>
        </w:rPr>
        <w:t>1</w:t>
      </w:r>
      <w:r w:rsidR="00993760" w:rsidRPr="00DF229A">
        <w:rPr>
          <w:rFonts w:cstheme="majorBidi"/>
          <w:lang w:eastAsia="en-US"/>
        </w:rPr>
        <w:t>3</w:t>
      </w:r>
      <w:r w:rsidR="00993760" w:rsidRPr="00DF229A">
        <w:rPr>
          <w:rFonts w:cstheme="majorBidi"/>
          <w:lang w:eastAsia="en-US"/>
        </w:rPr>
        <w:tab/>
      </w:r>
      <w:r w:rsidR="00802084" w:rsidRPr="00DF229A">
        <w:rPr>
          <w:rFonts w:cstheme="majorBidi"/>
          <w:lang w:eastAsia="en-US"/>
        </w:rPr>
        <w:t xml:space="preserve">Jurisdictional </w:t>
      </w:r>
      <w:r>
        <w:rPr>
          <w:rFonts w:cstheme="majorBidi"/>
          <w:lang w:eastAsia="en-US"/>
        </w:rPr>
        <w:t>differences (exceptions to the model WHS regulatory framework)</w:t>
      </w:r>
    </w:p>
    <w:p w14:paraId="28E8688B" w14:textId="07A265D2" w:rsidR="00A92919" w:rsidRPr="00A92919" w:rsidRDefault="00A92919" w:rsidP="00A92919">
      <w:pPr>
        <w:pStyle w:val="Indent1"/>
        <w:rPr>
          <w:lang w:eastAsia="en-US"/>
        </w:rPr>
      </w:pPr>
      <w:r w:rsidRPr="008038B0">
        <w:rPr>
          <w:lang w:eastAsia="en-US"/>
        </w:rPr>
        <w:t xml:space="preserve">The </w:t>
      </w:r>
      <w:r w:rsidR="006A3FCD">
        <w:rPr>
          <w:lang w:eastAsia="en-US"/>
        </w:rPr>
        <w:t>jurisdictional</w:t>
      </w:r>
      <w:r>
        <w:rPr>
          <w:lang w:eastAsia="en-US"/>
        </w:rPr>
        <w:t xml:space="preserve"> </w:t>
      </w:r>
      <w:r w:rsidR="00E52BCB">
        <w:rPr>
          <w:lang w:eastAsia="en-US"/>
        </w:rPr>
        <w:t>differences</w:t>
      </w:r>
      <w:r>
        <w:rPr>
          <w:lang w:eastAsia="en-US"/>
        </w:rPr>
        <w:t xml:space="preserve"> to the model WHS regulatory framework relevant to contact with electricity are: </w:t>
      </w:r>
    </w:p>
    <w:p w14:paraId="5A3E6557" w14:textId="4C92703B" w:rsidR="00802084" w:rsidRPr="00E52BCB" w:rsidRDefault="00802084" w:rsidP="00C525F6">
      <w:pPr>
        <w:ind w:left="1440"/>
        <w:jc w:val="left"/>
        <w:rPr>
          <w:rFonts w:eastAsiaTheme="minorHAnsi"/>
          <w:color w:val="4F81BD" w:themeColor="accent1"/>
          <w:lang w:eastAsia="en-US"/>
        </w:rPr>
      </w:pPr>
      <w:r w:rsidRPr="00E52BCB">
        <w:rPr>
          <w:rFonts w:eastAsiaTheme="minorHAnsi"/>
          <w:color w:val="4F81BD" w:themeColor="accent1"/>
          <w:lang w:eastAsia="en-US"/>
        </w:rPr>
        <w:t>NSW</w:t>
      </w:r>
    </w:p>
    <w:p w14:paraId="26C296D8"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Work near overhead power lines code of practice </w:t>
      </w:r>
    </w:p>
    <w:p w14:paraId="1221A6F3" w14:textId="77777777" w:rsidR="00802084" w:rsidRPr="00E52BCB" w:rsidRDefault="00802084" w:rsidP="00C525F6">
      <w:pPr>
        <w:ind w:left="1440"/>
        <w:jc w:val="left"/>
        <w:rPr>
          <w:rFonts w:eastAsiaTheme="minorHAnsi"/>
          <w:color w:val="4F81BD" w:themeColor="accent1"/>
          <w:lang w:eastAsia="en-US"/>
        </w:rPr>
      </w:pPr>
      <w:r w:rsidRPr="00E52BCB">
        <w:rPr>
          <w:rFonts w:eastAsiaTheme="minorHAnsi"/>
          <w:color w:val="4F81BD" w:themeColor="accent1"/>
          <w:lang w:eastAsia="en-US"/>
        </w:rPr>
        <w:t>Qld</w:t>
      </w:r>
    </w:p>
    <w:p w14:paraId="300E80E2"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Electrical safety Code of Practice 2010 - Electrical equipment rural industry  </w:t>
      </w:r>
    </w:p>
    <w:p w14:paraId="37733851"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Electrical safety Code of Practice 2010 - Working near overhead and underground electric lines  </w:t>
      </w:r>
    </w:p>
    <w:p w14:paraId="5A444993" w14:textId="77777777" w:rsidR="00802084" w:rsidRPr="00802084" w:rsidRDefault="00802084" w:rsidP="00C525F6">
      <w:pPr>
        <w:ind w:left="1440"/>
        <w:jc w:val="left"/>
        <w:rPr>
          <w:rFonts w:eastAsiaTheme="minorHAnsi"/>
          <w:lang w:eastAsia="en-US"/>
        </w:rPr>
      </w:pPr>
      <w:r w:rsidRPr="00802084">
        <w:rPr>
          <w:rFonts w:eastAsiaTheme="minorHAnsi"/>
          <w:lang w:eastAsia="en-US"/>
        </w:rPr>
        <w:t>Electrical safety Code of Practice 2010 - Work</w:t>
      </w:r>
    </w:p>
    <w:p w14:paraId="08C7778E" w14:textId="77777777" w:rsidR="00802084" w:rsidRPr="00E52BCB" w:rsidRDefault="00802084" w:rsidP="00C525F6">
      <w:pPr>
        <w:ind w:left="1440"/>
        <w:jc w:val="left"/>
        <w:rPr>
          <w:rFonts w:eastAsiaTheme="minorHAnsi"/>
          <w:color w:val="4F81BD" w:themeColor="accent1"/>
          <w:lang w:eastAsia="en-US"/>
        </w:rPr>
      </w:pPr>
      <w:r w:rsidRPr="00E52BCB">
        <w:rPr>
          <w:rFonts w:eastAsiaTheme="minorHAnsi"/>
          <w:color w:val="4F81BD" w:themeColor="accent1"/>
          <w:lang w:eastAsia="en-US"/>
        </w:rPr>
        <w:t>NT</w:t>
      </w:r>
    </w:p>
    <w:p w14:paraId="67422C52"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The Northern Territory has not adopted the Model </w:t>
      </w:r>
      <w:proofErr w:type="spellStart"/>
      <w:r w:rsidRPr="00802084">
        <w:rPr>
          <w:rFonts w:eastAsiaTheme="minorHAnsi"/>
          <w:lang w:eastAsia="en-US"/>
        </w:rPr>
        <w:t>CoP</w:t>
      </w:r>
      <w:proofErr w:type="spellEnd"/>
      <w:r w:rsidRPr="00802084">
        <w:rPr>
          <w:rFonts w:eastAsiaTheme="minorHAnsi"/>
          <w:lang w:eastAsia="en-US"/>
        </w:rPr>
        <w:t xml:space="preserve">: Managing electrical risks in the workplace. </w:t>
      </w:r>
    </w:p>
    <w:p w14:paraId="7719053C" w14:textId="77777777" w:rsidR="00C525F6" w:rsidRDefault="00C525F6" w:rsidP="00C525F6">
      <w:pPr>
        <w:ind w:left="1440"/>
        <w:jc w:val="left"/>
        <w:rPr>
          <w:rFonts w:eastAsiaTheme="minorHAnsi"/>
          <w:u w:val="single"/>
          <w:lang w:eastAsia="en-US"/>
        </w:rPr>
      </w:pPr>
    </w:p>
    <w:p w14:paraId="70AB264B" w14:textId="217A97A9" w:rsidR="00802084" w:rsidRPr="00E52BCB" w:rsidRDefault="00802084" w:rsidP="00C525F6">
      <w:pPr>
        <w:ind w:left="1440"/>
        <w:jc w:val="left"/>
        <w:rPr>
          <w:rFonts w:eastAsiaTheme="minorHAnsi"/>
          <w:color w:val="4F81BD" w:themeColor="accent1"/>
          <w:lang w:eastAsia="en-US"/>
        </w:rPr>
      </w:pPr>
      <w:r w:rsidRPr="00E52BCB">
        <w:rPr>
          <w:rFonts w:eastAsiaTheme="minorHAnsi"/>
          <w:color w:val="4F81BD" w:themeColor="accent1"/>
          <w:lang w:eastAsia="en-US"/>
        </w:rPr>
        <w:t>SA</w:t>
      </w:r>
    </w:p>
    <w:p w14:paraId="70E909A6" w14:textId="77777777" w:rsidR="00802084" w:rsidRPr="00802084" w:rsidRDefault="00802084" w:rsidP="00C525F6">
      <w:pPr>
        <w:ind w:left="1440"/>
        <w:jc w:val="left"/>
        <w:rPr>
          <w:rFonts w:eastAsiaTheme="minorHAnsi"/>
          <w:lang w:eastAsia="en-US"/>
        </w:rPr>
      </w:pPr>
      <w:r w:rsidRPr="00802084">
        <w:rPr>
          <w:rFonts w:eastAsiaTheme="minorHAnsi"/>
          <w:lang w:eastAsia="en-US"/>
        </w:rPr>
        <w:t xml:space="preserve">A code based on the Model </w:t>
      </w:r>
      <w:proofErr w:type="spellStart"/>
      <w:r w:rsidRPr="00802084">
        <w:rPr>
          <w:rFonts w:eastAsiaTheme="minorHAnsi"/>
          <w:lang w:eastAsia="en-US"/>
        </w:rPr>
        <w:t>CoP</w:t>
      </w:r>
      <w:proofErr w:type="spellEnd"/>
      <w:r w:rsidRPr="00802084">
        <w:rPr>
          <w:rFonts w:eastAsiaTheme="minorHAnsi"/>
          <w:lang w:eastAsia="en-US"/>
        </w:rPr>
        <w:t xml:space="preserve">: Construction work has not been adopted in South Australia. </w:t>
      </w:r>
    </w:p>
    <w:p w14:paraId="37240FA1" w14:textId="52F34F95" w:rsidR="00802084" w:rsidRPr="00DF229A" w:rsidRDefault="00E52BCB" w:rsidP="00DF229A">
      <w:pPr>
        <w:pStyle w:val="Heading2"/>
        <w:keepLines/>
        <w:suppressAutoHyphens w:val="0"/>
        <w:ind w:left="720" w:hanging="720"/>
        <w:jc w:val="left"/>
        <w:rPr>
          <w:rFonts w:cstheme="majorBidi"/>
          <w:lang w:eastAsia="en-US"/>
        </w:rPr>
      </w:pPr>
      <w:r>
        <w:rPr>
          <w:rFonts w:cstheme="majorBidi"/>
          <w:lang w:eastAsia="en-US"/>
        </w:rPr>
        <w:t>1</w:t>
      </w:r>
      <w:r w:rsidR="00993760" w:rsidRPr="00DF229A">
        <w:rPr>
          <w:rFonts w:cstheme="majorBidi"/>
          <w:lang w:eastAsia="en-US"/>
        </w:rPr>
        <w:t>.</w:t>
      </w:r>
      <w:r>
        <w:rPr>
          <w:rFonts w:cstheme="majorBidi"/>
          <w:lang w:eastAsia="en-US"/>
        </w:rPr>
        <w:t>1</w:t>
      </w:r>
      <w:r w:rsidR="00993760" w:rsidRPr="00DF229A">
        <w:rPr>
          <w:rFonts w:cstheme="majorBidi"/>
          <w:lang w:eastAsia="en-US"/>
        </w:rPr>
        <w:t>4</w:t>
      </w:r>
      <w:r w:rsidR="00993760" w:rsidRPr="00DF229A">
        <w:rPr>
          <w:rFonts w:cstheme="majorBidi"/>
          <w:lang w:eastAsia="en-US"/>
        </w:rPr>
        <w:tab/>
      </w:r>
      <w:r w:rsidR="00802084" w:rsidRPr="00DF229A">
        <w:rPr>
          <w:rFonts w:cstheme="majorBidi"/>
          <w:lang w:eastAsia="en-US"/>
        </w:rPr>
        <w:t xml:space="preserve">Victorian WHS regulatory framework </w:t>
      </w:r>
    </w:p>
    <w:p w14:paraId="355BAF62" w14:textId="40D939AD" w:rsidR="00A92919" w:rsidRPr="00A92919" w:rsidRDefault="00A92919" w:rsidP="00A92919">
      <w:pPr>
        <w:pStyle w:val="Indent1"/>
        <w:rPr>
          <w:lang w:eastAsia="en-US"/>
        </w:rPr>
      </w:pPr>
      <w:r w:rsidRPr="008038B0">
        <w:rPr>
          <w:lang w:eastAsia="en-US"/>
        </w:rPr>
        <w:t xml:space="preserve">The Victorian WHS regulatory framework relevant to </w:t>
      </w:r>
      <w:r w:rsidR="006A3FCD">
        <w:rPr>
          <w:lang w:eastAsia="en-US"/>
        </w:rPr>
        <w:t>contact with electricity</w:t>
      </w:r>
      <w:r>
        <w:rPr>
          <w:lang w:eastAsia="en-US"/>
        </w:rPr>
        <w:t xml:space="preserve"> is</w:t>
      </w:r>
      <w:r w:rsidRPr="008038B0">
        <w:rPr>
          <w:lang w:eastAsia="en-US"/>
        </w:rPr>
        <w:t xml:space="preserve">: </w:t>
      </w:r>
    </w:p>
    <w:p w14:paraId="7D7863BC"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OHS Regulations: Clause 114 </w:t>
      </w:r>
    </w:p>
    <w:p w14:paraId="0E9711BF" w14:textId="7BCFF402" w:rsidR="00802084" w:rsidRPr="00DF229A" w:rsidRDefault="00E52BCB" w:rsidP="00DF229A">
      <w:pPr>
        <w:pStyle w:val="Heading2"/>
        <w:keepLines/>
        <w:suppressAutoHyphens w:val="0"/>
        <w:ind w:left="720" w:hanging="720"/>
        <w:jc w:val="left"/>
        <w:rPr>
          <w:rFonts w:cstheme="majorBidi"/>
          <w:lang w:eastAsia="en-US"/>
        </w:rPr>
      </w:pPr>
      <w:r>
        <w:rPr>
          <w:rFonts w:cstheme="majorBidi"/>
          <w:lang w:eastAsia="en-US"/>
        </w:rPr>
        <w:t>1</w:t>
      </w:r>
      <w:r w:rsidR="00993760" w:rsidRPr="00DF229A">
        <w:rPr>
          <w:rFonts w:cstheme="majorBidi"/>
          <w:lang w:eastAsia="en-US"/>
        </w:rPr>
        <w:t>.</w:t>
      </w:r>
      <w:r>
        <w:rPr>
          <w:rFonts w:cstheme="majorBidi"/>
          <w:lang w:eastAsia="en-US"/>
        </w:rPr>
        <w:t>1</w:t>
      </w:r>
      <w:r w:rsidR="00993760" w:rsidRPr="00DF229A">
        <w:rPr>
          <w:rFonts w:cstheme="majorBidi"/>
          <w:lang w:eastAsia="en-US"/>
        </w:rPr>
        <w:t>5</w:t>
      </w:r>
      <w:r w:rsidR="00993760" w:rsidRPr="00DF229A">
        <w:rPr>
          <w:rFonts w:cstheme="majorBidi"/>
          <w:lang w:eastAsia="en-US"/>
        </w:rPr>
        <w:tab/>
      </w:r>
      <w:r w:rsidR="00802084" w:rsidRPr="00DF229A">
        <w:rPr>
          <w:rFonts w:cstheme="majorBidi"/>
          <w:lang w:eastAsia="en-US"/>
        </w:rPr>
        <w:t xml:space="preserve">Western Australian regulatory framework </w:t>
      </w:r>
    </w:p>
    <w:p w14:paraId="3A2FAD81" w14:textId="5E85896D" w:rsidR="00A92919" w:rsidRPr="00A92919" w:rsidRDefault="00A92919" w:rsidP="00A92919">
      <w:pPr>
        <w:pStyle w:val="Indent1"/>
        <w:rPr>
          <w:lang w:eastAsia="en-US"/>
        </w:rPr>
      </w:pPr>
      <w:r w:rsidRPr="008038B0">
        <w:rPr>
          <w:lang w:eastAsia="en-US"/>
        </w:rPr>
        <w:t xml:space="preserve">The </w:t>
      </w:r>
      <w:r>
        <w:rPr>
          <w:lang w:eastAsia="en-US"/>
        </w:rPr>
        <w:t xml:space="preserve">Western Australian WHS regulatory framework relevant to </w:t>
      </w:r>
      <w:r w:rsidR="006A3FCD">
        <w:rPr>
          <w:lang w:eastAsia="en-US"/>
        </w:rPr>
        <w:t>contact with electricity</w:t>
      </w:r>
      <w:r>
        <w:rPr>
          <w:lang w:eastAsia="en-US"/>
        </w:rPr>
        <w:t xml:space="preserve"> is: </w:t>
      </w:r>
    </w:p>
    <w:p w14:paraId="549075F9" w14:textId="77777777" w:rsidR="00802084" w:rsidRPr="00802084" w:rsidRDefault="00802084" w:rsidP="00C525F6">
      <w:pPr>
        <w:ind w:left="720" w:firstLine="720"/>
        <w:jc w:val="left"/>
        <w:rPr>
          <w:rFonts w:eastAsiaTheme="minorHAnsi"/>
          <w:lang w:eastAsia="en-US"/>
        </w:rPr>
      </w:pPr>
      <w:r w:rsidRPr="00802084">
        <w:rPr>
          <w:rFonts w:eastAsiaTheme="minorHAnsi"/>
          <w:lang w:eastAsia="en-US"/>
        </w:rPr>
        <w:t xml:space="preserve">OSH Regulations: Part 3, Division 6  </w:t>
      </w:r>
    </w:p>
    <w:p w14:paraId="1DC6E602" w14:textId="7498209F" w:rsidR="008A4882" w:rsidRDefault="008A4882" w:rsidP="008A4882">
      <w:pPr>
        <w:pStyle w:val="Indent1"/>
        <w:jc w:val="center"/>
        <w:rPr>
          <w:b/>
          <w:lang w:val="en-US"/>
        </w:rPr>
        <w:sectPr w:rsidR="008A4882" w:rsidSect="00802084">
          <w:pgSz w:w="11906" w:h="16838" w:code="1"/>
          <w:pgMar w:top="1440" w:right="1196" w:bottom="1440" w:left="1440" w:header="0" w:footer="454" w:gutter="0"/>
          <w:cols w:space="720"/>
          <w:titlePg/>
          <w:docGrid w:linePitch="360"/>
        </w:sectPr>
      </w:pPr>
    </w:p>
    <w:p w14:paraId="727289C7" w14:textId="77777777" w:rsidR="0043798C" w:rsidRDefault="0043798C">
      <w:pPr>
        <w:spacing w:after="0"/>
        <w:jc w:val="left"/>
        <w:rPr>
          <w:b/>
          <w:lang w:val="en-US"/>
        </w:rPr>
      </w:pPr>
    </w:p>
    <w:p w14:paraId="2F1C9A32" w14:textId="77777777" w:rsidR="00C718FD" w:rsidRDefault="0043798C" w:rsidP="0043798C">
      <w:pPr>
        <w:pStyle w:val="Heading1"/>
        <w:numPr>
          <w:ilvl w:val="0"/>
          <w:numId w:val="0"/>
        </w:numPr>
        <w:ind w:left="720"/>
        <w:rPr>
          <w:sz w:val="48"/>
          <w:szCs w:val="48"/>
          <w:lang w:val="en-US"/>
        </w:rPr>
      </w:pPr>
      <w:bookmarkStart w:id="17" w:name="_Toc509995547"/>
      <w:r w:rsidRPr="0043798C">
        <w:rPr>
          <w:sz w:val="48"/>
          <w:szCs w:val="48"/>
          <w:lang w:val="en-US"/>
        </w:rPr>
        <w:t xml:space="preserve">Annexure B </w:t>
      </w:r>
      <w:r>
        <w:rPr>
          <w:sz w:val="48"/>
          <w:szCs w:val="48"/>
          <w:lang w:val="en-US"/>
        </w:rPr>
        <w:t xml:space="preserve">- Comment </w:t>
      </w:r>
      <w:r w:rsidR="00EE6FE0">
        <w:rPr>
          <w:sz w:val="48"/>
          <w:szCs w:val="48"/>
          <w:lang w:val="en-US"/>
        </w:rPr>
        <w:t>T</w:t>
      </w:r>
      <w:r>
        <w:rPr>
          <w:sz w:val="48"/>
          <w:szCs w:val="48"/>
          <w:lang w:val="en-US"/>
        </w:rPr>
        <w:t>emplate</w:t>
      </w:r>
      <w:bookmarkEnd w:id="17"/>
      <w:r>
        <w:rPr>
          <w:sz w:val="48"/>
          <w:szCs w:val="48"/>
          <w:lang w:val="en-US"/>
        </w:rPr>
        <w:t xml:space="preserve"> </w:t>
      </w:r>
    </w:p>
    <w:p w14:paraId="7754303A" w14:textId="77777777" w:rsidR="0043798C" w:rsidRDefault="00665C33" w:rsidP="0043798C">
      <w:pPr>
        <w:pStyle w:val="Heading2"/>
        <w:ind w:left="720"/>
        <w:rPr>
          <w:lang w:val="en-US"/>
        </w:rPr>
      </w:pPr>
      <w:r>
        <w:rPr>
          <w:lang w:val="en-US"/>
        </w:rPr>
        <w:t xml:space="preserve">Name of </w:t>
      </w:r>
      <w:proofErr w:type="spellStart"/>
      <w:r>
        <w:rPr>
          <w:lang w:val="en-US"/>
        </w:rPr>
        <w:t>organisation</w:t>
      </w:r>
      <w:proofErr w:type="spellEnd"/>
      <w:r>
        <w:rPr>
          <w:lang w:val="en-US"/>
        </w:rPr>
        <w:t>/individual:</w:t>
      </w:r>
    </w:p>
    <w:p w14:paraId="73CB0685" w14:textId="77777777" w:rsidR="00665C33" w:rsidRDefault="00665C33" w:rsidP="001E0E45">
      <w:pPr>
        <w:pStyle w:val="Indent1"/>
        <w:rPr>
          <w:lang w:val="en-US"/>
        </w:rPr>
      </w:pPr>
      <w:r w:rsidRPr="001E0E45">
        <w:rPr>
          <w:b/>
          <w:lang w:val="en-US"/>
        </w:rPr>
        <w:t>Contact</w:t>
      </w:r>
      <w:r>
        <w:rPr>
          <w:b/>
          <w:lang w:val="en-US"/>
        </w:rPr>
        <w:t xml:space="preserve"> number of person completing feedback (in case we need to discuss any aspect of this submission with you):</w:t>
      </w:r>
    </w:p>
    <w:p w14:paraId="4EC61A6C" w14:textId="77777777" w:rsidR="00665C33" w:rsidRDefault="00665C33" w:rsidP="001E0E45">
      <w:pPr>
        <w:pStyle w:val="Indent1"/>
        <w:rPr>
          <w:lang w:val="en-US"/>
        </w:rPr>
      </w:pPr>
      <w:r>
        <w:rPr>
          <w:b/>
          <w:lang w:val="en-US"/>
        </w:rPr>
        <w:t xml:space="preserve">In which jurisdictions do you or your </w:t>
      </w:r>
      <w:proofErr w:type="spellStart"/>
      <w:r>
        <w:rPr>
          <w:b/>
          <w:lang w:val="en-US"/>
        </w:rPr>
        <w:t>organisation</w:t>
      </w:r>
      <w:proofErr w:type="spellEnd"/>
      <w:r>
        <w:rPr>
          <w:b/>
          <w:lang w:val="en-US"/>
        </w:rPr>
        <w:t xml:space="preserve"> operate/work? (Please indicate all that apply):</w:t>
      </w:r>
    </w:p>
    <w:p w14:paraId="20F06FB0" w14:textId="77777777" w:rsidR="00665C33" w:rsidRDefault="00665C33" w:rsidP="001E0E45">
      <w:pPr>
        <w:pStyle w:val="Indent1"/>
        <w:rPr>
          <w:lang w:val="en-US"/>
        </w:rPr>
      </w:pPr>
      <w:r>
        <w:rPr>
          <w:b/>
          <w:lang w:val="en-US"/>
        </w:rPr>
        <w:t>I give permission for this submission:</w:t>
      </w:r>
    </w:p>
    <w:p w14:paraId="42F96D3B" w14:textId="77777777" w:rsidR="00665C33" w:rsidRDefault="00665C33" w:rsidP="001E0E45">
      <w:pPr>
        <w:pStyle w:val="Indent1"/>
        <w:rPr>
          <w:lang w:val="en-US"/>
        </w:rPr>
      </w:pPr>
      <w:r>
        <w:rPr>
          <w:lang w:val="en-US"/>
        </w:rPr>
        <w:t>To be published with the name above</w:t>
      </w:r>
      <w:r>
        <w:rPr>
          <w:lang w:val="en-US"/>
        </w:rPr>
        <w:tab/>
      </w:r>
      <w:r>
        <w:rPr>
          <w:lang w:val="en-US"/>
        </w:rPr>
        <w:tab/>
        <w:t>YES</w:t>
      </w:r>
      <w:r>
        <w:rPr>
          <w:lang w:val="en-US"/>
        </w:rPr>
        <w:tab/>
      </w:r>
      <w:r w:rsidR="00323080">
        <w:rPr>
          <w:lang w:val="en-US"/>
        </w:rPr>
        <w:tab/>
      </w:r>
      <w:r>
        <w:rPr>
          <w:lang w:val="en-US"/>
        </w:rPr>
        <w:t>NO</w:t>
      </w:r>
    </w:p>
    <w:p w14:paraId="75E05668" w14:textId="77777777" w:rsidR="00665C33" w:rsidRDefault="00665C33" w:rsidP="001E0E45">
      <w:pPr>
        <w:pStyle w:val="Indent1"/>
        <w:rPr>
          <w:lang w:val="en-US"/>
        </w:rPr>
      </w:pPr>
      <w:r>
        <w:rPr>
          <w:lang w:val="en-US"/>
        </w:rPr>
        <w:t>To be published with the name withheld</w:t>
      </w:r>
      <w:r>
        <w:rPr>
          <w:lang w:val="en-US"/>
        </w:rPr>
        <w:tab/>
      </w:r>
      <w:r>
        <w:rPr>
          <w:lang w:val="en-US"/>
        </w:rPr>
        <w:tab/>
        <w:t>YES</w:t>
      </w:r>
      <w:r>
        <w:rPr>
          <w:lang w:val="en-US"/>
        </w:rPr>
        <w:tab/>
      </w:r>
      <w:r w:rsidR="00323080">
        <w:rPr>
          <w:lang w:val="en-US"/>
        </w:rPr>
        <w:tab/>
      </w:r>
      <w:r>
        <w:rPr>
          <w:lang w:val="en-US"/>
        </w:rPr>
        <w:t>NO</w:t>
      </w:r>
    </w:p>
    <w:p w14:paraId="3A5FDC27" w14:textId="44607CAA" w:rsidR="00665C33" w:rsidRDefault="00665C33" w:rsidP="001E0E45">
      <w:pPr>
        <w:pStyle w:val="Indent1"/>
        <w:spacing w:after="0"/>
        <w:rPr>
          <w:lang w:val="en-US"/>
        </w:rPr>
      </w:pPr>
      <w:r>
        <w:rPr>
          <w:lang w:val="en-US"/>
        </w:rPr>
        <w:t xml:space="preserve">To be used to inform the </w:t>
      </w:r>
      <w:r w:rsidR="00A961AB">
        <w:rPr>
          <w:lang w:val="en-US"/>
        </w:rPr>
        <w:t>R</w:t>
      </w:r>
      <w:r>
        <w:rPr>
          <w:lang w:val="en-US"/>
        </w:rPr>
        <w:t xml:space="preserve">eview, but not </w:t>
      </w:r>
    </w:p>
    <w:p w14:paraId="0A8D8E20" w14:textId="77777777" w:rsidR="00665C33" w:rsidRDefault="00665C33" w:rsidP="001E0E45">
      <w:pPr>
        <w:pStyle w:val="Indent1"/>
        <w:spacing w:after="0"/>
        <w:rPr>
          <w:lang w:val="en-US"/>
        </w:rPr>
      </w:pPr>
      <w:r>
        <w:rPr>
          <w:lang w:val="en-US"/>
        </w:rPr>
        <w:t>published</w:t>
      </w:r>
      <w:r>
        <w:rPr>
          <w:lang w:val="en-US"/>
        </w:rPr>
        <w:tab/>
      </w:r>
      <w:r>
        <w:rPr>
          <w:lang w:val="en-US"/>
        </w:rPr>
        <w:tab/>
      </w:r>
      <w:r>
        <w:rPr>
          <w:lang w:val="en-US"/>
        </w:rPr>
        <w:tab/>
      </w:r>
      <w:r>
        <w:rPr>
          <w:lang w:val="en-US"/>
        </w:rPr>
        <w:tab/>
      </w:r>
      <w:r>
        <w:rPr>
          <w:lang w:val="en-US"/>
        </w:rPr>
        <w:tab/>
        <w:t>YES</w:t>
      </w:r>
      <w:r>
        <w:rPr>
          <w:lang w:val="en-US"/>
        </w:rPr>
        <w:tab/>
      </w:r>
      <w:r w:rsidR="00323080">
        <w:rPr>
          <w:lang w:val="en-US"/>
        </w:rPr>
        <w:tab/>
      </w:r>
      <w:r>
        <w:rPr>
          <w:lang w:val="en-US"/>
        </w:rPr>
        <w:t>NO</w:t>
      </w:r>
    </w:p>
    <w:p w14:paraId="46D676BA" w14:textId="77777777" w:rsidR="00323080" w:rsidRDefault="00665C33" w:rsidP="00723732">
      <w:pPr>
        <w:pStyle w:val="Indent1"/>
        <w:spacing w:before="240" w:after="0"/>
        <w:rPr>
          <w:lang w:val="en-US"/>
        </w:rPr>
      </w:pPr>
      <w:r>
        <w:rPr>
          <w:b/>
          <w:lang w:val="en-US"/>
        </w:rPr>
        <w:t>I am attaching a file</w:t>
      </w:r>
      <w:r w:rsidR="00A9494D">
        <w:rPr>
          <w:b/>
          <w:lang w:val="en-US"/>
        </w:rPr>
        <w:t>.</w:t>
      </w:r>
    </w:p>
    <w:p w14:paraId="2C95A1FA" w14:textId="77777777" w:rsidR="00323080" w:rsidRDefault="00323080" w:rsidP="001E0E45">
      <w:pPr>
        <w:pStyle w:val="Indent1"/>
        <w:spacing w:after="0"/>
        <w:rPr>
          <w:lang w:val="en-US"/>
        </w:rPr>
      </w:pPr>
    </w:p>
    <w:p w14:paraId="0373B696" w14:textId="77777777" w:rsidR="00665C33" w:rsidRDefault="00665C33" w:rsidP="001E0E45">
      <w:pPr>
        <w:pStyle w:val="Indent1"/>
        <w:spacing w:after="0"/>
        <w:rPr>
          <w:lang w:val="en-US"/>
        </w:rPr>
      </w:pPr>
      <w:r>
        <w:rPr>
          <w:lang w:val="en-US"/>
        </w:rPr>
        <w:t>YES</w:t>
      </w:r>
      <w:r>
        <w:rPr>
          <w:lang w:val="en-US"/>
        </w:rPr>
        <w:tab/>
      </w:r>
      <w:r w:rsidR="00323080">
        <w:rPr>
          <w:lang w:val="en-US"/>
        </w:rPr>
        <w:tab/>
      </w:r>
      <w:r>
        <w:rPr>
          <w:lang w:val="en-US"/>
        </w:rPr>
        <w:t>NO (my comments are set out below)</w:t>
      </w:r>
    </w:p>
    <w:p w14:paraId="093045E7" w14:textId="77777777" w:rsidR="00665C33" w:rsidRDefault="00665C33" w:rsidP="001E0E45">
      <w:pPr>
        <w:pStyle w:val="Indent1"/>
        <w:spacing w:after="0"/>
        <w:rPr>
          <w:lang w:val="en-US"/>
        </w:rPr>
      </w:pPr>
    </w:p>
    <w:p w14:paraId="1BF6653E" w14:textId="449B6DAF" w:rsidR="00665C33" w:rsidRPr="002023DC" w:rsidRDefault="00665C33" w:rsidP="001E0E45">
      <w:pPr>
        <w:pStyle w:val="Indent1"/>
        <w:spacing w:after="0"/>
        <w:rPr>
          <w:lang w:val="en-US"/>
        </w:rPr>
      </w:pPr>
      <w:r w:rsidRPr="001E0E45">
        <w:rPr>
          <w:b/>
          <w:lang w:val="en-US"/>
        </w:rPr>
        <w:t>I am responding to question number</w:t>
      </w:r>
      <w:r w:rsidR="006360B8">
        <w:rPr>
          <w:b/>
          <w:lang w:val="en-US"/>
        </w:rPr>
        <w:t>(s)</w:t>
      </w:r>
      <w:r w:rsidRPr="001E0E45">
        <w:rPr>
          <w:b/>
          <w:lang w:val="en-US"/>
        </w:rPr>
        <w:t>:</w:t>
      </w:r>
      <w:r w:rsidRPr="001E0E45">
        <w:rPr>
          <w:b/>
          <w:lang w:val="en-US"/>
        </w:rPr>
        <w:tab/>
      </w:r>
    </w:p>
    <w:p w14:paraId="316EF747" w14:textId="77777777" w:rsidR="00665C33" w:rsidRPr="001E0E45" w:rsidRDefault="00665C33" w:rsidP="00723732">
      <w:pPr>
        <w:pStyle w:val="Indent1"/>
        <w:spacing w:before="240" w:after="0"/>
        <w:rPr>
          <w:b/>
          <w:lang w:val="en-US"/>
        </w:rPr>
      </w:pPr>
      <w:r w:rsidRPr="001E0E45">
        <w:rPr>
          <w:b/>
          <w:lang w:val="en-US"/>
        </w:rPr>
        <w:t>My comments are:</w:t>
      </w:r>
    </w:p>
    <w:p w14:paraId="09113E55" w14:textId="77777777" w:rsidR="00D92183" w:rsidRDefault="00D92183">
      <w:pPr>
        <w:spacing w:after="0"/>
        <w:jc w:val="left"/>
        <w:rPr>
          <w:lang w:val="en-US"/>
        </w:rPr>
      </w:pPr>
      <w:r>
        <w:rPr>
          <w:lang w:val="en-US"/>
        </w:rPr>
        <w:br w:type="page"/>
      </w:r>
    </w:p>
    <w:p w14:paraId="7590E6B1" w14:textId="77777777" w:rsidR="00D92183" w:rsidRPr="00D92183" w:rsidRDefault="00D92183" w:rsidP="00D92183">
      <w:pPr>
        <w:pStyle w:val="Heading1"/>
        <w:numPr>
          <w:ilvl w:val="0"/>
          <w:numId w:val="0"/>
        </w:numPr>
        <w:ind w:left="720"/>
        <w:rPr>
          <w:sz w:val="48"/>
          <w:szCs w:val="48"/>
          <w:lang w:val="en-US"/>
        </w:rPr>
      </w:pPr>
      <w:bookmarkStart w:id="18" w:name="_Toc509995548"/>
      <w:r w:rsidRPr="00D92183">
        <w:rPr>
          <w:sz w:val="48"/>
          <w:szCs w:val="48"/>
          <w:lang w:val="en-US"/>
        </w:rPr>
        <w:lastRenderedPageBreak/>
        <w:t>Annexure C - Terms of Reference</w:t>
      </w:r>
      <w:bookmarkEnd w:id="18"/>
    </w:p>
    <w:p w14:paraId="37EFB640" w14:textId="77777777" w:rsidR="00D92183" w:rsidRPr="00D92183" w:rsidRDefault="00D92183" w:rsidP="00D92183">
      <w:pPr>
        <w:pStyle w:val="Caption"/>
        <w:ind w:left="720"/>
        <w:rPr>
          <w:rStyle w:val="IntenseEmphasis"/>
          <w:b/>
          <w:bCs w:val="0"/>
          <w:smallCaps/>
        </w:rPr>
      </w:pPr>
      <w:r w:rsidRPr="00D92183">
        <w:rPr>
          <w:rStyle w:val="IntenseEmphasis"/>
          <w:b/>
          <w:smallCaps/>
        </w:rPr>
        <w:t>background</w:t>
      </w:r>
    </w:p>
    <w:p w14:paraId="022F88E0" w14:textId="77777777" w:rsidR="00D92183" w:rsidRPr="00D92183" w:rsidRDefault="00D92183" w:rsidP="00D92183">
      <w:pPr>
        <w:pStyle w:val="Indent1"/>
        <w:rPr>
          <w:lang w:val="en-US"/>
        </w:rPr>
      </w:pPr>
      <w:r w:rsidRPr="00D92183">
        <w:rPr>
          <w:lang w:val="en-US"/>
        </w:rPr>
        <w:t xml:space="preserve">Building and construction is a national priority industry under the Australian Work Health and Safety Strategy 2012–2022, however the rate of serious injury and fatality remains high. The proposal for a review of work health and safety (WHS) in the building and construction industry arose during the Senate debate on the Building and Construction Industry (Improving Productivity) Amendment Bill 2017, reflecting a shared desire to improve safety in this priority industry. </w:t>
      </w:r>
    </w:p>
    <w:p w14:paraId="74A2A1C2" w14:textId="77777777" w:rsidR="00D92183" w:rsidRPr="00D92183" w:rsidRDefault="00D92183" w:rsidP="00D92183">
      <w:pPr>
        <w:pStyle w:val="Caption"/>
        <w:ind w:left="720"/>
        <w:rPr>
          <w:rStyle w:val="IntenseEmphasis"/>
        </w:rPr>
      </w:pPr>
      <w:r w:rsidRPr="00D92183">
        <w:rPr>
          <w:rStyle w:val="IntenseEmphasis"/>
        </w:rPr>
        <w:t>The Review</w:t>
      </w:r>
    </w:p>
    <w:p w14:paraId="1E248C03" w14:textId="77777777" w:rsidR="00D92183" w:rsidRPr="00D92183" w:rsidRDefault="00D92183" w:rsidP="00D92183">
      <w:pPr>
        <w:pStyle w:val="Indent1"/>
        <w:rPr>
          <w:lang w:val="en-US"/>
        </w:rPr>
      </w:pPr>
      <w:r w:rsidRPr="00D92183">
        <w:rPr>
          <w:lang w:val="en-US"/>
        </w:rPr>
        <w:t>The Review will focus on the effectiveness of specific aspects of the regulatory framework that address the top three mechanisms of injury over the 10-year period 2007-2016 that accounted for the highest proportion of fatalities in the building and construction sector. They are: falls from heights and being hit by falling objects (40% of fatalities), vehicle incidents (16% of fatalities) and contact with electricity (12% of fatalities). The Review will assess the operation of the relevant WHS regulatory framework to preventing such incidents, including the efficiency and effectiveness of all relevant WHS regulations and the regulatory tools in use. The Review will also examine the performance of companies accredited by the Federal Safety Commissioner including any aspects of the building and construction WHS accreditation scheme (the Scheme), administered by the Federal Safety Commissioner, that could inform options to improve outcomes in these areas across the industry.</w:t>
      </w:r>
    </w:p>
    <w:p w14:paraId="7B1C154B" w14:textId="77777777" w:rsidR="00D92183" w:rsidRPr="00D92183" w:rsidRDefault="00D92183" w:rsidP="00D92183">
      <w:pPr>
        <w:pStyle w:val="Caption"/>
        <w:ind w:left="720"/>
        <w:rPr>
          <w:rStyle w:val="IntenseEmphasis"/>
        </w:rPr>
      </w:pPr>
      <w:r w:rsidRPr="00D92183">
        <w:rPr>
          <w:rStyle w:val="IntenseEmphasis"/>
        </w:rPr>
        <w:t>Scope of the Review</w:t>
      </w:r>
    </w:p>
    <w:p w14:paraId="7F69E603" w14:textId="77777777" w:rsidR="00D92183" w:rsidRPr="00D92183" w:rsidRDefault="00D92183" w:rsidP="00D92183">
      <w:pPr>
        <w:pStyle w:val="Indent1"/>
        <w:rPr>
          <w:lang w:val="en-US"/>
        </w:rPr>
      </w:pPr>
      <w:r w:rsidRPr="00D92183">
        <w:rPr>
          <w:lang w:val="en-US"/>
        </w:rPr>
        <w:t>The Review may, where appropriate, draw on (but should not duplicate) the work of other recent or current reviews. The Review will take into account the views of stakeholders and make observations and recommendations on ways in which WHS laws could be improved to enhance safety outcomes. The Review will not assess the effectiveness of practical compliance and enforcement strategies implemented by regulators to address these issues. The outcomes of the Review will inform the 2018 Review of the model WHS laws being conducted by Safe Work Australia.</w:t>
      </w:r>
    </w:p>
    <w:p w14:paraId="1CAA0664" w14:textId="77777777" w:rsidR="00D92183" w:rsidRPr="00D92183" w:rsidRDefault="00D92183" w:rsidP="00D92183">
      <w:pPr>
        <w:pStyle w:val="Caption"/>
        <w:ind w:left="720"/>
        <w:rPr>
          <w:rStyle w:val="IntenseEmphasis"/>
        </w:rPr>
      </w:pPr>
      <w:r w:rsidRPr="00D92183">
        <w:rPr>
          <w:rStyle w:val="IntenseEmphasis"/>
        </w:rPr>
        <w:t>Principles for the Review</w:t>
      </w:r>
    </w:p>
    <w:p w14:paraId="41C3E333" w14:textId="77777777" w:rsidR="00D92183" w:rsidRPr="00D92183" w:rsidRDefault="00D92183" w:rsidP="00D92183">
      <w:pPr>
        <w:pStyle w:val="Indent1"/>
        <w:rPr>
          <w:lang w:val="en-US"/>
        </w:rPr>
      </w:pPr>
      <w:r w:rsidRPr="00D92183">
        <w:rPr>
          <w:lang w:val="en-US"/>
        </w:rPr>
        <w:t>The Review will be guided by the follo</w:t>
      </w:r>
      <w:bookmarkStart w:id="19" w:name="_GoBack"/>
      <w:bookmarkEnd w:id="19"/>
      <w:r w:rsidRPr="00D92183">
        <w:rPr>
          <w:lang w:val="en-US"/>
        </w:rPr>
        <w:t>wing principles:</w:t>
      </w:r>
    </w:p>
    <w:p w14:paraId="40226CF9" w14:textId="77777777" w:rsidR="00723732" w:rsidRDefault="00D92183" w:rsidP="00723732">
      <w:pPr>
        <w:pStyle w:val="Heading3"/>
        <w:rPr>
          <w:lang w:val="en-US"/>
        </w:rPr>
      </w:pPr>
      <w:r w:rsidRPr="00D92183">
        <w:rPr>
          <w:lang w:val="en-US"/>
        </w:rPr>
        <w:t>that the needs of all sectors within the building and construction industry are appropriately considered, particularly noting the high number of small</w:t>
      </w:r>
      <w:r>
        <w:rPr>
          <w:lang w:val="en-US"/>
        </w:rPr>
        <w:t xml:space="preserve"> businesses within the industry; </w:t>
      </w:r>
    </w:p>
    <w:p w14:paraId="3EFAA7FF" w14:textId="77777777" w:rsidR="00723732" w:rsidRDefault="00D92183" w:rsidP="00F57518">
      <w:pPr>
        <w:pStyle w:val="Heading3"/>
        <w:rPr>
          <w:lang w:val="en-US"/>
        </w:rPr>
      </w:pPr>
      <w:r w:rsidRPr="00723732">
        <w:rPr>
          <w:lang w:val="en-US"/>
        </w:rPr>
        <w:t xml:space="preserve">any recommended amendments to existing laws, regulations, codes or guidance material are to be supported by substantial evidence of their effectiveness in improving safety, enabling the </w:t>
      </w:r>
      <w:r w:rsidRPr="00723732">
        <w:t>development</w:t>
      </w:r>
      <w:r w:rsidRPr="00723732">
        <w:rPr>
          <w:lang w:val="en-US"/>
        </w:rPr>
        <w:t xml:space="preserve"> of any required Regulation Impact Statements; and </w:t>
      </w:r>
    </w:p>
    <w:p w14:paraId="0A8A0F3A" w14:textId="6375F310" w:rsidR="00D92183" w:rsidRPr="00723732" w:rsidRDefault="00D92183" w:rsidP="00F57518">
      <w:pPr>
        <w:pStyle w:val="Heading3"/>
        <w:rPr>
          <w:lang w:val="en-US"/>
        </w:rPr>
      </w:pPr>
      <w:r w:rsidRPr="00723732">
        <w:rPr>
          <w:lang w:val="en-US"/>
        </w:rPr>
        <w:t xml:space="preserve">that recommendations do not undermine the model WHS legislation and a </w:t>
      </w:r>
      <w:proofErr w:type="spellStart"/>
      <w:r w:rsidRPr="00723732">
        <w:rPr>
          <w:lang w:val="en-US"/>
        </w:rPr>
        <w:t>harmonised</w:t>
      </w:r>
      <w:proofErr w:type="spellEnd"/>
      <w:r w:rsidRPr="00723732">
        <w:rPr>
          <w:lang w:val="en-US"/>
        </w:rPr>
        <w:t xml:space="preserve"> approach to WHS.</w:t>
      </w:r>
    </w:p>
    <w:p w14:paraId="6D76D871" w14:textId="77777777" w:rsidR="00D92183" w:rsidRPr="00D92183" w:rsidRDefault="00D92183" w:rsidP="00D92183">
      <w:pPr>
        <w:pStyle w:val="Heading2"/>
        <w:ind w:left="720"/>
        <w:rPr>
          <w:lang w:val="en-US"/>
        </w:rPr>
      </w:pPr>
    </w:p>
    <w:sectPr w:rsidR="00D92183" w:rsidRPr="00D92183" w:rsidSect="00993760">
      <w:pgSz w:w="11906" w:h="16838" w:code="1"/>
      <w:pgMar w:top="1440" w:right="1196" w:bottom="1440" w:left="1440" w:header="0" w:footer="454"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s>
  <wne:toolbars>
    <wne:acdManifest>
      <wne:acdEntry wne:acdName="acd0"/>
      <wne:acdEntry wne:acdName="acd1"/>
    </wne:acdManifest>
  </wne:toolbars>
  <wne:acds>
    <wne:acd wne:acdName="acd0" wne:fciIndexBasedOn="0065"/>
    <wne:acd wne:argValue="AgAqAEIAdQBsAGwAZQB0ACwAYgB0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84A9" w14:textId="77777777" w:rsidR="00C12F09" w:rsidRPr="0051207E" w:rsidRDefault="00C12F09" w:rsidP="00AE2DD9">
      <w:r>
        <w:separator/>
      </w:r>
    </w:p>
  </w:endnote>
  <w:endnote w:type="continuationSeparator" w:id="0">
    <w:p w14:paraId="45254E14" w14:textId="77777777" w:rsidR="00C12F09" w:rsidRPr="0051207E" w:rsidRDefault="00C12F09"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5465" w14:textId="77777777" w:rsidR="000D5EAC" w:rsidRDefault="000D5EAC">
    <w:pPr>
      <w:pStyle w:val="Footer"/>
    </w:pPr>
    <w:bookmarkStart w:id="3" w:name="_mps584938530000000000000005028000000000"/>
    <w:r>
      <w:t>Seyfarth Shaw Australia | www.seyfarth.com</w:t>
    </w:r>
  </w:p>
  <w:bookmarkEnd w:id="3"/>
  <w:p w14:paraId="643087B3" w14:textId="77777777" w:rsidR="000D5EAC" w:rsidRDefault="000D5EAC" w:rsidP="00ED02FF">
    <w:pPr>
      <w:pStyle w:val="DocID"/>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F065" w14:textId="77777777" w:rsidR="000D5EAC" w:rsidRDefault="000D5EAC" w:rsidP="005D71F4">
    <w:pPr>
      <w:pStyle w:val="Footer"/>
      <w:jc w:val="center"/>
    </w:pPr>
    <w:r>
      <w:fldChar w:fldCharType="begin"/>
    </w:r>
    <w:r>
      <w:instrText xml:space="preserve"> PAGE  \* roman  \* MERGEFORMAT </w:instrText>
    </w:r>
    <w:r>
      <w:fldChar w:fldCharType="separate"/>
    </w:r>
    <w:r>
      <w:rPr>
        <w:noProof/>
      </w:rPr>
      <w:t>xvii</w:t>
    </w:r>
    <w:r>
      <w:fldChar w:fldCharType="end"/>
    </w:r>
  </w:p>
  <w:p w14:paraId="7CA1598F" w14:textId="77777777" w:rsidR="000D5EAC" w:rsidRDefault="000D5EAC" w:rsidP="00ED02FF">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C083" w14:textId="77777777" w:rsidR="000D5EAC" w:rsidRDefault="000D5EAC" w:rsidP="00ED02FF">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7165" w14:textId="77777777" w:rsidR="000D5EAC" w:rsidRPr="00E478EE" w:rsidRDefault="000D5EAC" w:rsidP="00ED02FF">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050A7" w14:textId="7F518032" w:rsidR="000D5EAC" w:rsidRDefault="000D5EAC">
    <w:pPr>
      <w:pStyle w:val="Footer"/>
    </w:pPr>
    <w:r>
      <w:t xml:space="preserve">Seyfarth Shaw Australia | </w:t>
    </w:r>
    <w:hyperlink r:id="rId1" w:history="1">
      <w:r w:rsidR="00440D82" w:rsidRPr="00827641">
        <w:rPr>
          <w:rStyle w:val="Hyperlink"/>
        </w:rPr>
        <w:t>www.seyfarth.com</w:t>
      </w:r>
    </w:hyperlink>
    <w:r w:rsidR="00440D82">
      <w:br/>
    </w:r>
    <w:r w:rsidR="00440D82">
      <w:fldChar w:fldCharType="begin"/>
    </w:r>
    <w:r w:rsidR="00440D82">
      <w:instrText xml:space="preserve"> PAGE   \* MERGEFORMAT </w:instrText>
    </w:r>
    <w:r w:rsidR="00440D82">
      <w:fldChar w:fldCharType="separate"/>
    </w:r>
    <w:r w:rsidR="00723732">
      <w:rPr>
        <w:noProof/>
      </w:rPr>
      <w:t>17</w:t>
    </w:r>
    <w:r w:rsidR="00440D8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FFB1" w14:textId="094CEE06" w:rsidR="00440D82" w:rsidRDefault="00440D82" w:rsidP="00440D82">
    <w:pPr>
      <w:pStyle w:val="Footer"/>
    </w:pPr>
    <w:r>
      <w:tab/>
    </w:r>
    <w:r>
      <w:tab/>
      <w:t xml:space="preserve">Seyfarth Shaw Australia | </w:t>
    </w:r>
    <w:hyperlink r:id="rId1" w:history="1">
      <w:r w:rsidRPr="00827641">
        <w:rPr>
          <w:rStyle w:val="Hyperlink"/>
        </w:rPr>
        <w:t>www.seyfarth.com</w:t>
      </w:r>
    </w:hyperlink>
    <w:r>
      <w:br/>
    </w:r>
    <w:r w:rsidR="00802084">
      <w:fldChar w:fldCharType="begin"/>
    </w:r>
    <w:r w:rsidR="00802084">
      <w:instrText xml:space="preserve"> PAGE   \* MERGEFORMAT </w:instrText>
    </w:r>
    <w:r w:rsidR="00802084">
      <w:fldChar w:fldCharType="separate"/>
    </w:r>
    <w:r w:rsidR="00723732">
      <w:rPr>
        <w:noProof/>
      </w:rPr>
      <w:t>16</w:t>
    </w:r>
    <w:r w:rsidR="00802084">
      <w:rPr>
        <w:noProof/>
      </w:rPr>
      <w:fldChar w:fldCharType="end"/>
    </w:r>
  </w:p>
  <w:p w14:paraId="732BD92D" w14:textId="77777777" w:rsidR="000D5EAC" w:rsidRPr="00E478EE" w:rsidRDefault="000D5EAC" w:rsidP="00ED02FF">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3E2B0" w14:textId="77777777" w:rsidR="00C12F09" w:rsidRPr="0051207E" w:rsidRDefault="00C12F09" w:rsidP="00AE2DD9">
      <w:r>
        <w:separator/>
      </w:r>
    </w:p>
  </w:footnote>
  <w:footnote w:type="continuationSeparator" w:id="0">
    <w:p w14:paraId="6F0CEC20" w14:textId="77777777" w:rsidR="00C12F09" w:rsidRPr="0051207E" w:rsidRDefault="00C12F09" w:rsidP="00AE2DD9">
      <w:r>
        <w:continuationSeparator/>
      </w:r>
    </w:p>
  </w:footnote>
  <w:footnote w:id="1">
    <w:p w14:paraId="3FA2CFD8" w14:textId="77777777" w:rsidR="000D5EAC" w:rsidRPr="00EE6FE0" w:rsidRDefault="000D5EAC">
      <w:pPr>
        <w:pStyle w:val="FootnoteTex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This issues paper has used the term “building a</w:t>
      </w:r>
      <w:r w:rsidR="00EE6FE0" w:rsidRPr="00EE6FE0">
        <w:rPr>
          <w:sz w:val="16"/>
          <w:szCs w:val="16"/>
          <w:lang w:val="en-US"/>
        </w:rPr>
        <w:t>nd</w:t>
      </w:r>
      <w:r w:rsidRPr="00EE6FE0">
        <w:rPr>
          <w:sz w:val="16"/>
          <w:szCs w:val="16"/>
          <w:lang w:val="en-US"/>
        </w:rPr>
        <w:t xml:space="preserve"> construction industry”. The relevant ANZSIC industry classification is “construction”. Data quoted from Safe Work Australia is based on the “construction” classification. </w:t>
      </w:r>
    </w:p>
  </w:footnote>
  <w:footnote w:id="2">
    <w:p w14:paraId="640C646A" w14:textId="77777777" w:rsidR="000D5EAC" w:rsidRPr="00EE6FE0" w:rsidRDefault="000D5EAC">
      <w:pPr>
        <w:pStyle w:val="FootnoteTex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 xml:space="preserve">The Review is confined to the specific items </w:t>
      </w:r>
      <w:r w:rsidR="00EE6FE0" w:rsidRPr="00EE6FE0">
        <w:rPr>
          <w:sz w:val="16"/>
          <w:szCs w:val="16"/>
          <w:lang w:val="en-US"/>
        </w:rPr>
        <w:t>in</w:t>
      </w:r>
      <w:r w:rsidRPr="00EE6FE0">
        <w:rPr>
          <w:sz w:val="16"/>
          <w:szCs w:val="16"/>
          <w:lang w:val="en-US"/>
        </w:rPr>
        <w:t xml:space="preserve"> the WHS regulatory framework set out in Annexure A. </w:t>
      </w:r>
      <w:r w:rsidR="00DD02E3">
        <w:rPr>
          <w:sz w:val="16"/>
          <w:szCs w:val="16"/>
          <w:lang w:val="en-US"/>
        </w:rPr>
        <w:t>The Terms of Reference for the Review are contained in Annexure C.</w:t>
      </w:r>
    </w:p>
  </w:footnote>
  <w:footnote w:id="3">
    <w:p w14:paraId="4A751345" w14:textId="262F7F05" w:rsidR="000D5EAC" w:rsidRPr="00EE6FE0" w:rsidRDefault="000D5EAC" w:rsidP="00A25E4A">
      <w:pPr>
        <w:pStyle w:val="FootnoteTex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The fatalities data that is being used to inform</w:t>
      </w:r>
      <w:r w:rsidR="00674703">
        <w:rPr>
          <w:sz w:val="16"/>
          <w:szCs w:val="16"/>
          <w:lang w:val="en-US"/>
        </w:rPr>
        <w:t xml:space="preserve"> the</w:t>
      </w:r>
      <w:r w:rsidRPr="00EE6FE0">
        <w:rPr>
          <w:sz w:val="16"/>
          <w:szCs w:val="16"/>
          <w:lang w:val="en-US"/>
        </w:rPr>
        <w:t xml:space="preserve"> Review has been coded by Safe Work Australia for the Work-related Traumatic Injury Fatality (TIF) data set</w:t>
      </w:r>
      <w:r w:rsidR="002F4648">
        <w:rPr>
          <w:sz w:val="16"/>
          <w:szCs w:val="16"/>
          <w:lang w:val="en-US"/>
        </w:rPr>
        <w:t xml:space="preserve"> </w:t>
      </w:r>
      <w:r w:rsidRPr="00EE6FE0">
        <w:rPr>
          <w:sz w:val="16"/>
          <w:szCs w:val="16"/>
          <w:lang w:val="en-US"/>
        </w:rPr>
        <w:t xml:space="preserve">using the nationally agreed Types of Occurrence Classification [TOOCS] version 3, revision 1, 2008 using codes No 01 – Falls from Height; No 21 - Being hit by falling objects; No 57 - Contact with electricity; No 92 - Vehicle incidents. </w:t>
      </w:r>
    </w:p>
  </w:footnote>
  <w:footnote w:id="4">
    <w:p w14:paraId="087112F7" w14:textId="77777777" w:rsidR="000D5EAC" w:rsidRPr="00662025" w:rsidRDefault="000D5EAC">
      <w:pPr>
        <w:pStyle w:val="FootnoteText"/>
        <w:rPr>
          <w:lang w:val="en-US"/>
        </w:rPr>
      </w:pPr>
      <w:r w:rsidRPr="00EE6FE0">
        <w:rPr>
          <w:rStyle w:val="FootnoteReference"/>
          <w:sz w:val="16"/>
          <w:szCs w:val="16"/>
        </w:rPr>
        <w:footnoteRef/>
      </w:r>
      <w:r w:rsidRPr="00EE6FE0">
        <w:rPr>
          <w:sz w:val="16"/>
          <w:szCs w:val="16"/>
        </w:rPr>
        <w:t xml:space="preserve"> </w:t>
      </w:r>
      <w:r w:rsidRPr="00EE6FE0">
        <w:rPr>
          <w:sz w:val="16"/>
          <w:szCs w:val="16"/>
          <w:lang w:val="en-US"/>
        </w:rPr>
        <w:t xml:space="preserve">The 2018 review of the model WHS laws is being conducted by an independent expert to examine how the laws operate in practice and whether they are achieving their intended results. </w:t>
      </w:r>
    </w:p>
  </w:footnote>
  <w:footnote w:id="5">
    <w:p w14:paraId="74F1397C" w14:textId="2041D785" w:rsidR="000D5EAC" w:rsidRPr="00EE6FE0" w:rsidRDefault="000D5EAC">
      <w:pPr>
        <w:pStyle w:val="FootnoteTex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 xml:space="preserve">A copy of the comment template is </w:t>
      </w:r>
      <w:r w:rsidR="0021308A">
        <w:rPr>
          <w:sz w:val="16"/>
          <w:szCs w:val="16"/>
          <w:lang w:val="en-US"/>
        </w:rPr>
        <w:t xml:space="preserve">also </w:t>
      </w:r>
      <w:r w:rsidRPr="00EE6FE0">
        <w:rPr>
          <w:sz w:val="16"/>
          <w:szCs w:val="16"/>
          <w:lang w:val="en-US"/>
        </w:rPr>
        <w:t xml:space="preserve">attached at Annexure B. </w:t>
      </w:r>
    </w:p>
  </w:footnote>
  <w:footnote w:id="6">
    <w:p w14:paraId="65374D3F" w14:textId="6FF751C0" w:rsidR="00323080" w:rsidRDefault="000D5EAC">
      <w:pPr>
        <w:pStyle w:val="FootnoteText"/>
        <w:rPr>
          <w:sz w:val="16"/>
          <w:szCs w:val="16"/>
        </w:rPr>
      </w:pPr>
      <w:r w:rsidRPr="00EE6FE0">
        <w:rPr>
          <w:rStyle w:val="FootnoteReference"/>
          <w:sz w:val="16"/>
          <w:szCs w:val="16"/>
        </w:rPr>
        <w:footnoteRef/>
      </w:r>
      <w:r w:rsidR="00EE6FE0" w:rsidRPr="00EE6FE0">
        <w:rPr>
          <w:sz w:val="16"/>
          <w:szCs w:val="16"/>
        </w:rPr>
        <w:t xml:space="preserve"> </w:t>
      </w:r>
      <w:r w:rsidR="0021308A">
        <w:rPr>
          <w:sz w:val="16"/>
          <w:szCs w:val="16"/>
        </w:rPr>
        <w:t xml:space="preserve">To view </w:t>
      </w:r>
      <w:r w:rsidRPr="00EE6FE0">
        <w:rPr>
          <w:sz w:val="16"/>
          <w:szCs w:val="16"/>
        </w:rPr>
        <w:t>Safe Work Australia’s Work-related Traumatic Injury Fatalities data set</w:t>
      </w:r>
      <w:r w:rsidR="0021308A">
        <w:rPr>
          <w:sz w:val="16"/>
          <w:szCs w:val="16"/>
        </w:rPr>
        <w:t xml:space="preserve">, </w:t>
      </w:r>
      <w:hyperlink r:id="rId1" w:history="1">
        <w:r w:rsidR="0021308A" w:rsidRPr="0021308A">
          <w:rPr>
            <w:rStyle w:val="Hyperlink"/>
            <w:sz w:val="16"/>
            <w:szCs w:val="16"/>
          </w:rPr>
          <w:t>click here</w:t>
        </w:r>
      </w:hyperlink>
      <w:r w:rsidRPr="00EE6FE0">
        <w:rPr>
          <w:sz w:val="16"/>
          <w:szCs w:val="16"/>
        </w:rPr>
        <w:t xml:space="preserve"> </w:t>
      </w:r>
    </w:p>
    <w:p w14:paraId="159B45D4" w14:textId="36A7FC0F" w:rsidR="000D5EAC" w:rsidRPr="00EE6FE0" w:rsidRDefault="00C12F09">
      <w:pPr>
        <w:pStyle w:val="FootnoteText"/>
        <w:rPr>
          <w:sz w:val="16"/>
          <w:szCs w:val="16"/>
          <w:lang w:val="en-US"/>
        </w:rPr>
      </w:pPr>
      <w:hyperlink r:id="rId2" w:history="1">
        <w:r w:rsidR="000D5EAC" w:rsidRPr="00EE6FE0">
          <w:rPr>
            <w:sz w:val="16"/>
            <w:szCs w:val="16"/>
          </w:rPr>
          <w:t>https://www.safeworkaustralia.gov.au/statistics-and-research/statistics/fatalities/fatality-statistics-industry</w:t>
        </w:r>
      </w:hyperlink>
      <w:r w:rsidR="000D5EAC" w:rsidRPr="00EE6FE0">
        <w:rPr>
          <w:sz w:val="16"/>
          <w:szCs w:val="16"/>
        </w:rPr>
        <w:t>.</w:t>
      </w:r>
      <w:r w:rsidR="00BA0465">
        <w:rPr>
          <w:sz w:val="16"/>
          <w:szCs w:val="16"/>
        </w:rPr>
        <w:t xml:space="preserve"> This</w:t>
      </w:r>
      <w:r w:rsidR="0021308A">
        <w:rPr>
          <w:sz w:val="16"/>
          <w:szCs w:val="16"/>
        </w:rPr>
        <w:t xml:space="preserve"> data covers</w:t>
      </w:r>
      <w:r w:rsidR="00BA0465">
        <w:rPr>
          <w:sz w:val="16"/>
          <w:szCs w:val="16"/>
        </w:rPr>
        <w:t xml:space="preserve"> a different time period to </w:t>
      </w:r>
      <w:r w:rsidR="008E71B6">
        <w:rPr>
          <w:sz w:val="16"/>
          <w:szCs w:val="16"/>
        </w:rPr>
        <w:t>the time period represented in F</w:t>
      </w:r>
      <w:r w:rsidR="00BA0465">
        <w:rPr>
          <w:sz w:val="16"/>
          <w:szCs w:val="16"/>
        </w:rPr>
        <w:t xml:space="preserve">igure 1 in the issues paper. </w:t>
      </w:r>
    </w:p>
  </w:footnote>
  <w:footnote w:id="7">
    <w:p w14:paraId="00D284A0" w14:textId="277AE0DF" w:rsidR="000D5EAC" w:rsidRPr="00EE6FE0" w:rsidRDefault="000D5EAC">
      <w:pPr>
        <w:pStyle w:val="FootnoteTex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Data provided by Safe Work Australia covers the four</w:t>
      </w:r>
      <w:r w:rsidR="00965F19">
        <w:rPr>
          <w:sz w:val="16"/>
          <w:szCs w:val="16"/>
          <w:lang w:val="en-US"/>
        </w:rPr>
        <w:t>-</w:t>
      </w:r>
      <w:r w:rsidRPr="00EE6FE0">
        <w:rPr>
          <w:sz w:val="16"/>
          <w:szCs w:val="16"/>
          <w:lang w:val="en-US"/>
        </w:rPr>
        <w:t xml:space="preserve">year period 2013-2016. </w:t>
      </w:r>
    </w:p>
  </w:footnote>
  <w:footnote w:id="8">
    <w:p w14:paraId="2736A0DA" w14:textId="77777777" w:rsidR="00DD02E3" w:rsidRPr="00AB72A3" w:rsidRDefault="00DD02E3" w:rsidP="00DD02E3">
      <w:pPr>
        <w:pStyle w:val="FootnoteText"/>
        <w:rPr>
          <w:sz w:val="16"/>
          <w:szCs w:val="16"/>
          <w:lang w:val="en-US"/>
        </w:rPr>
      </w:pPr>
      <w:r>
        <w:rPr>
          <w:rStyle w:val="FootnoteReference"/>
        </w:rPr>
        <w:footnoteRef/>
      </w:r>
      <w:r>
        <w:t xml:space="preserve"> </w:t>
      </w:r>
      <w:r w:rsidRPr="00AB72A3">
        <w:rPr>
          <w:sz w:val="16"/>
          <w:szCs w:val="16"/>
          <w:lang w:val="en-US"/>
        </w:rPr>
        <w:t xml:space="preserve">A national review into model occupational health and safety laws took place in 2008. The review was conducted by an advisory panel chaired by Robin Stewart-Crompton, with Barry Sherriff and Stephanie </w:t>
      </w:r>
      <w:proofErr w:type="spellStart"/>
      <w:r w:rsidRPr="00AB72A3">
        <w:rPr>
          <w:sz w:val="16"/>
          <w:szCs w:val="16"/>
          <w:lang w:val="en-US"/>
        </w:rPr>
        <w:t>Mayman</w:t>
      </w:r>
      <w:proofErr w:type="spellEnd"/>
      <w:r w:rsidRPr="00AB72A3">
        <w:rPr>
          <w:sz w:val="16"/>
          <w:szCs w:val="16"/>
          <w:lang w:val="en-US"/>
        </w:rPr>
        <w:t xml:space="preserve"> as panel members. This review recommended the form of the model WHS regulatory framework. Important elements of the model are:</w:t>
      </w:r>
      <w:r w:rsidRPr="00DD02E3">
        <w:rPr>
          <w:sz w:val="16"/>
          <w:szCs w:val="16"/>
          <w:lang w:val="en-US"/>
        </w:rPr>
        <w:t xml:space="preserve"> </w:t>
      </w:r>
      <w:r w:rsidRPr="00AB72A3">
        <w:rPr>
          <w:sz w:val="16"/>
          <w:szCs w:val="16"/>
          <w:lang w:val="en-US"/>
        </w:rPr>
        <w:t xml:space="preserve">The retention of a general risk based duties which require duty holders to identify and assess hazards and risks and to, so far as is reasonably practicable, eliminate or </w:t>
      </w:r>
      <w:proofErr w:type="spellStart"/>
      <w:r w:rsidRPr="00AB72A3">
        <w:rPr>
          <w:sz w:val="16"/>
          <w:szCs w:val="16"/>
          <w:lang w:val="en-US"/>
        </w:rPr>
        <w:t>minimise</w:t>
      </w:r>
      <w:proofErr w:type="spellEnd"/>
      <w:r w:rsidRPr="00AB72A3">
        <w:rPr>
          <w:sz w:val="16"/>
          <w:szCs w:val="16"/>
          <w:lang w:val="en-US"/>
        </w:rPr>
        <w:t xml:space="preserve"> risk</w:t>
      </w:r>
      <w:r w:rsidR="003D19C8" w:rsidRPr="003D19C8">
        <w:rPr>
          <w:sz w:val="16"/>
          <w:szCs w:val="16"/>
          <w:lang w:val="en-US"/>
        </w:rPr>
        <w:t>; a</w:t>
      </w:r>
      <w:r>
        <w:rPr>
          <w:sz w:val="16"/>
          <w:szCs w:val="16"/>
          <w:lang w:val="en-US"/>
        </w:rPr>
        <w:t>nd s</w:t>
      </w:r>
      <w:r w:rsidRPr="00AB72A3">
        <w:rPr>
          <w:sz w:val="16"/>
          <w:szCs w:val="16"/>
          <w:lang w:val="en-US"/>
        </w:rPr>
        <w:t>ubordinate legislation which sets out specific obligations.</w:t>
      </w:r>
    </w:p>
  </w:footnote>
  <w:footnote w:id="9">
    <w:p w14:paraId="3A2E0962" w14:textId="77777777" w:rsidR="000D5EAC" w:rsidRPr="00EE6FE0" w:rsidRDefault="000D5EAC" w:rsidP="00C451EC">
      <w:pPr>
        <w:pStyle w:val="FootnoteText"/>
        <w:jc w:val="lef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Data provided by the Office of the Federal Safety Commissioner.</w:t>
      </w:r>
    </w:p>
  </w:footnote>
  <w:footnote w:id="10">
    <w:p w14:paraId="132ACDD8" w14:textId="77777777" w:rsidR="000D5EAC" w:rsidRPr="00EE6FE0" w:rsidRDefault="000D5EAC" w:rsidP="00C451EC">
      <w:pPr>
        <w:pStyle w:val="FootnoteText"/>
        <w:rPr>
          <w:sz w:val="16"/>
          <w:szCs w:val="16"/>
          <w:lang w:val="en-US"/>
        </w:rPr>
      </w:pPr>
      <w:r w:rsidRPr="00EE6FE0">
        <w:rPr>
          <w:rStyle w:val="FootnoteReference"/>
          <w:sz w:val="16"/>
          <w:szCs w:val="16"/>
        </w:rPr>
        <w:footnoteRef/>
      </w:r>
      <w:r w:rsidRPr="00EE6FE0">
        <w:rPr>
          <w:sz w:val="16"/>
          <w:szCs w:val="16"/>
        </w:rPr>
        <w:t xml:space="preserve"> </w:t>
      </w:r>
      <w:r w:rsidRPr="00EE6FE0">
        <w:rPr>
          <w:sz w:val="16"/>
          <w:szCs w:val="16"/>
          <w:lang w:val="en-US"/>
        </w:rPr>
        <w:t xml:space="preserve">Data provided by the Office of the Federal Safety Commissioner. </w:t>
      </w:r>
    </w:p>
  </w:footnote>
  <w:footnote w:id="11">
    <w:p w14:paraId="6C2797C1" w14:textId="77777777" w:rsidR="000D5EAC" w:rsidRPr="000F19D5" w:rsidRDefault="000D5EAC" w:rsidP="00C451EC">
      <w:pPr>
        <w:pStyle w:val="FootnoteText"/>
        <w:rPr>
          <w:i/>
          <w:lang w:val="en-US"/>
        </w:rPr>
      </w:pPr>
      <w:r w:rsidRPr="00EE6FE0">
        <w:rPr>
          <w:rStyle w:val="FootnoteReference"/>
          <w:sz w:val="16"/>
          <w:szCs w:val="16"/>
        </w:rPr>
        <w:footnoteRef/>
      </w:r>
      <w:r w:rsidRPr="00EE6FE0">
        <w:rPr>
          <w:sz w:val="16"/>
          <w:szCs w:val="16"/>
        </w:rPr>
        <w:t xml:space="preserve"> </w:t>
      </w:r>
      <w:r w:rsidRPr="00EE6FE0">
        <w:rPr>
          <w:sz w:val="16"/>
          <w:szCs w:val="16"/>
          <w:lang w:val="en-US"/>
        </w:rPr>
        <w:t xml:space="preserve">Data provided by the Office of the Federal Safety Commissioner.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FAE2D" w14:textId="73CAB5FD" w:rsidR="000D5EAC" w:rsidRPr="00251B38" w:rsidRDefault="00827DCD" w:rsidP="00251B38">
    <w:pPr>
      <w:pStyle w:val="Header"/>
      <w:jc w:val="right"/>
      <w:rPr>
        <w:b/>
        <w:szCs w:val="20"/>
      </w:rPr>
    </w:pPr>
    <w:bookmarkStart w:id="2" w:name="_mps316134150000000000000005028000000000"/>
    <w:r>
      <w:rPr>
        <w:b/>
        <w:noProof/>
        <w:szCs w:val="20"/>
        <w:lang w:eastAsia="en-AU"/>
      </w:rPr>
      <w:t xml:space="preserve"> </w:t>
    </w:r>
    <w:r w:rsidR="000D5EAC">
      <w:rPr>
        <w:b/>
        <w:noProof/>
        <w:szCs w:val="20"/>
        <w:lang w:eastAsia="en-AU"/>
      </w:rPr>
      <w:drawing>
        <wp:anchor distT="0" distB="247015" distL="457200" distR="457200" simplePos="0" relativeHeight="251656704" behindDoc="0" locked="0" layoutInCell="1" allowOverlap="1" wp14:anchorId="0A61E101" wp14:editId="71C79D51">
          <wp:simplePos x="0" y="0"/>
          <wp:positionH relativeFrom="page">
            <wp:posOffset>342900</wp:posOffset>
          </wp:positionH>
          <wp:positionV relativeFrom="page">
            <wp:posOffset>457200</wp:posOffset>
          </wp:positionV>
          <wp:extent cx="2276856" cy="475488"/>
          <wp:effectExtent l="0" t="0" r="0" b="1270"/>
          <wp:wrapTopAndBottom/>
          <wp:docPr id="1" name="Picture 1" descr="Seyfarth Sh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yfart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856" cy="475488"/>
                  </a:xfrm>
                  <a:prstGeom prst="rect">
                    <a:avLst/>
                  </a:prstGeom>
                </pic:spPr>
              </pic:pic>
            </a:graphicData>
          </a:graphic>
          <wp14:sizeRelH relativeFrom="margin">
            <wp14:pctWidth>0</wp14:pctWidth>
          </wp14:sizeRelH>
          <wp14:sizeRelV relativeFrom="margin">
            <wp14:pctHeight>0</wp14:pctHeight>
          </wp14:sizeRelV>
        </wp:anchor>
      </w:drawing>
    </w:r>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AC48" w14:textId="77777777" w:rsidR="000D5EAC" w:rsidRDefault="00314ABE" w:rsidP="00314ABE">
    <w:pPr>
      <w:pStyle w:val="Header"/>
      <w:tabs>
        <w:tab w:val="clear" w:pos="4680"/>
        <w:tab w:val="clear" w:pos="9360"/>
        <w:tab w:val="left" w:pos="613"/>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7AD7" w14:textId="77777777" w:rsidR="000D5EAC" w:rsidRDefault="000D5EAC" w:rsidP="005D71F4">
    <w:pPr>
      <w:pStyle w:val="TitleCenterB"/>
    </w:pPr>
    <w:r>
      <w:t>Table of Contents (continued)</w:t>
    </w:r>
  </w:p>
  <w:p w14:paraId="45978C55" w14:textId="77777777" w:rsidR="000D5EAC" w:rsidRDefault="000D5EAC" w:rsidP="005D71F4">
    <w:pPr>
      <w:pStyle w:val="BodySingle0"/>
    </w:pPr>
  </w:p>
  <w:p w14:paraId="61EF6707" w14:textId="77777777" w:rsidR="000D5EAC" w:rsidRPr="005D71F4" w:rsidRDefault="000D5EAC" w:rsidP="005D71F4">
    <w:pPr>
      <w:pStyle w:val="BodySingle0"/>
      <w:spacing w:after="120"/>
      <w:jc w:val="right"/>
    </w:pPr>
    <w:r>
      <w:t>Page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8404" w14:textId="77777777" w:rsidR="000D5EAC" w:rsidRDefault="000D5EAC" w:rsidP="005D71F4">
    <w:pPr>
      <w:pStyle w:val="TitleCenterB"/>
    </w:pPr>
    <w:r>
      <w:t>Table of Contents</w:t>
    </w:r>
  </w:p>
  <w:p w14:paraId="026083FE" w14:textId="77777777" w:rsidR="000D5EAC" w:rsidRDefault="000D5EAC" w:rsidP="005D71F4">
    <w:pPr>
      <w:pStyle w:val="BodySingle0"/>
    </w:pPr>
  </w:p>
  <w:p w14:paraId="4BB46889" w14:textId="77777777" w:rsidR="000D5EAC" w:rsidRPr="005D71F4" w:rsidRDefault="00440D82" w:rsidP="005D71F4">
    <w:pPr>
      <w:pStyle w:val="BodySingle0"/>
      <w:spacing w:after="120"/>
      <w:jc w:val="right"/>
    </w:pPr>
    <w:r>
      <w:rPr>
        <w:b/>
        <w:szCs w:val="20"/>
      </w:rPr>
      <w:t>Draft</w:t>
    </w:r>
    <w:r>
      <w:rPr>
        <w:b/>
        <w:szCs w:val="20"/>
      </w:rPr>
      <w:br/>
      <w:t xml:space="preserve">    Confidential and privileged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6DC7" w14:textId="77777777" w:rsidR="000D5EAC" w:rsidRDefault="000D5E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47B3" w14:textId="0D7A82EE" w:rsidR="000D5EAC" w:rsidRPr="00251B38" w:rsidRDefault="000D5EAC" w:rsidP="00251B38">
    <w:pPr>
      <w:pStyle w:val="Header"/>
      <w:jc w:val="right"/>
      <w:rPr>
        <w:b/>
        <w:szCs w:val="20"/>
      </w:rPr>
    </w:pPr>
    <w:r>
      <w:rPr>
        <w:b/>
        <w:szCs w:val="20"/>
      </w:rPr>
      <w:br/>
    </w:r>
    <w:r>
      <w:rPr>
        <w:b/>
        <w:noProof/>
        <w:szCs w:val="20"/>
        <w:lang w:eastAsia="en-AU"/>
      </w:rPr>
      <w:drawing>
        <wp:anchor distT="0" distB="247015" distL="457200" distR="457200" simplePos="0" relativeHeight="251657728" behindDoc="0" locked="0" layoutInCell="1" allowOverlap="1" wp14:anchorId="1DB1828D" wp14:editId="46071EC3">
          <wp:simplePos x="0" y="0"/>
          <wp:positionH relativeFrom="page">
            <wp:posOffset>342900</wp:posOffset>
          </wp:positionH>
          <wp:positionV relativeFrom="page">
            <wp:posOffset>457200</wp:posOffset>
          </wp:positionV>
          <wp:extent cx="2276856" cy="475488"/>
          <wp:effectExtent l="0" t="0" r="0" b="1270"/>
          <wp:wrapTopAndBottom/>
          <wp:docPr id="3" name="Picture 3" descr="Seyfarth Sh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yfart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856" cy="47548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24BC" w14:textId="2BBBEDD0" w:rsidR="000D5EAC" w:rsidRDefault="00827DCD" w:rsidP="00723732">
    <w:pPr>
      <w:pStyle w:val="Header"/>
    </w:pPr>
    <w:r>
      <w:rPr>
        <w:b/>
        <w:noProof/>
        <w:szCs w:val="20"/>
        <w:lang w:eastAsia="en-AU"/>
      </w:rPr>
      <w:drawing>
        <wp:anchor distT="0" distB="247015" distL="457200" distR="457200" simplePos="0" relativeHeight="251659776" behindDoc="0" locked="0" layoutInCell="1" allowOverlap="1" wp14:anchorId="76141982" wp14:editId="5CFA5800">
          <wp:simplePos x="0" y="0"/>
          <wp:positionH relativeFrom="page">
            <wp:posOffset>914400</wp:posOffset>
          </wp:positionH>
          <wp:positionV relativeFrom="page">
            <wp:posOffset>598170</wp:posOffset>
          </wp:positionV>
          <wp:extent cx="2276856" cy="475488"/>
          <wp:effectExtent l="0" t="0" r="0" b="1270"/>
          <wp:wrapTopAndBottom/>
          <wp:docPr id="8" name="Picture 8" descr="Seyfarth Sh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eyfart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856" cy="4754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F36"/>
    <w:multiLevelType w:val="hybridMultilevel"/>
    <w:tmpl w:val="ADD66D0E"/>
    <w:name w:val="*NumList&gt;"/>
    <w:lvl w:ilvl="0" w:tplc="BCC21212">
      <w:start w:val="1"/>
      <w:numFmt w:val="decimal"/>
      <w:pStyle w:val="NumList"/>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8058D"/>
    <w:multiLevelType w:val="multilevel"/>
    <w:tmpl w:val="9AF891EE"/>
    <w:name w:val="*NumberScheme"/>
    <w:lvl w:ilvl="0">
      <w:start w:val="1"/>
      <w:numFmt w:val="decimal"/>
      <w:lvlRestart w:val="0"/>
      <w:pStyle w:val="Number1"/>
      <w:lvlText w:val="%1."/>
      <w:lvlJc w:val="left"/>
      <w:pPr>
        <w:ind w:left="720" w:hanging="720"/>
      </w:pPr>
      <w:rPr>
        <w:rFonts w:hint="default"/>
        <w:b w:val="0"/>
        <w:i w:val="0"/>
        <w:caps w:val="0"/>
        <w:strike w:val="0"/>
        <w:dstrike w:val="0"/>
        <w:vanish w:val="0"/>
        <w:color w:val="auto"/>
        <w:sz w:val="20"/>
        <w:u w:val="none"/>
        <w:vertAlign w:val="baseline"/>
      </w:rPr>
    </w:lvl>
    <w:lvl w:ilvl="1">
      <w:start w:val="1"/>
      <w:numFmt w:val="decimal"/>
      <w:lvlRestart w:val="0"/>
      <w:pStyle w:val="Number2"/>
      <w:lvlText w:val="%2."/>
      <w:lvlJc w:val="left"/>
      <w:pPr>
        <w:ind w:left="1440" w:hanging="720"/>
      </w:pPr>
      <w:rPr>
        <w:rFonts w:ascii="Times New Roman" w:hAnsi="Times New Roman" w:cs="Times New Roman" w:hint="default"/>
        <w:b w:val="0"/>
        <w:i w:val="0"/>
        <w:caps w:val="0"/>
        <w:strike w:val="0"/>
        <w:dstrike w:val="0"/>
        <w:vanish w:val="0"/>
        <w:color w:val="auto"/>
        <w:sz w:val="20"/>
        <w:u w:val="none"/>
        <w:vertAlign w:val="baseline"/>
      </w:rPr>
    </w:lvl>
    <w:lvl w:ilvl="2">
      <w:start w:val="1"/>
      <w:numFmt w:val="decimal"/>
      <w:lvlRestart w:val="0"/>
      <w:pStyle w:val="Number3"/>
      <w:lvlText w:val="%3."/>
      <w:lvlJc w:val="left"/>
      <w:pPr>
        <w:ind w:left="216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decimal"/>
      <w:lvlRestart w:val="0"/>
      <w:pStyle w:val="Number4"/>
      <w:lvlText w:val="%4."/>
      <w:lvlJc w:val="left"/>
      <w:pPr>
        <w:ind w:left="2880" w:hanging="720"/>
      </w:pPr>
    </w:lvl>
    <w:lvl w:ilvl="4">
      <w:start w:val="1"/>
      <w:numFmt w:val="decimal"/>
      <w:lvlRestart w:val="0"/>
      <w:pStyle w:val="Number5"/>
      <w:lvlText w:val="%5."/>
      <w:lvlJc w:val="left"/>
      <w:pPr>
        <w:ind w:left="3600" w:hanging="720"/>
      </w:pPr>
    </w:lvl>
    <w:lvl w:ilvl="5">
      <w:start w:val="1"/>
      <w:numFmt w:val="decimal"/>
      <w:lvlRestart w:val="0"/>
      <w:pStyle w:val="Number6"/>
      <w:lvlText w:val="%6."/>
      <w:lvlJc w:val="left"/>
      <w:pPr>
        <w:ind w:left="4320" w:hanging="720"/>
      </w:pPr>
    </w:lvl>
    <w:lvl w:ilvl="6">
      <w:start w:val="1"/>
      <w:numFmt w:val="decimal"/>
      <w:lvlRestart w:val="0"/>
      <w:pStyle w:val="Number7"/>
      <w:lvlText w:val="%7."/>
      <w:lvlJc w:val="left"/>
      <w:pPr>
        <w:ind w:left="5040" w:hanging="720"/>
      </w:pPr>
    </w:lvl>
    <w:lvl w:ilvl="7">
      <w:start w:val="1"/>
      <w:numFmt w:val="decimal"/>
      <w:lvlRestart w:val="0"/>
      <w:pStyle w:val="Number8"/>
      <w:lvlText w:val="%8."/>
      <w:lvlJc w:val="left"/>
      <w:pPr>
        <w:ind w:left="5760" w:hanging="720"/>
      </w:pPr>
    </w:lvl>
    <w:lvl w:ilvl="8">
      <w:start w:val="1"/>
      <w:numFmt w:val="decimal"/>
      <w:lvlRestart w:val="0"/>
      <w:pStyle w:val="Number9"/>
      <w:lvlText w:val="%9."/>
      <w:lvlJc w:val="left"/>
      <w:pPr>
        <w:ind w:left="6480" w:hanging="720"/>
      </w:pPr>
    </w:lvl>
  </w:abstractNum>
  <w:abstractNum w:abstractNumId="2" w15:restartNumberingAfterBreak="0">
    <w:nsid w:val="063554BB"/>
    <w:multiLevelType w:val="multilevel"/>
    <w:tmpl w:val="ACA49384"/>
    <w:name w:val="38b99a11-612c-4b79-8831-f855e50bf89d"/>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3" w15:restartNumberingAfterBreak="0">
    <w:nsid w:val="30B668A2"/>
    <w:multiLevelType w:val="multilevel"/>
    <w:tmpl w:val="2CBCB632"/>
    <w:name w:val="*BulletScheme"/>
    <w:lvl w:ilvl="0">
      <w:start w:val="1"/>
      <w:numFmt w:val="bullet"/>
      <w:lvlRestart w:val="0"/>
      <w:pStyle w:val="Bullet1"/>
      <w:lvlText w:val=""/>
      <w:lvlJc w:val="left"/>
      <w:pPr>
        <w:ind w:left="720" w:hanging="720"/>
      </w:pPr>
      <w:rPr>
        <w:rFonts w:ascii="Symbol" w:hAnsi="Symbol" w:hint="default"/>
        <w:b w:val="0"/>
        <w:i w:val="0"/>
        <w:caps w:val="0"/>
        <w:strike w:val="0"/>
        <w:dstrike w:val="0"/>
        <w:vanish w:val="0"/>
        <w:color w:val="auto"/>
        <w:sz w:val="20"/>
        <w:u w:val="none"/>
        <w:vertAlign w:val="baseline"/>
      </w:rPr>
    </w:lvl>
    <w:lvl w:ilvl="1">
      <w:start w:val="1"/>
      <w:numFmt w:val="bullet"/>
      <w:lvlRestart w:val="0"/>
      <w:pStyle w:val="Bullet2"/>
      <w:lvlText w:val=""/>
      <w:lvlJc w:val="left"/>
      <w:pPr>
        <w:ind w:left="1440" w:hanging="720"/>
      </w:pPr>
      <w:rPr>
        <w:rFonts w:ascii="Symbol" w:hAnsi="Symbol" w:hint="default"/>
        <w:b w:val="0"/>
        <w:i w:val="0"/>
        <w:caps w:val="0"/>
        <w:strike w:val="0"/>
        <w:dstrike w:val="0"/>
        <w:vanish w:val="0"/>
        <w:color w:val="auto"/>
        <w:sz w:val="20"/>
        <w:u w:val="none"/>
        <w:vertAlign w:val="baseline"/>
      </w:rPr>
    </w:lvl>
    <w:lvl w:ilvl="2">
      <w:start w:val="1"/>
      <w:numFmt w:val="bullet"/>
      <w:lvlRestart w:val="0"/>
      <w:pStyle w:val="Bullet3"/>
      <w:lvlText w:val=""/>
      <w:lvlJc w:val="left"/>
      <w:pPr>
        <w:ind w:left="2160" w:hanging="720"/>
      </w:pPr>
      <w:rPr>
        <w:rFonts w:ascii="Symbol" w:hAnsi="Symbol" w:hint="default"/>
        <w:b w:val="0"/>
        <w:i w:val="0"/>
        <w:caps w:val="0"/>
        <w:strike w:val="0"/>
        <w:dstrike w:val="0"/>
        <w:vanish w:val="0"/>
        <w:color w:val="auto"/>
        <w:sz w:val="20"/>
        <w:u w:val="none"/>
        <w:vertAlign w:val="baseline"/>
      </w:rPr>
    </w:lvl>
    <w:lvl w:ilvl="3">
      <w:start w:val="1"/>
      <w:numFmt w:val="bullet"/>
      <w:lvlRestart w:val="0"/>
      <w:pStyle w:val="Bullet4"/>
      <w:lvlText w:val=""/>
      <w:lvlJc w:val="left"/>
      <w:pPr>
        <w:ind w:left="2880" w:hanging="720"/>
      </w:pPr>
      <w:rPr>
        <w:rFonts w:ascii="Symbol" w:hAnsi="Symbol" w:hint="default"/>
        <w:b w:val="0"/>
        <w:i w:val="0"/>
        <w:caps w:val="0"/>
        <w:strike w:val="0"/>
        <w:dstrike w:val="0"/>
        <w:vanish w:val="0"/>
        <w:color w:val="auto"/>
        <w:sz w:val="20"/>
        <w:u w:val="none"/>
        <w:vertAlign w:val="baseline"/>
      </w:rPr>
    </w:lvl>
    <w:lvl w:ilvl="4">
      <w:start w:val="1"/>
      <w:numFmt w:val="bullet"/>
      <w:lvlRestart w:val="0"/>
      <w:pStyle w:val="Bullet5"/>
      <w:lvlText w:val=""/>
      <w:lvlJc w:val="left"/>
      <w:pPr>
        <w:ind w:left="3600" w:hanging="720"/>
      </w:pPr>
      <w:rPr>
        <w:rFonts w:ascii="Symbol" w:hAnsi="Symbol" w:hint="default"/>
        <w:b w:val="0"/>
        <w:i w:val="0"/>
        <w:caps w:val="0"/>
        <w:strike w:val="0"/>
        <w:dstrike w:val="0"/>
        <w:vanish w:val="0"/>
        <w:color w:val="auto"/>
        <w:sz w:val="20"/>
        <w:u w:val="none"/>
        <w:vertAlign w:val="baseline"/>
      </w:rPr>
    </w:lvl>
    <w:lvl w:ilvl="5">
      <w:start w:val="1"/>
      <w:numFmt w:val="bullet"/>
      <w:lvlRestart w:val="0"/>
      <w:pStyle w:val="Bullet6"/>
      <w:lvlText w:val=""/>
      <w:lvlJc w:val="left"/>
      <w:pPr>
        <w:ind w:left="4320" w:hanging="720"/>
      </w:pPr>
      <w:rPr>
        <w:rFonts w:ascii="Symbol" w:hAnsi="Symbol" w:hint="default"/>
        <w:b w:val="0"/>
        <w:i w:val="0"/>
        <w:caps w:val="0"/>
        <w:strike w:val="0"/>
        <w:dstrike w:val="0"/>
        <w:vanish w:val="0"/>
        <w:color w:val="auto"/>
        <w:sz w:val="20"/>
        <w:u w:val="none"/>
        <w:vertAlign w:val="baseline"/>
      </w:rPr>
    </w:lvl>
    <w:lvl w:ilvl="6">
      <w:start w:val="1"/>
      <w:numFmt w:val="bullet"/>
      <w:lvlRestart w:val="0"/>
      <w:pStyle w:val="Bullet7"/>
      <w:lvlText w:val=""/>
      <w:lvlJc w:val="left"/>
      <w:pPr>
        <w:ind w:left="5040" w:hanging="720"/>
      </w:pPr>
      <w:rPr>
        <w:rFonts w:ascii="Symbol" w:hAnsi="Symbol" w:hint="default"/>
        <w:b w:val="0"/>
        <w:i w:val="0"/>
        <w:caps w:val="0"/>
        <w:strike w:val="0"/>
        <w:dstrike w:val="0"/>
        <w:vanish w:val="0"/>
        <w:color w:val="auto"/>
        <w:sz w:val="20"/>
        <w:u w:val="none"/>
        <w:vertAlign w:val="baseline"/>
      </w:rPr>
    </w:lvl>
    <w:lvl w:ilvl="7">
      <w:start w:val="1"/>
      <w:numFmt w:val="bullet"/>
      <w:lvlRestart w:val="0"/>
      <w:pStyle w:val="Bullet8"/>
      <w:lvlText w:val=""/>
      <w:lvlJc w:val="left"/>
      <w:pPr>
        <w:ind w:left="5760" w:hanging="720"/>
      </w:pPr>
      <w:rPr>
        <w:rFonts w:ascii="Symbol" w:hAnsi="Symbol" w:hint="default"/>
        <w:b w:val="0"/>
        <w:i w:val="0"/>
        <w:caps w:val="0"/>
        <w:strike w:val="0"/>
        <w:dstrike w:val="0"/>
        <w:vanish w:val="0"/>
        <w:color w:val="auto"/>
        <w:sz w:val="20"/>
        <w:u w:val="none"/>
        <w:vertAlign w:val="baseline"/>
      </w:rPr>
    </w:lvl>
    <w:lvl w:ilvl="8">
      <w:start w:val="1"/>
      <w:numFmt w:val="bullet"/>
      <w:lvlRestart w:val="0"/>
      <w:pStyle w:val="Bullet9"/>
      <w:lvlText w:val=""/>
      <w:lvlJc w:val="left"/>
      <w:pPr>
        <w:ind w:left="6480" w:hanging="720"/>
      </w:pPr>
      <w:rPr>
        <w:rFonts w:ascii="Symbol" w:hAnsi="Symbol" w:hint="default"/>
        <w:b w:val="0"/>
        <w:i w:val="0"/>
        <w:caps w:val="0"/>
        <w:strike w:val="0"/>
        <w:dstrike w:val="0"/>
        <w:vanish w:val="0"/>
        <w:color w:val="auto"/>
        <w:sz w:val="20"/>
        <w:u w:val="none"/>
        <w:vertAlign w:val="baseline"/>
      </w:rPr>
    </w:lvl>
  </w:abstractNum>
  <w:abstractNum w:abstractNumId="4" w15:restartNumberingAfterBreak="0">
    <w:nsid w:val="326B73C6"/>
    <w:multiLevelType w:val="multilevel"/>
    <w:tmpl w:val="9EA8FB80"/>
    <w:name w:val="Australia Formal"/>
    <w:lvl w:ilvl="0">
      <w:start w:val="1"/>
      <w:numFmt w:val="decimal"/>
      <w:lvlRestart w:val="0"/>
      <w:pStyle w:val="Heading1"/>
      <w:lvlText w:val="%1."/>
      <w:lvlJc w:val="left"/>
      <w:pPr>
        <w:ind w:left="720" w:hanging="720"/>
      </w:pPr>
      <w:rPr>
        <w:rFonts w:ascii="Arial Bold" w:hAnsi="Arial Bold" w:cs="Arial" w:hint="default"/>
        <w:b/>
        <w:i w:val="0"/>
        <w:caps w:val="0"/>
        <w:strike w:val="0"/>
        <w:dstrike w:val="0"/>
        <w:vanish w:val="0"/>
        <w:color w:val="1F497D" w:themeColor="text2"/>
        <w:sz w:val="48"/>
        <w:szCs w:val="48"/>
        <w:u w:val="none"/>
        <w:vertAlign w:val="baseline"/>
      </w:rPr>
    </w:lvl>
    <w:lvl w:ilvl="1">
      <w:start w:val="1"/>
      <w:numFmt w:val="decimal"/>
      <w:lvlText w:val="%1.%2."/>
      <w:lvlJc w:val="left"/>
      <w:pPr>
        <w:ind w:left="720" w:hanging="720"/>
      </w:pPr>
      <w:rPr>
        <w:rFonts w:ascii="Arial Bold" w:hAnsi="Arial Bold" w:cs="Arial" w:hint="default"/>
        <w:b/>
        <w:i w:val="0"/>
        <w:caps w:val="0"/>
        <w:strike w:val="0"/>
        <w:dstrike w:val="0"/>
        <w:vanish w:val="0"/>
        <w:color w:val="auto"/>
        <w:sz w:val="20"/>
        <w:szCs w:val="20"/>
        <w:u w:val="none"/>
        <w:vertAlign w:val="baseline"/>
      </w:rPr>
    </w:lvl>
    <w:lvl w:ilvl="2">
      <w:start w:val="1"/>
      <w:numFmt w:val="lowerLetter"/>
      <w:pStyle w:val="Heading3"/>
      <w:lvlText w:val="(%3)"/>
      <w:lvlJc w:val="left"/>
      <w:pPr>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Roman"/>
      <w:pStyle w:val="Heading4"/>
      <w:lvlText w:val="(%4)"/>
      <w:lvlJc w:val="left"/>
      <w:pPr>
        <w:ind w:left="2160" w:hanging="720"/>
      </w:pPr>
      <w:rPr>
        <w:rFonts w:ascii="Arial" w:hAnsi="Arial" w:cs="Arial" w:hint="default"/>
        <w:b w:val="0"/>
        <w:i w:val="0"/>
        <w:caps w:val="0"/>
        <w:strike w:val="0"/>
        <w:dstrike w:val="0"/>
        <w:vanish w:val="0"/>
        <w:color w:val="auto"/>
        <w:sz w:val="22"/>
        <w:u w:val="none"/>
        <w:vertAlign w:val="baseline"/>
      </w:rPr>
    </w:lvl>
    <w:lvl w:ilvl="4">
      <w:start w:val="1"/>
      <w:numFmt w:val="decimal"/>
      <w:pStyle w:val="Heading5"/>
      <w:lvlText w:val="(%5)"/>
      <w:lvlJc w:val="left"/>
      <w:pPr>
        <w:ind w:left="2880" w:hanging="720"/>
      </w:pPr>
      <w:rPr>
        <w:rFonts w:ascii="Arial" w:hAnsi="Arial" w:cs="Arial" w:hint="default"/>
        <w:b w:val="0"/>
        <w:i w:val="0"/>
        <w:caps w:val="0"/>
        <w:strike w:val="0"/>
        <w:dstrike w:val="0"/>
        <w:vanish w:val="0"/>
        <w:color w:val="auto"/>
        <w:sz w:val="22"/>
        <w:u w:val="none"/>
        <w:vertAlign w:val="baseline"/>
      </w:rPr>
    </w:lvl>
    <w:lvl w:ilvl="5">
      <w:start w:val="1"/>
      <w:numFmt w:val="lowerLetter"/>
      <w:pStyle w:val="Heading6"/>
      <w:lvlText w:val="%6."/>
      <w:lvlJc w:val="left"/>
      <w:pPr>
        <w:ind w:left="3600" w:hanging="720"/>
      </w:pPr>
      <w:rPr>
        <w:rFonts w:ascii="Arial" w:hAnsi="Arial" w:cs="Arial" w:hint="default"/>
        <w:b w:val="0"/>
        <w:i w:val="0"/>
        <w:caps w:val="0"/>
        <w:strike w:val="0"/>
        <w:dstrike w:val="0"/>
        <w:vanish w:val="0"/>
        <w:color w:val="auto"/>
        <w:sz w:val="22"/>
        <w:u w:val="none"/>
        <w:vertAlign w:val="baseline"/>
      </w:rPr>
    </w:lvl>
    <w:lvl w:ilvl="6">
      <w:start w:val="1"/>
      <w:numFmt w:val="lowerRoman"/>
      <w:pStyle w:val="Heading7"/>
      <w:lvlText w:val="%7."/>
      <w:lvlJc w:val="left"/>
      <w:pPr>
        <w:ind w:left="4320" w:hanging="720"/>
      </w:pPr>
      <w:rPr>
        <w:rFonts w:ascii="Arial" w:hAnsi="Arial" w:cs="Arial" w:hint="default"/>
        <w:b w:val="0"/>
        <w:i w:val="0"/>
        <w:caps w:val="0"/>
        <w:strike w:val="0"/>
        <w:dstrike w:val="0"/>
        <w:vanish w:val="0"/>
        <w:color w:val="auto"/>
        <w:sz w:val="22"/>
        <w:u w:val="none"/>
        <w:vertAlign w:val="baseline"/>
      </w:rPr>
    </w:lvl>
    <w:lvl w:ilvl="7">
      <w:start w:val="1"/>
      <w:numFmt w:val="lowerLetter"/>
      <w:pStyle w:val="Heading8"/>
      <w:lvlText w:val="(%8)"/>
      <w:lvlJc w:val="left"/>
      <w:pPr>
        <w:ind w:left="5040" w:hanging="720"/>
      </w:pPr>
      <w:rPr>
        <w:rFonts w:ascii="Arial" w:hAnsi="Arial" w:cs="Arial" w:hint="default"/>
        <w:b w:val="0"/>
        <w:i w:val="0"/>
        <w:caps w:val="0"/>
        <w:strike w:val="0"/>
        <w:dstrike w:val="0"/>
        <w:vanish w:val="0"/>
        <w:color w:val="auto"/>
        <w:sz w:val="22"/>
        <w:u w:val="none"/>
        <w:vertAlign w:val="baseline"/>
      </w:rPr>
    </w:lvl>
    <w:lvl w:ilvl="8">
      <w:start w:val="1"/>
      <w:numFmt w:val="lowerRoman"/>
      <w:pStyle w:val="Heading9"/>
      <w:lvlText w:val="(%9)"/>
      <w:lvlJc w:val="left"/>
      <w:pPr>
        <w:ind w:left="5760" w:hanging="720"/>
      </w:pPr>
      <w:rPr>
        <w:rFonts w:ascii="Arial" w:hAnsi="Arial" w:cs="Arial" w:hint="default"/>
        <w:b w:val="0"/>
        <w:i w:val="0"/>
        <w:caps w:val="0"/>
        <w:strike w:val="0"/>
        <w:dstrike w:val="0"/>
        <w:vanish w:val="0"/>
        <w:color w:val="auto"/>
        <w:sz w:val="22"/>
        <w:u w:val="none"/>
        <w:vertAlign w:val="baseline"/>
      </w:rPr>
    </w:lvl>
  </w:abstractNum>
  <w:abstractNum w:abstractNumId="5" w15:restartNumberingAfterBreak="0">
    <w:nsid w:val="362D1C26"/>
    <w:multiLevelType w:val="hybridMultilevel"/>
    <w:tmpl w:val="BD26E808"/>
    <w:name w:val="*NumList"/>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723C5"/>
    <w:multiLevelType w:val="hybridMultilevel"/>
    <w:tmpl w:val="51C44D7E"/>
    <w:name w:val="*Bullet"/>
    <w:lvl w:ilvl="0" w:tplc="5CC430BE">
      <w:start w:val="1"/>
      <w:numFmt w:val="bullet"/>
      <w:pStyle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A59741C"/>
    <w:multiLevelType w:val="hybridMultilevel"/>
    <w:tmpl w:val="3474A382"/>
    <w:name w:val="*NumListDbl&gt;"/>
    <w:lvl w:ilvl="0" w:tplc="43824BD0">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0"/>
  </w:num>
  <w:num w:numId="5">
    <w:abstractNumId w:val="5"/>
  </w:num>
  <w:num w:numId="6">
    <w:abstractNumId w:val="1"/>
  </w:num>
  <w:num w:numId="7">
    <w:abstractNumId w:val="6"/>
  </w:num>
  <w:num w:numId="8">
    <w:abstractNumId w:val="3"/>
  </w:num>
  <w:num w:numId="9">
    <w:abstractNumId w:val="3"/>
  </w:num>
  <w:num w:numId="10">
    <w:abstractNumId w:val="3"/>
  </w:num>
  <w:num w:numId="11">
    <w:abstractNumId w:val="3"/>
  </w:num>
  <w:num w:numId="12">
    <w:abstractNumId w:val="3"/>
  </w:num>
  <w:num w:numId="13">
    <w:abstractNumId w:val="4"/>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F1"/>
    <w:rsid w:val="000016BE"/>
    <w:rsid w:val="0000307F"/>
    <w:rsid w:val="000032AC"/>
    <w:rsid w:val="00003FEC"/>
    <w:rsid w:val="00004819"/>
    <w:rsid w:val="00004EBB"/>
    <w:rsid w:val="000069CC"/>
    <w:rsid w:val="00007AA1"/>
    <w:rsid w:val="00013000"/>
    <w:rsid w:val="00013CDA"/>
    <w:rsid w:val="000145D4"/>
    <w:rsid w:val="00014BC1"/>
    <w:rsid w:val="00014C6A"/>
    <w:rsid w:val="00015FA3"/>
    <w:rsid w:val="0001627E"/>
    <w:rsid w:val="0002488A"/>
    <w:rsid w:val="00032D43"/>
    <w:rsid w:val="0003386C"/>
    <w:rsid w:val="00034A6F"/>
    <w:rsid w:val="00040B4D"/>
    <w:rsid w:val="00043544"/>
    <w:rsid w:val="00043AA9"/>
    <w:rsid w:val="00046664"/>
    <w:rsid w:val="00046B6C"/>
    <w:rsid w:val="00047C03"/>
    <w:rsid w:val="00052317"/>
    <w:rsid w:val="000556A6"/>
    <w:rsid w:val="000562C2"/>
    <w:rsid w:val="00065CC2"/>
    <w:rsid w:val="0007427A"/>
    <w:rsid w:val="00075610"/>
    <w:rsid w:val="00080A4D"/>
    <w:rsid w:val="00083216"/>
    <w:rsid w:val="00095B42"/>
    <w:rsid w:val="000A08C0"/>
    <w:rsid w:val="000A0CD0"/>
    <w:rsid w:val="000A2AEF"/>
    <w:rsid w:val="000A313D"/>
    <w:rsid w:val="000A4EC2"/>
    <w:rsid w:val="000A72FE"/>
    <w:rsid w:val="000B0754"/>
    <w:rsid w:val="000B2A95"/>
    <w:rsid w:val="000B4EE2"/>
    <w:rsid w:val="000B500A"/>
    <w:rsid w:val="000B5C68"/>
    <w:rsid w:val="000B5CDD"/>
    <w:rsid w:val="000C1284"/>
    <w:rsid w:val="000C3E76"/>
    <w:rsid w:val="000C4FB7"/>
    <w:rsid w:val="000C7E27"/>
    <w:rsid w:val="000D2AC8"/>
    <w:rsid w:val="000D5EAC"/>
    <w:rsid w:val="000E3E73"/>
    <w:rsid w:val="000E63F9"/>
    <w:rsid w:val="000E6B39"/>
    <w:rsid w:val="000E731A"/>
    <w:rsid w:val="000F0379"/>
    <w:rsid w:val="000F19D5"/>
    <w:rsid w:val="000F54EA"/>
    <w:rsid w:val="000F5C40"/>
    <w:rsid w:val="000F5DD4"/>
    <w:rsid w:val="001026B0"/>
    <w:rsid w:val="00102D9B"/>
    <w:rsid w:val="00105E5A"/>
    <w:rsid w:val="001074A3"/>
    <w:rsid w:val="00111A32"/>
    <w:rsid w:val="00117AB5"/>
    <w:rsid w:val="001234F8"/>
    <w:rsid w:val="00125BA4"/>
    <w:rsid w:val="00130402"/>
    <w:rsid w:val="00137984"/>
    <w:rsid w:val="00140464"/>
    <w:rsid w:val="00143A2B"/>
    <w:rsid w:val="001462FA"/>
    <w:rsid w:val="00147CB5"/>
    <w:rsid w:val="00155CC8"/>
    <w:rsid w:val="0015636C"/>
    <w:rsid w:val="001609F5"/>
    <w:rsid w:val="0016166E"/>
    <w:rsid w:val="00165692"/>
    <w:rsid w:val="001665D6"/>
    <w:rsid w:val="00174184"/>
    <w:rsid w:val="00175B40"/>
    <w:rsid w:val="00176154"/>
    <w:rsid w:val="00177CD3"/>
    <w:rsid w:val="001838BD"/>
    <w:rsid w:val="00185334"/>
    <w:rsid w:val="00190F57"/>
    <w:rsid w:val="00192CCE"/>
    <w:rsid w:val="001A1C64"/>
    <w:rsid w:val="001A3698"/>
    <w:rsid w:val="001A60E2"/>
    <w:rsid w:val="001A7277"/>
    <w:rsid w:val="001B6D4A"/>
    <w:rsid w:val="001C0503"/>
    <w:rsid w:val="001C148D"/>
    <w:rsid w:val="001C1634"/>
    <w:rsid w:val="001C218E"/>
    <w:rsid w:val="001C5361"/>
    <w:rsid w:val="001C60D9"/>
    <w:rsid w:val="001D1477"/>
    <w:rsid w:val="001D19F4"/>
    <w:rsid w:val="001D4936"/>
    <w:rsid w:val="001D4AA4"/>
    <w:rsid w:val="001E0E45"/>
    <w:rsid w:val="001E3376"/>
    <w:rsid w:val="001E3A15"/>
    <w:rsid w:val="001F0868"/>
    <w:rsid w:val="001F3179"/>
    <w:rsid w:val="001F40A0"/>
    <w:rsid w:val="001F7874"/>
    <w:rsid w:val="001F7DD2"/>
    <w:rsid w:val="00201060"/>
    <w:rsid w:val="002023DC"/>
    <w:rsid w:val="002064DA"/>
    <w:rsid w:val="00207E8D"/>
    <w:rsid w:val="002119DA"/>
    <w:rsid w:val="0021308A"/>
    <w:rsid w:val="0022037A"/>
    <w:rsid w:val="00227BD2"/>
    <w:rsid w:val="00231155"/>
    <w:rsid w:val="0023243E"/>
    <w:rsid w:val="00234131"/>
    <w:rsid w:val="00234176"/>
    <w:rsid w:val="00236A83"/>
    <w:rsid w:val="0024276A"/>
    <w:rsid w:val="00244D6D"/>
    <w:rsid w:val="00244F91"/>
    <w:rsid w:val="002459CA"/>
    <w:rsid w:val="002467FA"/>
    <w:rsid w:val="00251B38"/>
    <w:rsid w:val="00252EFA"/>
    <w:rsid w:val="002534FA"/>
    <w:rsid w:val="00253E47"/>
    <w:rsid w:val="00254E24"/>
    <w:rsid w:val="002604D0"/>
    <w:rsid w:val="00261405"/>
    <w:rsid w:val="002627CB"/>
    <w:rsid w:val="00262C7B"/>
    <w:rsid w:val="00274A41"/>
    <w:rsid w:val="00274EDF"/>
    <w:rsid w:val="00276AE1"/>
    <w:rsid w:val="002817AE"/>
    <w:rsid w:val="00283E76"/>
    <w:rsid w:val="0029192E"/>
    <w:rsid w:val="002937E1"/>
    <w:rsid w:val="00293C69"/>
    <w:rsid w:val="0029405A"/>
    <w:rsid w:val="00295D15"/>
    <w:rsid w:val="002977E1"/>
    <w:rsid w:val="002A1891"/>
    <w:rsid w:val="002A5991"/>
    <w:rsid w:val="002B43E9"/>
    <w:rsid w:val="002B7EE4"/>
    <w:rsid w:val="002C0800"/>
    <w:rsid w:val="002C1F57"/>
    <w:rsid w:val="002C2911"/>
    <w:rsid w:val="002E11DC"/>
    <w:rsid w:val="002E1B44"/>
    <w:rsid w:val="002E31C0"/>
    <w:rsid w:val="002E53E0"/>
    <w:rsid w:val="002E72A8"/>
    <w:rsid w:val="002E776F"/>
    <w:rsid w:val="002F2052"/>
    <w:rsid w:val="002F4648"/>
    <w:rsid w:val="002F5E44"/>
    <w:rsid w:val="00302017"/>
    <w:rsid w:val="00302641"/>
    <w:rsid w:val="00303E00"/>
    <w:rsid w:val="003045CC"/>
    <w:rsid w:val="00304CD8"/>
    <w:rsid w:val="0031002B"/>
    <w:rsid w:val="003139FE"/>
    <w:rsid w:val="00313BFC"/>
    <w:rsid w:val="00314ABE"/>
    <w:rsid w:val="0031604C"/>
    <w:rsid w:val="003165D9"/>
    <w:rsid w:val="00321B48"/>
    <w:rsid w:val="003228DC"/>
    <w:rsid w:val="00323080"/>
    <w:rsid w:val="00325A34"/>
    <w:rsid w:val="00325B50"/>
    <w:rsid w:val="0032635E"/>
    <w:rsid w:val="00327732"/>
    <w:rsid w:val="0033012B"/>
    <w:rsid w:val="003318C8"/>
    <w:rsid w:val="00333D26"/>
    <w:rsid w:val="00334440"/>
    <w:rsid w:val="0034121F"/>
    <w:rsid w:val="00342A78"/>
    <w:rsid w:val="00347DE0"/>
    <w:rsid w:val="00355FB3"/>
    <w:rsid w:val="003571C5"/>
    <w:rsid w:val="00364A25"/>
    <w:rsid w:val="003713D7"/>
    <w:rsid w:val="0037249F"/>
    <w:rsid w:val="0037723A"/>
    <w:rsid w:val="00377B62"/>
    <w:rsid w:val="00380014"/>
    <w:rsid w:val="0038004A"/>
    <w:rsid w:val="0038381E"/>
    <w:rsid w:val="003868DB"/>
    <w:rsid w:val="0039392E"/>
    <w:rsid w:val="00395790"/>
    <w:rsid w:val="0039739B"/>
    <w:rsid w:val="00397D82"/>
    <w:rsid w:val="003A0F94"/>
    <w:rsid w:val="003A6471"/>
    <w:rsid w:val="003A6BF1"/>
    <w:rsid w:val="003B085C"/>
    <w:rsid w:val="003B1C79"/>
    <w:rsid w:val="003B4CA1"/>
    <w:rsid w:val="003B580F"/>
    <w:rsid w:val="003B5D60"/>
    <w:rsid w:val="003C1AA2"/>
    <w:rsid w:val="003C35E3"/>
    <w:rsid w:val="003C5C77"/>
    <w:rsid w:val="003D19C8"/>
    <w:rsid w:val="003D19D2"/>
    <w:rsid w:val="003D21E8"/>
    <w:rsid w:val="003D2E3A"/>
    <w:rsid w:val="003D4AE5"/>
    <w:rsid w:val="003E0EE0"/>
    <w:rsid w:val="003F3518"/>
    <w:rsid w:val="003F43A5"/>
    <w:rsid w:val="003F5DA5"/>
    <w:rsid w:val="00400BDC"/>
    <w:rsid w:val="004030B0"/>
    <w:rsid w:val="00404580"/>
    <w:rsid w:val="00405C8D"/>
    <w:rsid w:val="004104DA"/>
    <w:rsid w:val="00411262"/>
    <w:rsid w:val="004121E3"/>
    <w:rsid w:val="00414313"/>
    <w:rsid w:val="00416BD6"/>
    <w:rsid w:val="004174E6"/>
    <w:rsid w:val="00420054"/>
    <w:rsid w:val="00425B80"/>
    <w:rsid w:val="00430027"/>
    <w:rsid w:val="004302FE"/>
    <w:rsid w:val="0043798C"/>
    <w:rsid w:val="00440D82"/>
    <w:rsid w:val="00444E63"/>
    <w:rsid w:val="00447DA9"/>
    <w:rsid w:val="00453B14"/>
    <w:rsid w:val="004560A6"/>
    <w:rsid w:val="00462C65"/>
    <w:rsid w:val="004636A9"/>
    <w:rsid w:val="00464C5C"/>
    <w:rsid w:val="004737FD"/>
    <w:rsid w:val="00474424"/>
    <w:rsid w:val="00475271"/>
    <w:rsid w:val="00475383"/>
    <w:rsid w:val="004771F4"/>
    <w:rsid w:val="00480D0D"/>
    <w:rsid w:val="00487826"/>
    <w:rsid w:val="00487C0B"/>
    <w:rsid w:val="00487D2A"/>
    <w:rsid w:val="00492E93"/>
    <w:rsid w:val="00493318"/>
    <w:rsid w:val="00494CC2"/>
    <w:rsid w:val="00496835"/>
    <w:rsid w:val="004A772B"/>
    <w:rsid w:val="004B0378"/>
    <w:rsid w:val="004B0E9E"/>
    <w:rsid w:val="004B27E1"/>
    <w:rsid w:val="004B4979"/>
    <w:rsid w:val="004D03EA"/>
    <w:rsid w:val="004D0D4B"/>
    <w:rsid w:val="004D1700"/>
    <w:rsid w:val="004D3B38"/>
    <w:rsid w:val="004D6B42"/>
    <w:rsid w:val="004E3EF0"/>
    <w:rsid w:val="004F00A7"/>
    <w:rsid w:val="004F0822"/>
    <w:rsid w:val="004F2132"/>
    <w:rsid w:val="004F265F"/>
    <w:rsid w:val="00504B56"/>
    <w:rsid w:val="00507DFF"/>
    <w:rsid w:val="005136A5"/>
    <w:rsid w:val="005142EC"/>
    <w:rsid w:val="00514B58"/>
    <w:rsid w:val="00521BCD"/>
    <w:rsid w:val="0053091A"/>
    <w:rsid w:val="00532AF1"/>
    <w:rsid w:val="00533951"/>
    <w:rsid w:val="005410FA"/>
    <w:rsid w:val="0054525F"/>
    <w:rsid w:val="00545DB1"/>
    <w:rsid w:val="00552B9F"/>
    <w:rsid w:val="00555D2B"/>
    <w:rsid w:val="00556600"/>
    <w:rsid w:val="00557F8B"/>
    <w:rsid w:val="0056068D"/>
    <w:rsid w:val="00562551"/>
    <w:rsid w:val="00564F70"/>
    <w:rsid w:val="00566C12"/>
    <w:rsid w:val="0056753A"/>
    <w:rsid w:val="00570822"/>
    <w:rsid w:val="0057162A"/>
    <w:rsid w:val="005730ED"/>
    <w:rsid w:val="00573350"/>
    <w:rsid w:val="00576A60"/>
    <w:rsid w:val="00576C3D"/>
    <w:rsid w:val="0057733A"/>
    <w:rsid w:val="005808B9"/>
    <w:rsid w:val="00582F26"/>
    <w:rsid w:val="0058311A"/>
    <w:rsid w:val="005875EC"/>
    <w:rsid w:val="00587D05"/>
    <w:rsid w:val="00591F79"/>
    <w:rsid w:val="00591FDF"/>
    <w:rsid w:val="00592713"/>
    <w:rsid w:val="0059375F"/>
    <w:rsid w:val="00593ED5"/>
    <w:rsid w:val="00596CA2"/>
    <w:rsid w:val="0059705A"/>
    <w:rsid w:val="00597281"/>
    <w:rsid w:val="005A0ABF"/>
    <w:rsid w:val="005A31FA"/>
    <w:rsid w:val="005A6CCF"/>
    <w:rsid w:val="005B18F5"/>
    <w:rsid w:val="005B1A48"/>
    <w:rsid w:val="005B361E"/>
    <w:rsid w:val="005B7CA2"/>
    <w:rsid w:val="005B7ED3"/>
    <w:rsid w:val="005B7FC9"/>
    <w:rsid w:val="005C3399"/>
    <w:rsid w:val="005C3F38"/>
    <w:rsid w:val="005C6074"/>
    <w:rsid w:val="005D00C9"/>
    <w:rsid w:val="005D71F4"/>
    <w:rsid w:val="005E12C6"/>
    <w:rsid w:val="005E3187"/>
    <w:rsid w:val="005E5C8A"/>
    <w:rsid w:val="005E7320"/>
    <w:rsid w:val="005F3471"/>
    <w:rsid w:val="005F6C37"/>
    <w:rsid w:val="005F6C3F"/>
    <w:rsid w:val="00600913"/>
    <w:rsid w:val="00603C96"/>
    <w:rsid w:val="00605B02"/>
    <w:rsid w:val="00607013"/>
    <w:rsid w:val="006075FB"/>
    <w:rsid w:val="00607CE2"/>
    <w:rsid w:val="0061137D"/>
    <w:rsid w:val="00613B7A"/>
    <w:rsid w:val="00613D60"/>
    <w:rsid w:val="00613F18"/>
    <w:rsid w:val="006168AC"/>
    <w:rsid w:val="00617FD4"/>
    <w:rsid w:val="00620B77"/>
    <w:rsid w:val="006216DD"/>
    <w:rsid w:val="00622972"/>
    <w:rsid w:val="00623F30"/>
    <w:rsid w:val="00625F05"/>
    <w:rsid w:val="0063097D"/>
    <w:rsid w:val="00631EBF"/>
    <w:rsid w:val="0063584B"/>
    <w:rsid w:val="006360B8"/>
    <w:rsid w:val="00641A86"/>
    <w:rsid w:val="00641EDE"/>
    <w:rsid w:val="006423AF"/>
    <w:rsid w:val="00651C82"/>
    <w:rsid w:val="00651E0E"/>
    <w:rsid w:val="0065269D"/>
    <w:rsid w:val="00660639"/>
    <w:rsid w:val="00662025"/>
    <w:rsid w:val="00665C33"/>
    <w:rsid w:val="00667C45"/>
    <w:rsid w:val="00670A07"/>
    <w:rsid w:val="006740EA"/>
    <w:rsid w:val="00674703"/>
    <w:rsid w:val="006750DA"/>
    <w:rsid w:val="00676AD9"/>
    <w:rsid w:val="00677BFA"/>
    <w:rsid w:val="0068051C"/>
    <w:rsid w:val="00680D03"/>
    <w:rsid w:val="0068222B"/>
    <w:rsid w:val="00682700"/>
    <w:rsid w:val="006855AC"/>
    <w:rsid w:val="00685A92"/>
    <w:rsid w:val="00691AEE"/>
    <w:rsid w:val="00691BBB"/>
    <w:rsid w:val="00695E9F"/>
    <w:rsid w:val="006966C6"/>
    <w:rsid w:val="006A1D10"/>
    <w:rsid w:val="006A1E45"/>
    <w:rsid w:val="006A3FCD"/>
    <w:rsid w:val="006A7367"/>
    <w:rsid w:val="006B667F"/>
    <w:rsid w:val="006B77A7"/>
    <w:rsid w:val="006C2340"/>
    <w:rsid w:val="006D6F21"/>
    <w:rsid w:val="006E7274"/>
    <w:rsid w:val="006E7644"/>
    <w:rsid w:val="006F2DE5"/>
    <w:rsid w:val="006F5DFF"/>
    <w:rsid w:val="007046FA"/>
    <w:rsid w:val="007107FF"/>
    <w:rsid w:val="00712A08"/>
    <w:rsid w:val="007167CD"/>
    <w:rsid w:val="00720363"/>
    <w:rsid w:val="0072234D"/>
    <w:rsid w:val="007234D1"/>
    <w:rsid w:val="00723732"/>
    <w:rsid w:val="0072576E"/>
    <w:rsid w:val="00725A94"/>
    <w:rsid w:val="007331DF"/>
    <w:rsid w:val="00736E8F"/>
    <w:rsid w:val="00744442"/>
    <w:rsid w:val="0074520C"/>
    <w:rsid w:val="007508B8"/>
    <w:rsid w:val="00752CFE"/>
    <w:rsid w:val="00752D27"/>
    <w:rsid w:val="00754A51"/>
    <w:rsid w:val="00757D0E"/>
    <w:rsid w:val="007609EC"/>
    <w:rsid w:val="007610D5"/>
    <w:rsid w:val="007674CF"/>
    <w:rsid w:val="00770094"/>
    <w:rsid w:val="00770ABE"/>
    <w:rsid w:val="0077536A"/>
    <w:rsid w:val="00775DED"/>
    <w:rsid w:val="007831F4"/>
    <w:rsid w:val="007876E6"/>
    <w:rsid w:val="00790D75"/>
    <w:rsid w:val="0079115A"/>
    <w:rsid w:val="00791ED8"/>
    <w:rsid w:val="00796753"/>
    <w:rsid w:val="00797425"/>
    <w:rsid w:val="007A3118"/>
    <w:rsid w:val="007A4B0E"/>
    <w:rsid w:val="007A63FF"/>
    <w:rsid w:val="007A7E76"/>
    <w:rsid w:val="007B1520"/>
    <w:rsid w:val="007B7EF7"/>
    <w:rsid w:val="007C25B4"/>
    <w:rsid w:val="007C2C60"/>
    <w:rsid w:val="007C2D77"/>
    <w:rsid w:val="007C492D"/>
    <w:rsid w:val="007D009D"/>
    <w:rsid w:val="007D00AB"/>
    <w:rsid w:val="007D07D5"/>
    <w:rsid w:val="007D267E"/>
    <w:rsid w:val="007D3EE5"/>
    <w:rsid w:val="007D40EB"/>
    <w:rsid w:val="007D444A"/>
    <w:rsid w:val="007D4ED6"/>
    <w:rsid w:val="007D7A06"/>
    <w:rsid w:val="007E07DC"/>
    <w:rsid w:val="007F09FB"/>
    <w:rsid w:val="00800E6C"/>
    <w:rsid w:val="00802084"/>
    <w:rsid w:val="008023B4"/>
    <w:rsid w:val="008038B0"/>
    <w:rsid w:val="00804E31"/>
    <w:rsid w:val="00806B4F"/>
    <w:rsid w:val="00810457"/>
    <w:rsid w:val="008178FF"/>
    <w:rsid w:val="00817D63"/>
    <w:rsid w:val="008211CA"/>
    <w:rsid w:val="008214D3"/>
    <w:rsid w:val="00822C7D"/>
    <w:rsid w:val="00827DCD"/>
    <w:rsid w:val="008342ED"/>
    <w:rsid w:val="008403B2"/>
    <w:rsid w:val="00841A6C"/>
    <w:rsid w:val="00842139"/>
    <w:rsid w:val="0084696D"/>
    <w:rsid w:val="0084760A"/>
    <w:rsid w:val="0085027A"/>
    <w:rsid w:val="00851B1F"/>
    <w:rsid w:val="00851BB0"/>
    <w:rsid w:val="00855481"/>
    <w:rsid w:val="00856A98"/>
    <w:rsid w:val="00863CE1"/>
    <w:rsid w:val="00870955"/>
    <w:rsid w:val="008709A6"/>
    <w:rsid w:val="00871B1E"/>
    <w:rsid w:val="00872DAB"/>
    <w:rsid w:val="008752C2"/>
    <w:rsid w:val="008820CE"/>
    <w:rsid w:val="008827AB"/>
    <w:rsid w:val="00886DA1"/>
    <w:rsid w:val="008870EF"/>
    <w:rsid w:val="008924CD"/>
    <w:rsid w:val="00894BC5"/>
    <w:rsid w:val="00895D92"/>
    <w:rsid w:val="00897893"/>
    <w:rsid w:val="008A1BF0"/>
    <w:rsid w:val="008A4882"/>
    <w:rsid w:val="008A4BFF"/>
    <w:rsid w:val="008B3C8C"/>
    <w:rsid w:val="008B564C"/>
    <w:rsid w:val="008B645B"/>
    <w:rsid w:val="008B647F"/>
    <w:rsid w:val="008C0614"/>
    <w:rsid w:val="008D1373"/>
    <w:rsid w:val="008D49AF"/>
    <w:rsid w:val="008D4D4D"/>
    <w:rsid w:val="008E564A"/>
    <w:rsid w:val="008E5E21"/>
    <w:rsid w:val="008E71B6"/>
    <w:rsid w:val="008F118B"/>
    <w:rsid w:val="008F2562"/>
    <w:rsid w:val="008F2D75"/>
    <w:rsid w:val="008F7C13"/>
    <w:rsid w:val="009010B3"/>
    <w:rsid w:val="0091085C"/>
    <w:rsid w:val="00911541"/>
    <w:rsid w:val="00912B76"/>
    <w:rsid w:val="0091458F"/>
    <w:rsid w:val="00914DCD"/>
    <w:rsid w:val="009154C0"/>
    <w:rsid w:val="00915BA2"/>
    <w:rsid w:val="00915C12"/>
    <w:rsid w:val="00916C5E"/>
    <w:rsid w:val="00916F8C"/>
    <w:rsid w:val="00917C3B"/>
    <w:rsid w:val="0092009C"/>
    <w:rsid w:val="009249C6"/>
    <w:rsid w:val="00932466"/>
    <w:rsid w:val="00932549"/>
    <w:rsid w:val="00933B97"/>
    <w:rsid w:val="00934E2B"/>
    <w:rsid w:val="00936BA8"/>
    <w:rsid w:val="009402E8"/>
    <w:rsid w:val="00940DDB"/>
    <w:rsid w:val="00941DDA"/>
    <w:rsid w:val="009427DA"/>
    <w:rsid w:val="00944EC5"/>
    <w:rsid w:val="00950886"/>
    <w:rsid w:val="00950D36"/>
    <w:rsid w:val="00952145"/>
    <w:rsid w:val="009530D0"/>
    <w:rsid w:val="00962D79"/>
    <w:rsid w:val="00965F19"/>
    <w:rsid w:val="009731A5"/>
    <w:rsid w:val="0097342B"/>
    <w:rsid w:val="009759F3"/>
    <w:rsid w:val="00980451"/>
    <w:rsid w:val="00980907"/>
    <w:rsid w:val="009819FD"/>
    <w:rsid w:val="00982491"/>
    <w:rsid w:val="00982F51"/>
    <w:rsid w:val="00983445"/>
    <w:rsid w:val="00984424"/>
    <w:rsid w:val="00985EDA"/>
    <w:rsid w:val="00986667"/>
    <w:rsid w:val="009878C9"/>
    <w:rsid w:val="00987B96"/>
    <w:rsid w:val="00987D17"/>
    <w:rsid w:val="0099016B"/>
    <w:rsid w:val="00993760"/>
    <w:rsid w:val="00993A2A"/>
    <w:rsid w:val="00994A03"/>
    <w:rsid w:val="00995FBD"/>
    <w:rsid w:val="00997676"/>
    <w:rsid w:val="009A0CE1"/>
    <w:rsid w:val="009A0CFB"/>
    <w:rsid w:val="009A2A56"/>
    <w:rsid w:val="009A4789"/>
    <w:rsid w:val="009A5D30"/>
    <w:rsid w:val="009A7EE8"/>
    <w:rsid w:val="009B0495"/>
    <w:rsid w:val="009B2E2E"/>
    <w:rsid w:val="009B3BBC"/>
    <w:rsid w:val="009B6306"/>
    <w:rsid w:val="009C053E"/>
    <w:rsid w:val="009C069E"/>
    <w:rsid w:val="009C17CE"/>
    <w:rsid w:val="009C18BB"/>
    <w:rsid w:val="009C2755"/>
    <w:rsid w:val="009C48EB"/>
    <w:rsid w:val="009C5E48"/>
    <w:rsid w:val="009D09C6"/>
    <w:rsid w:val="009E5C8B"/>
    <w:rsid w:val="009F2D91"/>
    <w:rsid w:val="009F7390"/>
    <w:rsid w:val="00A0071A"/>
    <w:rsid w:val="00A0270B"/>
    <w:rsid w:val="00A042F1"/>
    <w:rsid w:val="00A05861"/>
    <w:rsid w:val="00A077A3"/>
    <w:rsid w:val="00A11BF2"/>
    <w:rsid w:val="00A1262F"/>
    <w:rsid w:val="00A12F35"/>
    <w:rsid w:val="00A13226"/>
    <w:rsid w:val="00A17115"/>
    <w:rsid w:val="00A22215"/>
    <w:rsid w:val="00A2226D"/>
    <w:rsid w:val="00A233B3"/>
    <w:rsid w:val="00A23956"/>
    <w:rsid w:val="00A24535"/>
    <w:rsid w:val="00A25E4A"/>
    <w:rsid w:val="00A26B82"/>
    <w:rsid w:val="00A3079B"/>
    <w:rsid w:val="00A33BE1"/>
    <w:rsid w:val="00A34A30"/>
    <w:rsid w:val="00A357B0"/>
    <w:rsid w:val="00A37623"/>
    <w:rsid w:val="00A40495"/>
    <w:rsid w:val="00A40FC7"/>
    <w:rsid w:val="00A4480C"/>
    <w:rsid w:val="00A46D09"/>
    <w:rsid w:val="00A4719B"/>
    <w:rsid w:val="00A5039F"/>
    <w:rsid w:val="00A51817"/>
    <w:rsid w:val="00A51C8F"/>
    <w:rsid w:val="00A522AF"/>
    <w:rsid w:val="00A554D6"/>
    <w:rsid w:val="00A62526"/>
    <w:rsid w:val="00A62B22"/>
    <w:rsid w:val="00A62D0A"/>
    <w:rsid w:val="00A6356E"/>
    <w:rsid w:val="00A63716"/>
    <w:rsid w:val="00A6467C"/>
    <w:rsid w:val="00A74CD3"/>
    <w:rsid w:val="00A77151"/>
    <w:rsid w:val="00A820C8"/>
    <w:rsid w:val="00A83AE7"/>
    <w:rsid w:val="00A83BD8"/>
    <w:rsid w:val="00A84F5B"/>
    <w:rsid w:val="00A9102F"/>
    <w:rsid w:val="00A914E5"/>
    <w:rsid w:val="00A92919"/>
    <w:rsid w:val="00A9494D"/>
    <w:rsid w:val="00A961AB"/>
    <w:rsid w:val="00AA2C8D"/>
    <w:rsid w:val="00AA3496"/>
    <w:rsid w:val="00AA6220"/>
    <w:rsid w:val="00AA66A9"/>
    <w:rsid w:val="00AA7467"/>
    <w:rsid w:val="00AB0DCA"/>
    <w:rsid w:val="00AB0ECA"/>
    <w:rsid w:val="00AB28CB"/>
    <w:rsid w:val="00AB72A3"/>
    <w:rsid w:val="00AC3B02"/>
    <w:rsid w:val="00AC56AF"/>
    <w:rsid w:val="00AC5EEE"/>
    <w:rsid w:val="00AC658E"/>
    <w:rsid w:val="00AD23D7"/>
    <w:rsid w:val="00AD4875"/>
    <w:rsid w:val="00AD4D9C"/>
    <w:rsid w:val="00AD5CFA"/>
    <w:rsid w:val="00AD5DC0"/>
    <w:rsid w:val="00AD7E02"/>
    <w:rsid w:val="00AE0FAE"/>
    <w:rsid w:val="00AE2131"/>
    <w:rsid w:val="00AE29FA"/>
    <w:rsid w:val="00AE2DD9"/>
    <w:rsid w:val="00AF0E47"/>
    <w:rsid w:val="00AF32B4"/>
    <w:rsid w:val="00AF438F"/>
    <w:rsid w:val="00AF4ACC"/>
    <w:rsid w:val="00AF4DB3"/>
    <w:rsid w:val="00AF5530"/>
    <w:rsid w:val="00AF6003"/>
    <w:rsid w:val="00AF7A02"/>
    <w:rsid w:val="00B012A7"/>
    <w:rsid w:val="00B01306"/>
    <w:rsid w:val="00B01D7C"/>
    <w:rsid w:val="00B064D5"/>
    <w:rsid w:val="00B117E8"/>
    <w:rsid w:val="00B12629"/>
    <w:rsid w:val="00B14E1C"/>
    <w:rsid w:val="00B17BA2"/>
    <w:rsid w:val="00B2267A"/>
    <w:rsid w:val="00B232C7"/>
    <w:rsid w:val="00B23B79"/>
    <w:rsid w:val="00B2441D"/>
    <w:rsid w:val="00B24C6E"/>
    <w:rsid w:val="00B2633C"/>
    <w:rsid w:val="00B27E1B"/>
    <w:rsid w:val="00B341FC"/>
    <w:rsid w:val="00B40964"/>
    <w:rsid w:val="00B430B4"/>
    <w:rsid w:val="00B462E5"/>
    <w:rsid w:val="00B47CF7"/>
    <w:rsid w:val="00B47DAD"/>
    <w:rsid w:val="00B503BB"/>
    <w:rsid w:val="00B507BE"/>
    <w:rsid w:val="00B51ADB"/>
    <w:rsid w:val="00B51E95"/>
    <w:rsid w:val="00B551E1"/>
    <w:rsid w:val="00B575D4"/>
    <w:rsid w:val="00B60885"/>
    <w:rsid w:val="00B609AA"/>
    <w:rsid w:val="00B62762"/>
    <w:rsid w:val="00B64D9D"/>
    <w:rsid w:val="00B656CF"/>
    <w:rsid w:val="00B72927"/>
    <w:rsid w:val="00B75BBD"/>
    <w:rsid w:val="00B76962"/>
    <w:rsid w:val="00B76BED"/>
    <w:rsid w:val="00B77DDE"/>
    <w:rsid w:val="00B81738"/>
    <w:rsid w:val="00B8720B"/>
    <w:rsid w:val="00B87891"/>
    <w:rsid w:val="00B9139B"/>
    <w:rsid w:val="00B91C0A"/>
    <w:rsid w:val="00B95BAB"/>
    <w:rsid w:val="00BA0465"/>
    <w:rsid w:val="00BA0B05"/>
    <w:rsid w:val="00BA1463"/>
    <w:rsid w:val="00BA1C58"/>
    <w:rsid w:val="00BA3E5D"/>
    <w:rsid w:val="00BB110D"/>
    <w:rsid w:val="00BB1152"/>
    <w:rsid w:val="00BB13A6"/>
    <w:rsid w:val="00BB409E"/>
    <w:rsid w:val="00BB45F5"/>
    <w:rsid w:val="00BB48B2"/>
    <w:rsid w:val="00BB58E0"/>
    <w:rsid w:val="00BB594D"/>
    <w:rsid w:val="00BC0225"/>
    <w:rsid w:val="00BC0733"/>
    <w:rsid w:val="00BC3243"/>
    <w:rsid w:val="00BC3F5D"/>
    <w:rsid w:val="00BC5AE8"/>
    <w:rsid w:val="00BC784B"/>
    <w:rsid w:val="00BD07A7"/>
    <w:rsid w:val="00BD1CBF"/>
    <w:rsid w:val="00BD2767"/>
    <w:rsid w:val="00BD3A1A"/>
    <w:rsid w:val="00BD597D"/>
    <w:rsid w:val="00BD6043"/>
    <w:rsid w:val="00BE1A5B"/>
    <w:rsid w:val="00BE3700"/>
    <w:rsid w:val="00BE3749"/>
    <w:rsid w:val="00BE429F"/>
    <w:rsid w:val="00BE5AE1"/>
    <w:rsid w:val="00BE674B"/>
    <w:rsid w:val="00BF3872"/>
    <w:rsid w:val="00BF4DA6"/>
    <w:rsid w:val="00BF6FD8"/>
    <w:rsid w:val="00BF7FA9"/>
    <w:rsid w:val="00C01127"/>
    <w:rsid w:val="00C01E44"/>
    <w:rsid w:val="00C11FB8"/>
    <w:rsid w:val="00C12F09"/>
    <w:rsid w:val="00C13197"/>
    <w:rsid w:val="00C13249"/>
    <w:rsid w:val="00C150A0"/>
    <w:rsid w:val="00C2507F"/>
    <w:rsid w:val="00C27AE5"/>
    <w:rsid w:val="00C319A2"/>
    <w:rsid w:val="00C31CBD"/>
    <w:rsid w:val="00C33B62"/>
    <w:rsid w:val="00C359AE"/>
    <w:rsid w:val="00C36A14"/>
    <w:rsid w:val="00C451EC"/>
    <w:rsid w:val="00C519A9"/>
    <w:rsid w:val="00C52545"/>
    <w:rsid w:val="00C525F6"/>
    <w:rsid w:val="00C535B9"/>
    <w:rsid w:val="00C570ED"/>
    <w:rsid w:val="00C57E88"/>
    <w:rsid w:val="00C62C0C"/>
    <w:rsid w:val="00C66784"/>
    <w:rsid w:val="00C718FD"/>
    <w:rsid w:val="00C72260"/>
    <w:rsid w:val="00C72A72"/>
    <w:rsid w:val="00C83774"/>
    <w:rsid w:val="00C87FB8"/>
    <w:rsid w:val="00C924F6"/>
    <w:rsid w:val="00C92BD0"/>
    <w:rsid w:val="00C9364E"/>
    <w:rsid w:val="00C93988"/>
    <w:rsid w:val="00C94062"/>
    <w:rsid w:val="00C9505F"/>
    <w:rsid w:val="00C95E8A"/>
    <w:rsid w:val="00CA1288"/>
    <w:rsid w:val="00CA2DCA"/>
    <w:rsid w:val="00CA3010"/>
    <w:rsid w:val="00CA5BAC"/>
    <w:rsid w:val="00CA7814"/>
    <w:rsid w:val="00CB22B3"/>
    <w:rsid w:val="00CB3487"/>
    <w:rsid w:val="00CB50C3"/>
    <w:rsid w:val="00CC107C"/>
    <w:rsid w:val="00CC34BF"/>
    <w:rsid w:val="00CC3B0A"/>
    <w:rsid w:val="00CC4455"/>
    <w:rsid w:val="00CC4A54"/>
    <w:rsid w:val="00CC592D"/>
    <w:rsid w:val="00CC6DF2"/>
    <w:rsid w:val="00CD0B5D"/>
    <w:rsid w:val="00CD19A1"/>
    <w:rsid w:val="00CD2FCC"/>
    <w:rsid w:val="00CD4A93"/>
    <w:rsid w:val="00CD74B6"/>
    <w:rsid w:val="00CE3D19"/>
    <w:rsid w:val="00CE4FE3"/>
    <w:rsid w:val="00CF2C25"/>
    <w:rsid w:val="00CF76DA"/>
    <w:rsid w:val="00D006BF"/>
    <w:rsid w:val="00D00E18"/>
    <w:rsid w:val="00D034E5"/>
    <w:rsid w:val="00D0411B"/>
    <w:rsid w:val="00D0413A"/>
    <w:rsid w:val="00D078DA"/>
    <w:rsid w:val="00D10DBE"/>
    <w:rsid w:val="00D12AFA"/>
    <w:rsid w:val="00D154E3"/>
    <w:rsid w:val="00D17198"/>
    <w:rsid w:val="00D225E7"/>
    <w:rsid w:val="00D26AE9"/>
    <w:rsid w:val="00D278AA"/>
    <w:rsid w:val="00D30C14"/>
    <w:rsid w:val="00D329B4"/>
    <w:rsid w:val="00D33187"/>
    <w:rsid w:val="00D33205"/>
    <w:rsid w:val="00D34976"/>
    <w:rsid w:val="00D3618F"/>
    <w:rsid w:val="00D37797"/>
    <w:rsid w:val="00D4050E"/>
    <w:rsid w:val="00D42707"/>
    <w:rsid w:val="00D43C85"/>
    <w:rsid w:val="00D45AF8"/>
    <w:rsid w:val="00D46BB5"/>
    <w:rsid w:val="00D51396"/>
    <w:rsid w:val="00D51C3C"/>
    <w:rsid w:val="00D56B5F"/>
    <w:rsid w:val="00D57B3E"/>
    <w:rsid w:val="00D616B0"/>
    <w:rsid w:val="00D6319B"/>
    <w:rsid w:val="00D63F67"/>
    <w:rsid w:val="00D663F0"/>
    <w:rsid w:val="00D75BAF"/>
    <w:rsid w:val="00D76E1D"/>
    <w:rsid w:val="00D7771B"/>
    <w:rsid w:val="00D80063"/>
    <w:rsid w:val="00D851D5"/>
    <w:rsid w:val="00D86885"/>
    <w:rsid w:val="00D86AF6"/>
    <w:rsid w:val="00D87466"/>
    <w:rsid w:val="00D90072"/>
    <w:rsid w:val="00D910CD"/>
    <w:rsid w:val="00D91956"/>
    <w:rsid w:val="00D92183"/>
    <w:rsid w:val="00D9254C"/>
    <w:rsid w:val="00D949E5"/>
    <w:rsid w:val="00DA0A02"/>
    <w:rsid w:val="00DA1DFA"/>
    <w:rsid w:val="00DA259B"/>
    <w:rsid w:val="00DA26E7"/>
    <w:rsid w:val="00DA3001"/>
    <w:rsid w:val="00DA3C66"/>
    <w:rsid w:val="00DA6836"/>
    <w:rsid w:val="00DB0281"/>
    <w:rsid w:val="00DB1D2B"/>
    <w:rsid w:val="00DB2759"/>
    <w:rsid w:val="00DB5499"/>
    <w:rsid w:val="00DB7C2A"/>
    <w:rsid w:val="00DC2874"/>
    <w:rsid w:val="00DC3485"/>
    <w:rsid w:val="00DC664B"/>
    <w:rsid w:val="00DD0093"/>
    <w:rsid w:val="00DD02E3"/>
    <w:rsid w:val="00DD13F9"/>
    <w:rsid w:val="00DD5465"/>
    <w:rsid w:val="00DD7242"/>
    <w:rsid w:val="00DD7DC0"/>
    <w:rsid w:val="00DE03E1"/>
    <w:rsid w:val="00DE09A9"/>
    <w:rsid w:val="00DE0AB8"/>
    <w:rsid w:val="00DE4519"/>
    <w:rsid w:val="00DE48AF"/>
    <w:rsid w:val="00DE757E"/>
    <w:rsid w:val="00DF2211"/>
    <w:rsid w:val="00DF229A"/>
    <w:rsid w:val="00DF2327"/>
    <w:rsid w:val="00E01802"/>
    <w:rsid w:val="00E03629"/>
    <w:rsid w:val="00E047B4"/>
    <w:rsid w:val="00E0552A"/>
    <w:rsid w:val="00E100A0"/>
    <w:rsid w:val="00E10746"/>
    <w:rsid w:val="00E107D9"/>
    <w:rsid w:val="00E11DCA"/>
    <w:rsid w:val="00E12693"/>
    <w:rsid w:val="00E13C4D"/>
    <w:rsid w:val="00E15794"/>
    <w:rsid w:val="00E23175"/>
    <w:rsid w:val="00E32B8E"/>
    <w:rsid w:val="00E3389E"/>
    <w:rsid w:val="00E34B28"/>
    <w:rsid w:val="00E4067F"/>
    <w:rsid w:val="00E4447D"/>
    <w:rsid w:val="00E45825"/>
    <w:rsid w:val="00E45A70"/>
    <w:rsid w:val="00E45EC6"/>
    <w:rsid w:val="00E467F2"/>
    <w:rsid w:val="00E46D72"/>
    <w:rsid w:val="00E478EE"/>
    <w:rsid w:val="00E52BCB"/>
    <w:rsid w:val="00E5627C"/>
    <w:rsid w:val="00E5707D"/>
    <w:rsid w:val="00E671DC"/>
    <w:rsid w:val="00E720CB"/>
    <w:rsid w:val="00E74A07"/>
    <w:rsid w:val="00E74E4A"/>
    <w:rsid w:val="00E74FA5"/>
    <w:rsid w:val="00E77A49"/>
    <w:rsid w:val="00E80694"/>
    <w:rsid w:val="00E81D9A"/>
    <w:rsid w:val="00E854B6"/>
    <w:rsid w:val="00E91DDF"/>
    <w:rsid w:val="00E92B99"/>
    <w:rsid w:val="00E93A1A"/>
    <w:rsid w:val="00EA4645"/>
    <w:rsid w:val="00EB0BB8"/>
    <w:rsid w:val="00EB2457"/>
    <w:rsid w:val="00EB34D3"/>
    <w:rsid w:val="00EC24CD"/>
    <w:rsid w:val="00EC416F"/>
    <w:rsid w:val="00EC6209"/>
    <w:rsid w:val="00ED02FF"/>
    <w:rsid w:val="00ED34B6"/>
    <w:rsid w:val="00ED6A89"/>
    <w:rsid w:val="00ED70D3"/>
    <w:rsid w:val="00ED7485"/>
    <w:rsid w:val="00EE1962"/>
    <w:rsid w:val="00EE1F29"/>
    <w:rsid w:val="00EE6FE0"/>
    <w:rsid w:val="00EE74F6"/>
    <w:rsid w:val="00EF2CE0"/>
    <w:rsid w:val="00EF3511"/>
    <w:rsid w:val="00F0185B"/>
    <w:rsid w:val="00F038B5"/>
    <w:rsid w:val="00F04392"/>
    <w:rsid w:val="00F0467F"/>
    <w:rsid w:val="00F05A77"/>
    <w:rsid w:val="00F14D45"/>
    <w:rsid w:val="00F14D74"/>
    <w:rsid w:val="00F154DB"/>
    <w:rsid w:val="00F26273"/>
    <w:rsid w:val="00F267D1"/>
    <w:rsid w:val="00F27D0F"/>
    <w:rsid w:val="00F3676B"/>
    <w:rsid w:val="00F41C51"/>
    <w:rsid w:val="00F43E60"/>
    <w:rsid w:val="00F45D68"/>
    <w:rsid w:val="00F4632A"/>
    <w:rsid w:val="00F5001C"/>
    <w:rsid w:val="00F512CC"/>
    <w:rsid w:val="00F70AF8"/>
    <w:rsid w:val="00F76A96"/>
    <w:rsid w:val="00F778D6"/>
    <w:rsid w:val="00F8227E"/>
    <w:rsid w:val="00F83426"/>
    <w:rsid w:val="00F83E5A"/>
    <w:rsid w:val="00F87697"/>
    <w:rsid w:val="00F90801"/>
    <w:rsid w:val="00F90877"/>
    <w:rsid w:val="00F97FAF"/>
    <w:rsid w:val="00FA0CF1"/>
    <w:rsid w:val="00FA15E0"/>
    <w:rsid w:val="00FA314D"/>
    <w:rsid w:val="00FA7B80"/>
    <w:rsid w:val="00FB0F3F"/>
    <w:rsid w:val="00FB3847"/>
    <w:rsid w:val="00FB38C7"/>
    <w:rsid w:val="00FB577E"/>
    <w:rsid w:val="00FB74B1"/>
    <w:rsid w:val="00FB7F24"/>
    <w:rsid w:val="00FC0529"/>
    <w:rsid w:val="00FC4CD0"/>
    <w:rsid w:val="00FC5201"/>
    <w:rsid w:val="00FC5D45"/>
    <w:rsid w:val="00FC5DCD"/>
    <w:rsid w:val="00FC62AE"/>
    <w:rsid w:val="00FC72A7"/>
    <w:rsid w:val="00FC7A0C"/>
    <w:rsid w:val="00FD0CE7"/>
    <w:rsid w:val="00FD0EDE"/>
    <w:rsid w:val="00FD43F1"/>
    <w:rsid w:val="00FD6A55"/>
    <w:rsid w:val="00FD757E"/>
    <w:rsid w:val="00FE2B1F"/>
    <w:rsid w:val="00FE57EF"/>
    <w:rsid w:val="00FE584E"/>
    <w:rsid w:val="00FE5F32"/>
    <w:rsid w:val="00FF0AB3"/>
    <w:rsid w:val="00FF3359"/>
    <w:rsid w:val="00FF4DD6"/>
    <w:rsid w:val="00FF5C4C"/>
    <w:rsid w:val="00FF5E31"/>
    <w:rsid w:val="00FF642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D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9"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rsid w:val="00FD43F1"/>
    <w:pPr>
      <w:spacing w:after="240"/>
      <w:jc w:val="both"/>
    </w:pPr>
    <w:rPr>
      <w:rFonts w:ascii="Arial" w:eastAsiaTheme="minorEastAsia" w:hAnsi="Arial" w:cstheme="minorBidi"/>
      <w:szCs w:val="22"/>
      <w:lang w:val="en-AU" w:eastAsia="zh-CN"/>
    </w:rPr>
  </w:style>
  <w:style w:type="paragraph" w:styleId="Heading1">
    <w:name w:val="heading 1"/>
    <w:basedOn w:val="Normal"/>
    <w:next w:val="Heading2"/>
    <w:link w:val="Heading1Char"/>
    <w:uiPriority w:val="9"/>
    <w:qFormat/>
    <w:rsid w:val="00FD43F1"/>
    <w:pPr>
      <w:keepNext/>
      <w:keepLines/>
      <w:numPr>
        <w:numId w:val="1"/>
      </w:numPr>
      <w:pBdr>
        <w:bottom w:val="single" w:sz="4" w:space="1" w:color="auto"/>
      </w:pBdr>
      <w:suppressAutoHyphens/>
      <w:outlineLvl w:val="0"/>
    </w:pPr>
    <w:rPr>
      <w:rFonts w:eastAsiaTheme="majorEastAsia" w:cs="Arial"/>
      <w:b/>
      <w:bCs/>
      <w:color w:val="1F497D" w:themeColor="text2"/>
      <w:sz w:val="24"/>
      <w:szCs w:val="28"/>
    </w:rPr>
  </w:style>
  <w:style w:type="paragraph" w:styleId="Heading2">
    <w:name w:val="heading 2"/>
    <w:basedOn w:val="Normal"/>
    <w:next w:val="Indent1"/>
    <w:link w:val="Heading2Char"/>
    <w:qFormat/>
    <w:rsid w:val="00FD43F1"/>
    <w:pPr>
      <w:suppressAutoHyphens/>
      <w:outlineLvl w:val="1"/>
    </w:pPr>
    <w:rPr>
      <w:rFonts w:eastAsiaTheme="majorEastAsia" w:cs="Arial"/>
      <w:b/>
      <w:bCs/>
      <w:color w:val="000000"/>
      <w:szCs w:val="26"/>
    </w:rPr>
  </w:style>
  <w:style w:type="paragraph" w:styleId="Heading3">
    <w:name w:val="heading 3"/>
    <w:basedOn w:val="Normal"/>
    <w:next w:val="Heading4"/>
    <w:link w:val="Heading3Char"/>
    <w:qFormat/>
    <w:rsid w:val="00FD43F1"/>
    <w:pPr>
      <w:numPr>
        <w:ilvl w:val="2"/>
        <w:numId w:val="1"/>
      </w:numPr>
      <w:suppressAutoHyphens/>
      <w:outlineLvl w:val="2"/>
    </w:pPr>
    <w:rPr>
      <w:rFonts w:eastAsiaTheme="majorEastAsia" w:cs="Arial"/>
      <w:bCs/>
      <w:color w:val="000000"/>
    </w:rPr>
  </w:style>
  <w:style w:type="paragraph" w:styleId="Heading4">
    <w:name w:val="heading 4"/>
    <w:basedOn w:val="Normal"/>
    <w:link w:val="Heading4Char"/>
    <w:uiPriority w:val="9"/>
    <w:qFormat/>
    <w:rsid w:val="00FD43F1"/>
    <w:pPr>
      <w:numPr>
        <w:ilvl w:val="3"/>
        <w:numId w:val="1"/>
      </w:numPr>
      <w:suppressAutoHyphens/>
      <w:outlineLvl w:val="3"/>
    </w:pPr>
    <w:rPr>
      <w:rFonts w:eastAsiaTheme="majorEastAsia" w:cs="Arial"/>
      <w:bCs/>
      <w:iCs/>
      <w:color w:val="000000"/>
    </w:rPr>
  </w:style>
  <w:style w:type="paragraph" w:styleId="Heading5">
    <w:name w:val="heading 5"/>
    <w:basedOn w:val="Normal"/>
    <w:link w:val="Heading5Char"/>
    <w:unhideWhenUsed/>
    <w:rsid w:val="00FD43F1"/>
    <w:pPr>
      <w:numPr>
        <w:ilvl w:val="4"/>
        <w:numId w:val="1"/>
      </w:numPr>
      <w:outlineLvl w:val="4"/>
    </w:pPr>
    <w:rPr>
      <w:rFonts w:eastAsiaTheme="majorEastAsia" w:cs="Arial"/>
      <w:color w:val="000000"/>
    </w:rPr>
  </w:style>
  <w:style w:type="paragraph" w:styleId="Heading6">
    <w:name w:val="heading 6"/>
    <w:basedOn w:val="Normal"/>
    <w:link w:val="Heading6Char"/>
    <w:unhideWhenUsed/>
    <w:rsid w:val="00FD43F1"/>
    <w:pPr>
      <w:numPr>
        <w:ilvl w:val="5"/>
        <w:numId w:val="1"/>
      </w:numPr>
      <w:outlineLvl w:val="5"/>
    </w:pPr>
    <w:rPr>
      <w:rFonts w:eastAsiaTheme="majorEastAsia" w:cs="Arial"/>
      <w:iCs/>
      <w:color w:val="000000"/>
    </w:rPr>
  </w:style>
  <w:style w:type="paragraph" w:styleId="Heading7">
    <w:name w:val="heading 7"/>
    <w:basedOn w:val="Normal"/>
    <w:link w:val="Heading7Char"/>
    <w:unhideWhenUsed/>
    <w:rsid w:val="00FD43F1"/>
    <w:pPr>
      <w:numPr>
        <w:ilvl w:val="6"/>
        <w:numId w:val="1"/>
      </w:numPr>
      <w:outlineLvl w:val="6"/>
    </w:pPr>
    <w:rPr>
      <w:rFonts w:eastAsiaTheme="majorEastAsia" w:cs="Arial"/>
      <w:iCs/>
      <w:color w:val="000000"/>
    </w:rPr>
  </w:style>
  <w:style w:type="paragraph" w:styleId="Heading8">
    <w:name w:val="heading 8"/>
    <w:basedOn w:val="Normal"/>
    <w:link w:val="Heading8Char"/>
    <w:unhideWhenUsed/>
    <w:rsid w:val="00FD43F1"/>
    <w:pPr>
      <w:numPr>
        <w:ilvl w:val="7"/>
        <w:numId w:val="1"/>
      </w:numPr>
      <w:outlineLvl w:val="7"/>
    </w:pPr>
    <w:rPr>
      <w:rFonts w:eastAsiaTheme="majorEastAsia" w:cs="Arial"/>
      <w:color w:val="000000"/>
      <w:szCs w:val="20"/>
    </w:rPr>
  </w:style>
  <w:style w:type="paragraph" w:styleId="Heading9">
    <w:name w:val="heading 9"/>
    <w:basedOn w:val="Normal"/>
    <w:link w:val="Heading9Char"/>
    <w:unhideWhenUsed/>
    <w:rsid w:val="00FD43F1"/>
    <w:pPr>
      <w:numPr>
        <w:ilvl w:val="8"/>
        <w:numId w:val="1"/>
      </w:numPr>
      <w:outlineLvl w:val="8"/>
    </w:pPr>
    <w:rPr>
      <w:rFonts w:eastAsiaTheme="majorEastAsia" w:cs="Arial"/>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F1"/>
    <w:pPr>
      <w:tabs>
        <w:tab w:val="center" w:pos="4680"/>
        <w:tab w:val="right" w:pos="9360"/>
      </w:tabs>
      <w:spacing w:after="0"/>
    </w:pPr>
  </w:style>
  <w:style w:type="character" w:customStyle="1" w:styleId="HeaderChar">
    <w:name w:val="Header Char"/>
    <w:basedOn w:val="DefaultParagraphFont"/>
    <w:link w:val="Header"/>
    <w:uiPriority w:val="99"/>
    <w:rsid w:val="00FD43F1"/>
    <w:rPr>
      <w:rFonts w:ascii="Arial" w:eastAsiaTheme="minorEastAsia" w:hAnsi="Arial" w:cstheme="minorBidi"/>
      <w:szCs w:val="22"/>
      <w:lang w:val="en-AU" w:eastAsia="zh-CN"/>
    </w:rPr>
  </w:style>
  <w:style w:type="paragraph" w:styleId="Footer">
    <w:name w:val="footer"/>
    <w:basedOn w:val="Normal"/>
    <w:link w:val="FooterChar"/>
    <w:uiPriority w:val="99"/>
    <w:unhideWhenUsed/>
    <w:rsid w:val="00FD43F1"/>
    <w:pPr>
      <w:tabs>
        <w:tab w:val="center" w:pos="4680"/>
        <w:tab w:val="right" w:pos="9360"/>
      </w:tabs>
      <w:spacing w:after="0"/>
      <w:jc w:val="right"/>
    </w:pPr>
    <w:rPr>
      <w:rFonts w:cs="Arial"/>
      <w:sz w:val="18"/>
      <w:szCs w:val="18"/>
    </w:rPr>
  </w:style>
  <w:style w:type="character" w:customStyle="1" w:styleId="FooterChar">
    <w:name w:val="Footer Char"/>
    <w:basedOn w:val="DefaultParagraphFont"/>
    <w:link w:val="Footer"/>
    <w:uiPriority w:val="99"/>
    <w:rsid w:val="00FD43F1"/>
    <w:rPr>
      <w:rFonts w:ascii="Arial" w:eastAsiaTheme="minorEastAsia" w:hAnsi="Arial" w:cs="Arial"/>
      <w:sz w:val="18"/>
      <w:szCs w:val="18"/>
      <w:lang w:val="en-AU" w:eastAsia="zh-CN"/>
    </w:rPr>
  </w:style>
  <w:style w:type="paragraph" w:styleId="BodyText">
    <w:name w:val="Body Text"/>
    <w:basedOn w:val="Normal"/>
    <w:link w:val="BodyTextChar"/>
    <w:uiPriority w:val="99"/>
    <w:unhideWhenUsed/>
    <w:rsid w:val="00FD43F1"/>
    <w:pPr>
      <w:spacing w:after="120"/>
    </w:pPr>
    <w:rPr>
      <w:rFonts w:eastAsiaTheme="minorHAnsi"/>
      <w:sz w:val="24"/>
      <w:szCs w:val="24"/>
      <w:lang w:val="en-US" w:eastAsia="en-US"/>
    </w:rPr>
  </w:style>
  <w:style w:type="character" w:customStyle="1" w:styleId="BodyTextChar">
    <w:name w:val="Body Text Char"/>
    <w:basedOn w:val="DefaultParagraphFont"/>
    <w:link w:val="BodyText"/>
    <w:uiPriority w:val="99"/>
    <w:rsid w:val="00FD43F1"/>
    <w:rPr>
      <w:rFonts w:ascii="Arial" w:eastAsiaTheme="minorHAnsi" w:hAnsi="Arial" w:cstheme="minorBidi"/>
      <w:sz w:val="24"/>
      <w:szCs w:val="24"/>
    </w:rPr>
  </w:style>
  <w:style w:type="paragraph" w:customStyle="1" w:styleId="BodyTextContinued">
    <w:name w:val="Body Text Continued"/>
    <w:basedOn w:val="BodyText"/>
    <w:next w:val="BodyText"/>
    <w:rsid w:val="00FD43F1"/>
  </w:style>
  <w:style w:type="character" w:styleId="PageNumber">
    <w:name w:val="page number"/>
    <w:basedOn w:val="DefaultParagraphFont"/>
    <w:uiPriority w:val="99"/>
    <w:rsid w:val="00FD43F1"/>
  </w:style>
  <w:style w:type="paragraph" w:styleId="Quote">
    <w:name w:val="Quote"/>
    <w:basedOn w:val="Normal"/>
    <w:next w:val="BodyTextContinued"/>
    <w:link w:val="QuoteChar"/>
    <w:qFormat/>
    <w:rsid w:val="00FD43F1"/>
    <w:pPr>
      <w:ind w:left="1440" w:right="1440"/>
    </w:pPr>
  </w:style>
  <w:style w:type="character" w:customStyle="1" w:styleId="QuoteChar">
    <w:name w:val="Quote Char"/>
    <w:basedOn w:val="DefaultParagraphFont"/>
    <w:link w:val="Quote"/>
    <w:rsid w:val="00FD43F1"/>
    <w:rPr>
      <w:rFonts w:ascii="Arial" w:eastAsiaTheme="minorEastAsia" w:hAnsi="Arial" w:cstheme="minorBidi"/>
      <w:szCs w:val="22"/>
      <w:lang w:val="en-AU" w:eastAsia="zh-CN"/>
    </w:rPr>
  </w:style>
  <w:style w:type="character" w:customStyle="1" w:styleId="Heading1Char">
    <w:name w:val="Heading 1 Char"/>
    <w:basedOn w:val="DefaultParagraphFont"/>
    <w:link w:val="Heading1"/>
    <w:uiPriority w:val="9"/>
    <w:rsid w:val="00FD43F1"/>
    <w:rPr>
      <w:rFonts w:ascii="Arial" w:eastAsiaTheme="majorEastAsia" w:hAnsi="Arial" w:cs="Arial"/>
      <w:b/>
      <w:bCs/>
      <w:color w:val="1F497D" w:themeColor="text2"/>
      <w:sz w:val="24"/>
      <w:szCs w:val="28"/>
      <w:lang w:val="en-AU" w:eastAsia="zh-CN"/>
    </w:rPr>
  </w:style>
  <w:style w:type="character" w:customStyle="1" w:styleId="Heading2Char">
    <w:name w:val="Heading 2 Char"/>
    <w:basedOn w:val="DefaultParagraphFont"/>
    <w:link w:val="Heading2"/>
    <w:rsid w:val="00FD43F1"/>
    <w:rPr>
      <w:rFonts w:ascii="Arial" w:eastAsiaTheme="majorEastAsia" w:hAnsi="Arial" w:cs="Arial"/>
      <w:b/>
      <w:bCs/>
      <w:color w:val="000000"/>
      <w:szCs w:val="26"/>
      <w:lang w:val="en-AU" w:eastAsia="zh-CN"/>
    </w:rPr>
  </w:style>
  <w:style w:type="character" w:customStyle="1" w:styleId="Heading3Char">
    <w:name w:val="Heading 3 Char"/>
    <w:basedOn w:val="DefaultParagraphFont"/>
    <w:link w:val="Heading3"/>
    <w:rsid w:val="00FD43F1"/>
    <w:rPr>
      <w:rFonts w:ascii="Arial" w:eastAsiaTheme="majorEastAsia" w:hAnsi="Arial" w:cs="Arial"/>
      <w:bCs/>
      <w:color w:val="000000"/>
      <w:szCs w:val="22"/>
      <w:lang w:val="en-AU" w:eastAsia="zh-CN"/>
    </w:rPr>
  </w:style>
  <w:style w:type="character" w:customStyle="1" w:styleId="Heading4Char">
    <w:name w:val="Heading 4 Char"/>
    <w:basedOn w:val="DefaultParagraphFont"/>
    <w:link w:val="Heading4"/>
    <w:uiPriority w:val="9"/>
    <w:rsid w:val="00FD43F1"/>
    <w:rPr>
      <w:rFonts w:ascii="Arial" w:eastAsiaTheme="majorEastAsia" w:hAnsi="Arial" w:cs="Arial"/>
      <w:bCs/>
      <w:iCs/>
      <w:color w:val="000000"/>
      <w:szCs w:val="22"/>
      <w:lang w:val="en-AU" w:eastAsia="zh-CN"/>
    </w:rPr>
  </w:style>
  <w:style w:type="character" w:customStyle="1" w:styleId="Heading5Char">
    <w:name w:val="Heading 5 Char"/>
    <w:basedOn w:val="DefaultParagraphFont"/>
    <w:link w:val="Heading5"/>
    <w:rsid w:val="00FD43F1"/>
    <w:rPr>
      <w:rFonts w:ascii="Arial" w:eastAsiaTheme="majorEastAsia" w:hAnsi="Arial" w:cs="Arial"/>
      <w:color w:val="000000"/>
      <w:szCs w:val="22"/>
      <w:lang w:val="en-AU" w:eastAsia="zh-CN"/>
    </w:rPr>
  </w:style>
  <w:style w:type="character" w:customStyle="1" w:styleId="Heading6Char">
    <w:name w:val="Heading 6 Char"/>
    <w:basedOn w:val="DefaultParagraphFont"/>
    <w:link w:val="Heading6"/>
    <w:rsid w:val="00FD43F1"/>
    <w:rPr>
      <w:rFonts w:ascii="Arial" w:eastAsiaTheme="majorEastAsia" w:hAnsi="Arial" w:cs="Arial"/>
      <w:iCs/>
      <w:color w:val="000000"/>
      <w:szCs w:val="22"/>
      <w:lang w:val="en-AU" w:eastAsia="zh-CN"/>
    </w:rPr>
  </w:style>
  <w:style w:type="character" w:customStyle="1" w:styleId="Heading7Char">
    <w:name w:val="Heading 7 Char"/>
    <w:basedOn w:val="DefaultParagraphFont"/>
    <w:link w:val="Heading7"/>
    <w:rsid w:val="00FD43F1"/>
    <w:rPr>
      <w:rFonts w:ascii="Arial" w:eastAsiaTheme="majorEastAsia" w:hAnsi="Arial" w:cs="Arial"/>
      <w:iCs/>
      <w:color w:val="000000"/>
      <w:szCs w:val="22"/>
      <w:lang w:val="en-AU" w:eastAsia="zh-CN"/>
    </w:rPr>
  </w:style>
  <w:style w:type="character" w:customStyle="1" w:styleId="Heading8Char">
    <w:name w:val="Heading 8 Char"/>
    <w:basedOn w:val="DefaultParagraphFont"/>
    <w:link w:val="Heading8"/>
    <w:rsid w:val="00FD43F1"/>
    <w:rPr>
      <w:rFonts w:ascii="Arial" w:eastAsiaTheme="majorEastAsia" w:hAnsi="Arial" w:cs="Arial"/>
      <w:color w:val="000000"/>
      <w:lang w:val="en-AU" w:eastAsia="zh-CN"/>
    </w:rPr>
  </w:style>
  <w:style w:type="character" w:customStyle="1" w:styleId="Heading9Char">
    <w:name w:val="Heading 9 Char"/>
    <w:basedOn w:val="DefaultParagraphFont"/>
    <w:link w:val="Heading9"/>
    <w:rsid w:val="00FD43F1"/>
    <w:rPr>
      <w:rFonts w:ascii="Arial" w:eastAsiaTheme="majorEastAsia" w:hAnsi="Arial" w:cs="Arial"/>
      <w:iCs/>
      <w:color w:val="000000"/>
      <w:lang w:val="en-AU" w:eastAsia="zh-CN"/>
    </w:rPr>
  </w:style>
  <w:style w:type="table" w:styleId="TableGrid">
    <w:name w:val="Table Grid"/>
    <w:basedOn w:val="TableNormal"/>
    <w:uiPriority w:val="59"/>
    <w:rsid w:val="00FD43F1"/>
    <w:rPr>
      <w:rFonts w:asciiTheme="minorHAnsi" w:eastAsiaTheme="minorEastAsia" w:hAnsiTheme="minorHAnsi" w:cstheme="minorBidi"/>
      <w:szCs w:val="22"/>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670A07"/>
    <w:pPr>
      <w:spacing w:before="840"/>
      <w:ind w:right="56"/>
      <w:jc w:val="right"/>
    </w:pPr>
    <w:rPr>
      <w:szCs w:val="48"/>
    </w:rPr>
  </w:style>
  <w:style w:type="character" w:customStyle="1" w:styleId="TitleChar">
    <w:name w:val="Title Char"/>
    <w:basedOn w:val="DefaultParagraphFont"/>
    <w:link w:val="Title"/>
    <w:uiPriority w:val="10"/>
    <w:rsid w:val="00670A07"/>
    <w:rPr>
      <w:rFonts w:ascii="Arial" w:eastAsiaTheme="minorEastAsia" w:hAnsi="Arial" w:cstheme="minorBidi"/>
      <w:szCs w:val="48"/>
      <w:lang w:val="en-AU" w:eastAsia="zh-CN"/>
    </w:rPr>
  </w:style>
  <w:style w:type="paragraph" w:customStyle="1" w:styleId="Indent1">
    <w:name w:val="*Indent1"/>
    <w:aliases w:val="i1"/>
    <w:basedOn w:val="Normal"/>
    <w:link w:val="Indent1Char"/>
    <w:uiPriority w:val="3"/>
    <w:qFormat/>
    <w:rsid w:val="00FD43F1"/>
    <w:pPr>
      <w:ind w:left="720"/>
    </w:pPr>
  </w:style>
  <w:style w:type="character" w:customStyle="1" w:styleId="Indent1Char">
    <w:name w:val="*Indent1 Char"/>
    <w:aliases w:val="i1 Char"/>
    <w:basedOn w:val="DefaultParagraphFont"/>
    <w:link w:val="Indent1"/>
    <w:uiPriority w:val="3"/>
    <w:rsid w:val="00FD43F1"/>
    <w:rPr>
      <w:rFonts w:ascii="Arial" w:eastAsiaTheme="minorEastAsia" w:hAnsi="Arial" w:cstheme="minorBidi"/>
      <w:szCs w:val="22"/>
      <w:lang w:val="en-AU" w:eastAsia="zh-CN"/>
    </w:rPr>
  </w:style>
  <w:style w:type="paragraph" w:styleId="Date">
    <w:name w:val="Date"/>
    <w:basedOn w:val="Normal"/>
    <w:next w:val="Normal"/>
    <w:link w:val="DateChar"/>
    <w:uiPriority w:val="99"/>
    <w:rsid w:val="00FD43F1"/>
    <w:pPr>
      <w:spacing w:before="480" w:after="720"/>
    </w:pPr>
    <w:rPr>
      <w:color w:val="1F497D" w:themeColor="text2"/>
      <w:szCs w:val="20"/>
    </w:rPr>
  </w:style>
  <w:style w:type="character" w:customStyle="1" w:styleId="DateChar">
    <w:name w:val="Date Char"/>
    <w:basedOn w:val="DefaultParagraphFont"/>
    <w:link w:val="Date"/>
    <w:uiPriority w:val="99"/>
    <w:rsid w:val="00FD43F1"/>
    <w:rPr>
      <w:rFonts w:ascii="Arial" w:eastAsiaTheme="minorEastAsia" w:hAnsi="Arial" w:cstheme="minorBidi"/>
      <w:color w:val="1F497D" w:themeColor="text2"/>
      <w:lang w:val="en-AU" w:eastAsia="zh-CN"/>
    </w:rPr>
  </w:style>
  <w:style w:type="paragraph" w:customStyle="1" w:styleId="AttorneyNameCover">
    <w:name w:val="AttorneyNameCover"/>
    <w:basedOn w:val="BodySingle"/>
    <w:rsid w:val="00FD43F1"/>
    <w:pPr>
      <w:spacing w:after="0"/>
    </w:pPr>
    <w:rPr>
      <w:b/>
      <w:color w:val="1F497D" w:themeColor="text2"/>
      <w:szCs w:val="20"/>
    </w:rPr>
  </w:style>
  <w:style w:type="paragraph" w:customStyle="1" w:styleId="AttorneyDetailsCover">
    <w:name w:val="AttorneyDetailsCover"/>
    <w:basedOn w:val="BodySingle"/>
    <w:rsid w:val="00FD43F1"/>
    <w:pPr>
      <w:spacing w:after="0"/>
    </w:pPr>
    <w:rPr>
      <w:color w:val="1F497D" w:themeColor="text2"/>
      <w:szCs w:val="20"/>
    </w:rPr>
  </w:style>
  <w:style w:type="paragraph" w:customStyle="1" w:styleId="AttorneyNameClosing">
    <w:name w:val="AttorneyNameClosing"/>
    <w:basedOn w:val="BodySingle"/>
    <w:rsid w:val="00FD43F1"/>
    <w:pPr>
      <w:spacing w:after="0"/>
    </w:pPr>
    <w:rPr>
      <w:b/>
      <w:szCs w:val="20"/>
    </w:rPr>
  </w:style>
  <w:style w:type="paragraph" w:customStyle="1" w:styleId="AttorneyDetailsClosing">
    <w:name w:val="AttorneyDetailsClosing"/>
    <w:basedOn w:val="BodySingle"/>
    <w:rsid w:val="00FD43F1"/>
    <w:pPr>
      <w:spacing w:after="0"/>
    </w:pPr>
    <w:rPr>
      <w:szCs w:val="20"/>
    </w:rPr>
  </w:style>
  <w:style w:type="paragraph" w:styleId="BalloonText">
    <w:name w:val="Balloon Text"/>
    <w:basedOn w:val="Normal"/>
    <w:link w:val="BalloonTextChar"/>
    <w:uiPriority w:val="99"/>
    <w:unhideWhenUsed/>
    <w:rsid w:val="00FD43F1"/>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D43F1"/>
    <w:rPr>
      <w:rFonts w:ascii="Tahoma" w:eastAsiaTheme="minorEastAsia" w:hAnsi="Tahoma" w:cs="Tahoma"/>
      <w:sz w:val="16"/>
      <w:szCs w:val="16"/>
      <w:lang w:val="en-AU" w:eastAsia="zh-CN"/>
    </w:rPr>
  </w:style>
  <w:style w:type="paragraph" w:customStyle="1" w:styleId="FooterDisclaimer">
    <w:name w:val="FooterDisclaimer"/>
    <w:basedOn w:val="Footer"/>
    <w:rsid w:val="00FD43F1"/>
    <w:pPr>
      <w:ind w:left="4140"/>
      <w:jc w:val="center"/>
    </w:pPr>
    <w:rPr>
      <w:sz w:val="16"/>
      <w:szCs w:val="16"/>
    </w:rPr>
  </w:style>
  <w:style w:type="paragraph" w:customStyle="1" w:styleId="BodySingle">
    <w:name w:val="*Body Single"/>
    <w:aliases w:val="bs"/>
    <w:basedOn w:val="Normal"/>
    <w:uiPriority w:val="1"/>
    <w:qFormat/>
    <w:rsid w:val="00B551E1"/>
    <w:rPr>
      <w:i/>
    </w:rPr>
  </w:style>
  <w:style w:type="table" w:styleId="LightShading">
    <w:name w:val="Light Shading"/>
    <w:basedOn w:val="TableNormal"/>
    <w:uiPriority w:val="60"/>
    <w:rsid w:val="00FD43F1"/>
    <w:rPr>
      <w:rFonts w:asciiTheme="minorHAnsi" w:eastAsiaTheme="minorEastAsia" w:hAnsiTheme="minorHAnsi" w:cstheme="minorBidi"/>
      <w:color w:val="000000" w:themeColor="text1" w:themeShade="BF"/>
      <w:sz w:val="22"/>
      <w:szCs w:val="22"/>
      <w:lang w:val="en-AU"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D43F1"/>
    <w:rPr>
      <w:rFonts w:asciiTheme="minorHAnsi" w:eastAsiaTheme="minorEastAsia" w:hAnsiTheme="minorHAnsi" w:cstheme="minorBidi"/>
      <w:color w:val="365F91" w:themeColor="accent1" w:themeShade="BF"/>
      <w:sz w:val="22"/>
      <w:szCs w:val="22"/>
      <w:lang w:val="en-AU"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aliases w:val="B1 paragraph,Bulletr List Paragraph,FooterText,L,List Paragraph1,List Paragraph11,List Paragraph2,List Paragraph21,Listeafsnit1,NFP GP Bulleted List,Paragraphe de liste1,Parágrafo da Lista1,Recommendation,numbered,リスト段落1,列出段落,列出段落1,CV tex"/>
    <w:basedOn w:val="Normal"/>
    <w:link w:val="ListParagraphChar"/>
    <w:uiPriority w:val="34"/>
    <w:qFormat/>
    <w:rsid w:val="00FD43F1"/>
    <w:pPr>
      <w:ind w:left="720"/>
      <w:contextualSpacing/>
    </w:pPr>
  </w:style>
  <w:style w:type="table" w:styleId="LightList-Accent1">
    <w:name w:val="Light List Accent 1"/>
    <w:basedOn w:val="TableNormal"/>
    <w:uiPriority w:val="61"/>
    <w:rsid w:val="00FD43F1"/>
    <w:rPr>
      <w:rFonts w:asciiTheme="minorHAnsi" w:eastAsiaTheme="minorEastAsia" w:hAnsiTheme="minorHAnsi" w:cstheme="minorBidi"/>
      <w:sz w:val="22"/>
      <w:szCs w:val="22"/>
      <w:lang w:val="en-AU"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ocID">
    <w:name w:val="DocID"/>
    <w:basedOn w:val="Normal"/>
    <w:next w:val="Footer"/>
    <w:uiPriority w:val="99"/>
    <w:unhideWhenUsed/>
    <w:rsid w:val="00FD43F1"/>
    <w:pPr>
      <w:spacing w:after="0"/>
    </w:pPr>
    <w:rPr>
      <w:sz w:val="16"/>
    </w:rPr>
  </w:style>
  <w:style w:type="paragraph" w:customStyle="1" w:styleId="Bullet9">
    <w:name w:val="*Bullet_9"/>
    <w:basedOn w:val="Normal"/>
    <w:link w:val="Bullet9Char"/>
    <w:rsid w:val="00FD43F1"/>
    <w:pPr>
      <w:numPr>
        <w:ilvl w:val="8"/>
        <w:numId w:val="2"/>
      </w:numPr>
      <w:outlineLvl w:val="8"/>
    </w:pPr>
    <w:rPr>
      <w:rFonts w:eastAsiaTheme="minorHAnsi" w:hAnsi="Times New Roman" w:cs="Times New Roman"/>
      <w:lang w:val="en-US" w:eastAsia="en-US"/>
    </w:rPr>
  </w:style>
  <w:style w:type="character" w:customStyle="1" w:styleId="Bullet9Char">
    <w:name w:val="*Bullet_9 Char"/>
    <w:basedOn w:val="DefaultParagraphFont"/>
    <w:link w:val="Bullet9"/>
    <w:rsid w:val="00FD43F1"/>
    <w:rPr>
      <w:rFonts w:ascii="Arial" w:eastAsiaTheme="minorHAnsi"/>
      <w:szCs w:val="22"/>
    </w:rPr>
  </w:style>
  <w:style w:type="paragraph" w:customStyle="1" w:styleId="Bullet8">
    <w:name w:val="*Bullet_8"/>
    <w:basedOn w:val="Normal"/>
    <w:link w:val="Bullet8Char"/>
    <w:rsid w:val="00FD43F1"/>
    <w:pPr>
      <w:numPr>
        <w:ilvl w:val="7"/>
        <w:numId w:val="2"/>
      </w:numPr>
      <w:outlineLvl w:val="7"/>
    </w:pPr>
    <w:rPr>
      <w:rFonts w:eastAsiaTheme="minorHAnsi" w:hAnsi="Times New Roman" w:cs="Times New Roman"/>
      <w:lang w:val="en-US" w:eastAsia="en-US"/>
    </w:rPr>
  </w:style>
  <w:style w:type="character" w:customStyle="1" w:styleId="Bullet8Char">
    <w:name w:val="*Bullet_8 Char"/>
    <w:basedOn w:val="DefaultParagraphFont"/>
    <w:link w:val="Bullet8"/>
    <w:rsid w:val="00FD43F1"/>
    <w:rPr>
      <w:rFonts w:ascii="Arial" w:eastAsiaTheme="minorHAnsi"/>
      <w:szCs w:val="22"/>
    </w:rPr>
  </w:style>
  <w:style w:type="paragraph" w:customStyle="1" w:styleId="Bullet7">
    <w:name w:val="*Bullet_7"/>
    <w:basedOn w:val="Normal"/>
    <w:link w:val="Bullet7Char"/>
    <w:rsid w:val="00FD43F1"/>
    <w:pPr>
      <w:numPr>
        <w:ilvl w:val="6"/>
        <w:numId w:val="2"/>
      </w:numPr>
      <w:outlineLvl w:val="6"/>
    </w:pPr>
    <w:rPr>
      <w:rFonts w:eastAsiaTheme="minorHAnsi" w:hAnsi="Times New Roman" w:cs="Times New Roman"/>
      <w:lang w:val="en-US" w:eastAsia="en-US"/>
    </w:rPr>
  </w:style>
  <w:style w:type="character" w:customStyle="1" w:styleId="Bullet7Char">
    <w:name w:val="*Bullet_7 Char"/>
    <w:basedOn w:val="DefaultParagraphFont"/>
    <w:link w:val="Bullet7"/>
    <w:rsid w:val="00FD43F1"/>
    <w:rPr>
      <w:rFonts w:ascii="Arial" w:eastAsiaTheme="minorHAnsi"/>
      <w:szCs w:val="22"/>
    </w:rPr>
  </w:style>
  <w:style w:type="paragraph" w:customStyle="1" w:styleId="Bullet6">
    <w:name w:val="*Bullet_6"/>
    <w:basedOn w:val="Normal"/>
    <w:link w:val="Bullet6Char"/>
    <w:rsid w:val="00FD43F1"/>
    <w:pPr>
      <w:numPr>
        <w:ilvl w:val="5"/>
        <w:numId w:val="2"/>
      </w:numPr>
      <w:outlineLvl w:val="5"/>
    </w:pPr>
    <w:rPr>
      <w:rFonts w:eastAsiaTheme="minorHAnsi" w:hAnsi="Times New Roman" w:cs="Times New Roman"/>
      <w:lang w:val="en-US" w:eastAsia="en-US"/>
    </w:rPr>
  </w:style>
  <w:style w:type="character" w:customStyle="1" w:styleId="Bullet6Char">
    <w:name w:val="*Bullet_6 Char"/>
    <w:basedOn w:val="DefaultParagraphFont"/>
    <w:link w:val="Bullet6"/>
    <w:rsid w:val="00FD43F1"/>
    <w:rPr>
      <w:rFonts w:ascii="Arial" w:eastAsiaTheme="minorHAnsi"/>
      <w:szCs w:val="22"/>
    </w:rPr>
  </w:style>
  <w:style w:type="paragraph" w:customStyle="1" w:styleId="Bullet5">
    <w:name w:val="*Bullet_5"/>
    <w:basedOn w:val="Normal"/>
    <w:link w:val="Bullet5Char"/>
    <w:rsid w:val="00FD43F1"/>
    <w:pPr>
      <w:numPr>
        <w:ilvl w:val="4"/>
        <w:numId w:val="2"/>
      </w:numPr>
      <w:outlineLvl w:val="4"/>
    </w:pPr>
    <w:rPr>
      <w:rFonts w:eastAsiaTheme="minorHAnsi" w:hAnsi="Times New Roman" w:cs="Times New Roman"/>
      <w:lang w:val="en-US" w:eastAsia="en-US"/>
    </w:rPr>
  </w:style>
  <w:style w:type="character" w:customStyle="1" w:styleId="Bullet5Char">
    <w:name w:val="*Bullet_5 Char"/>
    <w:basedOn w:val="DefaultParagraphFont"/>
    <w:link w:val="Bullet5"/>
    <w:rsid w:val="00FD43F1"/>
    <w:rPr>
      <w:rFonts w:ascii="Arial" w:eastAsiaTheme="minorHAnsi"/>
      <w:szCs w:val="22"/>
    </w:rPr>
  </w:style>
  <w:style w:type="paragraph" w:customStyle="1" w:styleId="Bullet4">
    <w:name w:val="*Bullet_4"/>
    <w:basedOn w:val="Normal"/>
    <w:link w:val="Bullet4Char"/>
    <w:rsid w:val="00FD43F1"/>
    <w:pPr>
      <w:numPr>
        <w:ilvl w:val="3"/>
        <w:numId w:val="2"/>
      </w:numPr>
      <w:outlineLvl w:val="3"/>
    </w:pPr>
    <w:rPr>
      <w:rFonts w:eastAsiaTheme="minorHAnsi" w:hAnsi="Times New Roman" w:cs="Times New Roman"/>
      <w:lang w:val="en-US" w:eastAsia="en-US"/>
    </w:rPr>
  </w:style>
  <w:style w:type="character" w:customStyle="1" w:styleId="Bullet4Char">
    <w:name w:val="*Bullet_4 Char"/>
    <w:basedOn w:val="DefaultParagraphFont"/>
    <w:link w:val="Bullet4"/>
    <w:rsid w:val="00FD43F1"/>
    <w:rPr>
      <w:rFonts w:ascii="Arial" w:eastAsiaTheme="minorHAnsi"/>
      <w:szCs w:val="22"/>
    </w:rPr>
  </w:style>
  <w:style w:type="paragraph" w:customStyle="1" w:styleId="Bullet3">
    <w:name w:val="*Bullet_3"/>
    <w:basedOn w:val="Normal"/>
    <w:link w:val="Bullet3Char"/>
    <w:rsid w:val="00FD43F1"/>
    <w:pPr>
      <w:numPr>
        <w:ilvl w:val="2"/>
        <w:numId w:val="2"/>
      </w:numPr>
      <w:outlineLvl w:val="2"/>
    </w:pPr>
    <w:rPr>
      <w:rFonts w:eastAsiaTheme="minorHAnsi" w:hAnsi="Times New Roman" w:cs="Times New Roman"/>
      <w:lang w:val="en-US" w:eastAsia="en-US"/>
    </w:rPr>
  </w:style>
  <w:style w:type="character" w:customStyle="1" w:styleId="Bullet3Char">
    <w:name w:val="*Bullet_3 Char"/>
    <w:basedOn w:val="DefaultParagraphFont"/>
    <w:link w:val="Bullet3"/>
    <w:rsid w:val="00FD43F1"/>
    <w:rPr>
      <w:rFonts w:ascii="Arial" w:eastAsiaTheme="minorHAnsi"/>
      <w:szCs w:val="22"/>
    </w:rPr>
  </w:style>
  <w:style w:type="paragraph" w:customStyle="1" w:styleId="Bullet2">
    <w:name w:val="*Bullet_2"/>
    <w:basedOn w:val="Normal"/>
    <w:link w:val="Bullet2Char"/>
    <w:rsid w:val="00FD43F1"/>
    <w:pPr>
      <w:numPr>
        <w:ilvl w:val="1"/>
        <w:numId w:val="2"/>
      </w:numPr>
      <w:outlineLvl w:val="1"/>
    </w:pPr>
    <w:rPr>
      <w:rFonts w:eastAsiaTheme="minorHAnsi" w:hAnsi="Times New Roman" w:cs="Times New Roman"/>
      <w:lang w:val="en-US" w:eastAsia="en-US"/>
    </w:rPr>
  </w:style>
  <w:style w:type="character" w:customStyle="1" w:styleId="Bullet2Char">
    <w:name w:val="*Bullet_2 Char"/>
    <w:basedOn w:val="DefaultParagraphFont"/>
    <w:link w:val="Bullet2"/>
    <w:rsid w:val="00FD43F1"/>
    <w:rPr>
      <w:rFonts w:ascii="Arial" w:eastAsiaTheme="minorHAnsi"/>
      <w:szCs w:val="22"/>
    </w:rPr>
  </w:style>
  <w:style w:type="paragraph" w:customStyle="1" w:styleId="Bullet1">
    <w:name w:val="*Bullet_1"/>
    <w:basedOn w:val="Normal"/>
    <w:link w:val="Bullet1Char"/>
    <w:rsid w:val="00FD43F1"/>
    <w:pPr>
      <w:numPr>
        <w:numId w:val="2"/>
      </w:numPr>
      <w:outlineLvl w:val="0"/>
    </w:pPr>
    <w:rPr>
      <w:rFonts w:eastAsiaTheme="minorHAnsi" w:hAnsi="Times New Roman" w:cs="Times New Roman"/>
      <w:lang w:val="en-US" w:eastAsia="en-US"/>
    </w:rPr>
  </w:style>
  <w:style w:type="character" w:customStyle="1" w:styleId="Bullet1Char">
    <w:name w:val="*Bullet_1 Char"/>
    <w:basedOn w:val="DefaultParagraphFont"/>
    <w:link w:val="Bullet1"/>
    <w:rsid w:val="00FD43F1"/>
    <w:rPr>
      <w:rFonts w:ascii="Arial" w:eastAsiaTheme="minorHAnsi"/>
      <w:szCs w:val="22"/>
    </w:rPr>
  </w:style>
  <w:style w:type="paragraph" w:styleId="FootnoteText">
    <w:name w:val="footnote text"/>
    <w:basedOn w:val="Normal"/>
    <w:link w:val="FootnoteTextChar"/>
    <w:uiPriority w:val="99"/>
    <w:unhideWhenUsed/>
    <w:rsid w:val="00FD43F1"/>
    <w:pPr>
      <w:spacing w:after="0"/>
    </w:pPr>
    <w:rPr>
      <w:szCs w:val="20"/>
    </w:rPr>
  </w:style>
  <w:style w:type="character" w:customStyle="1" w:styleId="FootnoteTextChar">
    <w:name w:val="Footnote Text Char"/>
    <w:basedOn w:val="DefaultParagraphFont"/>
    <w:link w:val="FootnoteText"/>
    <w:uiPriority w:val="99"/>
    <w:rsid w:val="00FD43F1"/>
    <w:rPr>
      <w:rFonts w:ascii="Arial" w:eastAsiaTheme="minorEastAsia" w:hAnsi="Arial" w:cstheme="minorBidi"/>
      <w:lang w:val="en-AU" w:eastAsia="zh-CN"/>
    </w:rPr>
  </w:style>
  <w:style w:type="character" w:styleId="FootnoteReference">
    <w:name w:val="footnote reference"/>
    <w:basedOn w:val="DefaultParagraphFont"/>
    <w:uiPriority w:val="99"/>
    <w:unhideWhenUsed/>
    <w:rsid w:val="00FD43F1"/>
    <w:rPr>
      <w:vertAlign w:val="superscript"/>
    </w:rPr>
  </w:style>
  <w:style w:type="paragraph" w:customStyle="1" w:styleId="LetterSignature">
    <w:name w:val="Letter Signature"/>
    <w:basedOn w:val="Normal"/>
    <w:link w:val="LetterSignatureChar"/>
    <w:rsid w:val="00FD43F1"/>
    <w:pPr>
      <w:keepNext/>
      <w:keepLines/>
      <w:spacing w:after="0"/>
    </w:pPr>
    <w:rPr>
      <w:rFonts w:ascii="Times New Roman" w:eastAsia="Times New Roman" w:hAnsi="Times New Roman" w:cs="Times New Roman"/>
      <w:sz w:val="24"/>
      <w:szCs w:val="24"/>
      <w:lang w:val="en-US" w:eastAsia="en-US"/>
    </w:rPr>
  </w:style>
  <w:style w:type="character" w:customStyle="1" w:styleId="LetterSignatureChar">
    <w:name w:val="Letter Signature Char"/>
    <w:basedOn w:val="DefaultParagraphFont"/>
    <w:link w:val="LetterSignature"/>
    <w:rsid w:val="00FD43F1"/>
    <w:rPr>
      <w:sz w:val="24"/>
      <w:szCs w:val="24"/>
    </w:rPr>
  </w:style>
  <w:style w:type="character" w:styleId="Hyperlink">
    <w:name w:val="Hyperlink"/>
    <w:basedOn w:val="DefaultParagraphFont"/>
    <w:uiPriority w:val="99"/>
    <w:unhideWhenUsed/>
    <w:rsid w:val="00FD43F1"/>
    <w:rPr>
      <w:color w:val="0000FF" w:themeColor="hyperlink"/>
      <w:u w:val="single"/>
    </w:rPr>
  </w:style>
  <w:style w:type="character" w:styleId="PlaceholderText">
    <w:name w:val="Placeholder Text"/>
    <w:basedOn w:val="DefaultParagraphFont"/>
    <w:uiPriority w:val="99"/>
    <w:semiHidden/>
    <w:rsid w:val="00FD43F1"/>
    <w:rPr>
      <w:color w:val="808080"/>
    </w:rPr>
  </w:style>
  <w:style w:type="paragraph" w:customStyle="1" w:styleId="imprintuniqueid">
    <w:name w:val="imprintuniqueid"/>
    <w:basedOn w:val="Normal"/>
    <w:rsid w:val="00FD43F1"/>
    <w:pPr>
      <w:spacing w:after="0"/>
    </w:pPr>
    <w:rPr>
      <w:rFonts w:ascii="Times New Roman" w:hAnsi="Times New Roman" w:cs="Times New Roman"/>
      <w:sz w:val="24"/>
      <w:szCs w:val="24"/>
    </w:rPr>
  </w:style>
  <w:style w:type="paragraph" w:styleId="Subtitle">
    <w:name w:val="Subtitle"/>
    <w:basedOn w:val="Normal"/>
    <w:next w:val="Normal"/>
    <w:link w:val="SubtitleChar"/>
    <w:uiPriority w:val="11"/>
    <w:rsid w:val="00FD43F1"/>
    <w:pPr>
      <w:numPr>
        <w:ilvl w:val="1"/>
      </w:numPr>
      <w:jc w:val="center"/>
    </w:pPr>
    <w:rPr>
      <w:rFonts w:eastAsiaTheme="majorEastAsia" w:cstheme="majorBidi"/>
      <w:iCs/>
      <w:szCs w:val="24"/>
    </w:rPr>
  </w:style>
  <w:style w:type="character" w:customStyle="1" w:styleId="SubtitleChar">
    <w:name w:val="Subtitle Char"/>
    <w:basedOn w:val="DefaultParagraphFont"/>
    <w:link w:val="Subtitle"/>
    <w:uiPriority w:val="11"/>
    <w:rsid w:val="00FD43F1"/>
    <w:rPr>
      <w:rFonts w:ascii="Arial" w:eastAsiaTheme="majorEastAsia" w:hAnsi="Arial" w:cstheme="majorBidi"/>
      <w:iCs/>
      <w:szCs w:val="24"/>
      <w:lang w:val="en-AU" w:eastAsia="zh-CN"/>
    </w:rPr>
  </w:style>
  <w:style w:type="paragraph" w:customStyle="1" w:styleId="Address">
    <w:name w:val="*Address"/>
    <w:aliases w:val="add"/>
    <w:basedOn w:val="Normal"/>
    <w:uiPriority w:val="8"/>
    <w:rsid w:val="00FD43F1"/>
    <w:pPr>
      <w:contextualSpacing/>
    </w:pPr>
  </w:style>
  <w:style w:type="paragraph" w:customStyle="1" w:styleId="BodyDbl">
    <w:name w:val="*Body Dbl"/>
    <w:aliases w:val="bd"/>
    <w:basedOn w:val="Normal"/>
    <w:uiPriority w:val="2"/>
    <w:rsid w:val="00FD43F1"/>
    <w:pPr>
      <w:spacing w:after="0" w:line="480" w:lineRule="auto"/>
    </w:pPr>
  </w:style>
  <w:style w:type="paragraph" w:customStyle="1" w:styleId="BodyDbl0">
    <w:name w:val="*Body Dbl&gt;"/>
    <w:aliases w:val="bd&gt;"/>
    <w:basedOn w:val="Normal"/>
    <w:uiPriority w:val="2"/>
    <w:rsid w:val="00FD43F1"/>
    <w:pPr>
      <w:spacing w:after="0" w:line="480" w:lineRule="auto"/>
      <w:ind w:firstLine="720"/>
    </w:pPr>
  </w:style>
  <w:style w:type="paragraph" w:customStyle="1" w:styleId="BodyDbl1">
    <w:name w:val="*Body Dbl&gt;&gt;"/>
    <w:aliases w:val="bd&gt;&gt;"/>
    <w:basedOn w:val="Normal"/>
    <w:uiPriority w:val="2"/>
    <w:rsid w:val="00FD43F1"/>
    <w:pPr>
      <w:spacing w:after="0" w:line="480" w:lineRule="auto"/>
      <w:ind w:firstLine="1440"/>
    </w:pPr>
  </w:style>
  <w:style w:type="paragraph" w:customStyle="1" w:styleId="BodySingle0">
    <w:name w:val="*Body Single&gt;"/>
    <w:aliases w:val="bs&gt;"/>
    <w:basedOn w:val="Normal"/>
    <w:uiPriority w:val="1"/>
    <w:qFormat/>
    <w:rsid w:val="00FD43F1"/>
    <w:pPr>
      <w:ind w:firstLine="720"/>
    </w:pPr>
  </w:style>
  <w:style w:type="paragraph" w:customStyle="1" w:styleId="BodySingle1">
    <w:name w:val="*Body Single&gt;&gt;"/>
    <w:aliases w:val="bs&gt;&gt;"/>
    <w:basedOn w:val="Normal"/>
    <w:uiPriority w:val="1"/>
    <w:rsid w:val="00FD43F1"/>
    <w:pPr>
      <w:ind w:firstLine="1440"/>
    </w:pPr>
  </w:style>
  <w:style w:type="paragraph" w:customStyle="1" w:styleId="Bullet">
    <w:name w:val="*Bullet"/>
    <w:aliases w:val="bt"/>
    <w:basedOn w:val="Normal"/>
    <w:uiPriority w:val="6"/>
    <w:unhideWhenUsed/>
    <w:qFormat/>
    <w:rsid w:val="00FD43F1"/>
    <w:pPr>
      <w:numPr>
        <w:numId w:val="7"/>
      </w:numPr>
    </w:pPr>
  </w:style>
  <w:style w:type="paragraph" w:customStyle="1" w:styleId="CenteredText">
    <w:name w:val="*Centered Text"/>
    <w:aliases w:val="ct"/>
    <w:basedOn w:val="Normal"/>
    <w:uiPriority w:val="8"/>
    <w:rsid w:val="00FD43F1"/>
    <w:pPr>
      <w:jc w:val="center"/>
    </w:pPr>
  </w:style>
  <w:style w:type="paragraph" w:customStyle="1" w:styleId="FlushRight">
    <w:name w:val="*Flush Right"/>
    <w:aliases w:val="fr"/>
    <w:basedOn w:val="Normal"/>
    <w:uiPriority w:val="8"/>
    <w:rsid w:val="00FD43F1"/>
    <w:pPr>
      <w:jc w:val="right"/>
    </w:pPr>
  </w:style>
  <w:style w:type="paragraph" w:customStyle="1" w:styleId="Hanging">
    <w:name w:val="*Hanging"/>
    <w:aliases w:val="hg"/>
    <w:basedOn w:val="Normal"/>
    <w:uiPriority w:val="3"/>
    <w:rsid w:val="00FD43F1"/>
    <w:pPr>
      <w:ind w:left="720" w:hanging="720"/>
    </w:pPr>
  </w:style>
  <w:style w:type="paragraph" w:customStyle="1" w:styleId="Hanging1">
    <w:name w:val="*Hanging1"/>
    <w:aliases w:val="hg1"/>
    <w:basedOn w:val="Normal"/>
    <w:uiPriority w:val="3"/>
    <w:rsid w:val="00FD43F1"/>
    <w:pPr>
      <w:ind w:left="1440" w:hanging="720"/>
    </w:pPr>
  </w:style>
  <w:style w:type="paragraph" w:customStyle="1" w:styleId="Indent10">
    <w:name w:val="*Indent1&gt;"/>
    <w:aliases w:val="i1&gt;"/>
    <w:basedOn w:val="Normal"/>
    <w:uiPriority w:val="3"/>
    <w:qFormat/>
    <w:rsid w:val="00FD43F1"/>
    <w:pPr>
      <w:ind w:left="720" w:firstLine="720"/>
    </w:pPr>
  </w:style>
  <w:style w:type="paragraph" w:customStyle="1" w:styleId="Indent2">
    <w:name w:val="*Indent2"/>
    <w:aliases w:val="i2"/>
    <w:basedOn w:val="Normal"/>
    <w:uiPriority w:val="3"/>
    <w:qFormat/>
    <w:rsid w:val="00FD43F1"/>
    <w:pPr>
      <w:ind w:left="1440"/>
    </w:pPr>
  </w:style>
  <w:style w:type="paragraph" w:customStyle="1" w:styleId="Indent3">
    <w:name w:val="*Indent3"/>
    <w:aliases w:val="i3"/>
    <w:basedOn w:val="Normal"/>
    <w:uiPriority w:val="3"/>
    <w:qFormat/>
    <w:rsid w:val="00FD43F1"/>
    <w:pPr>
      <w:ind w:left="2160"/>
    </w:pPr>
  </w:style>
  <w:style w:type="paragraph" w:customStyle="1" w:styleId="NumList0">
    <w:name w:val="*NumList"/>
    <w:aliases w:val="nl"/>
    <w:basedOn w:val="Normal"/>
    <w:uiPriority w:val="8"/>
    <w:qFormat/>
    <w:rsid w:val="00FD43F1"/>
    <w:pPr>
      <w:numPr>
        <w:numId w:val="5"/>
      </w:numPr>
    </w:pPr>
  </w:style>
  <w:style w:type="paragraph" w:customStyle="1" w:styleId="Quote1">
    <w:name w:val="*Quote1"/>
    <w:aliases w:val="q1"/>
    <w:basedOn w:val="Normal"/>
    <w:uiPriority w:val="5"/>
    <w:qFormat/>
    <w:rsid w:val="00FD43F1"/>
    <w:pPr>
      <w:ind w:left="720" w:right="720"/>
    </w:pPr>
  </w:style>
  <w:style w:type="paragraph" w:customStyle="1" w:styleId="Quote10">
    <w:name w:val="*Quote1&gt;"/>
    <w:aliases w:val="q1&gt;"/>
    <w:basedOn w:val="Normal"/>
    <w:uiPriority w:val="5"/>
    <w:rsid w:val="00FD43F1"/>
    <w:pPr>
      <w:ind w:left="720" w:right="720" w:firstLine="720"/>
    </w:pPr>
  </w:style>
  <w:style w:type="paragraph" w:customStyle="1" w:styleId="Quote2">
    <w:name w:val="*Quote2"/>
    <w:aliases w:val="q2"/>
    <w:basedOn w:val="Normal"/>
    <w:uiPriority w:val="5"/>
    <w:rsid w:val="00FD43F1"/>
    <w:pPr>
      <w:ind w:left="1440" w:right="1440"/>
    </w:pPr>
  </w:style>
  <w:style w:type="paragraph" w:customStyle="1" w:styleId="Quote20">
    <w:name w:val="*Quote2&gt;"/>
    <w:aliases w:val="q2&gt;"/>
    <w:basedOn w:val="Normal"/>
    <w:uiPriority w:val="5"/>
    <w:rsid w:val="00FD43F1"/>
    <w:pPr>
      <w:ind w:left="1440" w:right="1440" w:firstLine="720"/>
    </w:pPr>
  </w:style>
  <w:style w:type="paragraph" w:customStyle="1" w:styleId="SigBlock">
    <w:name w:val="*Sig Block"/>
    <w:aliases w:val="sg"/>
    <w:basedOn w:val="Normal"/>
    <w:uiPriority w:val="8"/>
    <w:rsid w:val="00FD43F1"/>
    <w:pPr>
      <w:keepNext/>
      <w:keepLines/>
      <w:tabs>
        <w:tab w:val="right" w:pos="9360"/>
      </w:tabs>
      <w:ind w:left="4320"/>
    </w:pPr>
  </w:style>
  <w:style w:type="paragraph" w:customStyle="1" w:styleId="Subtitle0">
    <w:name w:val="*Subtitle"/>
    <w:aliases w:val="sub"/>
    <w:basedOn w:val="Normal"/>
    <w:next w:val="BodySingle0"/>
    <w:uiPriority w:val="4"/>
    <w:rsid w:val="00FD43F1"/>
    <w:pPr>
      <w:jc w:val="center"/>
    </w:pPr>
  </w:style>
  <w:style w:type="paragraph" w:customStyle="1" w:styleId="TitleCenterB">
    <w:name w:val="*Title Center B"/>
    <w:aliases w:val="tcb"/>
    <w:basedOn w:val="Normal"/>
    <w:next w:val="BodySingle0"/>
    <w:uiPriority w:val="4"/>
    <w:qFormat/>
    <w:rsid w:val="00FD43F1"/>
    <w:pPr>
      <w:keepNext/>
      <w:keepLines/>
      <w:jc w:val="center"/>
    </w:pPr>
    <w:rPr>
      <w:b/>
    </w:rPr>
  </w:style>
  <w:style w:type="paragraph" w:customStyle="1" w:styleId="TitleCenterBU">
    <w:name w:val="*Title Center BU"/>
    <w:aliases w:val="tcbu"/>
    <w:basedOn w:val="Normal"/>
    <w:next w:val="BodySingle0"/>
    <w:uiPriority w:val="4"/>
    <w:qFormat/>
    <w:rsid w:val="00FD43F1"/>
    <w:pPr>
      <w:keepNext/>
      <w:keepLines/>
      <w:jc w:val="center"/>
    </w:pPr>
    <w:rPr>
      <w:b/>
      <w:u w:val="single"/>
    </w:rPr>
  </w:style>
  <w:style w:type="paragraph" w:customStyle="1" w:styleId="TitleCenterU">
    <w:name w:val="*Title Center U"/>
    <w:aliases w:val="tcu"/>
    <w:basedOn w:val="Normal"/>
    <w:next w:val="BodySingle0"/>
    <w:uiPriority w:val="4"/>
    <w:rsid w:val="00FD43F1"/>
    <w:pPr>
      <w:keepNext/>
      <w:keepLines/>
      <w:jc w:val="center"/>
    </w:pPr>
    <w:rPr>
      <w:u w:val="single"/>
    </w:rPr>
  </w:style>
  <w:style w:type="paragraph" w:customStyle="1" w:styleId="TitleCenter">
    <w:name w:val="*Title Center"/>
    <w:aliases w:val="tc"/>
    <w:basedOn w:val="Normal"/>
    <w:next w:val="BodySingle0"/>
    <w:uiPriority w:val="4"/>
    <w:rsid w:val="00FD43F1"/>
    <w:pPr>
      <w:keepNext/>
      <w:keepLines/>
      <w:jc w:val="center"/>
    </w:pPr>
  </w:style>
  <w:style w:type="paragraph" w:customStyle="1" w:styleId="TitleLeftB">
    <w:name w:val="*Title Left B"/>
    <w:aliases w:val="tlb"/>
    <w:basedOn w:val="Normal"/>
    <w:next w:val="BodySingle0"/>
    <w:uiPriority w:val="4"/>
    <w:qFormat/>
    <w:rsid w:val="00FD43F1"/>
    <w:pPr>
      <w:keepNext/>
      <w:keepLines/>
    </w:pPr>
    <w:rPr>
      <w:b/>
    </w:rPr>
  </w:style>
  <w:style w:type="paragraph" w:customStyle="1" w:styleId="TitleLeftBU">
    <w:name w:val="*Title Left BU"/>
    <w:aliases w:val="tlbu"/>
    <w:basedOn w:val="Normal"/>
    <w:next w:val="BodySingle0"/>
    <w:uiPriority w:val="4"/>
    <w:qFormat/>
    <w:rsid w:val="00FD43F1"/>
    <w:pPr>
      <w:keepNext/>
      <w:keepLines/>
    </w:pPr>
    <w:rPr>
      <w:b/>
      <w:u w:val="single"/>
    </w:rPr>
  </w:style>
  <w:style w:type="paragraph" w:customStyle="1" w:styleId="TitleLeftU">
    <w:name w:val="*Title Left U"/>
    <w:aliases w:val="tlu"/>
    <w:basedOn w:val="Normal"/>
    <w:next w:val="BodySingle0"/>
    <w:uiPriority w:val="4"/>
    <w:rsid w:val="00FD43F1"/>
    <w:pPr>
      <w:keepNext/>
      <w:keepLines/>
    </w:pPr>
    <w:rPr>
      <w:u w:val="single"/>
    </w:rPr>
  </w:style>
  <w:style w:type="paragraph" w:customStyle="1" w:styleId="TitleLeft">
    <w:name w:val="*Title Left"/>
    <w:aliases w:val="tl"/>
    <w:basedOn w:val="Normal"/>
    <w:next w:val="BodySingle0"/>
    <w:uiPriority w:val="4"/>
    <w:rsid w:val="00FD43F1"/>
    <w:pPr>
      <w:keepNext/>
      <w:keepLines/>
    </w:pPr>
  </w:style>
  <w:style w:type="paragraph" w:styleId="NoSpacing">
    <w:name w:val="No Spacing"/>
    <w:link w:val="NoSpacingChar"/>
    <w:uiPriority w:val="1"/>
    <w:unhideWhenUsed/>
    <w:qFormat/>
    <w:rsid w:val="00FD43F1"/>
    <w:rPr>
      <w:rFonts w:eastAsiaTheme="minorEastAsia" w:cstheme="minorBidi"/>
      <w:sz w:val="24"/>
      <w:szCs w:val="22"/>
      <w:lang w:eastAsia="zh-CN"/>
    </w:rPr>
  </w:style>
  <w:style w:type="paragraph" w:customStyle="1" w:styleId="NumList">
    <w:name w:val="*NumList&gt;"/>
    <w:aliases w:val="nl&gt;"/>
    <w:basedOn w:val="Normal"/>
    <w:uiPriority w:val="8"/>
    <w:qFormat/>
    <w:rsid w:val="00FD43F1"/>
    <w:pPr>
      <w:numPr>
        <w:numId w:val="4"/>
      </w:numPr>
      <w:ind w:firstLine="720"/>
    </w:pPr>
  </w:style>
  <w:style w:type="paragraph" w:customStyle="1" w:styleId="NumListDbl">
    <w:name w:val="*NumListDbl&gt;"/>
    <w:aliases w:val="nld&gt;"/>
    <w:basedOn w:val="Normal"/>
    <w:uiPriority w:val="8"/>
    <w:qFormat/>
    <w:rsid w:val="00FD43F1"/>
    <w:pPr>
      <w:numPr>
        <w:numId w:val="3"/>
      </w:numPr>
      <w:spacing w:after="0" w:line="480" w:lineRule="auto"/>
      <w:ind w:firstLine="720"/>
    </w:pPr>
  </w:style>
  <w:style w:type="paragraph" w:styleId="Revision">
    <w:name w:val="Revision"/>
    <w:hidden/>
    <w:uiPriority w:val="99"/>
    <w:semiHidden/>
    <w:rsid w:val="00FD43F1"/>
    <w:rPr>
      <w:rFonts w:ascii="Arial" w:eastAsiaTheme="minorEastAsia" w:hAnsi="Arial" w:cstheme="minorBidi"/>
      <w:sz w:val="22"/>
      <w:szCs w:val="22"/>
      <w:lang w:val="en-AU" w:eastAsia="zh-CN"/>
    </w:rPr>
  </w:style>
  <w:style w:type="paragraph" w:customStyle="1" w:styleId="Number9">
    <w:name w:val="*Number_9"/>
    <w:basedOn w:val="Normal"/>
    <w:link w:val="Number9Char"/>
    <w:rsid w:val="00FD43F1"/>
    <w:pPr>
      <w:numPr>
        <w:ilvl w:val="8"/>
        <w:numId w:val="6"/>
      </w:numPr>
    </w:pPr>
    <w:rPr>
      <w:rFonts w:eastAsiaTheme="minorHAnsi" w:hAnsi="Times New Roman" w:cs="Times New Roman"/>
      <w:lang w:val="en-US" w:eastAsia="en-US"/>
    </w:rPr>
  </w:style>
  <w:style w:type="character" w:customStyle="1" w:styleId="Number9Char">
    <w:name w:val="*Number_9 Char"/>
    <w:basedOn w:val="DefaultParagraphFont"/>
    <w:link w:val="Number9"/>
    <w:rsid w:val="00FD43F1"/>
    <w:rPr>
      <w:rFonts w:ascii="Arial" w:eastAsiaTheme="minorHAnsi"/>
      <w:szCs w:val="22"/>
    </w:rPr>
  </w:style>
  <w:style w:type="paragraph" w:customStyle="1" w:styleId="Number8">
    <w:name w:val="*Number_8"/>
    <w:basedOn w:val="Normal"/>
    <w:link w:val="Number8Char"/>
    <w:rsid w:val="00FD43F1"/>
    <w:pPr>
      <w:numPr>
        <w:ilvl w:val="7"/>
        <w:numId w:val="6"/>
      </w:numPr>
    </w:pPr>
    <w:rPr>
      <w:rFonts w:eastAsiaTheme="minorHAnsi" w:hAnsi="Times New Roman" w:cs="Times New Roman"/>
      <w:lang w:val="en-US" w:eastAsia="en-US"/>
    </w:rPr>
  </w:style>
  <w:style w:type="character" w:customStyle="1" w:styleId="Number8Char">
    <w:name w:val="*Number_8 Char"/>
    <w:basedOn w:val="DefaultParagraphFont"/>
    <w:link w:val="Number8"/>
    <w:rsid w:val="00FD43F1"/>
    <w:rPr>
      <w:rFonts w:ascii="Arial" w:eastAsiaTheme="minorHAnsi"/>
      <w:szCs w:val="22"/>
    </w:rPr>
  </w:style>
  <w:style w:type="paragraph" w:customStyle="1" w:styleId="Number7">
    <w:name w:val="*Number_7"/>
    <w:basedOn w:val="Normal"/>
    <w:link w:val="Number7Char"/>
    <w:rsid w:val="00FD43F1"/>
    <w:pPr>
      <w:numPr>
        <w:ilvl w:val="6"/>
        <w:numId w:val="6"/>
      </w:numPr>
    </w:pPr>
    <w:rPr>
      <w:rFonts w:eastAsiaTheme="minorHAnsi" w:hAnsi="Times New Roman" w:cs="Times New Roman"/>
      <w:lang w:val="en-US" w:eastAsia="en-US"/>
    </w:rPr>
  </w:style>
  <w:style w:type="character" w:customStyle="1" w:styleId="Number7Char">
    <w:name w:val="*Number_7 Char"/>
    <w:basedOn w:val="DefaultParagraphFont"/>
    <w:link w:val="Number7"/>
    <w:rsid w:val="00FD43F1"/>
    <w:rPr>
      <w:rFonts w:ascii="Arial" w:eastAsiaTheme="minorHAnsi"/>
      <w:szCs w:val="22"/>
    </w:rPr>
  </w:style>
  <w:style w:type="paragraph" w:customStyle="1" w:styleId="Number6">
    <w:name w:val="*Number_6"/>
    <w:basedOn w:val="Normal"/>
    <w:link w:val="Number6Char"/>
    <w:rsid w:val="00FD43F1"/>
    <w:pPr>
      <w:numPr>
        <w:ilvl w:val="5"/>
        <w:numId w:val="6"/>
      </w:numPr>
    </w:pPr>
    <w:rPr>
      <w:rFonts w:eastAsiaTheme="minorHAnsi" w:hAnsi="Times New Roman" w:cs="Times New Roman"/>
      <w:lang w:val="en-US" w:eastAsia="en-US"/>
    </w:rPr>
  </w:style>
  <w:style w:type="character" w:customStyle="1" w:styleId="Number6Char">
    <w:name w:val="*Number_6 Char"/>
    <w:basedOn w:val="DefaultParagraphFont"/>
    <w:link w:val="Number6"/>
    <w:rsid w:val="00FD43F1"/>
    <w:rPr>
      <w:rFonts w:ascii="Arial" w:eastAsiaTheme="minorHAnsi"/>
      <w:szCs w:val="22"/>
    </w:rPr>
  </w:style>
  <w:style w:type="paragraph" w:customStyle="1" w:styleId="Number5">
    <w:name w:val="*Number_5"/>
    <w:basedOn w:val="Normal"/>
    <w:link w:val="Number5Char"/>
    <w:rsid w:val="00FD43F1"/>
    <w:pPr>
      <w:numPr>
        <w:ilvl w:val="4"/>
        <w:numId w:val="6"/>
      </w:numPr>
    </w:pPr>
    <w:rPr>
      <w:rFonts w:eastAsiaTheme="minorHAnsi" w:hAnsi="Times New Roman" w:cs="Times New Roman"/>
      <w:lang w:val="en-US" w:eastAsia="en-US"/>
    </w:rPr>
  </w:style>
  <w:style w:type="character" w:customStyle="1" w:styleId="Number5Char">
    <w:name w:val="*Number_5 Char"/>
    <w:basedOn w:val="DefaultParagraphFont"/>
    <w:link w:val="Number5"/>
    <w:rsid w:val="00FD43F1"/>
    <w:rPr>
      <w:rFonts w:ascii="Arial" w:eastAsiaTheme="minorHAnsi"/>
      <w:szCs w:val="22"/>
    </w:rPr>
  </w:style>
  <w:style w:type="paragraph" w:customStyle="1" w:styleId="Number4">
    <w:name w:val="*Number_4"/>
    <w:basedOn w:val="Normal"/>
    <w:link w:val="Number4Char"/>
    <w:rsid w:val="00FD43F1"/>
    <w:pPr>
      <w:numPr>
        <w:ilvl w:val="3"/>
        <w:numId w:val="6"/>
      </w:numPr>
    </w:pPr>
    <w:rPr>
      <w:rFonts w:eastAsiaTheme="minorHAnsi" w:hAnsi="Times New Roman" w:cs="Times New Roman"/>
      <w:lang w:val="en-US" w:eastAsia="en-US"/>
    </w:rPr>
  </w:style>
  <w:style w:type="character" w:customStyle="1" w:styleId="Number4Char">
    <w:name w:val="*Number_4 Char"/>
    <w:basedOn w:val="DefaultParagraphFont"/>
    <w:link w:val="Number4"/>
    <w:rsid w:val="00FD43F1"/>
    <w:rPr>
      <w:rFonts w:ascii="Arial" w:eastAsiaTheme="minorHAnsi"/>
      <w:szCs w:val="22"/>
    </w:rPr>
  </w:style>
  <w:style w:type="paragraph" w:customStyle="1" w:styleId="Number3">
    <w:name w:val="*Number_3"/>
    <w:basedOn w:val="Normal"/>
    <w:link w:val="Number3Char"/>
    <w:rsid w:val="00FD43F1"/>
    <w:pPr>
      <w:numPr>
        <w:ilvl w:val="2"/>
        <w:numId w:val="6"/>
      </w:numPr>
      <w:outlineLvl w:val="0"/>
    </w:pPr>
    <w:rPr>
      <w:rFonts w:eastAsiaTheme="minorHAnsi" w:hAnsi="Times New Roman" w:cs="Times New Roman"/>
      <w:lang w:val="en-US" w:eastAsia="en-US"/>
    </w:rPr>
  </w:style>
  <w:style w:type="character" w:customStyle="1" w:styleId="Number3Char">
    <w:name w:val="*Number_3 Char"/>
    <w:basedOn w:val="DefaultParagraphFont"/>
    <w:link w:val="Number3"/>
    <w:rsid w:val="00FD43F1"/>
    <w:rPr>
      <w:rFonts w:ascii="Arial" w:eastAsiaTheme="minorHAnsi"/>
      <w:szCs w:val="22"/>
    </w:rPr>
  </w:style>
  <w:style w:type="paragraph" w:customStyle="1" w:styleId="Number2">
    <w:name w:val="*Number_2"/>
    <w:basedOn w:val="Normal"/>
    <w:link w:val="Number2Char"/>
    <w:rsid w:val="00FD43F1"/>
    <w:pPr>
      <w:numPr>
        <w:ilvl w:val="1"/>
        <w:numId w:val="6"/>
      </w:numPr>
    </w:pPr>
    <w:rPr>
      <w:rFonts w:eastAsiaTheme="minorHAnsi" w:hAnsi="Times New Roman" w:cs="Times New Roman"/>
      <w:lang w:val="en-US" w:eastAsia="en-US"/>
    </w:rPr>
  </w:style>
  <w:style w:type="character" w:customStyle="1" w:styleId="Number2Char">
    <w:name w:val="*Number_2 Char"/>
    <w:basedOn w:val="DefaultParagraphFont"/>
    <w:link w:val="Number2"/>
    <w:rsid w:val="00FD43F1"/>
    <w:rPr>
      <w:rFonts w:ascii="Arial" w:eastAsiaTheme="minorHAnsi"/>
      <w:szCs w:val="22"/>
    </w:rPr>
  </w:style>
  <w:style w:type="paragraph" w:customStyle="1" w:styleId="Number1">
    <w:name w:val="*Number_1"/>
    <w:basedOn w:val="Normal"/>
    <w:link w:val="Number1Char"/>
    <w:rsid w:val="00FD43F1"/>
    <w:pPr>
      <w:numPr>
        <w:numId w:val="6"/>
      </w:numPr>
    </w:pPr>
    <w:rPr>
      <w:rFonts w:eastAsiaTheme="minorHAnsi" w:hAnsi="Times New Roman" w:cs="Times New Roman"/>
      <w:lang w:val="en-US" w:eastAsia="en-US"/>
    </w:rPr>
  </w:style>
  <w:style w:type="character" w:customStyle="1" w:styleId="Number1Char">
    <w:name w:val="*Number_1 Char"/>
    <w:basedOn w:val="DefaultParagraphFont"/>
    <w:link w:val="Number1"/>
    <w:rsid w:val="00FD43F1"/>
    <w:rPr>
      <w:rFonts w:ascii="Arial" w:eastAsiaTheme="minorHAnsi"/>
      <w:szCs w:val="22"/>
    </w:rPr>
  </w:style>
  <w:style w:type="paragraph" w:styleId="NormalWeb">
    <w:name w:val="Normal (Web)"/>
    <w:basedOn w:val="Normal"/>
    <w:uiPriority w:val="99"/>
    <w:semiHidden/>
    <w:unhideWhenUsed/>
    <w:rsid w:val="007D267E"/>
    <w:pPr>
      <w:spacing w:before="100" w:beforeAutospacing="1" w:after="100" w:afterAutospacing="1"/>
      <w:jc w:val="left"/>
    </w:pPr>
    <w:rPr>
      <w:rFonts w:ascii="Times New Roman" w:eastAsia="SimSun" w:hAnsi="Times New Roman" w:cs="Times New Roman"/>
      <w:sz w:val="24"/>
      <w:szCs w:val="24"/>
    </w:rPr>
  </w:style>
  <w:style w:type="character" w:customStyle="1" w:styleId="NoSpacingChar">
    <w:name w:val="No Spacing Char"/>
    <w:basedOn w:val="DefaultParagraphFont"/>
    <w:link w:val="NoSpacing"/>
    <w:uiPriority w:val="1"/>
    <w:rsid w:val="00E81D9A"/>
    <w:rPr>
      <w:rFonts w:eastAsiaTheme="minorEastAsia" w:cstheme="minorBidi"/>
      <w:sz w:val="24"/>
      <w:szCs w:val="22"/>
      <w:lang w:eastAsia="zh-CN"/>
    </w:rPr>
  </w:style>
  <w:style w:type="paragraph" w:customStyle="1" w:styleId="DraftStamp">
    <w:name w:val="Draft Stamp"/>
    <w:basedOn w:val="Normal"/>
    <w:rsid w:val="00251B38"/>
    <w:pPr>
      <w:spacing w:after="0"/>
      <w:jc w:val="left"/>
    </w:pPr>
    <w:rPr>
      <w:rFonts w:eastAsia="Times New Roman" w:cs="Arial"/>
      <w:b/>
      <w:bCs/>
      <w:sz w:val="28"/>
      <w:szCs w:val="24"/>
      <w:lang w:val="en-US" w:eastAsia="en-US"/>
    </w:rPr>
  </w:style>
  <w:style w:type="character" w:styleId="CommentReference">
    <w:name w:val="annotation reference"/>
    <w:basedOn w:val="DefaultParagraphFont"/>
    <w:semiHidden/>
    <w:unhideWhenUsed/>
    <w:rsid w:val="00EB2457"/>
    <w:rPr>
      <w:sz w:val="16"/>
      <w:szCs w:val="16"/>
    </w:rPr>
  </w:style>
  <w:style w:type="paragraph" w:styleId="CommentText">
    <w:name w:val="annotation text"/>
    <w:basedOn w:val="Normal"/>
    <w:link w:val="CommentTextChar"/>
    <w:unhideWhenUsed/>
    <w:rsid w:val="00EB2457"/>
    <w:rPr>
      <w:szCs w:val="20"/>
    </w:rPr>
  </w:style>
  <w:style w:type="character" w:customStyle="1" w:styleId="CommentTextChar">
    <w:name w:val="Comment Text Char"/>
    <w:basedOn w:val="DefaultParagraphFont"/>
    <w:link w:val="CommentText"/>
    <w:rsid w:val="00EB2457"/>
    <w:rPr>
      <w:rFonts w:ascii="Arial" w:eastAsiaTheme="minorEastAsia" w:hAnsi="Arial" w:cstheme="minorBidi"/>
      <w:lang w:val="en-AU" w:eastAsia="zh-CN"/>
    </w:rPr>
  </w:style>
  <w:style w:type="paragraph" w:styleId="CommentSubject">
    <w:name w:val="annotation subject"/>
    <w:basedOn w:val="CommentText"/>
    <w:next w:val="CommentText"/>
    <w:link w:val="CommentSubjectChar"/>
    <w:semiHidden/>
    <w:unhideWhenUsed/>
    <w:rsid w:val="00EB2457"/>
    <w:rPr>
      <w:b/>
      <w:bCs/>
    </w:rPr>
  </w:style>
  <w:style w:type="character" w:customStyle="1" w:styleId="CommentSubjectChar">
    <w:name w:val="Comment Subject Char"/>
    <w:basedOn w:val="CommentTextChar"/>
    <w:link w:val="CommentSubject"/>
    <w:semiHidden/>
    <w:rsid w:val="00EB2457"/>
    <w:rPr>
      <w:rFonts w:ascii="Arial" w:eastAsiaTheme="minorEastAsia" w:hAnsi="Arial" w:cstheme="minorBidi"/>
      <w:b/>
      <w:bCs/>
      <w:lang w:val="en-AU" w:eastAsia="zh-CN"/>
    </w:rPr>
  </w:style>
  <w:style w:type="paragraph" w:styleId="Caption">
    <w:name w:val="caption"/>
    <w:basedOn w:val="Normal"/>
    <w:next w:val="Normal"/>
    <w:unhideWhenUsed/>
    <w:qFormat/>
    <w:rsid w:val="00F76A96"/>
    <w:pPr>
      <w:spacing w:after="200"/>
    </w:pPr>
    <w:rPr>
      <w:i/>
      <w:iCs/>
      <w:color w:val="1F497D" w:themeColor="text2"/>
      <w:sz w:val="18"/>
      <w:szCs w:val="18"/>
    </w:rPr>
  </w:style>
  <w:style w:type="paragraph" w:styleId="TOC1">
    <w:name w:val="toc 1"/>
    <w:basedOn w:val="Normal"/>
    <w:next w:val="Normal"/>
    <w:autoRedefine/>
    <w:uiPriority w:val="39"/>
    <w:unhideWhenUsed/>
    <w:rsid w:val="005D71F4"/>
    <w:pPr>
      <w:spacing w:after="100"/>
      <w:jc w:val="left"/>
    </w:pPr>
  </w:style>
  <w:style w:type="paragraph" w:styleId="TOC2">
    <w:name w:val="toc 2"/>
    <w:basedOn w:val="Normal"/>
    <w:next w:val="Normal"/>
    <w:autoRedefine/>
    <w:semiHidden/>
    <w:unhideWhenUsed/>
    <w:rsid w:val="005D71F4"/>
    <w:pPr>
      <w:spacing w:after="100"/>
      <w:ind w:left="200"/>
      <w:jc w:val="left"/>
    </w:pPr>
  </w:style>
  <w:style w:type="paragraph" w:styleId="TOC3">
    <w:name w:val="toc 3"/>
    <w:basedOn w:val="Normal"/>
    <w:next w:val="Normal"/>
    <w:autoRedefine/>
    <w:semiHidden/>
    <w:unhideWhenUsed/>
    <w:rsid w:val="005D71F4"/>
    <w:pPr>
      <w:spacing w:after="100"/>
      <w:ind w:left="400"/>
      <w:jc w:val="left"/>
    </w:pPr>
  </w:style>
  <w:style w:type="paragraph" w:styleId="TOC4">
    <w:name w:val="toc 4"/>
    <w:basedOn w:val="Normal"/>
    <w:next w:val="Normal"/>
    <w:autoRedefine/>
    <w:semiHidden/>
    <w:unhideWhenUsed/>
    <w:rsid w:val="005D71F4"/>
    <w:pPr>
      <w:spacing w:after="100"/>
      <w:ind w:left="600"/>
      <w:jc w:val="left"/>
    </w:pPr>
  </w:style>
  <w:style w:type="paragraph" w:styleId="TOC5">
    <w:name w:val="toc 5"/>
    <w:basedOn w:val="Normal"/>
    <w:next w:val="Normal"/>
    <w:autoRedefine/>
    <w:semiHidden/>
    <w:unhideWhenUsed/>
    <w:rsid w:val="005D71F4"/>
    <w:pPr>
      <w:spacing w:after="100"/>
      <w:ind w:left="800"/>
      <w:jc w:val="left"/>
    </w:pPr>
  </w:style>
  <w:style w:type="paragraph" w:styleId="TOC6">
    <w:name w:val="toc 6"/>
    <w:basedOn w:val="Normal"/>
    <w:next w:val="Normal"/>
    <w:autoRedefine/>
    <w:semiHidden/>
    <w:unhideWhenUsed/>
    <w:rsid w:val="005D71F4"/>
    <w:pPr>
      <w:spacing w:after="100"/>
      <w:ind w:left="1000"/>
      <w:jc w:val="left"/>
    </w:pPr>
  </w:style>
  <w:style w:type="paragraph" w:styleId="TOC7">
    <w:name w:val="toc 7"/>
    <w:basedOn w:val="Normal"/>
    <w:next w:val="Normal"/>
    <w:autoRedefine/>
    <w:semiHidden/>
    <w:unhideWhenUsed/>
    <w:rsid w:val="005D71F4"/>
    <w:pPr>
      <w:spacing w:after="100"/>
      <w:ind w:left="1200"/>
      <w:jc w:val="left"/>
    </w:pPr>
  </w:style>
  <w:style w:type="paragraph" w:styleId="TOC8">
    <w:name w:val="toc 8"/>
    <w:basedOn w:val="Normal"/>
    <w:next w:val="Normal"/>
    <w:autoRedefine/>
    <w:semiHidden/>
    <w:unhideWhenUsed/>
    <w:rsid w:val="005D71F4"/>
    <w:pPr>
      <w:spacing w:after="100"/>
      <w:ind w:left="1400"/>
      <w:jc w:val="left"/>
    </w:pPr>
  </w:style>
  <w:style w:type="paragraph" w:styleId="TOC9">
    <w:name w:val="toc 9"/>
    <w:basedOn w:val="Normal"/>
    <w:next w:val="Normal"/>
    <w:autoRedefine/>
    <w:semiHidden/>
    <w:unhideWhenUsed/>
    <w:rsid w:val="005D71F4"/>
    <w:pPr>
      <w:spacing w:after="100"/>
      <w:ind w:left="1600"/>
      <w:jc w:val="left"/>
    </w:pPr>
  </w:style>
  <w:style w:type="paragraph" w:styleId="IntenseQuote">
    <w:name w:val="Intense Quote"/>
    <w:basedOn w:val="Normal"/>
    <w:next w:val="Normal"/>
    <w:link w:val="IntenseQuoteChar"/>
    <w:uiPriority w:val="30"/>
    <w:qFormat/>
    <w:rsid w:val="00DC66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C664B"/>
    <w:rPr>
      <w:rFonts w:ascii="Arial" w:eastAsiaTheme="minorEastAsia" w:hAnsi="Arial" w:cstheme="minorBidi"/>
      <w:i/>
      <w:iCs/>
      <w:color w:val="4F81BD" w:themeColor="accent1"/>
      <w:szCs w:val="22"/>
      <w:lang w:val="en-AU" w:eastAsia="zh-CN"/>
    </w:rPr>
  </w:style>
  <w:style w:type="character" w:customStyle="1" w:styleId="ListParagraphChar">
    <w:name w:val="List Paragraph Char"/>
    <w:aliases w:val="B1 paragraph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locked/>
    <w:rsid w:val="000A0CD0"/>
    <w:rPr>
      <w:rFonts w:ascii="Arial" w:eastAsiaTheme="minorEastAsia" w:hAnsi="Arial" w:cstheme="minorBidi"/>
      <w:szCs w:val="22"/>
      <w:lang w:val="en-AU" w:eastAsia="zh-CN"/>
    </w:rPr>
  </w:style>
  <w:style w:type="character" w:styleId="IntenseEmphasis">
    <w:name w:val="Intense Emphasis"/>
    <w:basedOn w:val="Heading2Char"/>
    <w:uiPriority w:val="21"/>
    <w:qFormat/>
    <w:rsid w:val="00670A07"/>
    <w:rPr>
      <w:rFonts w:ascii="Arial" w:eastAsiaTheme="majorEastAsia" w:hAnsi="Arial" w:cs="Arial"/>
      <w:b w:val="0"/>
      <w:bCs/>
      <w:i w:val="0"/>
      <w:iCs/>
      <w:color w:val="4F81BD" w:themeColor="accent1"/>
      <w:szCs w:val="26"/>
      <w:lang w:val="en-AU" w:eastAsia="zh-CN"/>
    </w:rPr>
  </w:style>
  <w:style w:type="character" w:styleId="IntenseReference">
    <w:name w:val="Intense Reference"/>
    <w:basedOn w:val="DefaultParagraphFont"/>
    <w:uiPriority w:val="32"/>
    <w:qFormat/>
    <w:rsid w:val="00CF2C2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3049">
      <w:bodyDiv w:val="1"/>
      <w:marLeft w:val="0"/>
      <w:marRight w:val="0"/>
      <w:marTop w:val="0"/>
      <w:marBottom w:val="0"/>
      <w:divBdr>
        <w:top w:val="none" w:sz="0" w:space="0" w:color="auto"/>
        <w:left w:val="none" w:sz="0" w:space="0" w:color="auto"/>
        <w:bottom w:val="none" w:sz="0" w:space="0" w:color="auto"/>
        <w:right w:val="none" w:sz="0" w:space="0" w:color="auto"/>
      </w:divBdr>
      <w:divsChild>
        <w:div w:id="278145688">
          <w:marLeft w:val="0"/>
          <w:marRight w:val="0"/>
          <w:marTop w:val="0"/>
          <w:marBottom w:val="0"/>
          <w:divBdr>
            <w:top w:val="none" w:sz="0" w:space="0" w:color="auto"/>
            <w:left w:val="none" w:sz="0" w:space="0" w:color="auto"/>
            <w:bottom w:val="none" w:sz="0" w:space="0" w:color="auto"/>
            <w:right w:val="none" w:sz="0" w:space="0" w:color="auto"/>
          </w:divBdr>
          <w:divsChild>
            <w:div w:id="7342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7640">
      <w:bodyDiv w:val="1"/>
      <w:marLeft w:val="0"/>
      <w:marRight w:val="0"/>
      <w:marTop w:val="0"/>
      <w:marBottom w:val="0"/>
      <w:divBdr>
        <w:top w:val="none" w:sz="0" w:space="0" w:color="auto"/>
        <w:left w:val="none" w:sz="0" w:space="0" w:color="auto"/>
        <w:bottom w:val="none" w:sz="0" w:space="0" w:color="auto"/>
        <w:right w:val="none" w:sz="0" w:space="0" w:color="auto"/>
      </w:divBdr>
    </w:div>
    <w:div w:id="310450420">
      <w:bodyDiv w:val="1"/>
      <w:marLeft w:val="0"/>
      <w:marRight w:val="0"/>
      <w:marTop w:val="0"/>
      <w:marBottom w:val="0"/>
      <w:divBdr>
        <w:top w:val="none" w:sz="0" w:space="0" w:color="auto"/>
        <w:left w:val="none" w:sz="0" w:space="0" w:color="auto"/>
        <w:bottom w:val="none" w:sz="0" w:space="0" w:color="auto"/>
        <w:right w:val="none" w:sz="0" w:space="0" w:color="auto"/>
      </w:divBdr>
      <w:divsChild>
        <w:div w:id="1363895820">
          <w:marLeft w:val="0"/>
          <w:marRight w:val="0"/>
          <w:marTop w:val="0"/>
          <w:marBottom w:val="0"/>
          <w:divBdr>
            <w:top w:val="none" w:sz="0" w:space="0" w:color="auto"/>
            <w:left w:val="none" w:sz="0" w:space="0" w:color="auto"/>
            <w:bottom w:val="none" w:sz="0" w:space="0" w:color="auto"/>
            <w:right w:val="none" w:sz="0" w:space="0" w:color="auto"/>
          </w:divBdr>
          <w:divsChild>
            <w:div w:id="2635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5131">
      <w:bodyDiv w:val="1"/>
      <w:marLeft w:val="0"/>
      <w:marRight w:val="0"/>
      <w:marTop w:val="0"/>
      <w:marBottom w:val="0"/>
      <w:divBdr>
        <w:top w:val="none" w:sz="0" w:space="0" w:color="auto"/>
        <w:left w:val="none" w:sz="0" w:space="0" w:color="auto"/>
        <w:bottom w:val="none" w:sz="0" w:space="0" w:color="auto"/>
        <w:right w:val="none" w:sz="0" w:space="0" w:color="auto"/>
      </w:divBdr>
    </w:div>
    <w:div w:id="720791631">
      <w:bodyDiv w:val="1"/>
      <w:marLeft w:val="0"/>
      <w:marRight w:val="0"/>
      <w:marTop w:val="0"/>
      <w:marBottom w:val="0"/>
      <w:divBdr>
        <w:top w:val="none" w:sz="0" w:space="0" w:color="auto"/>
        <w:left w:val="none" w:sz="0" w:space="0" w:color="auto"/>
        <w:bottom w:val="none" w:sz="0" w:space="0" w:color="auto"/>
        <w:right w:val="none" w:sz="0" w:space="0" w:color="auto"/>
      </w:divBdr>
      <w:divsChild>
        <w:div w:id="98113669">
          <w:marLeft w:val="0"/>
          <w:marRight w:val="0"/>
          <w:marTop w:val="0"/>
          <w:marBottom w:val="0"/>
          <w:divBdr>
            <w:top w:val="none" w:sz="0" w:space="0" w:color="auto"/>
            <w:left w:val="none" w:sz="0" w:space="0" w:color="auto"/>
            <w:bottom w:val="none" w:sz="0" w:space="0" w:color="auto"/>
            <w:right w:val="none" w:sz="0" w:space="0" w:color="auto"/>
          </w:divBdr>
          <w:divsChild>
            <w:div w:id="1284262767">
              <w:marLeft w:val="0"/>
              <w:marRight w:val="0"/>
              <w:marTop w:val="0"/>
              <w:marBottom w:val="0"/>
              <w:divBdr>
                <w:top w:val="none" w:sz="0" w:space="0" w:color="auto"/>
                <w:left w:val="none" w:sz="0" w:space="0" w:color="auto"/>
                <w:bottom w:val="none" w:sz="0" w:space="0" w:color="auto"/>
                <w:right w:val="none" w:sz="0" w:space="0" w:color="auto"/>
              </w:divBdr>
              <w:divsChild>
                <w:div w:id="689837109">
                  <w:marLeft w:val="0"/>
                  <w:marRight w:val="0"/>
                  <w:marTop w:val="0"/>
                  <w:marBottom w:val="0"/>
                  <w:divBdr>
                    <w:top w:val="none" w:sz="0" w:space="0" w:color="auto"/>
                    <w:left w:val="none" w:sz="0" w:space="0" w:color="auto"/>
                    <w:bottom w:val="none" w:sz="0" w:space="0" w:color="auto"/>
                    <w:right w:val="none" w:sz="0" w:space="0" w:color="auto"/>
                  </w:divBdr>
                  <w:divsChild>
                    <w:div w:id="1323198282">
                      <w:marLeft w:val="0"/>
                      <w:marRight w:val="0"/>
                      <w:marTop w:val="45"/>
                      <w:marBottom w:val="0"/>
                      <w:divBdr>
                        <w:top w:val="none" w:sz="0" w:space="0" w:color="auto"/>
                        <w:left w:val="none" w:sz="0" w:space="0" w:color="auto"/>
                        <w:bottom w:val="none" w:sz="0" w:space="0" w:color="auto"/>
                        <w:right w:val="none" w:sz="0" w:space="0" w:color="auto"/>
                      </w:divBdr>
                      <w:divsChild>
                        <w:div w:id="1270119952">
                          <w:marLeft w:val="0"/>
                          <w:marRight w:val="0"/>
                          <w:marTop w:val="0"/>
                          <w:marBottom w:val="0"/>
                          <w:divBdr>
                            <w:top w:val="none" w:sz="0" w:space="0" w:color="auto"/>
                            <w:left w:val="none" w:sz="0" w:space="0" w:color="auto"/>
                            <w:bottom w:val="none" w:sz="0" w:space="0" w:color="auto"/>
                            <w:right w:val="none" w:sz="0" w:space="0" w:color="auto"/>
                          </w:divBdr>
                          <w:divsChild>
                            <w:div w:id="1642614565">
                              <w:marLeft w:val="2070"/>
                              <w:marRight w:val="3960"/>
                              <w:marTop w:val="0"/>
                              <w:marBottom w:val="0"/>
                              <w:divBdr>
                                <w:top w:val="none" w:sz="0" w:space="0" w:color="auto"/>
                                <w:left w:val="none" w:sz="0" w:space="0" w:color="auto"/>
                                <w:bottom w:val="none" w:sz="0" w:space="0" w:color="auto"/>
                                <w:right w:val="none" w:sz="0" w:space="0" w:color="auto"/>
                              </w:divBdr>
                              <w:divsChild>
                                <w:div w:id="1962877897">
                                  <w:marLeft w:val="0"/>
                                  <w:marRight w:val="0"/>
                                  <w:marTop w:val="0"/>
                                  <w:marBottom w:val="0"/>
                                  <w:divBdr>
                                    <w:top w:val="none" w:sz="0" w:space="0" w:color="auto"/>
                                    <w:left w:val="none" w:sz="0" w:space="0" w:color="auto"/>
                                    <w:bottom w:val="none" w:sz="0" w:space="0" w:color="auto"/>
                                    <w:right w:val="none" w:sz="0" w:space="0" w:color="auto"/>
                                  </w:divBdr>
                                  <w:divsChild>
                                    <w:div w:id="671877083">
                                      <w:marLeft w:val="0"/>
                                      <w:marRight w:val="0"/>
                                      <w:marTop w:val="0"/>
                                      <w:marBottom w:val="0"/>
                                      <w:divBdr>
                                        <w:top w:val="none" w:sz="0" w:space="0" w:color="auto"/>
                                        <w:left w:val="none" w:sz="0" w:space="0" w:color="auto"/>
                                        <w:bottom w:val="none" w:sz="0" w:space="0" w:color="auto"/>
                                        <w:right w:val="none" w:sz="0" w:space="0" w:color="auto"/>
                                      </w:divBdr>
                                      <w:divsChild>
                                        <w:div w:id="1709640762">
                                          <w:marLeft w:val="0"/>
                                          <w:marRight w:val="0"/>
                                          <w:marTop w:val="0"/>
                                          <w:marBottom w:val="0"/>
                                          <w:divBdr>
                                            <w:top w:val="none" w:sz="0" w:space="0" w:color="auto"/>
                                            <w:left w:val="none" w:sz="0" w:space="0" w:color="auto"/>
                                            <w:bottom w:val="none" w:sz="0" w:space="0" w:color="auto"/>
                                            <w:right w:val="none" w:sz="0" w:space="0" w:color="auto"/>
                                          </w:divBdr>
                                          <w:divsChild>
                                            <w:div w:id="832377386">
                                              <w:marLeft w:val="0"/>
                                              <w:marRight w:val="0"/>
                                              <w:marTop w:val="90"/>
                                              <w:marBottom w:val="0"/>
                                              <w:divBdr>
                                                <w:top w:val="none" w:sz="0" w:space="0" w:color="auto"/>
                                                <w:left w:val="none" w:sz="0" w:space="0" w:color="auto"/>
                                                <w:bottom w:val="none" w:sz="0" w:space="0" w:color="auto"/>
                                                <w:right w:val="none" w:sz="0" w:space="0" w:color="auto"/>
                                              </w:divBdr>
                                              <w:divsChild>
                                                <w:div w:id="1390492727">
                                                  <w:marLeft w:val="0"/>
                                                  <w:marRight w:val="0"/>
                                                  <w:marTop w:val="0"/>
                                                  <w:marBottom w:val="0"/>
                                                  <w:divBdr>
                                                    <w:top w:val="none" w:sz="0" w:space="0" w:color="auto"/>
                                                    <w:left w:val="none" w:sz="0" w:space="0" w:color="auto"/>
                                                    <w:bottom w:val="none" w:sz="0" w:space="0" w:color="auto"/>
                                                    <w:right w:val="none" w:sz="0" w:space="0" w:color="auto"/>
                                                  </w:divBdr>
                                                  <w:divsChild>
                                                    <w:div w:id="1130635512">
                                                      <w:marLeft w:val="0"/>
                                                      <w:marRight w:val="0"/>
                                                      <w:marTop w:val="0"/>
                                                      <w:marBottom w:val="0"/>
                                                      <w:divBdr>
                                                        <w:top w:val="none" w:sz="0" w:space="0" w:color="auto"/>
                                                        <w:left w:val="none" w:sz="0" w:space="0" w:color="auto"/>
                                                        <w:bottom w:val="none" w:sz="0" w:space="0" w:color="auto"/>
                                                        <w:right w:val="none" w:sz="0" w:space="0" w:color="auto"/>
                                                      </w:divBdr>
                                                      <w:divsChild>
                                                        <w:div w:id="2026011181">
                                                          <w:marLeft w:val="0"/>
                                                          <w:marRight w:val="0"/>
                                                          <w:marTop w:val="0"/>
                                                          <w:marBottom w:val="390"/>
                                                          <w:divBdr>
                                                            <w:top w:val="none" w:sz="0" w:space="0" w:color="auto"/>
                                                            <w:left w:val="none" w:sz="0" w:space="0" w:color="auto"/>
                                                            <w:bottom w:val="none" w:sz="0" w:space="0" w:color="auto"/>
                                                            <w:right w:val="none" w:sz="0" w:space="0" w:color="auto"/>
                                                          </w:divBdr>
                                                          <w:divsChild>
                                                            <w:div w:id="766661487">
                                                              <w:marLeft w:val="0"/>
                                                              <w:marRight w:val="0"/>
                                                              <w:marTop w:val="0"/>
                                                              <w:marBottom w:val="0"/>
                                                              <w:divBdr>
                                                                <w:top w:val="none" w:sz="0" w:space="0" w:color="auto"/>
                                                                <w:left w:val="none" w:sz="0" w:space="0" w:color="auto"/>
                                                                <w:bottom w:val="none" w:sz="0" w:space="0" w:color="auto"/>
                                                                <w:right w:val="none" w:sz="0" w:space="0" w:color="auto"/>
                                                              </w:divBdr>
                                                              <w:divsChild>
                                                                <w:div w:id="718628275">
                                                                  <w:marLeft w:val="0"/>
                                                                  <w:marRight w:val="0"/>
                                                                  <w:marTop w:val="0"/>
                                                                  <w:marBottom w:val="0"/>
                                                                  <w:divBdr>
                                                                    <w:top w:val="none" w:sz="0" w:space="0" w:color="auto"/>
                                                                    <w:left w:val="none" w:sz="0" w:space="0" w:color="auto"/>
                                                                    <w:bottom w:val="none" w:sz="0" w:space="0" w:color="auto"/>
                                                                    <w:right w:val="none" w:sz="0" w:space="0" w:color="auto"/>
                                                                  </w:divBdr>
                                                                  <w:divsChild>
                                                                    <w:div w:id="468670184">
                                                                      <w:marLeft w:val="0"/>
                                                                      <w:marRight w:val="0"/>
                                                                      <w:marTop w:val="0"/>
                                                                      <w:marBottom w:val="0"/>
                                                                      <w:divBdr>
                                                                        <w:top w:val="none" w:sz="0" w:space="0" w:color="auto"/>
                                                                        <w:left w:val="none" w:sz="0" w:space="0" w:color="auto"/>
                                                                        <w:bottom w:val="none" w:sz="0" w:space="0" w:color="auto"/>
                                                                        <w:right w:val="none" w:sz="0" w:space="0" w:color="auto"/>
                                                                      </w:divBdr>
                                                                      <w:divsChild>
                                                                        <w:div w:id="941574026">
                                                                          <w:marLeft w:val="0"/>
                                                                          <w:marRight w:val="0"/>
                                                                          <w:marTop w:val="0"/>
                                                                          <w:marBottom w:val="0"/>
                                                                          <w:divBdr>
                                                                            <w:top w:val="none" w:sz="0" w:space="0" w:color="auto"/>
                                                                            <w:left w:val="none" w:sz="0" w:space="0" w:color="auto"/>
                                                                            <w:bottom w:val="none" w:sz="0" w:space="0" w:color="auto"/>
                                                                            <w:right w:val="none" w:sz="0" w:space="0" w:color="auto"/>
                                                                          </w:divBdr>
                                                                          <w:divsChild>
                                                                            <w:div w:id="874730927">
                                                                              <w:marLeft w:val="0"/>
                                                                              <w:marRight w:val="0"/>
                                                                              <w:marTop w:val="0"/>
                                                                              <w:marBottom w:val="0"/>
                                                                              <w:divBdr>
                                                                                <w:top w:val="none" w:sz="0" w:space="0" w:color="auto"/>
                                                                                <w:left w:val="none" w:sz="0" w:space="0" w:color="auto"/>
                                                                                <w:bottom w:val="none" w:sz="0" w:space="0" w:color="auto"/>
                                                                                <w:right w:val="none" w:sz="0" w:space="0" w:color="auto"/>
                                                                              </w:divBdr>
                                                                              <w:divsChild>
                                                                                <w:div w:id="730890103">
                                                                                  <w:marLeft w:val="0"/>
                                                                                  <w:marRight w:val="0"/>
                                                                                  <w:marTop w:val="0"/>
                                                                                  <w:marBottom w:val="0"/>
                                                                                  <w:divBdr>
                                                                                    <w:top w:val="none" w:sz="0" w:space="0" w:color="auto"/>
                                                                                    <w:left w:val="none" w:sz="0" w:space="0" w:color="auto"/>
                                                                                    <w:bottom w:val="none" w:sz="0" w:space="0" w:color="auto"/>
                                                                                    <w:right w:val="none" w:sz="0" w:space="0" w:color="auto"/>
                                                                                  </w:divBdr>
                                                                                  <w:divsChild>
                                                                                    <w:div w:id="677537890">
                                                                                      <w:marLeft w:val="0"/>
                                                                                      <w:marRight w:val="0"/>
                                                                                      <w:marTop w:val="0"/>
                                                                                      <w:marBottom w:val="0"/>
                                                                                      <w:divBdr>
                                                                                        <w:top w:val="none" w:sz="0" w:space="0" w:color="auto"/>
                                                                                        <w:left w:val="none" w:sz="0" w:space="0" w:color="auto"/>
                                                                                        <w:bottom w:val="none" w:sz="0" w:space="0" w:color="auto"/>
                                                                                        <w:right w:val="none" w:sz="0" w:space="0" w:color="auto"/>
                                                                                      </w:divBdr>
                                                                                      <w:divsChild>
                                                                                        <w:div w:id="1654286721">
                                                                                          <w:marLeft w:val="0"/>
                                                                                          <w:marRight w:val="0"/>
                                                                                          <w:marTop w:val="0"/>
                                                                                          <w:marBottom w:val="0"/>
                                                                                          <w:divBdr>
                                                                                            <w:top w:val="none" w:sz="0" w:space="0" w:color="auto"/>
                                                                                            <w:left w:val="none" w:sz="0" w:space="0" w:color="auto"/>
                                                                                            <w:bottom w:val="none" w:sz="0" w:space="0" w:color="auto"/>
                                                                                            <w:right w:val="none" w:sz="0" w:space="0" w:color="auto"/>
                                                                                          </w:divBdr>
                                                                                          <w:divsChild>
                                                                                            <w:div w:id="23598651">
                                                                                              <w:marLeft w:val="0"/>
                                                                                              <w:marRight w:val="0"/>
                                                                                              <w:marTop w:val="0"/>
                                                                                              <w:marBottom w:val="0"/>
                                                                                              <w:divBdr>
                                                                                                <w:top w:val="none" w:sz="0" w:space="0" w:color="auto"/>
                                                                                                <w:left w:val="none" w:sz="0" w:space="0" w:color="auto"/>
                                                                                                <w:bottom w:val="none" w:sz="0" w:space="0" w:color="auto"/>
                                                                                                <w:right w:val="none" w:sz="0" w:space="0" w:color="auto"/>
                                                                                              </w:divBdr>
                                                                                              <w:divsChild>
                                                                                                <w:div w:id="503664549">
                                                                                                  <w:marLeft w:val="0"/>
                                                                                                  <w:marRight w:val="0"/>
                                                                                                  <w:marTop w:val="0"/>
                                                                                                  <w:marBottom w:val="0"/>
                                                                                                  <w:divBdr>
                                                                                                    <w:top w:val="none" w:sz="0" w:space="0" w:color="auto"/>
                                                                                                    <w:left w:val="none" w:sz="0" w:space="0" w:color="auto"/>
                                                                                                    <w:bottom w:val="none" w:sz="0" w:space="0" w:color="auto"/>
                                                                                                    <w:right w:val="none" w:sz="0" w:space="0" w:color="auto"/>
                                                                                                  </w:divBdr>
                                                                                                  <w:divsChild>
                                                                                                    <w:div w:id="381910215">
                                                                                                      <w:marLeft w:val="0"/>
                                                                                                      <w:marRight w:val="0"/>
                                                                                                      <w:marTop w:val="0"/>
                                                                                                      <w:marBottom w:val="0"/>
                                                                                                      <w:divBdr>
                                                                                                        <w:top w:val="none" w:sz="0" w:space="0" w:color="auto"/>
                                                                                                        <w:left w:val="none" w:sz="0" w:space="0" w:color="auto"/>
                                                                                                        <w:bottom w:val="none" w:sz="0" w:space="0" w:color="auto"/>
                                                                                                        <w:right w:val="none" w:sz="0" w:space="0" w:color="auto"/>
                                                                                                      </w:divBdr>
                                                                                                      <w:divsChild>
                                                                                                        <w:div w:id="742797012">
                                                                                                          <w:marLeft w:val="0"/>
                                                                                                          <w:marRight w:val="0"/>
                                                                                                          <w:marTop w:val="0"/>
                                                                                                          <w:marBottom w:val="0"/>
                                                                                                          <w:divBdr>
                                                                                                            <w:top w:val="none" w:sz="0" w:space="0" w:color="auto"/>
                                                                                                            <w:left w:val="none" w:sz="0" w:space="0" w:color="auto"/>
                                                                                                            <w:bottom w:val="none" w:sz="0" w:space="0" w:color="auto"/>
                                                                                                            <w:right w:val="none" w:sz="0" w:space="0" w:color="auto"/>
                                                                                                          </w:divBdr>
                                                                                                          <w:divsChild>
                                                                                                            <w:div w:id="515582339">
                                                                                                              <w:marLeft w:val="300"/>
                                                                                                              <w:marRight w:val="0"/>
                                                                                                              <w:marTop w:val="0"/>
                                                                                                              <w:marBottom w:val="0"/>
                                                                                                              <w:divBdr>
                                                                                                                <w:top w:val="none" w:sz="0" w:space="0" w:color="auto"/>
                                                                                                                <w:left w:val="none" w:sz="0" w:space="0" w:color="auto"/>
                                                                                                                <w:bottom w:val="none" w:sz="0" w:space="0" w:color="auto"/>
                                                                                                                <w:right w:val="none" w:sz="0" w:space="0" w:color="auto"/>
                                                                                                              </w:divBdr>
                                                                                                              <w:divsChild>
                                                                                                                <w:div w:id="1904485649">
                                                                                                                  <w:marLeft w:val="-300"/>
                                                                                                                  <w:marRight w:val="0"/>
                                                                                                                  <w:marTop w:val="0"/>
                                                                                                                  <w:marBottom w:val="0"/>
                                                                                                                  <w:divBdr>
                                                                                                                    <w:top w:val="none" w:sz="0" w:space="0" w:color="auto"/>
                                                                                                                    <w:left w:val="none" w:sz="0" w:space="0" w:color="auto"/>
                                                                                                                    <w:bottom w:val="none" w:sz="0" w:space="0" w:color="auto"/>
                                                                                                                    <w:right w:val="none" w:sz="0" w:space="0" w:color="auto"/>
                                                                                                                  </w:divBdr>
                                                                                                                  <w:divsChild>
                                                                                                                    <w:div w:id="13307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220401">
      <w:bodyDiv w:val="1"/>
      <w:marLeft w:val="0"/>
      <w:marRight w:val="0"/>
      <w:marTop w:val="0"/>
      <w:marBottom w:val="0"/>
      <w:divBdr>
        <w:top w:val="none" w:sz="0" w:space="0" w:color="auto"/>
        <w:left w:val="none" w:sz="0" w:space="0" w:color="auto"/>
        <w:bottom w:val="none" w:sz="0" w:space="0" w:color="auto"/>
        <w:right w:val="none" w:sz="0" w:space="0" w:color="auto"/>
      </w:divBdr>
      <w:divsChild>
        <w:div w:id="1309238517">
          <w:marLeft w:val="0"/>
          <w:marRight w:val="0"/>
          <w:marTop w:val="0"/>
          <w:marBottom w:val="0"/>
          <w:divBdr>
            <w:top w:val="none" w:sz="0" w:space="0" w:color="auto"/>
            <w:left w:val="none" w:sz="0" w:space="0" w:color="auto"/>
            <w:bottom w:val="none" w:sz="0" w:space="0" w:color="auto"/>
            <w:right w:val="none" w:sz="0" w:space="0" w:color="auto"/>
          </w:divBdr>
          <w:divsChild>
            <w:div w:id="1436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4626">
      <w:bodyDiv w:val="1"/>
      <w:marLeft w:val="0"/>
      <w:marRight w:val="0"/>
      <w:marTop w:val="0"/>
      <w:marBottom w:val="0"/>
      <w:divBdr>
        <w:top w:val="none" w:sz="0" w:space="0" w:color="auto"/>
        <w:left w:val="none" w:sz="0" w:space="0" w:color="auto"/>
        <w:bottom w:val="none" w:sz="0" w:space="0" w:color="auto"/>
        <w:right w:val="none" w:sz="0" w:space="0" w:color="auto"/>
      </w:divBdr>
      <w:divsChild>
        <w:div w:id="42486701">
          <w:marLeft w:val="0"/>
          <w:marRight w:val="0"/>
          <w:marTop w:val="0"/>
          <w:marBottom w:val="0"/>
          <w:divBdr>
            <w:top w:val="none" w:sz="0" w:space="0" w:color="auto"/>
            <w:left w:val="none" w:sz="0" w:space="0" w:color="auto"/>
            <w:bottom w:val="none" w:sz="0" w:space="0" w:color="auto"/>
            <w:right w:val="none" w:sz="0" w:space="0" w:color="auto"/>
          </w:divBdr>
          <w:divsChild>
            <w:div w:id="2095781513">
              <w:marLeft w:val="0"/>
              <w:marRight w:val="0"/>
              <w:marTop w:val="0"/>
              <w:marBottom w:val="0"/>
              <w:divBdr>
                <w:top w:val="none" w:sz="0" w:space="0" w:color="auto"/>
                <w:left w:val="none" w:sz="0" w:space="0" w:color="auto"/>
                <w:bottom w:val="none" w:sz="0" w:space="0" w:color="auto"/>
                <w:right w:val="none" w:sz="0" w:space="0" w:color="auto"/>
              </w:divBdr>
              <w:divsChild>
                <w:div w:id="1993177390">
                  <w:marLeft w:val="-225"/>
                  <w:marRight w:val="-225"/>
                  <w:marTop w:val="0"/>
                  <w:marBottom w:val="0"/>
                  <w:divBdr>
                    <w:top w:val="none" w:sz="0" w:space="0" w:color="auto"/>
                    <w:left w:val="none" w:sz="0" w:space="0" w:color="auto"/>
                    <w:bottom w:val="none" w:sz="0" w:space="0" w:color="auto"/>
                    <w:right w:val="none" w:sz="0" w:space="0" w:color="auto"/>
                  </w:divBdr>
                  <w:divsChild>
                    <w:div w:id="1783452414">
                      <w:marLeft w:val="0"/>
                      <w:marRight w:val="0"/>
                      <w:marTop w:val="0"/>
                      <w:marBottom w:val="0"/>
                      <w:divBdr>
                        <w:top w:val="none" w:sz="0" w:space="0" w:color="auto"/>
                        <w:left w:val="none" w:sz="0" w:space="0" w:color="auto"/>
                        <w:bottom w:val="none" w:sz="0" w:space="0" w:color="auto"/>
                        <w:right w:val="none" w:sz="0" w:space="0" w:color="auto"/>
                      </w:divBdr>
                      <w:divsChild>
                        <w:div w:id="2015186252">
                          <w:marLeft w:val="0"/>
                          <w:marRight w:val="0"/>
                          <w:marTop w:val="0"/>
                          <w:marBottom w:val="0"/>
                          <w:divBdr>
                            <w:top w:val="none" w:sz="0" w:space="0" w:color="auto"/>
                            <w:left w:val="none" w:sz="0" w:space="0" w:color="auto"/>
                            <w:bottom w:val="none" w:sz="0" w:space="0" w:color="auto"/>
                            <w:right w:val="none" w:sz="0" w:space="0" w:color="auto"/>
                          </w:divBdr>
                          <w:divsChild>
                            <w:div w:id="1685589069">
                              <w:marLeft w:val="0"/>
                              <w:marRight w:val="0"/>
                              <w:marTop w:val="0"/>
                              <w:marBottom w:val="0"/>
                              <w:divBdr>
                                <w:top w:val="none" w:sz="0" w:space="0" w:color="auto"/>
                                <w:left w:val="none" w:sz="0" w:space="0" w:color="auto"/>
                                <w:bottom w:val="none" w:sz="0" w:space="0" w:color="auto"/>
                                <w:right w:val="none" w:sz="0" w:space="0" w:color="auto"/>
                              </w:divBdr>
                              <w:divsChild>
                                <w:div w:id="1409034365">
                                  <w:marLeft w:val="0"/>
                                  <w:marRight w:val="0"/>
                                  <w:marTop w:val="0"/>
                                  <w:marBottom w:val="0"/>
                                  <w:divBdr>
                                    <w:top w:val="none" w:sz="0" w:space="0" w:color="auto"/>
                                    <w:left w:val="none" w:sz="0" w:space="0" w:color="auto"/>
                                    <w:bottom w:val="none" w:sz="0" w:space="0" w:color="auto"/>
                                    <w:right w:val="none" w:sz="0" w:space="0" w:color="auto"/>
                                  </w:divBdr>
                                  <w:divsChild>
                                    <w:div w:id="1953630874">
                                      <w:marLeft w:val="0"/>
                                      <w:marRight w:val="0"/>
                                      <w:marTop w:val="0"/>
                                      <w:marBottom w:val="0"/>
                                      <w:divBdr>
                                        <w:top w:val="none" w:sz="0" w:space="0" w:color="auto"/>
                                        <w:left w:val="none" w:sz="0" w:space="0" w:color="auto"/>
                                        <w:bottom w:val="none" w:sz="0" w:space="0" w:color="auto"/>
                                        <w:right w:val="none" w:sz="0" w:space="0" w:color="auto"/>
                                      </w:divBdr>
                                      <w:divsChild>
                                        <w:div w:id="1066756950">
                                          <w:marLeft w:val="0"/>
                                          <w:marRight w:val="0"/>
                                          <w:marTop w:val="0"/>
                                          <w:marBottom w:val="0"/>
                                          <w:divBdr>
                                            <w:top w:val="none" w:sz="0" w:space="0" w:color="auto"/>
                                            <w:left w:val="none" w:sz="0" w:space="0" w:color="auto"/>
                                            <w:bottom w:val="none" w:sz="0" w:space="0" w:color="auto"/>
                                            <w:right w:val="none" w:sz="0" w:space="0" w:color="auto"/>
                                          </w:divBdr>
                                          <w:divsChild>
                                            <w:div w:id="7013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955246">
      <w:bodyDiv w:val="1"/>
      <w:marLeft w:val="0"/>
      <w:marRight w:val="0"/>
      <w:marTop w:val="0"/>
      <w:marBottom w:val="0"/>
      <w:divBdr>
        <w:top w:val="none" w:sz="0" w:space="0" w:color="auto"/>
        <w:left w:val="none" w:sz="0" w:space="0" w:color="auto"/>
        <w:bottom w:val="none" w:sz="0" w:space="0" w:color="auto"/>
        <w:right w:val="none" w:sz="0" w:space="0" w:color="auto"/>
      </w:divBdr>
    </w:div>
    <w:div w:id="1530492248">
      <w:bodyDiv w:val="1"/>
      <w:marLeft w:val="0"/>
      <w:marRight w:val="0"/>
      <w:marTop w:val="0"/>
      <w:marBottom w:val="0"/>
      <w:divBdr>
        <w:top w:val="none" w:sz="0" w:space="0" w:color="auto"/>
        <w:left w:val="none" w:sz="0" w:space="0" w:color="auto"/>
        <w:bottom w:val="none" w:sz="0" w:space="0" w:color="auto"/>
        <w:right w:val="none" w:sz="0" w:space="0" w:color="auto"/>
      </w:divBdr>
    </w:div>
    <w:div w:id="1838881549">
      <w:bodyDiv w:val="1"/>
      <w:marLeft w:val="0"/>
      <w:marRight w:val="0"/>
      <w:marTop w:val="0"/>
      <w:marBottom w:val="0"/>
      <w:divBdr>
        <w:top w:val="none" w:sz="0" w:space="0" w:color="auto"/>
        <w:left w:val="none" w:sz="0" w:space="0" w:color="auto"/>
        <w:bottom w:val="none" w:sz="0" w:space="0" w:color="auto"/>
        <w:right w:val="none" w:sz="0" w:space="0" w:color="auto"/>
      </w:divBdr>
    </w:div>
    <w:div w:id="1904293468">
      <w:bodyDiv w:val="1"/>
      <w:marLeft w:val="0"/>
      <w:marRight w:val="0"/>
      <w:marTop w:val="0"/>
      <w:marBottom w:val="0"/>
      <w:divBdr>
        <w:top w:val="none" w:sz="0" w:space="0" w:color="auto"/>
        <w:left w:val="none" w:sz="0" w:space="0" w:color="auto"/>
        <w:bottom w:val="none" w:sz="0" w:space="0" w:color="auto"/>
        <w:right w:val="none" w:sz="0" w:space="0" w:color="auto"/>
      </w:divBdr>
      <w:divsChild>
        <w:div w:id="1081682643">
          <w:marLeft w:val="0"/>
          <w:marRight w:val="0"/>
          <w:marTop w:val="0"/>
          <w:marBottom w:val="0"/>
          <w:divBdr>
            <w:top w:val="none" w:sz="0" w:space="0" w:color="auto"/>
            <w:left w:val="none" w:sz="0" w:space="0" w:color="auto"/>
            <w:bottom w:val="none" w:sz="0" w:space="0" w:color="auto"/>
            <w:right w:val="none" w:sz="0" w:space="0" w:color="auto"/>
          </w:divBdr>
          <w:divsChild>
            <w:div w:id="851066119">
              <w:marLeft w:val="0"/>
              <w:marRight w:val="0"/>
              <w:marTop w:val="0"/>
              <w:marBottom w:val="0"/>
              <w:divBdr>
                <w:top w:val="none" w:sz="0" w:space="0" w:color="auto"/>
                <w:left w:val="none" w:sz="0" w:space="0" w:color="auto"/>
                <w:bottom w:val="none" w:sz="0" w:space="0" w:color="auto"/>
                <w:right w:val="none" w:sz="0" w:space="0" w:color="auto"/>
              </w:divBdr>
              <w:divsChild>
                <w:div w:id="1206992168">
                  <w:marLeft w:val="0"/>
                  <w:marRight w:val="0"/>
                  <w:marTop w:val="0"/>
                  <w:marBottom w:val="0"/>
                  <w:divBdr>
                    <w:top w:val="none" w:sz="0" w:space="0" w:color="auto"/>
                    <w:left w:val="none" w:sz="0" w:space="0" w:color="auto"/>
                    <w:bottom w:val="none" w:sz="0" w:space="0" w:color="auto"/>
                    <w:right w:val="none" w:sz="0" w:space="0" w:color="auto"/>
                  </w:divBdr>
                  <w:divsChild>
                    <w:div w:id="611405474">
                      <w:marLeft w:val="0"/>
                      <w:marRight w:val="0"/>
                      <w:marTop w:val="0"/>
                      <w:marBottom w:val="0"/>
                      <w:divBdr>
                        <w:top w:val="none" w:sz="0" w:space="0" w:color="auto"/>
                        <w:left w:val="none" w:sz="0" w:space="0" w:color="auto"/>
                        <w:bottom w:val="none" w:sz="0" w:space="0" w:color="auto"/>
                        <w:right w:val="none" w:sz="0" w:space="0" w:color="auto"/>
                      </w:divBdr>
                      <w:divsChild>
                        <w:div w:id="2014798035">
                          <w:marLeft w:val="0"/>
                          <w:marRight w:val="0"/>
                          <w:marTop w:val="0"/>
                          <w:marBottom w:val="0"/>
                          <w:divBdr>
                            <w:top w:val="none" w:sz="0" w:space="0" w:color="auto"/>
                            <w:left w:val="none" w:sz="0" w:space="0" w:color="auto"/>
                            <w:bottom w:val="none" w:sz="0" w:space="0" w:color="auto"/>
                            <w:right w:val="none" w:sz="0" w:space="0" w:color="auto"/>
                          </w:divBdr>
                          <w:divsChild>
                            <w:div w:id="932474854">
                              <w:marLeft w:val="0"/>
                              <w:marRight w:val="0"/>
                              <w:marTop w:val="0"/>
                              <w:marBottom w:val="0"/>
                              <w:divBdr>
                                <w:top w:val="none" w:sz="0" w:space="0" w:color="auto"/>
                                <w:left w:val="none" w:sz="0" w:space="0" w:color="auto"/>
                                <w:bottom w:val="none" w:sz="0" w:space="0" w:color="auto"/>
                                <w:right w:val="none" w:sz="0" w:space="0" w:color="auto"/>
                              </w:divBdr>
                              <w:divsChild>
                                <w:div w:id="1753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653086">
      <w:bodyDiv w:val="1"/>
      <w:marLeft w:val="0"/>
      <w:marRight w:val="0"/>
      <w:marTop w:val="0"/>
      <w:marBottom w:val="0"/>
      <w:divBdr>
        <w:top w:val="none" w:sz="0" w:space="0" w:color="auto"/>
        <w:left w:val="none" w:sz="0" w:space="0" w:color="auto"/>
        <w:bottom w:val="none" w:sz="0" w:space="0" w:color="auto"/>
        <w:right w:val="none" w:sz="0" w:space="0" w:color="auto"/>
      </w:divBdr>
    </w:div>
    <w:div w:id="20028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Reviews@jobs.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Reviews@jobs.gov.au" TargetMode="External"/><Relationship Id="rId28"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jobs.gov.au/review-whs-laws-construction-industry"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hyperlink" Target="http://www.seyfarth.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seyfarth.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feworkaustralia.gov.au/statistics-and-research/statistics/fatalities/fatality-statistics-industry" TargetMode="External"/><Relationship Id="rId1" Type="http://schemas.openxmlformats.org/officeDocument/2006/relationships/hyperlink" Target="https://www.safeworkaustralia.gov.au/statistics-and-research/statistics/fatalities/fatality-statistics-indus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8A35C-1808-459A-A8BC-D68436098A90}"/>
</file>

<file path=customXml/itemProps2.xml><?xml version="1.0" encoding="utf-8"?>
<ds:datastoreItem xmlns:ds="http://schemas.openxmlformats.org/officeDocument/2006/customXml" ds:itemID="{2B43A352-8263-4263-80E0-881A0BF788BB}"/>
</file>

<file path=customXml/itemProps3.xml><?xml version="1.0" encoding="utf-8"?>
<ds:datastoreItem xmlns:ds="http://schemas.openxmlformats.org/officeDocument/2006/customXml" ds:itemID="{68B4EDC1-BA45-431C-AA6B-F01062805B86}"/>
</file>

<file path=docProps/app.xml><?xml version="1.0" encoding="utf-8"?>
<Properties xmlns="http://schemas.openxmlformats.org/officeDocument/2006/extended-properties" xmlns:vt="http://schemas.openxmlformats.org/officeDocument/2006/docPropsVTypes">
  <Template>C7B6B3C6.dotm</Template>
  <TotalTime>0</TotalTime>
  <Pages>19</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for the Review of Work Health and Safety Regulatory Framework in the Building and Construction Industry</dc:title>
  <dc:subject/>
  <dc:creator/>
  <cp:keywords/>
  <dc:description/>
  <cp:lastModifiedBy/>
  <cp:revision>1</cp:revision>
  <dcterms:created xsi:type="dcterms:W3CDTF">2018-03-29T02:51:00Z</dcterms:created>
  <dcterms:modified xsi:type="dcterms:W3CDTF">2018-03-29T02:55:00Z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7200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