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CAE8" w14:textId="192621CE" w:rsidR="00386E51" w:rsidRPr="00D32F1A" w:rsidRDefault="00212120" w:rsidP="00D32F1A">
      <w:pPr>
        <w:pStyle w:val="Heading1"/>
      </w:pPr>
      <w:r w:rsidRPr="00D32F1A">
        <w:t>Practice Illustration: Pre-Enrolment – Application Forms</w:t>
      </w:r>
    </w:p>
    <w:p w14:paraId="6062C5DE" w14:textId="16E94BED" w:rsidR="72A45214" w:rsidRPr="002266C1" w:rsidRDefault="72A45214" w:rsidP="00E211EF">
      <w:pPr>
        <w:pStyle w:val="Heading2"/>
      </w:pPr>
      <w:r w:rsidRPr="00AF3C52">
        <w:rPr>
          <w:lang w:val="en-US"/>
        </w:rPr>
        <w:t xml:space="preserve">Practice </w:t>
      </w:r>
      <w:r w:rsidR="00CC6BC7">
        <w:rPr>
          <w:lang w:val="en-US"/>
        </w:rPr>
        <w:t>s</w:t>
      </w:r>
      <w:r w:rsidRPr="00AF3C52">
        <w:rPr>
          <w:lang w:val="en-US"/>
        </w:rPr>
        <w:t>cenario</w:t>
      </w:r>
    </w:p>
    <w:p w14:paraId="5B1B5865" w14:textId="77777777" w:rsidR="00090F67" w:rsidRDefault="00830F5B" w:rsidP="008B30B3">
      <w:r w:rsidRPr="008B30B3">
        <w:t xml:space="preserve">A student who is </w:t>
      </w:r>
      <w:r w:rsidR="00CC6BC7" w:rsidRPr="008B30B3">
        <w:t>b</w:t>
      </w:r>
      <w:r w:rsidRPr="008B30B3">
        <w:t xml:space="preserve">lind is wishing to enrol in the Music course. They have phoned the </w:t>
      </w:r>
      <w:r w:rsidR="00281A54" w:rsidRPr="008B30B3">
        <w:t>registered training organisation (</w:t>
      </w:r>
      <w:r w:rsidRPr="008B30B3">
        <w:t>RTO</w:t>
      </w:r>
      <w:r w:rsidR="00281A54" w:rsidRPr="008B30B3">
        <w:t>)</w:t>
      </w:r>
      <w:r w:rsidRPr="008B30B3">
        <w:t xml:space="preserve"> to seek help. They are having trouble accessing the course brochure, application form and booking system.</w:t>
      </w:r>
    </w:p>
    <w:p w14:paraId="589A46BD" w14:textId="2D6D7482" w:rsidR="00090F67" w:rsidRDefault="00830F5B" w:rsidP="008B30B3">
      <w:r w:rsidRPr="008B30B3">
        <w:t xml:space="preserve">The RTO </w:t>
      </w:r>
      <w:r w:rsidR="000A4428" w:rsidRPr="008B30B3">
        <w:t>requires</w:t>
      </w:r>
      <w:r w:rsidRPr="008B30B3">
        <w:t xml:space="preserve"> direct application</w:t>
      </w:r>
      <w:r w:rsidR="00535D79" w:rsidRPr="008B30B3">
        <w:t xml:space="preserve"> </w:t>
      </w:r>
      <w:r w:rsidRPr="008B30B3">
        <w:t>via their website. The student must also complete an online booking to take part in an audition. The audition (theory and performance) is a requirement for selection into the course.</w:t>
      </w:r>
    </w:p>
    <w:p w14:paraId="53B1EC6F" w14:textId="64F9A776" w:rsidR="00830F5B" w:rsidRPr="008B30B3" w:rsidRDefault="00830F5B" w:rsidP="008B30B3">
      <w:r w:rsidRPr="008B30B3">
        <w:t xml:space="preserve">The student indicates that the RTO website and </w:t>
      </w:r>
      <w:r w:rsidR="000A4428" w:rsidRPr="008B30B3">
        <w:t xml:space="preserve">the </w:t>
      </w:r>
      <w:r w:rsidRPr="008B30B3">
        <w:t>application process</w:t>
      </w:r>
      <w:r w:rsidR="000F3FD9" w:rsidRPr="008B30B3">
        <w:t>es</w:t>
      </w:r>
      <w:r w:rsidRPr="008B30B3">
        <w:t xml:space="preserve"> are not accessible. This includes the course brochure, application form and booking system. </w:t>
      </w:r>
      <w:r w:rsidR="00B0034E" w:rsidRPr="008B30B3">
        <w:t xml:space="preserve">The </w:t>
      </w:r>
      <w:r w:rsidR="00FE5606" w:rsidRPr="008B30B3">
        <w:t xml:space="preserve">website application </w:t>
      </w:r>
      <w:r w:rsidR="00622496" w:rsidRPr="008B30B3">
        <w:t>process</w:t>
      </w:r>
      <w:r w:rsidR="00B0034E" w:rsidRPr="008B30B3">
        <w:t xml:space="preserve"> and </w:t>
      </w:r>
      <w:r w:rsidR="00C22A93" w:rsidRPr="008B30B3">
        <w:t xml:space="preserve">associated </w:t>
      </w:r>
      <w:r w:rsidR="00B0034E" w:rsidRPr="008B30B3">
        <w:t>documents are not</w:t>
      </w:r>
      <w:r w:rsidRPr="008B30B3">
        <w:t xml:space="preserve"> compatible with screen reading software.</w:t>
      </w:r>
    </w:p>
    <w:p w14:paraId="30E50AB3" w14:textId="534339E5" w:rsidR="00E61C3F" w:rsidRPr="00AF3C52" w:rsidRDefault="00493B2A" w:rsidP="00E211EF">
      <w:pPr>
        <w:pStyle w:val="Heading2"/>
        <w:rPr>
          <w:lang w:val="en-US"/>
        </w:rPr>
      </w:pPr>
      <w:r w:rsidRPr="7B457BB4">
        <w:rPr>
          <w:lang w:val="en-US"/>
        </w:rPr>
        <w:t xml:space="preserve">Better practice </w:t>
      </w:r>
      <w:r w:rsidR="00CC6BC7" w:rsidRPr="7B457BB4">
        <w:rPr>
          <w:lang w:val="en-US"/>
        </w:rPr>
        <w:t>r</w:t>
      </w:r>
      <w:r w:rsidR="00E61C3F" w:rsidRPr="7B457BB4">
        <w:rPr>
          <w:lang w:val="en-US"/>
        </w:rPr>
        <w:t>es</w:t>
      </w:r>
      <w:r w:rsidR="002B0664" w:rsidRPr="7B457BB4">
        <w:rPr>
          <w:lang w:val="en-US"/>
        </w:rPr>
        <w:t>ponse</w:t>
      </w:r>
    </w:p>
    <w:p w14:paraId="5484CC27" w14:textId="77777777" w:rsidR="00090F67" w:rsidRDefault="00E22A94" w:rsidP="008B30B3">
      <w:r w:rsidRPr="7B457BB4">
        <w:t xml:space="preserve">The RTO staff </w:t>
      </w:r>
      <w:r w:rsidR="00C22A93" w:rsidRPr="7B457BB4">
        <w:t xml:space="preserve">member </w:t>
      </w:r>
      <w:r w:rsidRPr="7B457BB4">
        <w:t>apologises for the challenges. They outline the key information available for the course. They explain the application process. They also highlight the audition requirements and booking process. They work with the student to determine what information the student has accessed so far.</w:t>
      </w:r>
    </w:p>
    <w:p w14:paraId="3B97847A" w14:textId="77777777" w:rsidR="00090F67" w:rsidRDefault="00E22A94" w:rsidP="008B30B3">
      <w:r w:rsidRPr="00A64E2F">
        <w:t xml:space="preserve">They ask the student about key issues experienced when downloading course information. The student explains they could download the course brochure, but the format was a problem. The course brochure was an image-based PDF. This meant they could not access the </w:t>
      </w:r>
      <w:r w:rsidR="00C00A06">
        <w:t>content</w:t>
      </w:r>
      <w:r w:rsidR="00C00A06" w:rsidRPr="00A64E2F">
        <w:t xml:space="preserve"> </w:t>
      </w:r>
      <w:r w:rsidRPr="00A64E2F">
        <w:t xml:space="preserve">because it was a scanned copy of the text. The screen reader says there is an image </w:t>
      </w:r>
      <w:r w:rsidR="0047056A">
        <w:t xml:space="preserve">but </w:t>
      </w:r>
      <w:r w:rsidRPr="00A64E2F">
        <w:t>no text. There is no alternative text either.</w:t>
      </w:r>
    </w:p>
    <w:p w14:paraId="0222CC03" w14:textId="77777777" w:rsidR="00090F67" w:rsidRDefault="00E22A94" w:rsidP="008B30B3">
      <w:r w:rsidRPr="00A64E2F">
        <w:t>The student indicates the application form has no tags on the form fields. Without these, the screen reading software can</w:t>
      </w:r>
      <w:r w:rsidR="001A07A2">
        <w:t>not</w:t>
      </w:r>
      <w:r w:rsidRPr="00A64E2F">
        <w:t xml:space="preserve"> guide them. There are no instructions to help navigate the form. The</w:t>
      </w:r>
      <w:r w:rsidR="008A7B50">
        <w:t xml:space="preserve"> student</w:t>
      </w:r>
      <w:r w:rsidRPr="00A64E2F">
        <w:t xml:space="preserve"> could download a version, but it used table formatting that was not accessible. It had merged cells and no headings</w:t>
      </w:r>
      <w:r w:rsidR="008A7B50">
        <w:t>,</w:t>
      </w:r>
      <w:r w:rsidRPr="00A64E2F">
        <w:t xml:space="preserve"> which made it difficult to navigate. </w:t>
      </w:r>
    </w:p>
    <w:p w14:paraId="54E74885" w14:textId="77777777" w:rsidR="00090F67" w:rsidRDefault="00E22A94" w:rsidP="008B30B3">
      <w:r w:rsidRPr="00A64E2F">
        <w:t>The RTO staff</w:t>
      </w:r>
      <w:r w:rsidR="00C22A93">
        <w:t xml:space="preserve"> member</w:t>
      </w:r>
      <w:r w:rsidRPr="00A64E2F">
        <w:t xml:space="preserve"> asks the student about the challenges of using the online </w:t>
      </w:r>
      <w:r w:rsidR="002E283C">
        <w:t xml:space="preserve">audition </w:t>
      </w:r>
      <w:r w:rsidRPr="00A64E2F">
        <w:t>booking system. The student indicates that there are no tags on the form fields to guide their screen reader</w:t>
      </w:r>
      <w:r w:rsidR="00D11C99">
        <w:t xml:space="preserve"> and</w:t>
      </w:r>
      <w:r w:rsidRPr="00A64E2F">
        <w:t xml:space="preserve"> no instructions on how to navigate the system.</w:t>
      </w:r>
    </w:p>
    <w:p w14:paraId="39A066F5" w14:textId="77777777" w:rsidR="00090F67" w:rsidRDefault="00E22A94" w:rsidP="008B30B3">
      <w:r w:rsidRPr="00A64E2F">
        <w:t xml:space="preserve">The RTO staff </w:t>
      </w:r>
      <w:r w:rsidR="00C22A93">
        <w:t>member</w:t>
      </w:r>
      <w:r w:rsidR="00C22A93" w:rsidRPr="00A64E2F">
        <w:t xml:space="preserve"> </w:t>
      </w:r>
      <w:r w:rsidRPr="00A64E2F">
        <w:t xml:space="preserve">offers to make an audition booking on behalf of the student. They </w:t>
      </w:r>
      <w:r w:rsidR="00D11C99">
        <w:t>explain that</w:t>
      </w:r>
      <w:r w:rsidR="00D11C99" w:rsidRPr="00A64E2F">
        <w:t xml:space="preserve"> </w:t>
      </w:r>
      <w:r w:rsidRPr="00A64E2F">
        <w:t xml:space="preserve">the booking can </w:t>
      </w:r>
      <w:r w:rsidR="00D11C99">
        <w:t>be made</w:t>
      </w:r>
      <w:r w:rsidR="00D11C99" w:rsidRPr="00A64E2F">
        <w:t xml:space="preserve"> </w:t>
      </w:r>
      <w:r w:rsidRPr="00A64E2F">
        <w:t>now or at a time convenient to the student. The student asks for the possible dates</w:t>
      </w:r>
      <w:r w:rsidR="00ED5DDD">
        <w:t xml:space="preserve"> and </w:t>
      </w:r>
      <w:r w:rsidRPr="00A64E2F">
        <w:t>times and requests a call back</w:t>
      </w:r>
      <w:r w:rsidR="00ED5DDD">
        <w:t xml:space="preserve"> for the next day</w:t>
      </w:r>
      <w:r w:rsidRPr="00A64E2F">
        <w:t>.</w:t>
      </w:r>
    </w:p>
    <w:p w14:paraId="58B14396" w14:textId="77777777" w:rsidR="00090F67" w:rsidRDefault="00E22A94" w:rsidP="008B30B3">
      <w:r w:rsidRPr="7B457BB4">
        <w:t xml:space="preserve">The RTO staff </w:t>
      </w:r>
      <w:r w:rsidR="00C22A93" w:rsidRPr="7B457BB4">
        <w:t xml:space="preserve">member </w:t>
      </w:r>
      <w:r w:rsidRPr="7B457BB4">
        <w:t>document</w:t>
      </w:r>
      <w:r w:rsidR="00ED5DDD" w:rsidRPr="7B457BB4">
        <w:t>s</w:t>
      </w:r>
      <w:r w:rsidRPr="7B457BB4">
        <w:t xml:space="preserve"> the conversation in the </w:t>
      </w:r>
      <w:r w:rsidR="00556055" w:rsidRPr="7B457BB4">
        <w:t>RTO’s c</w:t>
      </w:r>
      <w:r w:rsidRPr="7B457BB4">
        <w:t xml:space="preserve">ontinuous </w:t>
      </w:r>
      <w:r w:rsidR="00556055" w:rsidRPr="7B457BB4">
        <w:t>i</w:t>
      </w:r>
      <w:r w:rsidRPr="7B457BB4">
        <w:t xml:space="preserve">mprovement </w:t>
      </w:r>
      <w:r w:rsidR="00556055" w:rsidRPr="7B457BB4">
        <w:t>l</w:t>
      </w:r>
      <w:r w:rsidRPr="7B457BB4">
        <w:t>og. They assure the student</w:t>
      </w:r>
      <w:r w:rsidR="00556055" w:rsidRPr="7B457BB4">
        <w:t xml:space="preserve"> that</w:t>
      </w:r>
      <w:r w:rsidRPr="7B457BB4">
        <w:t xml:space="preserve"> this information is valuable</w:t>
      </w:r>
      <w:r w:rsidR="00556055" w:rsidRPr="7B457BB4">
        <w:t xml:space="preserve"> and </w:t>
      </w:r>
      <w:r w:rsidRPr="7B457BB4">
        <w:t xml:space="preserve">will assist in remediating the </w:t>
      </w:r>
      <w:r w:rsidR="001479EF" w:rsidRPr="7B457BB4">
        <w:t>system or</w:t>
      </w:r>
      <w:r w:rsidRPr="7B457BB4">
        <w:t xml:space="preserve"> providing accessible alternatives.</w:t>
      </w:r>
    </w:p>
    <w:p w14:paraId="78F2306D" w14:textId="77777777" w:rsidR="00090F67" w:rsidRDefault="00E22A94" w:rsidP="008B30B3">
      <w:r w:rsidRPr="7B457BB4">
        <w:lastRenderedPageBreak/>
        <w:t xml:space="preserve">The RTO staff </w:t>
      </w:r>
      <w:r w:rsidR="00C22A93" w:rsidRPr="7B457BB4">
        <w:t xml:space="preserve">member </w:t>
      </w:r>
      <w:r w:rsidRPr="7B457BB4">
        <w:t xml:space="preserve">asks </w:t>
      </w:r>
      <w:r w:rsidR="009445F7" w:rsidRPr="7B457BB4">
        <w:t xml:space="preserve">whether </w:t>
      </w:r>
      <w:r w:rsidRPr="7B457BB4">
        <w:t xml:space="preserve">the student has any adjustment or support needs for the audition. The student will need to use their own computer for the theory part. They have their own music converted to braille for the performance component. The RTO staff </w:t>
      </w:r>
      <w:r w:rsidR="00C22A93" w:rsidRPr="7B457BB4">
        <w:t xml:space="preserve">member </w:t>
      </w:r>
      <w:r w:rsidRPr="7B457BB4">
        <w:t xml:space="preserve">says they will inform the </w:t>
      </w:r>
      <w:r w:rsidR="000574BF" w:rsidRPr="7B457BB4">
        <w:t>t</w:t>
      </w:r>
      <w:r w:rsidRPr="7B457BB4">
        <w:t xml:space="preserve">rainers </w:t>
      </w:r>
      <w:r w:rsidR="000574BF" w:rsidRPr="7B457BB4">
        <w:t>and</w:t>
      </w:r>
      <w:r w:rsidRPr="7B457BB4">
        <w:t xml:space="preserve"> </w:t>
      </w:r>
      <w:r w:rsidR="000574BF" w:rsidRPr="7B457BB4">
        <w:t>a</w:t>
      </w:r>
      <w:r w:rsidRPr="7B457BB4">
        <w:t>ssessors of these needs and will ask them to contact the student to clarify.</w:t>
      </w:r>
    </w:p>
    <w:p w14:paraId="4FA60415" w14:textId="77777777" w:rsidR="00090F67" w:rsidRDefault="00FA1CF5" w:rsidP="008B30B3">
      <w:r w:rsidRPr="00A64E2F">
        <w:t xml:space="preserve">The RTO staff </w:t>
      </w:r>
      <w:r w:rsidR="000F3FD9">
        <w:t>member</w:t>
      </w:r>
      <w:r w:rsidR="000F3FD9" w:rsidRPr="00A64E2F">
        <w:t xml:space="preserve"> </w:t>
      </w:r>
      <w:r w:rsidRPr="00A64E2F">
        <w:t>confirms the student’s contact details. They note the best way to contact the student and their preferred day and time. They will follow up about accessible versions of course information and application form</w:t>
      </w:r>
      <w:r w:rsidR="00DC1611">
        <w:t xml:space="preserve"> a</w:t>
      </w:r>
      <w:r w:rsidRPr="00A64E2F">
        <w:t>nd will provide them as soon as practical. The</w:t>
      </w:r>
      <w:r w:rsidR="00DC1611">
        <w:t xml:space="preserve"> staff member</w:t>
      </w:r>
      <w:r w:rsidRPr="00A64E2F">
        <w:t xml:space="preserve"> confirm</w:t>
      </w:r>
      <w:r w:rsidR="00DC1611">
        <w:t>s</w:t>
      </w:r>
      <w:r w:rsidRPr="00A64E2F">
        <w:t xml:space="preserve"> they will call tomorrow to assist in making an audition booking.</w:t>
      </w:r>
    </w:p>
    <w:p w14:paraId="4F52411E" w14:textId="10415F8B" w:rsidR="00090F67" w:rsidRDefault="00FA1CF5" w:rsidP="008B30B3">
      <w:r w:rsidRPr="7B457BB4">
        <w:t xml:space="preserve">The RTO staff member follows up immediately. They seek support from an external agency to reformat the information. It will take 48 hours. When the RTO staff </w:t>
      </w:r>
      <w:r w:rsidR="000F3FD9" w:rsidRPr="7B457BB4">
        <w:t xml:space="preserve">member </w:t>
      </w:r>
      <w:r w:rsidRPr="7B457BB4">
        <w:t xml:space="preserve">contacts the student the next day, they indicate this. They also assist the student to make their audition booking. They inform the student </w:t>
      </w:r>
      <w:r w:rsidR="00E85734" w:rsidRPr="7B457BB4">
        <w:t xml:space="preserve">that </w:t>
      </w:r>
      <w:r w:rsidRPr="7B457BB4">
        <w:t xml:space="preserve">they will copy them into an email to the </w:t>
      </w:r>
      <w:r w:rsidR="00917AC9" w:rsidRPr="7B457BB4">
        <w:t>t</w:t>
      </w:r>
      <w:r w:rsidRPr="7B457BB4">
        <w:t xml:space="preserve">rainer and </w:t>
      </w:r>
      <w:r w:rsidR="00917AC9" w:rsidRPr="7B457BB4">
        <w:t>a</w:t>
      </w:r>
      <w:r w:rsidRPr="7B457BB4">
        <w:t>ssessor. The email will confirm their discussions and actions to date. They will send through the accessible</w:t>
      </w:r>
      <w:r w:rsidR="00E85734" w:rsidRPr="7B457BB4">
        <w:t>-</w:t>
      </w:r>
      <w:r w:rsidRPr="7B457BB4">
        <w:t xml:space="preserve">format documents as soon as </w:t>
      </w:r>
      <w:r w:rsidR="00ED742E" w:rsidRPr="7B457BB4">
        <w:t>they are available</w:t>
      </w:r>
      <w:r w:rsidRPr="7B457BB4">
        <w:t>. The</w:t>
      </w:r>
      <w:r w:rsidR="00ED742E" w:rsidRPr="7B457BB4">
        <w:t xml:space="preserve"> staff member</w:t>
      </w:r>
      <w:r w:rsidRPr="7B457BB4">
        <w:t xml:space="preserve"> invite</w:t>
      </w:r>
      <w:r w:rsidR="00ED742E" w:rsidRPr="7B457BB4">
        <w:t>s</w:t>
      </w:r>
      <w:r w:rsidRPr="7B457BB4">
        <w:t xml:space="preserve"> the student to call them if they need any extra information or support.</w:t>
      </w:r>
    </w:p>
    <w:p w14:paraId="78753F29" w14:textId="717C799C" w:rsidR="00023070" w:rsidRPr="0012783A" w:rsidRDefault="0012783A" w:rsidP="00E211EF">
      <w:pPr>
        <w:pStyle w:val="Heading2"/>
        <w:rPr>
          <w:rStyle w:val="Hyperlink"/>
          <w:b w:val="0"/>
          <w:bCs w:val="0"/>
          <w:color w:val="2F5496" w:themeColor="accent1" w:themeShade="BF"/>
          <w:u w:val="none"/>
        </w:rPr>
      </w:pPr>
      <w:r w:rsidRPr="005C0FAB">
        <w:t>Action and Evidence</w:t>
      </w:r>
    </w:p>
    <w:p w14:paraId="515C0626" w14:textId="5B1D5B38" w:rsidR="00090F67" w:rsidRDefault="00023070" w:rsidP="008B30B3">
      <w:r w:rsidRPr="7B457BB4">
        <w:t>The RTO has provided enrolment information to inform students, but it was not accessible. RTOs must take reasonable steps to ensure prospective students can apply for enrolment and access information about the course to make an informed decision about whether it is the best study option for them. All prospective students, with and without disability, must have access to this information on the same basis. In this scenario, the RTO took all reasonable steps to respond to the student’s needs.</w:t>
      </w:r>
    </w:p>
    <w:p w14:paraId="425679F9" w14:textId="77777777" w:rsidR="00090F67" w:rsidRDefault="00023070" w:rsidP="007A7A50">
      <w:r w:rsidRPr="7B457BB4">
        <w:t>They must now address the inaccessible documents and processes to ensure equity. This will mean remediating the current resources or providing a fair alternative. RTOs need to ensure the accessibility of all information, processes and systems. This minimises barriers and unintended discrimination. The RTO should maintain a continuous improvement log to document any changes and must identify any other areas where documentation is not accessible to ensure rectification plans are put in place.</w:t>
      </w:r>
    </w:p>
    <w:p w14:paraId="51A72F25" w14:textId="3BC944A0" w:rsidR="004A0475" w:rsidRDefault="7367C8D4" w:rsidP="007A7A50">
      <w:r>
        <w:t>RTOs</w:t>
      </w:r>
      <w:r w:rsidR="00ED0C28">
        <w:t xml:space="preserve"> </w:t>
      </w:r>
      <w:r w:rsidR="004A0475">
        <w:t xml:space="preserve">should adhere </w:t>
      </w:r>
      <w:r w:rsidR="00ED0C28">
        <w:t xml:space="preserve">to </w:t>
      </w:r>
      <w:r w:rsidR="004A0475">
        <w:t>the Web Content Accessibility Guidelines (WCAG) which are a set of internationally recognised standards that provide guidance on how to make web content more accessible to people with disability, ensuring equal access and usability for all users. They encompass principles, guidelines, and success criteria to ensure websites are perceivable, operable, understandable, and robust.</w:t>
      </w:r>
    </w:p>
    <w:p w14:paraId="1B1D4299" w14:textId="77777777" w:rsidR="004A0475" w:rsidRPr="00F75E46" w:rsidRDefault="004A0475" w:rsidP="00F75E46">
      <w:pPr>
        <w:spacing w:after="240"/>
        <w:rPr>
          <w:rStyle w:val="Hyperlink"/>
        </w:rPr>
      </w:pPr>
      <w:hyperlink r:id="rId10" w:history="1">
        <w:r w:rsidRPr="00F75E46">
          <w:rPr>
            <w:rStyle w:val="Hyperlink"/>
          </w:rPr>
          <w:t>Web Content Accessibilities Guidelines (WCAG)</w:t>
        </w:r>
      </w:hyperlink>
    </w:p>
    <w:p w14:paraId="2DC84ACE" w14:textId="35CE31BA" w:rsidR="00023070" w:rsidRDefault="00023070" w:rsidP="007A7A50">
      <w:r w:rsidRPr="00F53D66">
        <w:rPr>
          <w:b/>
          <w:bCs/>
        </w:rPr>
        <w:t>Please note:</w:t>
      </w:r>
      <w:r>
        <w:t xml:space="preserve"> Every student’s particular circumstance will be unique, and the illustration of practice is indicative and offered as guidance only.</w:t>
      </w:r>
    </w:p>
    <w:p w14:paraId="65AB2CD8" w14:textId="2EB28B17" w:rsidR="00B0184C" w:rsidRPr="00E211EF" w:rsidRDefault="00B0184C" w:rsidP="00E211EF">
      <w:pPr>
        <w:pStyle w:val="Heading2"/>
      </w:pPr>
      <w:r w:rsidRPr="00E211EF">
        <w:lastRenderedPageBreak/>
        <w:t>Links to relevant legislation and standards to ensure RTO obligations are being met</w:t>
      </w:r>
    </w:p>
    <w:p w14:paraId="2493DEDD" w14:textId="77777777" w:rsidR="00090F67" w:rsidRPr="00F75E46" w:rsidRDefault="00EE4692" w:rsidP="00AE0C95">
      <w:pPr>
        <w:spacing w:before="240"/>
        <w:rPr>
          <w:rStyle w:val="Hyperlink"/>
        </w:rPr>
      </w:pPr>
      <w:hyperlink r:id="rId11" w:history="1">
        <w:r w:rsidRPr="00F75E46">
          <w:rPr>
            <w:rStyle w:val="Hyperlink"/>
          </w:rPr>
          <w:t>Disability Standards for Education 2005 (</w:t>
        </w:r>
        <w:proofErr w:type="spellStart"/>
        <w:r w:rsidRPr="00F75E46">
          <w:rPr>
            <w:rStyle w:val="Hyperlink"/>
          </w:rPr>
          <w:t>Cth</w:t>
        </w:r>
        <w:proofErr w:type="spellEnd"/>
        <w:r w:rsidRPr="00F75E46">
          <w:rPr>
            <w:rStyle w:val="Hyperlink"/>
          </w:rPr>
          <w:t xml:space="preserve">) (DSE) </w:t>
        </w:r>
      </w:hyperlink>
    </w:p>
    <w:p w14:paraId="71F61701" w14:textId="77777777" w:rsidR="00090F67" w:rsidRDefault="00EE4692" w:rsidP="008B30B3">
      <w:r w:rsidRPr="00B47DA0">
        <w:rPr>
          <w:rStyle w:val="Strong"/>
          <w:rFonts w:cs="Arial"/>
        </w:rPr>
        <w:t>Making reasonable adjustments – Part 3</w:t>
      </w:r>
      <w:r w:rsidRPr="00B47DA0">
        <w:rPr>
          <w:rStyle w:val="Strong"/>
          <w:rFonts w:cs="Arial"/>
          <w:b w:val="0"/>
          <w:bCs w:val="0"/>
        </w:rPr>
        <w:t>:</w:t>
      </w:r>
      <w:r>
        <w:rPr>
          <w:rStyle w:val="Strong"/>
          <w:rFonts w:cs="Arial"/>
          <w:b w:val="0"/>
          <w:bCs w:val="0"/>
        </w:rPr>
        <w:t xml:space="preserve"> </w:t>
      </w:r>
      <w:r w:rsidRPr="00B47DA0">
        <w:t>The Standards require education providers to make reasonable adjustments where necessary. A reasonable adjustment is a measure or action taken by an education provider in relation to applying for enrolment, participat</w:t>
      </w:r>
      <w:r>
        <w:t>ing</w:t>
      </w:r>
      <w:r w:rsidRPr="00B47DA0">
        <w:t xml:space="preserve"> in the course or program, </w:t>
      </w:r>
      <w:r>
        <w:t>or accessing</w:t>
      </w:r>
      <w:r w:rsidRPr="00B47DA0">
        <w:t xml:space="preserve"> services and facilities</w:t>
      </w:r>
      <w:r>
        <w:t>.</w:t>
      </w:r>
      <w:r w:rsidRPr="00B47DA0">
        <w:t xml:space="preserve"> </w:t>
      </w:r>
      <w:r>
        <w:t>RTOs must</w:t>
      </w:r>
      <w:r w:rsidRPr="00B47DA0">
        <w:t xml:space="preserve"> ensure the student with disability can access, use and participate on the same basis as a student without disability. There is no requirement to make unreasonable adjustments.</w:t>
      </w:r>
    </w:p>
    <w:p w14:paraId="01479EFA" w14:textId="77777777" w:rsidR="00090F67" w:rsidRDefault="00EE4692" w:rsidP="008B30B3">
      <w:r w:rsidRPr="00B47DA0">
        <w:rPr>
          <w:rStyle w:val="Strong"/>
          <w:rFonts w:cs="Arial"/>
        </w:rPr>
        <w:t xml:space="preserve">Standards for Enrolment </w:t>
      </w:r>
      <w:r>
        <w:rPr>
          <w:rStyle w:val="Strong"/>
          <w:rFonts w:cs="Arial"/>
        </w:rPr>
        <w:t>–</w:t>
      </w:r>
      <w:r w:rsidRPr="00B47DA0">
        <w:rPr>
          <w:rStyle w:val="Strong"/>
          <w:rFonts w:cs="Arial"/>
        </w:rPr>
        <w:t xml:space="preserve"> Part 4</w:t>
      </w:r>
      <w:r w:rsidRPr="00B47DA0">
        <w:rPr>
          <w:rStyle w:val="Strong"/>
          <w:rFonts w:cs="Arial"/>
          <w:b w:val="0"/>
          <w:bCs w:val="0"/>
        </w:rPr>
        <w:t>:</w:t>
      </w:r>
      <w:r w:rsidRPr="00B47DA0">
        <w:t xml:space="preserve"> The education provider must take reasonable steps to ensure that the prospective student is able to seek admission to, or apply for enrolment in, the institution on the same basis as a prospective student without disability, and without experiencing discrimination. Enrolment includes marketing, course information, communication and counselling, assessment of learner needs, disclosure, and fees information.</w:t>
      </w:r>
    </w:p>
    <w:p w14:paraId="4171D484" w14:textId="77777777" w:rsidR="00090F67" w:rsidRDefault="00EE4692" w:rsidP="008B30B3">
      <w:r w:rsidRPr="00B47DA0">
        <w:rPr>
          <w:rStyle w:val="Strong"/>
          <w:rFonts w:cs="Arial"/>
        </w:rPr>
        <w:t xml:space="preserve">Standards for Student Support Services </w:t>
      </w:r>
      <w:r>
        <w:rPr>
          <w:rStyle w:val="Strong"/>
          <w:rFonts w:cs="Arial"/>
        </w:rPr>
        <w:t>–</w:t>
      </w:r>
      <w:r w:rsidRPr="00B47DA0">
        <w:rPr>
          <w:rStyle w:val="Strong"/>
          <w:rFonts w:cs="Arial"/>
        </w:rPr>
        <w:t xml:space="preserve"> Part 7</w:t>
      </w:r>
      <w:r w:rsidRPr="00B47DA0">
        <w:rPr>
          <w:rStyle w:val="Strong"/>
          <w:rFonts w:cs="Arial"/>
          <w:b w:val="0"/>
          <w:bCs w:val="0"/>
        </w:rPr>
        <w:t>:</w:t>
      </w:r>
      <w:r w:rsidRPr="00B47DA0">
        <w:t xml:space="preserve"> The education provider must take reasonable steps to ensure that the student is able to use support services used by the students of the institution in general on the same basis as a student without disability, and without experiencing discrimination. This includes having available internal and external services and supports, informing students of what is available, and </w:t>
      </w:r>
      <w:r>
        <w:t xml:space="preserve">providing </w:t>
      </w:r>
      <w:r w:rsidRPr="00B47DA0">
        <w:t>access to specialised services and supports as necessary.</w:t>
      </w:r>
    </w:p>
    <w:p w14:paraId="19E78F90" w14:textId="77777777" w:rsidR="0044529E" w:rsidRDefault="0044529E" w:rsidP="008B30B3"/>
    <w:p w14:paraId="096E6A5A" w14:textId="067359E4" w:rsidR="0044529E" w:rsidRPr="0044529E" w:rsidRDefault="0044529E" w:rsidP="008B30B3">
      <w:pPr>
        <w:rPr>
          <w:u w:val="single"/>
        </w:rPr>
      </w:pPr>
      <w:r w:rsidRPr="0044529E">
        <w:rPr>
          <w:u w:val="single"/>
        </w:rPr>
        <w:t>2025 Standards for Registered Training Organisations (RTOs):</w:t>
      </w:r>
    </w:p>
    <w:p w14:paraId="00369F92" w14:textId="77777777" w:rsidR="001574C1" w:rsidRPr="006F2FE4" w:rsidRDefault="001574C1" w:rsidP="001574C1">
      <w:pPr>
        <w:spacing w:before="240"/>
        <w:rPr>
          <w:rFonts w:eastAsia="DengXian"/>
          <w:i/>
          <w:iCs/>
        </w:rPr>
      </w:pPr>
      <w:hyperlink r:id="rId12" w:history="1">
        <w:r w:rsidRPr="006F2FE4">
          <w:rPr>
            <w:rFonts w:eastAsia="DengXian"/>
            <w:i/>
            <w:iCs/>
            <w:color w:val="0563C1"/>
            <w:u w:val="single"/>
          </w:rPr>
          <w:t>National Vocational Education and Training Regulator (Outcomes Standards for NVR Registered Training Organisations) Instrument 2025</w:t>
        </w:r>
      </w:hyperlink>
    </w:p>
    <w:p w14:paraId="4A945D6F" w14:textId="77777777" w:rsidR="001574C1" w:rsidRPr="006F2FE4" w:rsidRDefault="001574C1" w:rsidP="001574C1">
      <w:pPr>
        <w:spacing w:before="0"/>
        <w:rPr>
          <w:rFonts w:cs="Arial"/>
        </w:rPr>
      </w:pPr>
      <w:r w:rsidRPr="006F2FE4">
        <w:rPr>
          <w:rFonts w:cs="Arial"/>
          <w:b/>
          <w:bCs/>
        </w:rPr>
        <w:t xml:space="preserve">Outcome1: </w:t>
      </w:r>
      <w:r w:rsidRPr="006F2FE4">
        <w:rPr>
          <w:rFonts w:cs="Arial"/>
        </w:rPr>
        <w:t>Quality training and assessment engages VET students and enables them to attain nationally recognised, industry relevant competencies.</w:t>
      </w:r>
    </w:p>
    <w:p w14:paraId="38D14A69" w14:textId="77777777" w:rsidR="001574C1" w:rsidRPr="006F2FE4" w:rsidRDefault="001574C1" w:rsidP="001574C1">
      <w:pPr>
        <w:spacing w:before="0"/>
        <w:ind w:left="720"/>
        <w:rPr>
          <w:rFonts w:cs="Arial"/>
        </w:rPr>
      </w:pPr>
      <w:r w:rsidRPr="006F2FE4">
        <w:rPr>
          <w:rFonts w:cs="Arial"/>
        </w:rPr>
        <w:t>Outcome Standard 1.8: Facilities, resources and equipment for each training product are fit-for-purpose, safe, accessible and sufficient.</w:t>
      </w:r>
    </w:p>
    <w:p w14:paraId="50207343" w14:textId="77777777" w:rsidR="001574C1" w:rsidRPr="006F2FE4" w:rsidRDefault="001574C1" w:rsidP="001574C1">
      <w:pPr>
        <w:spacing w:before="0"/>
      </w:pPr>
      <w:r w:rsidRPr="006F2FE4">
        <w:rPr>
          <w:b/>
          <w:bCs/>
        </w:rPr>
        <w:t xml:space="preserve">Outcome 2: </w:t>
      </w:r>
      <w:r w:rsidRPr="006F2FE4">
        <w:t>VET students are treated fairly and properly informed, supported and protected.</w:t>
      </w:r>
    </w:p>
    <w:p w14:paraId="07F2B85F" w14:textId="77777777" w:rsidR="001574C1" w:rsidRPr="006F2FE4" w:rsidRDefault="001574C1" w:rsidP="001574C1">
      <w:pPr>
        <w:spacing w:before="0"/>
        <w:ind w:left="720"/>
        <w:rPr>
          <w:rFonts w:cs="Arial"/>
        </w:rPr>
      </w:pPr>
      <w:r w:rsidRPr="006F2FE4">
        <w:rPr>
          <w:rFonts w:cs="Arial"/>
        </w:rPr>
        <w:t>Outcome Standard 2.1: VET students have access to clear and accurate information concerning the organisation, the relevant training product, and students are made aware of any changes that may affect them.</w:t>
      </w:r>
    </w:p>
    <w:p w14:paraId="0597BEA0" w14:textId="77777777" w:rsidR="001574C1" w:rsidRPr="006F2FE4" w:rsidRDefault="001574C1" w:rsidP="001574C1">
      <w:pPr>
        <w:spacing w:before="0"/>
        <w:ind w:left="720"/>
        <w:rPr>
          <w:rFonts w:cs="Arial"/>
        </w:rPr>
      </w:pPr>
      <w:r w:rsidRPr="006F2FE4">
        <w:rPr>
          <w:rFonts w:cs="Arial"/>
        </w:rPr>
        <w:t xml:space="preserve">Outcome Standard 2.2: VET students are advised, prior to enrolment, about the suitability of the training product for them, </w:t>
      </w:r>
      <w:proofErr w:type="gramStart"/>
      <w:r w:rsidRPr="006F2FE4">
        <w:rPr>
          <w:rFonts w:cs="Arial"/>
        </w:rPr>
        <w:t>taking into account</w:t>
      </w:r>
      <w:proofErr w:type="gramEnd"/>
      <w:r w:rsidRPr="006F2FE4">
        <w:rPr>
          <w:rFonts w:cs="Arial"/>
        </w:rPr>
        <w:t xml:space="preserve"> the student’s skills and competencies.</w:t>
      </w:r>
    </w:p>
    <w:p w14:paraId="2978B6C0" w14:textId="77777777" w:rsidR="001574C1" w:rsidRPr="006F2FE4" w:rsidRDefault="001574C1" w:rsidP="001574C1">
      <w:pPr>
        <w:spacing w:before="0"/>
        <w:ind w:left="720"/>
      </w:pPr>
      <w:r w:rsidRPr="006F2FE4">
        <w:t>Outcome Standard 2.3: VET students have access to support services, trainers and assessors and other staff to support their progress throughout the training product.</w:t>
      </w:r>
    </w:p>
    <w:p w14:paraId="1707A730" w14:textId="77777777" w:rsidR="001574C1" w:rsidRPr="006F2FE4" w:rsidRDefault="001574C1" w:rsidP="001574C1">
      <w:pPr>
        <w:spacing w:before="0"/>
        <w:ind w:left="720"/>
      </w:pPr>
      <w:r w:rsidRPr="006F2FE4">
        <w:lastRenderedPageBreak/>
        <w:t>Outcome Standard 2.4: Reasonable adjustments are made to support VET students with disability to access and participate in training and assessment on an equal basis.</w:t>
      </w:r>
    </w:p>
    <w:p w14:paraId="1BA5A233" w14:textId="77777777" w:rsidR="001574C1" w:rsidRPr="006F2FE4" w:rsidRDefault="001574C1" w:rsidP="001574C1">
      <w:pPr>
        <w:spacing w:before="0"/>
        <w:ind w:left="720"/>
      </w:pPr>
      <w:r w:rsidRPr="006F2FE4">
        <w:t>Outcome Standard 2.5: The learning environment promotes and supports the diversity of VET students.</w:t>
      </w:r>
    </w:p>
    <w:p w14:paraId="3C4C3620" w14:textId="77777777" w:rsidR="001574C1" w:rsidRPr="006F2FE4" w:rsidRDefault="001574C1" w:rsidP="001574C1">
      <w:pPr>
        <w:spacing w:before="0"/>
        <w:ind w:left="720"/>
      </w:pPr>
      <w:r w:rsidRPr="006F2FE4">
        <w:t xml:space="preserve">Outcome Standard 2.6: The wellbeing needs of the VET student cohort are </w:t>
      </w:r>
      <w:proofErr w:type="gramStart"/>
      <w:r w:rsidRPr="006F2FE4">
        <w:t>identified</w:t>
      </w:r>
      <w:proofErr w:type="gramEnd"/>
      <w:r w:rsidRPr="006F2FE4">
        <w:t xml:space="preserve"> and strategies are put in place to support those needs.</w:t>
      </w:r>
    </w:p>
    <w:p w14:paraId="55586319" w14:textId="77777777" w:rsidR="00791256" w:rsidRPr="006F2FE4" w:rsidRDefault="00791256" w:rsidP="00791256">
      <w:pPr>
        <w:rPr>
          <w:rFonts w:cs="Arial"/>
        </w:rPr>
      </w:pPr>
      <w:r w:rsidRPr="006F2FE4">
        <w:rPr>
          <w:rFonts w:cs="Arial"/>
          <w:b/>
          <w:bCs/>
        </w:rPr>
        <w:t>Outcome 4:</w:t>
      </w:r>
      <w:r w:rsidRPr="006F2FE4">
        <w:rPr>
          <w:rFonts w:cs="Arial"/>
        </w:rPr>
        <w:t xml:space="preserve"> Effective governance and a commitment to continuous improvement supports the quality and integrity of VET delivery.</w:t>
      </w:r>
    </w:p>
    <w:p w14:paraId="55B67FF9" w14:textId="1AADE043" w:rsidR="00791256" w:rsidRDefault="00791256" w:rsidP="00791256">
      <w:pPr>
        <w:ind w:left="720"/>
        <w:rPr>
          <w:rFonts w:cs="Arial"/>
        </w:rPr>
      </w:pPr>
      <w:r w:rsidRPr="006F2FE4">
        <w:rPr>
          <w:rFonts w:cs="Arial"/>
        </w:rPr>
        <w:t>Outcome 4.4: An NVR registered training organisation undertakes systematic monitoring and evaluation of the organisation to support quality delivery and continuous improvement of services.</w:t>
      </w:r>
    </w:p>
    <w:p w14:paraId="550FFC9C" w14:textId="77777777" w:rsidR="006F2FE4" w:rsidRPr="00791256" w:rsidRDefault="006F2FE4" w:rsidP="00791256">
      <w:pPr>
        <w:ind w:left="720"/>
        <w:rPr>
          <w:rFonts w:cs="Arial"/>
        </w:rPr>
      </w:pPr>
    </w:p>
    <w:p w14:paraId="091607CD" w14:textId="7184F5BB" w:rsidR="00783130" w:rsidRPr="00783130" w:rsidRDefault="00783130" w:rsidP="008B30B3">
      <w:pPr>
        <w:rPr>
          <w:rFonts w:ascii="Calibri" w:hAnsi="Calibri"/>
          <w:sz w:val="22"/>
          <w:szCs w:val="22"/>
        </w:rPr>
      </w:pPr>
      <w:r w:rsidRPr="00783130">
        <w:rPr>
          <w:b/>
          <w:bCs/>
        </w:rPr>
        <w:t xml:space="preserve">Please </w:t>
      </w:r>
      <w:proofErr w:type="gramStart"/>
      <w:r w:rsidRPr="00783130">
        <w:rPr>
          <w:b/>
          <w:bCs/>
        </w:rPr>
        <w:t>note:</w:t>
      </w:r>
      <w:proofErr w:type="gramEnd"/>
      <w:r w:rsidRPr="00783130">
        <w:t xml:space="preserve"> </w:t>
      </w:r>
      <w:r w:rsidR="00D717BF">
        <w:t>RTOs</w:t>
      </w:r>
      <w:r w:rsidRPr="00783130">
        <w:t xml:space="preserve"> registered by the </w:t>
      </w:r>
      <w:r w:rsidRPr="72D5721A">
        <w:rPr>
          <w:i/>
        </w:rPr>
        <w:t>Victorian Registration and Qualifications Authority</w:t>
      </w:r>
      <w:r w:rsidRPr="00783130">
        <w:t xml:space="preserve"> or the </w:t>
      </w:r>
      <w:r w:rsidRPr="72D5721A">
        <w:rPr>
          <w:i/>
        </w:rPr>
        <w:t>Training Accreditation Council Western Australia</w:t>
      </w:r>
      <w:r w:rsidRPr="00783130">
        <w:t xml:space="preserve"> may refer to the following websites for requirements specific to you.</w:t>
      </w:r>
    </w:p>
    <w:p w14:paraId="59F2A202" w14:textId="77777777" w:rsidR="00002E7E" w:rsidRPr="00F75E46" w:rsidRDefault="00002E7E" w:rsidP="00002E7E">
      <w:pPr>
        <w:rPr>
          <w:rStyle w:val="Hyperlink"/>
        </w:rPr>
      </w:pPr>
      <w:hyperlink r:id="rId13" w:history="1">
        <w:r w:rsidRPr="00F75E46">
          <w:rPr>
            <w:rStyle w:val="Hyperlink"/>
          </w:rPr>
          <w:t>Victorian Registration and Qualifications Authority</w:t>
        </w:r>
      </w:hyperlink>
    </w:p>
    <w:p w14:paraId="564274B0" w14:textId="797D98A3" w:rsidR="000E2A18" w:rsidRDefault="00002E7E" w:rsidP="00FE7548">
      <w:hyperlink r:id="rId14" w:history="1">
        <w:r w:rsidRPr="00F75E46">
          <w:rPr>
            <w:rStyle w:val="Hyperlink"/>
          </w:rPr>
          <w:t>Training Accreditation Council</w:t>
        </w:r>
        <w:r w:rsidRPr="00F75E46" w:rsidDel="00D717BF">
          <w:rPr>
            <w:rStyle w:val="Hyperlink"/>
          </w:rPr>
          <w:t xml:space="preserve"> </w:t>
        </w:r>
        <w:r w:rsidRPr="00F75E46">
          <w:rPr>
            <w:rStyle w:val="Hyperlink"/>
          </w:rPr>
          <w:t>Western Australia</w:t>
        </w:r>
      </w:hyperlink>
    </w:p>
    <w:p w14:paraId="6F687013" w14:textId="4C9048B7" w:rsidR="003E6A4F" w:rsidRPr="000E2A18" w:rsidRDefault="003E6A4F" w:rsidP="000E2A18">
      <w:pPr>
        <w:pStyle w:val="Heading2"/>
      </w:pPr>
      <w:r w:rsidRPr="00222EAD">
        <w:t>Disclaimer</w:t>
      </w:r>
    </w:p>
    <w:p w14:paraId="3EA022FD" w14:textId="615AD01A" w:rsidR="00E67039" w:rsidRPr="00E67039" w:rsidRDefault="00E67039" w:rsidP="00E67039">
      <w:r w:rsidRPr="00E67039">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07194493" w14:textId="08FF5159" w:rsidR="003E6A4F" w:rsidRPr="00A05D75" w:rsidRDefault="00E67039" w:rsidP="00E67039">
      <w:r w:rsidRPr="00E67039">
        <w:t xml:space="preserve">This resource is funded by the Australian Government Department of Employment and Workplace Relations through the </w:t>
      </w:r>
      <w:r w:rsidRPr="00514BEB">
        <w:t>Supporting Students with Disability in VET project</w:t>
      </w:r>
      <w:r w:rsidRPr="00E67039">
        <w:t>.</w:t>
      </w:r>
    </w:p>
    <w:sectPr w:rsidR="003E6A4F" w:rsidRPr="00A05D75" w:rsidSect="00D32F1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DCFC" w14:textId="77777777" w:rsidR="00AB5E15" w:rsidRDefault="00AB5E15" w:rsidP="008B30B3">
      <w:r>
        <w:separator/>
      </w:r>
    </w:p>
  </w:endnote>
  <w:endnote w:type="continuationSeparator" w:id="0">
    <w:p w14:paraId="435A3F1D" w14:textId="77777777" w:rsidR="00AB5E15" w:rsidRDefault="00AB5E15" w:rsidP="008B30B3">
      <w:r>
        <w:continuationSeparator/>
      </w:r>
    </w:p>
  </w:endnote>
  <w:endnote w:type="continuationNotice" w:id="1">
    <w:p w14:paraId="022D49A7" w14:textId="77777777" w:rsidR="00AB5E15" w:rsidRDefault="00AB5E15" w:rsidP="008B3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2639050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628B1B3B" w14:textId="33CC32C3" w:rsidR="00CF6F19" w:rsidRPr="00460E0D" w:rsidRDefault="00AE0C95" w:rsidP="00AE0C95">
            <w:pPr>
              <w:pStyle w:val="Footer"/>
              <w:pBdr>
                <w:top w:val="single" w:sz="4" w:space="1" w:color="auto"/>
              </w:pBdr>
              <w:spacing w:before="0" w:after="0"/>
              <w:rPr>
                <w:sz w:val="20"/>
                <w:szCs w:val="20"/>
              </w:rPr>
            </w:pPr>
            <w:r w:rsidRPr="00460E0D">
              <w:rPr>
                <w:sz w:val="20"/>
                <w:szCs w:val="20"/>
              </w:rPr>
              <w:t>Practice Illustration</w:t>
            </w:r>
            <w:r w:rsidR="001F3430">
              <w:rPr>
                <w:sz w:val="20"/>
                <w:szCs w:val="20"/>
              </w:rPr>
              <w:t xml:space="preserve"> -</w:t>
            </w:r>
            <w:r w:rsidRPr="00460E0D">
              <w:rPr>
                <w:sz w:val="20"/>
                <w:szCs w:val="20"/>
              </w:rPr>
              <w:t xml:space="preserve"> Pre-Enrolment </w:t>
            </w:r>
            <w:r w:rsidR="001F3430">
              <w:rPr>
                <w:sz w:val="20"/>
                <w:szCs w:val="20"/>
              </w:rPr>
              <w:t>-</w:t>
            </w:r>
            <w:r w:rsidRPr="00460E0D">
              <w:rPr>
                <w:sz w:val="20"/>
                <w:szCs w:val="20"/>
              </w:rPr>
              <w:t xml:space="preserve"> Application Forms </w:t>
            </w:r>
            <w:r w:rsidRPr="00460E0D">
              <w:rPr>
                <w:sz w:val="20"/>
                <w:szCs w:val="20"/>
              </w:rPr>
              <w:tab/>
            </w:r>
            <w:r w:rsidR="00CF6F19" w:rsidRPr="00CA1164">
              <w:rPr>
                <w:sz w:val="20"/>
                <w:szCs w:val="20"/>
              </w:rPr>
              <w:fldChar w:fldCharType="begin"/>
            </w:r>
            <w:r w:rsidR="00CF6F19" w:rsidRPr="00CA1164">
              <w:rPr>
                <w:sz w:val="20"/>
                <w:szCs w:val="20"/>
              </w:rPr>
              <w:instrText xml:space="preserve"> PAGE </w:instrText>
            </w:r>
            <w:r w:rsidR="00CF6F19" w:rsidRPr="00CA1164">
              <w:rPr>
                <w:sz w:val="20"/>
                <w:szCs w:val="20"/>
              </w:rPr>
              <w:fldChar w:fldCharType="separate"/>
            </w:r>
            <w:r w:rsidR="00CF6F19" w:rsidRPr="00CA1164">
              <w:rPr>
                <w:noProof/>
                <w:sz w:val="20"/>
                <w:szCs w:val="20"/>
              </w:rPr>
              <w:t>2</w:t>
            </w:r>
            <w:r w:rsidR="00CF6F19" w:rsidRPr="00CA1164">
              <w:rPr>
                <w:sz w:val="20"/>
                <w:szCs w:val="20"/>
              </w:rPr>
              <w:fldChar w:fldCharType="end"/>
            </w:r>
          </w:p>
        </w:sdtContent>
      </w:sdt>
    </w:sdtContent>
  </w:sdt>
  <w:p w14:paraId="1C9FD096" w14:textId="0716D509" w:rsidR="00CF6F19" w:rsidRPr="00460E0D" w:rsidRDefault="00AE0C95" w:rsidP="00AE0C95">
    <w:pPr>
      <w:pStyle w:val="Footer"/>
      <w:pBdr>
        <w:top w:val="single" w:sz="4" w:space="1" w:color="auto"/>
      </w:pBdr>
      <w:spacing w:before="0" w:after="0"/>
      <w:rPr>
        <w:sz w:val="20"/>
        <w:szCs w:val="20"/>
      </w:rPr>
    </w:pPr>
    <w:r w:rsidRPr="00460E0D">
      <w:rPr>
        <w:sz w:val="20"/>
        <w:szCs w:val="20"/>
      </w:rPr>
      <w:t>Supporting Students with Disability in VET</w:t>
    </w:r>
    <w:r w:rsidR="00E67039" w:rsidRPr="00166EA5">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30011" w14:textId="77777777" w:rsidR="00AB5E15" w:rsidRDefault="00AB5E15" w:rsidP="008B30B3">
      <w:r>
        <w:separator/>
      </w:r>
    </w:p>
  </w:footnote>
  <w:footnote w:type="continuationSeparator" w:id="0">
    <w:p w14:paraId="4F204FA1" w14:textId="77777777" w:rsidR="00AB5E15" w:rsidRDefault="00AB5E15" w:rsidP="008B30B3">
      <w:r>
        <w:continuationSeparator/>
      </w:r>
    </w:p>
  </w:footnote>
  <w:footnote w:type="continuationNotice" w:id="1">
    <w:p w14:paraId="5E7DD665" w14:textId="77777777" w:rsidR="00AB5E15" w:rsidRDefault="00AB5E15" w:rsidP="008B30B3"/>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9D9"/>
    <w:multiLevelType w:val="hybridMultilevel"/>
    <w:tmpl w:val="D7E89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1F4823"/>
    <w:multiLevelType w:val="hybridMultilevel"/>
    <w:tmpl w:val="4538D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A3756"/>
    <w:multiLevelType w:val="hybridMultilevel"/>
    <w:tmpl w:val="353CC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FC1CB2"/>
    <w:multiLevelType w:val="hybridMultilevel"/>
    <w:tmpl w:val="8C507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F0777B"/>
    <w:multiLevelType w:val="hybridMultilevel"/>
    <w:tmpl w:val="0270C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AD6855"/>
    <w:multiLevelType w:val="hybridMultilevel"/>
    <w:tmpl w:val="E13AF0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CE1F72"/>
    <w:multiLevelType w:val="hybridMultilevel"/>
    <w:tmpl w:val="668C8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8905115">
    <w:abstractNumId w:val="6"/>
  </w:num>
  <w:num w:numId="2" w16cid:durableId="938639081">
    <w:abstractNumId w:val="1"/>
  </w:num>
  <w:num w:numId="3" w16cid:durableId="1577785684">
    <w:abstractNumId w:val="4"/>
  </w:num>
  <w:num w:numId="4" w16cid:durableId="20667421">
    <w:abstractNumId w:val="0"/>
  </w:num>
  <w:num w:numId="5" w16cid:durableId="1646161423">
    <w:abstractNumId w:val="8"/>
  </w:num>
  <w:num w:numId="6" w16cid:durableId="1376080842">
    <w:abstractNumId w:val="7"/>
  </w:num>
  <w:num w:numId="7" w16cid:durableId="611133723">
    <w:abstractNumId w:val="5"/>
  </w:num>
  <w:num w:numId="8" w16cid:durableId="1020083941">
    <w:abstractNumId w:val="3"/>
  </w:num>
  <w:num w:numId="9" w16cid:durableId="1646154782">
    <w:abstractNumId w:val="3"/>
  </w:num>
  <w:num w:numId="10" w16cid:durableId="1160580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8B"/>
    <w:rsid w:val="00002E7E"/>
    <w:rsid w:val="00023070"/>
    <w:rsid w:val="0003625E"/>
    <w:rsid w:val="0005644D"/>
    <w:rsid w:val="000574BF"/>
    <w:rsid w:val="00077E73"/>
    <w:rsid w:val="00090433"/>
    <w:rsid w:val="00090F67"/>
    <w:rsid w:val="000A1AC8"/>
    <w:rsid w:val="000A4428"/>
    <w:rsid w:val="000C0597"/>
    <w:rsid w:val="000E2A18"/>
    <w:rsid w:val="000F3FD9"/>
    <w:rsid w:val="00115041"/>
    <w:rsid w:val="00125D99"/>
    <w:rsid w:val="0012783A"/>
    <w:rsid w:val="00137DF9"/>
    <w:rsid w:val="00141531"/>
    <w:rsid w:val="00143F19"/>
    <w:rsid w:val="001479EF"/>
    <w:rsid w:val="001574C1"/>
    <w:rsid w:val="0017282D"/>
    <w:rsid w:val="00182ED4"/>
    <w:rsid w:val="001959C1"/>
    <w:rsid w:val="001A07A2"/>
    <w:rsid w:val="001A6ACB"/>
    <w:rsid w:val="001B26E2"/>
    <w:rsid w:val="001B278B"/>
    <w:rsid w:val="001B2F43"/>
    <w:rsid w:val="001C585B"/>
    <w:rsid w:val="001D252A"/>
    <w:rsid w:val="001D4D87"/>
    <w:rsid w:val="001E4FF2"/>
    <w:rsid w:val="001F3430"/>
    <w:rsid w:val="00212120"/>
    <w:rsid w:val="00221D33"/>
    <w:rsid w:val="00222EAD"/>
    <w:rsid w:val="002266C1"/>
    <w:rsid w:val="00250713"/>
    <w:rsid w:val="00252420"/>
    <w:rsid w:val="00267DE7"/>
    <w:rsid w:val="00277613"/>
    <w:rsid w:val="00277B22"/>
    <w:rsid w:val="002800DF"/>
    <w:rsid w:val="00281A54"/>
    <w:rsid w:val="002A1B5C"/>
    <w:rsid w:val="002A1BA7"/>
    <w:rsid w:val="002B0664"/>
    <w:rsid w:val="002B5B52"/>
    <w:rsid w:val="002C170A"/>
    <w:rsid w:val="002C2C41"/>
    <w:rsid w:val="002C3366"/>
    <w:rsid w:val="002C4DBA"/>
    <w:rsid w:val="002E283C"/>
    <w:rsid w:val="002E7350"/>
    <w:rsid w:val="002F6A43"/>
    <w:rsid w:val="0030170A"/>
    <w:rsid w:val="00311AE2"/>
    <w:rsid w:val="00334797"/>
    <w:rsid w:val="003422AF"/>
    <w:rsid w:val="003518EB"/>
    <w:rsid w:val="00357B7E"/>
    <w:rsid w:val="00370088"/>
    <w:rsid w:val="00375CCF"/>
    <w:rsid w:val="003842C4"/>
    <w:rsid w:val="00386E51"/>
    <w:rsid w:val="00392BA1"/>
    <w:rsid w:val="003E3B4E"/>
    <w:rsid w:val="003E6A4F"/>
    <w:rsid w:val="00402E2C"/>
    <w:rsid w:val="004123A9"/>
    <w:rsid w:val="00425372"/>
    <w:rsid w:val="0042696E"/>
    <w:rsid w:val="00427729"/>
    <w:rsid w:val="0043240F"/>
    <w:rsid w:val="0043370F"/>
    <w:rsid w:val="0044290C"/>
    <w:rsid w:val="0044529E"/>
    <w:rsid w:val="00456A78"/>
    <w:rsid w:val="00460E0D"/>
    <w:rsid w:val="00464666"/>
    <w:rsid w:val="0047056A"/>
    <w:rsid w:val="00474CFF"/>
    <w:rsid w:val="00487D46"/>
    <w:rsid w:val="00493B2A"/>
    <w:rsid w:val="0049425E"/>
    <w:rsid w:val="004A0475"/>
    <w:rsid w:val="004A0D8E"/>
    <w:rsid w:val="004A1CBB"/>
    <w:rsid w:val="004A2FD5"/>
    <w:rsid w:val="004A6FE0"/>
    <w:rsid w:val="004B3F22"/>
    <w:rsid w:val="004C340E"/>
    <w:rsid w:val="004C77BD"/>
    <w:rsid w:val="004F2FA4"/>
    <w:rsid w:val="0050219A"/>
    <w:rsid w:val="00510B4F"/>
    <w:rsid w:val="00514BEB"/>
    <w:rsid w:val="0052624B"/>
    <w:rsid w:val="00535D79"/>
    <w:rsid w:val="00556055"/>
    <w:rsid w:val="005931B0"/>
    <w:rsid w:val="005953ED"/>
    <w:rsid w:val="005A0817"/>
    <w:rsid w:val="005A4D2A"/>
    <w:rsid w:val="005C7E68"/>
    <w:rsid w:val="00607695"/>
    <w:rsid w:val="00622496"/>
    <w:rsid w:val="006250B9"/>
    <w:rsid w:val="00641C9B"/>
    <w:rsid w:val="00642D4B"/>
    <w:rsid w:val="006468A9"/>
    <w:rsid w:val="00656318"/>
    <w:rsid w:val="00667771"/>
    <w:rsid w:val="006750D1"/>
    <w:rsid w:val="006A79B7"/>
    <w:rsid w:val="006A7F3F"/>
    <w:rsid w:val="006B0D70"/>
    <w:rsid w:val="006B645F"/>
    <w:rsid w:val="006E7DBA"/>
    <w:rsid w:val="006F2FE4"/>
    <w:rsid w:val="00716A8C"/>
    <w:rsid w:val="00734C51"/>
    <w:rsid w:val="00742566"/>
    <w:rsid w:val="00781A7B"/>
    <w:rsid w:val="00783130"/>
    <w:rsid w:val="00791256"/>
    <w:rsid w:val="007A7A50"/>
    <w:rsid w:val="007F1884"/>
    <w:rsid w:val="008243F2"/>
    <w:rsid w:val="00825DDB"/>
    <w:rsid w:val="0082699F"/>
    <w:rsid w:val="00830F5B"/>
    <w:rsid w:val="00835D76"/>
    <w:rsid w:val="00847067"/>
    <w:rsid w:val="0085402F"/>
    <w:rsid w:val="00854118"/>
    <w:rsid w:val="00882866"/>
    <w:rsid w:val="008A62AB"/>
    <w:rsid w:val="008A7B50"/>
    <w:rsid w:val="008B30B3"/>
    <w:rsid w:val="008C5493"/>
    <w:rsid w:val="008D2AA8"/>
    <w:rsid w:val="008E6C14"/>
    <w:rsid w:val="00910A9A"/>
    <w:rsid w:val="009161D7"/>
    <w:rsid w:val="00917AC9"/>
    <w:rsid w:val="00933F14"/>
    <w:rsid w:val="009445F7"/>
    <w:rsid w:val="00951A90"/>
    <w:rsid w:val="009772CE"/>
    <w:rsid w:val="00982684"/>
    <w:rsid w:val="009B27E2"/>
    <w:rsid w:val="009C0FA2"/>
    <w:rsid w:val="009C3534"/>
    <w:rsid w:val="009C4CAD"/>
    <w:rsid w:val="009D24DF"/>
    <w:rsid w:val="009D35F9"/>
    <w:rsid w:val="009E788B"/>
    <w:rsid w:val="009F22C4"/>
    <w:rsid w:val="00A05D75"/>
    <w:rsid w:val="00A155E5"/>
    <w:rsid w:val="00A20741"/>
    <w:rsid w:val="00A23BA7"/>
    <w:rsid w:val="00A410E1"/>
    <w:rsid w:val="00A8082F"/>
    <w:rsid w:val="00A97B68"/>
    <w:rsid w:val="00AA6C60"/>
    <w:rsid w:val="00AB5E15"/>
    <w:rsid w:val="00AC00A2"/>
    <w:rsid w:val="00AC4AC7"/>
    <w:rsid w:val="00AD026A"/>
    <w:rsid w:val="00AE0C95"/>
    <w:rsid w:val="00AF3C52"/>
    <w:rsid w:val="00B0034E"/>
    <w:rsid w:val="00B0184C"/>
    <w:rsid w:val="00B1463F"/>
    <w:rsid w:val="00B24C80"/>
    <w:rsid w:val="00B3635F"/>
    <w:rsid w:val="00B47DA0"/>
    <w:rsid w:val="00B6188F"/>
    <w:rsid w:val="00B700D2"/>
    <w:rsid w:val="00B803BE"/>
    <w:rsid w:val="00B83311"/>
    <w:rsid w:val="00BB1FB9"/>
    <w:rsid w:val="00BB28AE"/>
    <w:rsid w:val="00BB7AC5"/>
    <w:rsid w:val="00BC1BE6"/>
    <w:rsid w:val="00BC42D6"/>
    <w:rsid w:val="00BC6163"/>
    <w:rsid w:val="00BD4D51"/>
    <w:rsid w:val="00BF03AD"/>
    <w:rsid w:val="00C00A06"/>
    <w:rsid w:val="00C045E9"/>
    <w:rsid w:val="00C109A1"/>
    <w:rsid w:val="00C22A93"/>
    <w:rsid w:val="00C26DF6"/>
    <w:rsid w:val="00C27530"/>
    <w:rsid w:val="00C530A2"/>
    <w:rsid w:val="00C5345C"/>
    <w:rsid w:val="00C56318"/>
    <w:rsid w:val="00C60D5D"/>
    <w:rsid w:val="00C71414"/>
    <w:rsid w:val="00C85386"/>
    <w:rsid w:val="00CA1164"/>
    <w:rsid w:val="00CA76D3"/>
    <w:rsid w:val="00CC6BC7"/>
    <w:rsid w:val="00CF6F19"/>
    <w:rsid w:val="00D06ADC"/>
    <w:rsid w:val="00D11C99"/>
    <w:rsid w:val="00D32F1A"/>
    <w:rsid w:val="00D42444"/>
    <w:rsid w:val="00D63A0D"/>
    <w:rsid w:val="00D717BF"/>
    <w:rsid w:val="00D85CE6"/>
    <w:rsid w:val="00D92001"/>
    <w:rsid w:val="00DA52C4"/>
    <w:rsid w:val="00DB09A3"/>
    <w:rsid w:val="00DB16B9"/>
    <w:rsid w:val="00DB27EA"/>
    <w:rsid w:val="00DC1611"/>
    <w:rsid w:val="00E03E4A"/>
    <w:rsid w:val="00E12385"/>
    <w:rsid w:val="00E16306"/>
    <w:rsid w:val="00E211EF"/>
    <w:rsid w:val="00E22A94"/>
    <w:rsid w:val="00E23556"/>
    <w:rsid w:val="00E5007C"/>
    <w:rsid w:val="00E61661"/>
    <w:rsid w:val="00E61C3F"/>
    <w:rsid w:val="00E67039"/>
    <w:rsid w:val="00E85734"/>
    <w:rsid w:val="00EB1DE9"/>
    <w:rsid w:val="00ED0C28"/>
    <w:rsid w:val="00ED5DDD"/>
    <w:rsid w:val="00ED742E"/>
    <w:rsid w:val="00EE4692"/>
    <w:rsid w:val="00EF3FA8"/>
    <w:rsid w:val="00F00347"/>
    <w:rsid w:val="00F11A49"/>
    <w:rsid w:val="00F208A1"/>
    <w:rsid w:val="00F42CDF"/>
    <w:rsid w:val="00F433EB"/>
    <w:rsid w:val="00F447E7"/>
    <w:rsid w:val="00F46099"/>
    <w:rsid w:val="00F4678E"/>
    <w:rsid w:val="00F47E6D"/>
    <w:rsid w:val="00F53C3F"/>
    <w:rsid w:val="00F53D66"/>
    <w:rsid w:val="00F75E46"/>
    <w:rsid w:val="00F941D7"/>
    <w:rsid w:val="00FA1CF5"/>
    <w:rsid w:val="00FA27A6"/>
    <w:rsid w:val="00FC0298"/>
    <w:rsid w:val="00FC6E23"/>
    <w:rsid w:val="00FE5606"/>
    <w:rsid w:val="00FE7548"/>
    <w:rsid w:val="031341F3"/>
    <w:rsid w:val="0D7A4AE7"/>
    <w:rsid w:val="0F161B48"/>
    <w:rsid w:val="10B1EBA9"/>
    <w:rsid w:val="10CB1E52"/>
    <w:rsid w:val="110DE794"/>
    <w:rsid w:val="1A018FA4"/>
    <w:rsid w:val="1AE2157D"/>
    <w:rsid w:val="1D984B1A"/>
    <w:rsid w:val="1ED500C7"/>
    <w:rsid w:val="24DA4ACB"/>
    <w:rsid w:val="2912B5A4"/>
    <w:rsid w:val="3587412C"/>
    <w:rsid w:val="374CCF6E"/>
    <w:rsid w:val="3880CC00"/>
    <w:rsid w:val="3F2D8BFA"/>
    <w:rsid w:val="408BDDE5"/>
    <w:rsid w:val="498D9F41"/>
    <w:rsid w:val="4FD726D4"/>
    <w:rsid w:val="5480029F"/>
    <w:rsid w:val="5FDDC751"/>
    <w:rsid w:val="616797AA"/>
    <w:rsid w:val="619B626B"/>
    <w:rsid w:val="664D08D5"/>
    <w:rsid w:val="670EFE03"/>
    <w:rsid w:val="6D675B4D"/>
    <w:rsid w:val="70225496"/>
    <w:rsid w:val="70E9ADEF"/>
    <w:rsid w:val="72A45214"/>
    <w:rsid w:val="72D5721A"/>
    <w:rsid w:val="7367C8D4"/>
    <w:rsid w:val="766B1A25"/>
    <w:rsid w:val="7B457BB4"/>
    <w:rsid w:val="7F92BA3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AFA7C"/>
  <w15:chartTrackingRefBased/>
  <w15:docId w15:val="{D56BCB24-8F57-4FA0-83B2-88C74A8E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0B3"/>
    <w:pPr>
      <w:spacing w:before="120" w:after="120"/>
    </w:pPr>
    <w:rPr>
      <w:rFonts w:ascii="Arial" w:eastAsiaTheme="minorEastAsia" w:hAnsi="Arial"/>
      <w:sz w:val="24"/>
      <w:szCs w:val="24"/>
      <w:lang w:eastAsia="en-AU"/>
    </w:rPr>
  </w:style>
  <w:style w:type="paragraph" w:styleId="Heading1">
    <w:name w:val="heading 1"/>
    <w:basedOn w:val="Normal"/>
    <w:link w:val="Heading1Char"/>
    <w:uiPriority w:val="9"/>
    <w:qFormat/>
    <w:rsid w:val="00D32F1A"/>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E211EF"/>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222EAD"/>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21212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C80"/>
    <w:pPr>
      <w:ind w:left="720"/>
      <w:contextualSpacing/>
    </w:pPr>
  </w:style>
  <w:style w:type="character" w:customStyle="1" w:styleId="Heading1Char">
    <w:name w:val="Heading 1 Char"/>
    <w:basedOn w:val="DefaultParagraphFont"/>
    <w:link w:val="Heading1"/>
    <w:uiPriority w:val="9"/>
    <w:rsid w:val="00D32F1A"/>
    <w:rPr>
      <w:rFonts w:ascii="Arial" w:eastAsiaTheme="majorEastAsia" w:hAnsi="Arial" w:cstheme="majorBidi"/>
      <w:color w:val="2F5496" w:themeColor="accent1" w:themeShade="BF"/>
      <w:spacing w:val="-10"/>
      <w:kern w:val="28"/>
      <w:sz w:val="52"/>
      <w:szCs w:val="56"/>
      <w:lang w:eastAsia="en-AU"/>
    </w:rPr>
  </w:style>
  <w:style w:type="character" w:customStyle="1" w:styleId="Heading2Char">
    <w:name w:val="Heading 2 Char"/>
    <w:basedOn w:val="DefaultParagraphFont"/>
    <w:link w:val="Heading2"/>
    <w:uiPriority w:val="9"/>
    <w:rsid w:val="00E211EF"/>
    <w:rPr>
      <w:rFonts w:ascii="Arial" w:hAnsi="Arial"/>
      <w:b/>
      <w:bCs/>
      <w:color w:val="2F5496" w:themeColor="accent1" w:themeShade="BF"/>
      <w:kern w:val="36"/>
      <w:sz w:val="36"/>
      <w:szCs w:val="48"/>
      <w:lang w:eastAsia="en-AU"/>
    </w:rPr>
  </w:style>
  <w:style w:type="paragraph" w:styleId="Header">
    <w:name w:val="header"/>
    <w:basedOn w:val="Normal"/>
    <w:link w:val="HeaderChar"/>
    <w:uiPriority w:val="99"/>
    <w:unhideWhenUsed/>
    <w:rsid w:val="00CF6F19"/>
    <w:pPr>
      <w:tabs>
        <w:tab w:val="center" w:pos="4513"/>
        <w:tab w:val="right" w:pos="9026"/>
      </w:tabs>
    </w:pPr>
  </w:style>
  <w:style w:type="character" w:customStyle="1" w:styleId="HeaderChar">
    <w:name w:val="Header Char"/>
    <w:basedOn w:val="DefaultParagraphFont"/>
    <w:link w:val="Header"/>
    <w:uiPriority w:val="99"/>
    <w:rsid w:val="00CF6F19"/>
  </w:style>
  <w:style w:type="paragraph" w:styleId="Footer">
    <w:name w:val="footer"/>
    <w:basedOn w:val="Normal"/>
    <w:link w:val="FooterChar"/>
    <w:uiPriority w:val="99"/>
    <w:unhideWhenUsed/>
    <w:rsid w:val="00CF6F19"/>
    <w:pPr>
      <w:tabs>
        <w:tab w:val="center" w:pos="4513"/>
        <w:tab w:val="right" w:pos="9026"/>
      </w:tabs>
    </w:pPr>
  </w:style>
  <w:style w:type="character" w:customStyle="1" w:styleId="FooterChar">
    <w:name w:val="Footer Char"/>
    <w:basedOn w:val="DefaultParagraphFont"/>
    <w:link w:val="Footer"/>
    <w:uiPriority w:val="99"/>
    <w:rsid w:val="00CF6F19"/>
  </w:style>
  <w:style w:type="character" w:customStyle="1" w:styleId="Heading3Char">
    <w:name w:val="Heading 3 Char"/>
    <w:basedOn w:val="DefaultParagraphFont"/>
    <w:link w:val="Heading3"/>
    <w:uiPriority w:val="9"/>
    <w:rsid w:val="00222EAD"/>
    <w:rPr>
      <w:rFonts w:ascii="Arial" w:eastAsiaTheme="majorEastAsia" w:hAnsi="Arial" w:cstheme="majorBidi"/>
      <w:color w:val="2F5496" w:themeColor="accent1" w:themeShade="BF"/>
      <w:spacing w:val="-10"/>
      <w:kern w:val="28"/>
      <w:sz w:val="36"/>
      <w:szCs w:val="56"/>
      <w:lang w:eastAsia="en-AU"/>
    </w:rPr>
  </w:style>
  <w:style w:type="character" w:styleId="Hyperlink">
    <w:name w:val="Hyperlink"/>
    <w:uiPriority w:val="99"/>
    <w:unhideWhenUsed/>
    <w:rsid w:val="00F75E46"/>
    <w:rPr>
      <w:i/>
      <w:color w:val="0563C1"/>
      <w:u w:val="single"/>
    </w:rPr>
  </w:style>
  <w:style w:type="character" w:styleId="CommentReference">
    <w:name w:val="annotation reference"/>
    <w:basedOn w:val="DefaultParagraphFont"/>
    <w:uiPriority w:val="99"/>
    <w:semiHidden/>
    <w:unhideWhenUsed/>
    <w:rsid w:val="00C26DF6"/>
    <w:rPr>
      <w:sz w:val="16"/>
      <w:szCs w:val="16"/>
    </w:rPr>
  </w:style>
  <w:style w:type="paragraph" w:styleId="CommentText">
    <w:name w:val="annotation text"/>
    <w:basedOn w:val="Normal"/>
    <w:link w:val="CommentTextChar"/>
    <w:uiPriority w:val="99"/>
    <w:unhideWhenUsed/>
    <w:rsid w:val="00C26DF6"/>
    <w:rPr>
      <w:sz w:val="20"/>
      <w:szCs w:val="20"/>
    </w:rPr>
  </w:style>
  <w:style w:type="character" w:customStyle="1" w:styleId="CommentTextChar">
    <w:name w:val="Comment Text Char"/>
    <w:basedOn w:val="DefaultParagraphFont"/>
    <w:link w:val="CommentText"/>
    <w:uiPriority w:val="99"/>
    <w:rsid w:val="00C26DF6"/>
    <w:rPr>
      <w:sz w:val="20"/>
      <w:szCs w:val="20"/>
    </w:rPr>
  </w:style>
  <w:style w:type="paragraph" w:styleId="CommentSubject">
    <w:name w:val="annotation subject"/>
    <w:basedOn w:val="CommentText"/>
    <w:next w:val="CommentText"/>
    <w:link w:val="CommentSubjectChar"/>
    <w:uiPriority w:val="99"/>
    <w:semiHidden/>
    <w:unhideWhenUsed/>
    <w:rsid w:val="00C26DF6"/>
    <w:rPr>
      <w:b/>
      <w:bCs/>
    </w:rPr>
  </w:style>
  <w:style w:type="character" w:customStyle="1" w:styleId="CommentSubjectChar">
    <w:name w:val="Comment Subject Char"/>
    <w:basedOn w:val="CommentTextChar"/>
    <w:link w:val="CommentSubject"/>
    <w:uiPriority w:val="99"/>
    <w:semiHidden/>
    <w:rsid w:val="00C26DF6"/>
    <w:rPr>
      <w:b/>
      <w:bCs/>
      <w:sz w:val="20"/>
      <w:szCs w:val="20"/>
    </w:rPr>
  </w:style>
  <w:style w:type="paragraph" w:styleId="Revision">
    <w:name w:val="Revision"/>
    <w:hidden/>
    <w:uiPriority w:val="99"/>
    <w:semiHidden/>
    <w:rsid w:val="002C3366"/>
  </w:style>
  <w:style w:type="character" w:styleId="UnresolvedMention">
    <w:name w:val="Unresolved Mention"/>
    <w:basedOn w:val="DefaultParagraphFont"/>
    <w:uiPriority w:val="99"/>
    <w:semiHidden/>
    <w:unhideWhenUsed/>
    <w:rsid w:val="00357B7E"/>
    <w:rPr>
      <w:color w:val="605E5C"/>
      <w:shd w:val="clear" w:color="auto" w:fill="E1DFDD"/>
    </w:rPr>
  </w:style>
  <w:style w:type="paragraph" w:styleId="NormalWeb">
    <w:name w:val="Normal (Web)"/>
    <w:basedOn w:val="Normal"/>
    <w:uiPriority w:val="99"/>
    <w:unhideWhenUsed/>
    <w:rsid w:val="00830F5B"/>
    <w:pPr>
      <w:spacing w:before="100" w:beforeAutospacing="1" w:after="100" w:afterAutospacing="1"/>
    </w:pPr>
    <w:rPr>
      <w:rFonts w:ascii="Times New Roman" w:hAnsi="Times New Roman"/>
    </w:rPr>
  </w:style>
  <w:style w:type="character" w:styleId="Strong">
    <w:name w:val="Strong"/>
    <w:basedOn w:val="DefaultParagraphFont"/>
    <w:uiPriority w:val="22"/>
    <w:qFormat/>
    <w:rsid w:val="00212120"/>
    <w:rPr>
      <w:b/>
      <w:bCs/>
    </w:rPr>
  </w:style>
  <w:style w:type="character" w:styleId="FollowedHyperlink">
    <w:name w:val="FollowedHyperlink"/>
    <w:basedOn w:val="DefaultParagraphFont"/>
    <w:uiPriority w:val="99"/>
    <w:semiHidden/>
    <w:unhideWhenUsed/>
    <w:rsid w:val="00E85734"/>
    <w:rPr>
      <w:color w:val="954F72" w:themeColor="followedHyperlink"/>
      <w:u w:val="single"/>
    </w:rPr>
  </w:style>
  <w:style w:type="paragraph" w:customStyle="1" w:styleId="indent">
    <w:name w:val="indent"/>
    <w:basedOn w:val="NormalWeb"/>
    <w:qFormat/>
    <w:rsid w:val="00212120"/>
    <w:pPr>
      <w:spacing w:before="120" w:beforeAutospacing="0"/>
      <w:ind w:left="720"/>
    </w:pPr>
    <w:rPr>
      <w:rFonts w:ascii="Arial" w:hAnsi="Arial" w:cs="Arial"/>
      <w:i/>
      <w:iCs/>
      <w:lang w:eastAsia="en-US"/>
    </w:rPr>
  </w:style>
  <w:style w:type="paragraph" w:customStyle="1" w:styleId="bullettedlist">
    <w:name w:val="bulletted list"/>
    <w:basedOn w:val="Normal"/>
    <w:qFormat/>
    <w:rsid w:val="00212120"/>
    <w:pPr>
      <w:numPr>
        <w:numId w:val="9"/>
      </w:numPr>
      <w:contextualSpacing/>
    </w:pPr>
    <w:rPr>
      <w:rFonts w:cs="Arial"/>
    </w:rPr>
  </w:style>
  <w:style w:type="character" w:customStyle="1" w:styleId="Heading4Char">
    <w:name w:val="Heading 4 Char"/>
    <w:basedOn w:val="DefaultParagraphFont"/>
    <w:link w:val="Heading4"/>
    <w:uiPriority w:val="9"/>
    <w:semiHidden/>
    <w:rsid w:val="00212120"/>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212120"/>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212120"/>
    <w:rPr>
      <w:rFonts w:ascii="Arial" w:eastAsiaTheme="majorEastAsia" w:hAnsi="Arial" w:cstheme="majorBidi"/>
      <w:color w:val="2F5496" w:themeColor="accent1" w:themeShade="BF"/>
      <w:spacing w:val="-10"/>
      <w:kern w:val="28"/>
      <w:sz w:val="52"/>
      <w:szCs w:val="56"/>
    </w:rPr>
  </w:style>
  <w:style w:type="character" w:styleId="Emphasis">
    <w:name w:val="Emphasis"/>
    <w:basedOn w:val="DefaultParagraphFont"/>
    <w:uiPriority w:val="20"/>
    <w:qFormat/>
    <w:rsid w:val="00212120"/>
    <w:rPr>
      <w:i/>
      <w:iCs/>
    </w:rPr>
  </w:style>
  <w:style w:type="paragraph" w:styleId="TOCHeading">
    <w:name w:val="TOC Heading"/>
    <w:basedOn w:val="Heading1"/>
    <w:next w:val="Normal"/>
    <w:uiPriority w:val="39"/>
    <w:semiHidden/>
    <w:unhideWhenUsed/>
    <w:qFormat/>
    <w:rsid w:val="00212120"/>
    <w:pPr>
      <w:keepNext/>
      <w:keepLines/>
      <w:spacing w:after="0" w:line="259" w:lineRule="auto"/>
      <w:outlineLvl w:val="9"/>
    </w:pPr>
    <w:rPr>
      <w:rFonts w:asciiTheme="majorHAnsi" w:hAnsiTheme="majorHAnsi"/>
      <w:b/>
      <w:bCs/>
      <w:kern w:val="0"/>
      <w:sz w:val="32"/>
      <w:szCs w:val="32"/>
      <w:lang w:val="en-US"/>
    </w:rPr>
  </w:style>
  <w:style w:type="character" w:styleId="SubtleEmphasis">
    <w:name w:val="Subtle Emphasis"/>
    <w:basedOn w:val="DefaultParagraphFont"/>
    <w:uiPriority w:val="19"/>
    <w:qFormat/>
    <w:rsid w:val="0021212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73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rqa.vic.gov.au/VET/Pages/default.aspx"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au/F2025L00354/asmade/tex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Details/F2005L0076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w3.org/WAI/standards-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gov.au/organisation/training-accreditation-council/training-accreditation-council-regulator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79DCC-0348-499E-B9BE-22ECDE0798C3}">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2.xml><?xml version="1.0" encoding="utf-8"?>
<ds:datastoreItem xmlns:ds="http://schemas.openxmlformats.org/officeDocument/2006/customXml" ds:itemID="{4CDCC833-DCB2-4DA7-B396-609545DCA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5EACE-05E4-4D15-96AF-53E15B45E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1487</Words>
  <Characters>8402</Characters>
  <Application>Microsoft Office Word</Application>
  <DocSecurity>0</DocSecurity>
  <Lines>147</Lines>
  <Paragraphs>45</Paragraphs>
  <ScaleCrop>false</ScaleCrop>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63</cp:revision>
  <cp:lastPrinted>2023-02-02T03:10:00Z</cp:lastPrinted>
  <dcterms:created xsi:type="dcterms:W3CDTF">2023-02-02T03:09:00Z</dcterms:created>
  <dcterms:modified xsi:type="dcterms:W3CDTF">2025-11-21T01:46:00Z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2022-09-15T23:49:54Z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0657e0df-3266-45a0-b79d-c2bcd39a17af</vt:lpwstr>
  </property>
  <property fmtid="{D5CDD505-2E9C-101B-9397-08002B2CF9AE}" pid="10" name="MSIP_Label_79d889eb-932f-4752-8739-64d25806ef64_ContentBits">
    <vt:lpwstr>0</vt:lpwstr>
  </property>
  <property fmtid="{D5CDD505-2E9C-101B-9397-08002B2CF9AE}" pid="11" name="Order">
    <vt:r8>52500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