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D18D1" w14:textId="77777777" w:rsidR="001B7662" w:rsidRDefault="00A208A5">
      <w:pPr>
        <w:pStyle w:val="Title"/>
      </w:pPr>
      <w:r>
        <w:t>AI and employment in Australia</w:t>
      </w:r>
    </w:p>
    <w:p w14:paraId="518D18D2" w14:textId="77777777" w:rsidR="001B7662" w:rsidRDefault="00A208A5">
      <w:pPr>
        <w:pStyle w:val="Subtitle"/>
      </w:pPr>
      <w:r>
        <w:t>Monitoring framework and evidence to date</w:t>
      </w:r>
    </w:p>
    <w:p w14:paraId="518D18D3" w14:textId="564625B3" w:rsidR="001B7662" w:rsidRDefault="00A208A5">
      <w:pPr>
        <w:pStyle w:val="Date"/>
      </w:pPr>
      <w:r>
        <w:t>Ju</w:t>
      </w:r>
      <w:r w:rsidR="00803D99">
        <w:t>ly</w:t>
      </w:r>
      <w:r>
        <w:t xml:space="preserve"> 2026</w:t>
      </w:r>
    </w:p>
    <w:p w14:paraId="518D18D4" w14:textId="77777777" w:rsidR="001B7662" w:rsidRDefault="00A208A5">
      <w:pPr>
        <w:pBdr>
          <w:top w:val="none" w:sz="0" w:space="0" w:color="000000"/>
          <w:left w:val="none" w:sz="0" w:space="0" w:color="000000"/>
          <w:bottom w:val="none" w:sz="0" w:space="0" w:color="000000"/>
          <w:right w:val="none" w:sz="0" w:space="0" w:color="000000"/>
        </w:pBdr>
        <w:spacing w:after="0" w:line="240" w:lineRule="auto"/>
      </w:pPr>
      <w:r>
        <w:rPr>
          <w:noProof/>
        </w:rPr>
        <w:drawing>
          <wp:anchor distT="0" distB="0" distL="114300" distR="114300" simplePos="0" relativeHeight="251658240" behindDoc="0" locked="0" layoutInCell="1" allowOverlap="1" wp14:anchorId="518D1D05" wp14:editId="518D1D06">
            <wp:simplePos x="0" y="0"/>
            <wp:positionH relativeFrom="page">
              <wp:posOffset>0</wp:posOffset>
            </wp:positionH>
            <wp:positionV relativeFrom="page">
              <wp:posOffset>0</wp:posOffset>
            </wp:positionV>
            <wp:extent cx="7560310" cy="2379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1"/>
                    <a:stretch>
                      <a:fillRect/>
                    </a:stretch>
                  </pic:blipFill>
                  <pic:spPr>
                    <a:xfrm>
                      <a:off x="0" y="0"/>
                      <a:ext cx="7560310" cy="2379600"/>
                    </a:xfrm>
                    <a:prstGeom prst="rect">
                      <a:avLst/>
                    </a:prstGeom>
                  </pic:spPr>
                </pic:pic>
              </a:graphicData>
            </a:graphic>
          </wp:anchor>
        </w:drawing>
      </w:r>
    </w:p>
    <w:p w14:paraId="518D18D5" w14:textId="77777777" w:rsidR="001B7662" w:rsidRDefault="00A208A5">
      <w:r>
        <w:br w:type="page"/>
      </w:r>
    </w:p>
    <w:p w14:paraId="518D18D6" w14:textId="77777777" w:rsidR="001B7662" w:rsidRDefault="001B7662">
      <w:pPr>
        <w:pBdr>
          <w:top w:val="none" w:sz="0" w:space="0" w:color="000000"/>
          <w:left w:val="none" w:sz="0" w:space="0" w:color="000000"/>
          <w:bottom w:val="none" w:sz="0" w:space="0" w:color="000000"/>
          <w:right w:val="none" w:sz="0" w:space="0" w:color="000000"/>
        </w:pBdr>
        <w:spacing w:after="9000" w:line="240" w:lineRule="auto"/>
      </w:pPr>
    </w:p>
    <w:p w14:paraId="518D18D7" w14:textId="77777777" w:rsidR="001B7662" w:rsidRDefault="00A208A5" w:rsidP="000C2122">
      <w:pPr>
        <w:pStyle w:val="Compact"/>
      </w:pPr>
      <w:proofErr w:type="gramStart"/>
      <w:r>
        <w:t>With the exception of</w:t>
      </w:r>
      <w:proofErr w:type="gramEnd"/>
      <w:r>
        <w:t xml:space="preserve"> the Commonwealth Coat of Arms, the Department’s logo, any</w:t>
      </w:r>
    </w:p>
    <w:p w14:paraId="518D18D8" w14:textId="1DE90817" w:rsidR="001B7662" w:rsidRDefault="00A208A5" w:rsidP="000C2122">
      <w:pPr>
        <w:pStyle w:val="Compact"/>
      </w:pPr>
      <w:r>
        <w:t xml:space="preserve">material protected by a </w:t>
      </w:r>
      <w:r w:rsidR="000565E8">
        <w:t>trademark</w:t>
      </w:r>
      <w:r>
        <w:t xml:space="preserve"> and where otherwise noted all material</w:t>
      </w:r>
    </w:p>
    <w:p w14:paraId="518D18D9" w14:textId="77777777" w:rsidR="001B7662" w:rsidRDefault="00A208A5" w:rsidP="000C2122">
      <w:pPr>
        <w:pStyle w:val="Compact"/>
      </w:pPr>
      <w:r>
        <w:t>presented in this document is provided under a Creative Commons Attribution 4.0</w:t>
      </w:r>
    </w:p>
    <w:p w14:paraId="518D18DA" w14:textId="763FCF7F" w:rsidR="001B7662" w:rsidRDefault="00A208A5" w:rsidP="000C2122">
      <w:pPr>
        <w:pStyle w:val="Compact"/>
      </w:pPr>
      <w:r>
        <w:t xml:space="preserve">International </w:t>
      </w:r>
      <w:hyperlink r:id="rId12">
        <w:r>
          <w:rPr>
            <w:rStyle w:val="Hyperlink"/>
          </w:rPr>
          <w:t>CC BY 4.0</w:t>
        </w:r>
      </w:hyperlink>
      <w:r>
        <w:t xml:space="preserve"> licence.</w:t>
      </w:r>
    </w:p>
    <w:p w14:paraId="518D18DB" w14:textId="77777777" w:rsidR="001B7662" w:rsidRDefault="00A208A5" w:rsidP="000C2122">
      <w:pPr>
        <w:pStyle w:val="Compact"/>
      </w:pPr>
      <w:r>
        <w:t>The details of the relevant licence conditions are available on the Creative</w:t>
      </w:r>
    </w:p>
    <w:p w14:paraId="518D18DC" w14:textId="77777777" w:rsidR="001B7662" w:rsidRDefault="00A208A5" w:rsidP="000C2122">
      <w:pPr>
        <w:pStyle w:val="Compact"/>
      </w:pPr>
      <w:r>
        <w:t>Commons website (accessible using the links provided) as is the full legal code</w:t>
      </w:r>
    </w:p>
    <w:p w14:paraId="518D18DD" w14:textId="77777777" w:rsidR="001B7662" w:rsidRDefault="00A208A5" w:rsidP="000C2122">
      <w:pPr>
        <w:pStyle w:val="Compact"/>
      </w:pPr>
      <w:r>
        <w:t>for the CC BY 4.0 International</w:t>
      </w:r>
    </w:p>
    <w:p w14:paraId="518D18DE" w14:textId="1C634426" w:rsidR="001B7662" w:rsidRDefault="00A208A5" w:rsidP="000C2122">
      <w:pPr>
        <w:pStyle w:val="Compact"/>
      </w:pPr>
      <w:r>
        <w:t>(</w:t>
      </w:r>
      <w:hyperlink r:id="rId13">
        <w:r>
          <w:rPr>
            <w:rStyle w:val="Hyperlink"/>
          </w:rPr>
          <w:t>https://creativecommons.org/licenses/by/4.0/legalcode</w:t>
        </w:r>
      </w:hyperlink>
      <w:r>
        <w:t>)</w:t>
      </w:r>
    </w:p>
    <w:p w14:paraId="7A2607E8" w14:textId="77777777" w:rsidR="000C2122" w:rsidRDefault="000C2122">
      <w:pPr>
        <w:pStyle w:val="BodyText"/>
      </w:pPr>
    </w:p>
    <w:p w14:paraId="518D18DF" w14:textId="77777777" w:rsidR="001B7662" w:rsidRDefault="00A208A5">
      <w:pPr>
        <w:pStyle w:val="BodyText"/>
      </w:pPr>
      <w:r>
        <w:t xml:space="preserve">The document should be attributed as DEWR 2026, </w:t>
      </w:r>
      <w:r>
        <w:rPr>
          <w:i/>
          <w:iCs/>
        </w:rPr>
        <w:t>AI and employment in Australia: Monitoring framework and evidence to date,</w:t>
      </w:r>
      <w:r>
        <w:t xml:space="preserve"> Department of Employment and Workplace Relations, Canberra.</w:t>
      </w:r>
    </w:p>
    <w:p w14:paraId="518D18E0" w14:textId="77777777" w:rsidR="001B7662" w:rsidRDefault="001B7662">
      <w:pPr>
        <w:sectPr w:rsidR="001B7662">
          <w:pgSz w:w="11906" w:h="16838"/>
          <w:pgMar w:top="1417" w:right="1440" w:bottom="1559" w:left="1276" w:header="708" w:footer="708" w:gutter="0"/>
          <w:cols w:space="720"/>
        </w:sectPr>
      </w:pPr>
    </w:p>
    <w:p w14:paraId="518D18E1" w14:textId="77777777" w:rsidR="001B7662" w:rsidRDefault="00A208A5">
      <w:pPr>
        <w:pStyle w:val="TOCHeading"/>
        <w:pBdr>
          <w:top w:val="none" w:sz="0" w:space="0" w:color="000000"/>
          <w:left w:val="none" w:sz="0" w:space="0" w:color="000000"/>
          <w:bottom w:val="none" w:sz="0" w:space="0" w:color="000000"/>
          <w:right w:val="none" w:sz="0" w:space="0" w:color="000000"/>
        </w:pBdr>
        <w:spacing w:after="400"/>
      </w:pPr>
      <w:r>
        <w:lastRenderedPageBreak/>
        <w:t>Contents</w:t>
      </w:r>
    </w:p>
    <w:p w14:paraId="027C0CCC" w14:textId="2A92F916" w:rsidR="00082F4E" w:rsidRDefault="00A208A5">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TOC \o "1-2" \h \z \u</w:instrText>
      </w:r>
      <w:r>
        <w:fldChar w:fldCharType="separate"/>
      </w:r>
      <w:hyperlink w:anchor="_Toc232612067" w:history="1">
        <w:r w:rsidR="00082F4E" w:rsidRPr="00EE4B7B">
          <w:rPr>
            <w:rStyle w:val="Hyperlink"/>
          </w:rPr>
          <w:t>Executive summary</w:t>
        </w:r>
        <w:r w:rsidR="00082F4E">
          <w:rPr>
            <w:webHidden/>
          </w:rPr>
          <w:tab/>
        </w:r>
        <w:r w:rsidR="00082F4E">
          <w:rPr>
            <w:webHidden/>
          </w:rPr>
          <w:fldChar w:fldCharType="begin"/>
        </w:r>
        <w:r w:rsidR="00082F4E">
          <w:rPr>
            <w:webHidden/>
          </w:rPr>
          <w:instrText xml:space="preserve"> PAGEREF _Toc232612067 \h </w:instrText>
        </w:r>
        <w:r w:rsidR="00082F4E">
          <w:rPr>
            <w:webHidden/>
          </w:rPr>
        </w:r>
        <w:r w:rsidR="00082F4E">
          <w:rPr>
            <w:webHidden/>
          </w:rPr>
          <w:fldChar w:fldCharType="separate"/>
        </w:r>
        <w:r w:rsidR="00082F4E">
          <w:rPr>
            <w:webHidden/>
          </w:rPr>
          <w:t>5</w:t>
        </w:r>
        <w:r w:rsidR="00082F4E">
          <w:rPr>
            <w:webHidden/>
          </w:rPr>
          <w:fldChar w:fldCharType="end"/>
        </w:r>
      </w:hyperlink>
    </w:p>
    <w:p w14:paraId="6C03B238" w14:textId="078F9F6C" w:rsidR="00082F4E" w:rsidRDefault="00082F4E">
      <w:pPr>
        <w:pStyle w:val="TOC1"/>
        <w:rPr>
          <w:rFonts w:asciiTheme="minorHAnsi" w:eastAsiaTheme="minorEastAsia" w:hAnsiTheme="minorHAnsi" w:cstheme="minorBidi"/>
          <w:b w:val="0"/>
          <w:kern w:val="2"/>
          <w:sz w:val="24"/>
          <w:szCs w:val="24"/>
          <w:lang w:eastAsia="en-AU"/>
          <w14:ligatures w14:val="standardContextual"/>
        </w:rPr>
      </w:pPr>
      <w:hyperlink w:anchor="_Toc232612068" w:history="1">
        <w:r w:rsidRPr="00EE4B7B">
          <w:rPr>
            <w:rStyle w:val="Hyperlink"/>
          </w:rPr>
          <w:t>Introduction</w:t>
        </w:r>
        <w:r>
          <w:rPr>
            <w:webHidden/>
          </w:rPr>
          <w:tab/>
        </w:r>
        <w:r>
          <w:rPr>
            <w:webHidden/>
          </w:rPr>
          <w:fldChar w:fldCharType="begin"/>
        </w:r>
        <w:r>
          <w:rPr>
            <w:webHidden/>
          </w:rPr>
          <w:instrText xml:space="preserve"> PAGEREF _Toc232612068 \h </w:instrText>
        </w:r>
        <w:r>
          <w:rPr>
            <w:webHidden/>
          </w:rPr>
        </w:r>
        <w:r>
          <w:rPr>
            <w:webHidden/>
          </w:rPr>
          <w:fldChar w:fldCharType="separate"/>
        </w:r>
        <w:r>
          <w:rPr>
            <w:webHidden/>
          </w:rPr>
          <w:t>8</w:t>
        </w:r>
        <w:r>
          <w:rPr>
            <w:webHidden/>
          </w:rPr>
          <w:fldChar w:fldCharType="end"/>
        </w:r>
      </w:hyperlink>
    </w:p>
    <w:p w14:paraId="64D8EC74" w14:textId="584A7DED" w:rsidR="00082F4E" w:rsidRDefault="00082F4E">
      <w:pPr>
        <w:pStyle w:val="TOC2"/>
        <w:rPr>
          <w:rFonts w:asciiTheme="minorHAnsi" w:eastAsiaTheme="minorEastAsia" w:hAnsiTheme="minorHAnsi"/>
          <w:kern w:val="2"/>
          <w:sz w:val="24"/>
          <w:szCs w:val="24"/>
          <w:lang w:eastAsia="en-AU"/>
          <w14:ligatures w14:val="standardContextual"/>
        </w:rPr>
      </w:pPr>
      <w:hyperlink w:anchor="_Toc232612069" w:history="1">
        <w:r w:rsidRPr="00EE4B7B">
          <w:rPr>
            <w:rStyle w:val="Hyperlink"/>
          </w:rPr>
          <w:t>The future effect of AI is highly uncertain</w:t>
        </w:r>
        <w:r>
          <w:rPr>
            <w:webHidden/>
          </w:rPr>
          <w:tab/>
        </w:r>
        <w:r>
          <w:rPr>
            <w:webHidden/>
          </w:rPr>
          <w:fldChar w:fldCharType="begin"/>
        </w:r>
        <w:r>
          <w:rPr>
            <w:webHidden/>
          </w:rPr>
          <w:instrText xml:space="preserve"> PAGEREF _Toc232612069 \h </w:instrText>
        </w:r>
        <w:r>
          <w:rPr>
            <w:webHidden/>
          </w:rPr>
        </w:r>
        <w:r>
          <w:rPr>
            <w:webHidden/>
          </w:rPr>
          <w:fldChar w:fldCharType="separate"/>
        </w:r>
        <w:r>
          <w:rPr>
            <w:webHidden/>
          </w:rPr>
          <w:t>8</w:t>
        </w:r>
        <w:r>
          <w:rPr>
            <w:webHidden/>
          </w:rPr>
          <w:fldChar w:fldCharType="end"/>
        </w:r>
      </w:hyperlink>
    </w:p>
    <w:p w14:paraId="70F41473" w14:textId="3D21F930" w:rsidR="00082F4E" w:rsidRDefault="00082F4E">
      <w:pPr>
        <w:pStyle w:val="TOC2"/>
        <w:rPr>
          <w:rFonts w:asciiTheme="minorHAnsi" w:eastAsiaTheme="minorEastAsia" w:hAnsiTheme="minorHAnsi"/>
          <w:kern w:val="2"/>
          <w:sz w:val="24"/>
          <w:szCs w:val="24"/>
          <w:lang w:eastAsia="en-AU"/>
          <w14:ligatures w14:val="standardContextual"/>
        </w:rPr>
      </w:pPr>
      <w:hyperlink w:anchor="_Toc232612070" w:history="1">
        <w:r w:rsidRPr="00EE4B7B">
          <w:rPr>
            <w:rStyle w:val="Hyperlink"/>
          </w:rPr>
          <w:t>AI could reduce or increase employment</w:t>
        </w:r>
        <w:r>
          <w:rPr>
            <w:webHidden/>
          </w:rPr>
          <w:tab/>
        </w:r>
        <w:r>
          <w:rPr>
            <w:webHidden/>
          </w:rPr>
          <w:fldChar w:fldCharType="begin"/>
        </w:r>
        <w:r>
          <w:rPr>
            <w:webHidden/>
          </w:rPr>
          <w:instrText xml:space="preserve"> PAGEREF _Toc232612070 \h </w:instrText>
        </w:r>
        <w:r>
          <w:rPr>
            <w:webHidden/>
          </w:rPr>
        </w:r>
        <w:r>
          <w:rPr>
            <w:webHidden/>
          </w:rPr>
          <w:fldChar w:fldCharType="separate"/>
        </w:r>
        <w:r>
          <w:rPr>
            <w:webHidden/>
          </w:rPr>
          <w:t>9</w:t>
        </w:r>
        <w:r>
          <w:rPr>
            <w:webHidden/>
          </w:rPr>
          <w:fldChar w:fldCharType="end"/>
        </w:r>
      </w:hyperlink>
    </w:p>
    <w:p w14:paraId="5EC178B6" w14:textId="460FFAA3" w:rsidR="00082F4E" w:rsidRDefault="00082F4E">
      <w:pPr>
        <w:pStyle w:val="TOC2"/>
        <w:rPr>
          <w:rFonts w:asciiTheme="minorHAnsi" w:eastAsiaTheme="minorEastAsia" w:hAnsiTheme="minorHAnsi"/>
          <w:kern w:val="2"/>
          <w:sz w:val="24"/>
          <w:szCs w:val="24"/>
          <w:lang w:eastAsia="en-AU"/>
          <w14:ligatures w14:val="standardContextual"/>
        </w:rPr>
      </w:pPr>
      <w:hyperlink w:anchor="_Toc232612071" w:history="1">
        <w:r w:rsidRPr="00EE4B7B">
          <w:rPr>
            <w:rStyle w:val="Hyperlink"/>
          </w:rPr>
          <w:t>Most studies find little overall employment effect so far</w:t>
        </w:r>
        <w:r>
          <w:rPr>
            <w:webHidden/>
          </w:rPr>
          <w:tab/>
        </w:r>
        <w:r>
          <w:rPr>
            <w:webHidden/>
          </w:rPr>
          <w:fldChar w:fldCharType="begin"/>
        </w:r>
        <w:r>
          <w:rPr>
            <w:webHidden/>
          </w:rPr>
          <w:instrText xml:space="preserve"> PAGEREF _Toc232612071 \h </w:instrText>
        </w:r>
        <w:r>
          <w:rPr>
            <w:webHidden/>
          </w:rPr>
        </w:r>
        <w:r>
          <w:rPr>
            <w:webHidden/>
          </w:rPr>
          <w:fldChar w:fldCharType="separate"/>
        </w:r>
        <w:r>
          <w:rPr>
            <w:webHidden/>
          </w:rPr>
          <w:t>10</w:t>
        </w:r>
        <w:r>
          <w:rPr>
            <w:webHidden/>
          </w:rPr>
          <w:fldChar w:fldCharType="end"/>
        </w:r>
      </w:hyperlink>
    </w:p>
    <w:p w14:paraId="3F40BE8D" w14:textId="55E4ACE0" w:rsidR="00082F4E" w:rsidRDefault="00082F4E">
      <w:pPr>
        <w:pStyle w:val="TOC2"/>
        <w:rPr>
          <w:rFonts w:asciiTheme="minorHAnsi" w:eastAsiaTheme="minorEastAsia" w:hAnsiTheme="minorHAnsi"/>
          <w:kern w:val="2"/>
          <w:sz w:val="24"/>
          <w:szCs w:val="24"/>
          <w:lang w:eastAsia="en-AU"/>
          <w14:ligatures w14:val="standardContextual"/>
        </w:rPr>
      </w:pPr>
      <w:hyperlink w:anchor="_Toc232612072" w:history="1">
        <w:r w:rsidRPr="00EE4B7B">
          <w:rPr>
            <w:rStyle w:val="Hyperlink"/>
          </w:rPr>
          <w:t>We use a multi-dimensional approach</w:t>
        </w:r>
        <w:r>
          <w:rPr>
            <w:webHidden/>
          </w:rPr>
          <w:tab/>
        </w:r>
        <w:r>
          <w:rPr>
            <w:webHidden/>
          </w:rPr>
          <w:fldChar w:fldCharType="begin"/>
        </w:r>
        <w:r>
          <w:rPr>
            <w:webHidden/>
          </w:rPr>
          <w:instrText xml:space="preserve"> PAGEREF _Toc232612072 \h </w:instrText>
        </w:r>
        <w:r>
          <w:rPr>
            <w:webHidden/>
          </w:rPr>
        </w:r>
        <w:r>
          <w:rPr>
            <w:webHidden/>
          </w:rPr>
          <w:fldChar w:fldCharType="separate"/>
        </w:r>
        <w:r>
          <w:rPr>
            <w:webHidden/>
          </w:rPr>
          <w:t>10</w:t>
        </w:r>
        <w:r>
          <w:rPr>
            <w:webHidden/>
          </w:rPr>
          <w:fldChar w:fldCharType="end"/>
        </w:r>
      </w:hyperlink>
    </w:p>
    <w:p w14:paraId="31DAF84C" w14:textId="781B6679" w:rsidR="00082F4E" w:rsidRDefault="00082F4E">
      <w:pPr>
        <w:pStyle w:val="TOC2"/>
        <w:rPr>
          <w:rFonts w:asciiTheme="minorHAnsi" w:eastAsiaTheme="minorEastAsia" w:hAnsiTheme="minorHAnsi"/>
          <w:kern w:val="2"/>
          <w:sz w:val="24"/>
          <w:szCs w:val="24"/>
          <w:lang w:eastAsia="en-AU"/>
          <w14:ligatures w14:val="standardContextual"/>
        </w:rPr>
      </w:pPr>
      <w:hyperlink w:anchor="_Toc232612073" w:history="1">
        <w:r w:rsidRPr="00EE4B7B">
          <w:rPr>
            <w:rStyle w:val="Hyperlink"/>
          </w:rPr>
          <w:t>We use JSA’s estimates of AI exposure</w:t>
        </w:r>
        <w:r>
          <w:rPr>
            <w:webHidden/>
          </w:rPr>
          <w:tab/>
        </w:r>
        <w:r>
          <w:rPr>
            <w:webHidden/>
          </w:rPr>
          <w:fldChar w:fldCharType="begin"/>
        </w:r>
        <w:r>
          <w:rPr>
            <w:webHidden/>
          </w:rPr>
          <w:instrText xml:space="preserve"> PAGEREF _Toc232612073 \h </w:instrText>
        </w:r>
        <w:r>
          <w:rPr>
            <w:webHidden/>
          </w:rPr>
        </w:r>
        <w:r>
          <w:rPr>
            <w:webHidden/>
          </w:rPr>
          <w:fldChar w:fldCharType="separate"/>
        </w:r>
        <w:r>
          <w:rPr>
            <w:webHidden/>
          </w:rPr>
          <w:t>11</w:t>
        </w:r>
        <w:r>
          <w:rPr>
            <w:webHidden/>
          </w:rPr>
          <w:fldChar w:fldCharType="end"/>
        </w:r>
      </w:hyperlink>
    </w:p>
    <w:p w14:paraId="3874439E" w14:textId="37929762" w:rsidR="00082F4E" w:rsidRDefault="00082F4E">
      <w:pPr>
        <w:pStyle w:val="TOC2"/>
        <w:rPr>
          <w:rFonts w:asciiTheme="minorHAnsi" w:eastAsiaTheme="minorEastAsia" w:hAnsiTheme="minorHAnsi"/>
          <w:kern w:val="2"/>
          <w:sz w:val="24"/>
          <w:szCs w:val="24"/>
          <w:lang w:eastAsia="en-AU"/>
          <w14:ligatures w14:val="standardContextual"/>
        </w:rPr>
      </w:pPr>
      <w:hyperlink w:anchor="_Toc232612074" w:history="1">
        <w:r w:rsidRPr="00EE4B7B">
          <w:rPr>
            <w:rStyle w:val="Hyperlink"/>
          </w:rPr>
          <w:t>What we are not measuring</w:t>
        </w:r>
        <w:r>
          <w:rPr>
            <w:webHidden/>
          </w:rPr>
          <w:tab/>
        </w:r>
        <w:r>
          <w:rPr>
            <w:webHidden/>
          </w:rPr>
          <w:fldChar w:fldCharType="begin"/>
        </w:r>
        <w:r>
          <w:rPr>
            <w:webHidden/>
          </w:rPr>
          <w:instrText xml:space="preserve"> PAGEREF _Toc232612074 \h </w:instrText>
        </w:r>
        <w:r>
          <w:rPr>
            <w:webHidden/>
          </w:rPr>
        </w:r>
        <w:r>
          <w:rPr>
            <w:webHidden/>
          </w:rPr>
          <w:fldChar w:fldCharType="separate"/>
        </w:r>
        <w:r>
          <w:rPr>
            <w:webHidden/>
          </w:rPr>
          <w:t>13</w:t>
        </w:r>
        <w:r>
          <w:rPr>
            <w:webHidden/>
          </w:rPr>
          <w:fldChar w:fldCharType="end"/>
        </w:r>
      </w:hyperlink>
    </w:p>
    <w:p w14:paraId="5F52CD3A" w14:textId="0C1F9639" w:rsidR="00082F4E" w:rsidRDefault="00082F4E">
      <w:pPr>
        <w:pStyle w:val="TOC2"/>
        <w:rPr>
          <w:rFonts w:asciiTheme="minorHAnsi" w:eastAsiaTheme="minorEastAsia" w:hAnsiTheme="minorHAnsi"/>
          <w:kern w:val="2"/>
          <w:sz w:val="24"/>
          <w:szCs w:val="24"/>
          <w:lang w:eastAsia="en-AU"/>
          <w14:ligatures w14:val="standardContextual"/>
        </w:rPr>
      </w:pPr>
      <w:hyperlink w:anchor="_Toc232612075" w:history="1">
        <w:r w:rsidRPr="00EE4B7B">
          <w:rPr>
            <w:rStyle w:val="Hyperlink"/>
          </w:rPr>
          <w:t>Monitoring cadence</w:t>
        </w:r>
        <w:r>
          <w:rPr>
            <w:webHidden/>
          </w:rPr>
          <w:tab/>
        </w:r>
        <w:r>
          <w:rPr>
            <w:webHidden/>
          </w:rPr>
          <w:fldChar w:fldCharType="begin"/>
        </w:r>
        <w:r>
          <w:rPr>
            <w:webHidden/>
          </w:rPr>
          <w:instrText xml:space="preserve"> PAGEREF _Toc232612075 \h </w:instrText>
        </w:r>
        <w:r>
          <w:rPr>
            <w:webHidden/>
          </w:rPr>
        </w:r>
        <w:r>
          <w:rPr>
            <w:webHidden/>
          </w:rPr>
          <w:fldChar w:fldCharType="separate"/>
        </w:r>
        <w:r>
          <w:rPr>
            <w:webHidden/>
          </w:rPr>
          <w:t>14</w:t>
        </w:r>
        <w:r>
          <w:rPr>
            <w:webHidden/>
          </w:rPr>
          <w:fldChar w:fldCharType="end"/>
        </w:r>
      </w:hyperlink>
    </w:p>
    <w:p w14:paraId="06981931" w14:textId="5873554A" w:rsidR="00082F4E" w:rsidRDefault="00082F4E">
      <w:pPr>
        <w:pStyle w:val="TOC1"/>
        <w:rPr>
          <w:rFonts w:asciiTheme="minorHAnsi" w:eastAsiaTheme="minorEastAsia" w:hAnsiTheme="minorHAnsi" w:cstheme="minorBidi"/>
          <w:b w:val="0"/>
          <w:kern w:val="2"/>
          <w:sz w:val="24"/>
          <w:szCs w:val="24"/>
          <w:lang w:eastAsia="en-AU"/>
          <w14:ligatures w14:val="standardContextual"/>
        </w:rPr>
      </w:pPr>
      <w:hyperlink w:anchor="_Toc232612076" w:history="1">
        <w:r w:rsidRPr="00EE4B7B">
          <w:rPr>
            <w:rStyle w:val="Hyperlink"/>
          </w:rPr>
          <w:t>Descriptive indicators</w:t>
        </w:r>
        <w:r>
          <w:rPr>
            <w:webHidden/>
          </w:rPr>
          <w:tab/>
        </w:r>
        <w:r>
          <w:rPr>
            <w:webHidden/>
          </w:rPr>
          <w:fldChar w:fldCharType="begin"/>
        </w:r>
        <w:r>
          <w:rPr>
            <w:webHidden/>
          </w:rPr>
          <w:instrText xml:space="preserve"> PAGEREF _Toc232612076 \h </w:instrText>
        </w:r>
        <w:r>
          <w:rPr>
            <w:webHidden/>
          </w:rPr>
        </w:r>
        <w:r>
          <w:rPr>
            <w:webHidden/>
          </w:rPr>
          <w:fldChar w:fldCharType="separate"/>
        </w:r>
        <w:r>
          <w:rPr>
            <w:webHidden/>
          </w:rPr>
          <w:t>15</w:t>
        </w:r>
        <w:r>
          <w:rPr>
            <w:webHidden/>
          </w:rPr>
          <w:fldChar w:fldCharType="end"/>
        </w:r>
      </w:hyperlink>
    </w:p>
    <w:p w14:paraId="140B2E97" w14:textId="06223CDB" w:rsidR="00082F4E" w:rsidRDefault="00082F4E">
      <w:pPr>
        <w:pStyle w:val="TOC2"/>
        <w:rPr>
          <w:rFonts w:asciiTheme="minorHAnsi" w:eastAsiaTheme="minorEastAsia" w:hAnsiTheme="minorHAnsi"/>
          <w:kern w:val="2"/>
          <w:sz w:val="24"/>
          <w:szCs w:val="24"/>
          <w:lang w:eastAsia="en-AU"/>
          <w14:ligatures w14:val="standardContextual"/>
        </w:rPr>
      </w:pPr>
      <w:hyperlink w:anchor="_Toc232612077" w:history="1">
        <w:r w:rsidRPr="00EE4B7B">
          <w:rPr>
            <w:rStyle w:val="Hyperlink"/>
          </w:rPr>
          <w:t>The labour market remains resilient</w:t>
        </w:r>
        <w:r>
          <w:rPr>
            <w:webHidden/>
          </w:rPr>
          <w:tab/>
        </w:r>
        <w:r>
          <w:rPr>
            <w:webHidden/>
          </w:rPr>
          <w:fldChar w:fldCharType="begin"/>
        </w:r>
        <w:r>
          <w:rPr>
            <w:webHidden/>
          </w:rPr>
          <w:instrText xml:space="preserve"> PAGEREF _Toc232612077 \h </w:instrText>
        </w:r>
        <w:r>
          <w:rPr>
            <w:webHidden/>
          </w:rPr>
        </w:r>
        <w:r>
          <w:rPr>
            <w:webHidden/>
          </w:rPr>
          <w:fldChar w:fldCharType="separate"/>
        </w:r>
        <w:r>
          <w:rPr>
            <w:webHidden/>
          </w:rPr>
          <w:t>16</w:t>
        </w:r>
        <w:r>
          <w:rPr>
            <w:webHidden/>
          </w:rPr>
          <w:fldChar w:fldCharType="end"/>
        </w:r>
      </w:hyperlink>
    </w:p>
    <w:p w14:paraId="0C071CC4" w14:textId="14D95698" w:rsidR="00082F4E" w:rsidRDefault="00082F4E">
      <w:pPr>
        <w:pStyle w:val="TOC2"/>
        <w:rPr>
          <w:rFonts w:asciiTheme="minorHAnsi" w:eastAsiaTheme="minorEastAsia" w:hAnsiTheme="minorHAnsi"/>
          <w:kern w:val="2"/>
          <w:sz w:val="24"/>
          <w:szCs w:val="24"/>
          <w:lang w:eastAsia="en-AU"/>
          <w14:ligatures w14:val="standardContextual"/>
        </w:rPr>
      </w:pPr>
      <w:hyperlink w:anchor="_Toc232612078" w:history="1">
        <w:r w:rsidRPr="00EE4B7B">
          <w:rPr>
            <w:rStyle w:val="Hyperlink"/>
          </w:rPr>
          <w:t>Employment outcomes for young workers and graduates remain resilient</w:t>
        </w:r>
        <w:r>
          <w:rPr>
            <w:webHidden/>
          </w:rPr>
          <w:tab/>
        </w:r>
        <w:r>
          <w:rPr>
            <w:webHidden/>
          </w:rPr>
          <w:fldChar w:fldCharType="begin"/>
        </w:r>
        <w:r>
          <w:rPr>
            <w:webHidden/>
          </w:rPr>
          <w:instrText xml:space="preserve"> PAGEREF _Toc232612078 \h </w:instrText>
        </w:r>
        <w:r>
          <w:rPr>
            <w:webHidden/>
          </w:rPr>
        </w:r>
        <w:r>
          <w:rPr>
            <w:webHidden/>
          </w:rPr>
          <w:fldChar w:fldCharType="separate"/>
        </w:r>
        <w:r>
          <w:rPr>
            <w:webHidden/>
          </w:rPr>
          <w:t>20</w:t>
        </w:r>
        <w:r>
          <w:rPr>
            <w:webHidden/>
          </w:rPr>
          <w:fldChar w:fldCharType="end"/>
        </w:r>
      </w:hyperlink>
    </w:p>
    <w:p w14:paraId="07E750BE" w14:textId="3ADB98B9" w:rsidR="00082F4E" w:rsidRDefault="00082F4E">
      <w:pPr>
        <w:pStyle w:val="TOC2"/>
        <w:rPr>
          <w:rFonts w:asciiTheme="minorHAnsi" w:eastAsiaTheme="minorEastAsia" w:hAnsiTheme="minorHAnsi"/>
          <w:kern w:val="2"/>
          <w:sz w:val="24"/>
          <w:szCs w:val="24"/>
          <w:lang w:eastAsia="en-AU"/>
          <w14:ligatures w14:val="standardContextual"/>
        </w:rPr>
      </w:pPr>
      <w:hyperlink w:anchor="_Toc232612079" w:history="1">
        <w:r w:rsidRPr="00EE4B7B">
          <w:rPr>
            <w:rStyle w:val="Hyperlink"/>
          </w:rPr>
          <w:t>Occupational reshuffling has not accelerated</w:t>
        </w:r>
        <w:r>
          <w:rPr>
            <w:webHidden/>
          </w:rPr>
          <w:tab/>
        </w:r>
        <w:r>
          <w:rPr>
            <w:webHidden/>
          </w:rPr>
          <w:fldChar w:fldCharType="begin"/>
        </w:r>
        <w:r>
          <w:rPr>
            <w:webHidden/>
          </w:rPr>
          <w:instrText xml:space="preserve"> PAGEREF _Toc232612079 \h </w:instrText>
        </w:r>
        <w:r>
          <w:rPr>
            <w:webHidden/>
          </w:rPr>
        </w:r>
        <w:r>
          <w:rPr>
            <w:webHidden/>
          </w:rPr>
          <w:fldChar w:fldCharType="separate"/>
        </w:r>
        <w:r>
          <w:rPr>
            <w:webHidden/>
          </w:rPr>
          <w:t>25</w:t>
        </w:r>
        <w:r>
          <w:rPr>
            <w:webHidden/>
          </w:rPr>
          <w:fldChar w:fldCharType="end"/>
        </w:r>
      </w:hyperlink>
    </w:p>
    <w:p w14:paraId="50112BB7" w14:textId="38BF8562" w:rsidR="00082F4E" w:rsidRDefault="00082F4E">
      <w:pPr>
        <w:pStyle w:val="TOC2"/>
        <w:rPr>
          <w:rFonts w:asciiTheme="minorHAnsi" w:eastAsiaTheme="minorEastAsia" w:hAnsiTheme="minorHAnsi"/>
          <w:kern w:val="2"/>
          <w:sz w:val="24"/>
          <w:szCs w:val="24"/>
          <w:lang w:eastAsia="en-AU"/>
          <w14:ligatures w14:val="standardContextual"/>
        </w:rPr>
      </w:pPr>
      <w:hyperlink w:anchor="_Toc232612080" w:history="1">
        <w:r w:rsidRPr="00EE4B7B">
          <w:rPr>
            <w:rStyle w:val="Hyperlink"/>
          </w:rPr>
          <w:t>Conditions have softened in some high-exposure occupations</w:t>
        </w:r>
        <w:r>
          <w:rPr>
            <w:webHidden/>
          </w:rPr>
          <w:tab/>
        </w:r>
        <w:r>
          <w:rPr>
            <w:webHidden/>
          </w:rPr>
          <w:fldChar w:fldCharType="begin"/>
        </w:r>
        <w:r>
          <w:rPr>
            <w:webHidden/>
          </w:rPr>
          <w:instrText xml:space="preserve"> PAGEREF _Toc232612080 \h </w:instrText>
        </w:r>
        <w:r>
          <w:rPr>
            <w:webHidden/>
          </w:rPr>
        </w:r>
        <w:r>
          <w:rPr>
            <w:webHidden/>
          </w:rPr>
          <w:fldChar w:fldCharType="separate"/>
        </w:r>
        <w:r>
          <w:rPr>
            <w:webHidden/>
          </w:rPr>
          <w:t>27</w:t>
        </w:r>
        <w:r>
          <w:rPr>
            <w:webHidden/>
          </w:rPr>
          <w:fldChar w:fldCharType="end"/>
        </w:r>
      </w:hyperlink>
    </w:p>
    <w:p w14:paraId="3DC6E924" w14:textId="362AD393" w:rsidR="00082F4E" w:rsidRDefault="00082F4E">
      <w:pPr>
        <w:pStyle w:val="TOC2"/>
        <w:rPr>
          <w:rFonts w:asciiTheme="minorHAnsi" w:eastAsiaTheme="minorEastAsia" w:hAnsiTheme="minorHAnsi"/>
          <w:kern w:val="2"/>
          <w:sz w:val="24"/>
          <w:szCs w:val="24"/>
          <w:lang w:eastAsia="en-AU"/>
          <w14:ligatures w14:val="standardContextual"/>
        </w:rPr>
      </w:pPr>
      <w:hyperlink w:anchor="_Toc232612081" w:history="1">
        <w:r w:rsidRPr="00EE4B7B">
          <w:rPr>
            <w:rStyle w:val="Hyperlink"/>
          </w:rPr>
          <w:t>Routine cognitive jobs were declining prior to the release of ChatGPT</w:t>
        </w:r>
        <w:r>
          <w:rPr>
            <w:webHidden/>
          </w:rPr>
          <w:tab/>
        </w:r>
        <w:r>
          <w:rPr>
            <w:webHidden/>
          </w:rPr>
          <w:fldChar w:fldCharType="begin"/>
        </w:r>
        <w:r>
          <w:rPr>
            <w:webHidden/>
          </w:rPr>
          <w:instrText xml:space="preserve"> PAGEREF _Toc232612081 \h </w:instrText>
        </w:r>
        <w:r>
          <w:rPr>
            <w:webHidden/>
          </w:rPr>
        </w:r>
        <w:r>
          <w:rPr>
            <w:webHidden/>
          </w:rPr>
          <w:fldChar w:fldCharType="separate"/>
        </w:r>
        <w:r>
          <w:rPr>
            <w:webHidden/>
          </w:rPr>
          <w:t>39</w:t>
        </w:r>
        <w:r>
          <w:rPr>
            <w:webHidden/>
          </w:rPr>
          <w:fldChar w:fldCharType="end"/>
        </w:r>
      </w:hyperlink>
    </w:p>
    <w:p w14:paraId="12EAE5DE" w14:textId="3261344E" w:rsidR="00082F4E" w:rsidRDefault="00082F4E">
      <w:pPr>
        <w:pStyle w:val="TOC2"/>
        <w:rPr>
          <w:rFonts w:asciiTheme="minorHAnsi" w:eastAsiaTheme="minorEastAsia" w:hAnsiTheme="minorHAnsi"/>
          <w:kern w:val="2"/>
          <w:sz w:val="24"/>
          <w:szCs w:val="24"/>
          <w:lang w:eastAsia="en-AU"/>
          <w14:ligatures w14:val="standardContextual"/>
        </w:rPr>
      </w:pPr>
      <w:hyperlink w:anchor="_Toc232612082" w:history="1">
        <w:r w:rsidRPr="00EE4B7B">
          <w:rPr>
            <w:rStyle w:val="Hyperlink"/>
          </w:rPr>
          <w:t>Summary of descriptive indicators</w:t>
        </w:r>
        <w:r>
          <w:rPr>
            <w:webHidden/>
          </w:rPr>
          <w:tab/>
        </w:r>
        <w:r>
          <w:rPr>
            <w:webHidden/>
          </w:rPr>
          <w:fldChar w:fldCharType="begin"/>
        </w:r>
        <w:r>
          <w:rPr>
            <w:webHidden/>
          </w:rPr>
          <w:instrText xml:space="preserve"> PAGEREF _Toc232612082 \h </w:instrText>
        </w:r>
        <w:r>
          <w:rPr>
            <w:webHidden/>
          </w:rPr>
        </w:r>
        <w:r>
          <w:rPr>
            <w:webHidden/>
          </w:rPr>
          <w:fldChar w:fldCharType="separate"/>
        </w:r>
        <w:r>
          <w:rPr>
            <w:webHidden/>
          </w:rPr>
          <w:t>41</w:t>
        </w:r>
        <w:r>
          <w:rPr>
            <w:webHidden/>
          </w:rPr>
          <w:fldChar w:fldCharType="end"/>
        </w:r>
      </w:hyperlink>
    </w:p>
    <w:p w14:paraId="58813CAE" w14:textId="34E4C962" w:rsidR="00082F4E" w:rsidRDefault="00082F4E">
      <w:pPr>
        <w:pStyle w:val="TOC1"/>
        <w:rPr>
          <w:rFonts w:asciiTheme="minorHAnsi" w:eastAsiaTheme="minorEastAsia" w:hAnsiTheme="minorHAnsi" w:cstheme="minorBidi"/>
          <w:b w:val="0"/>
          <w:kern w:val="2"/>
          <w:sz w:val="24"/>
          <w:szCs w:val="24"/>
          <w:lang w:eastAsia="en-AU"/>
          <w14:ligatures w14:val="standardContextual"/>
        </w:rPr>
      </w:pPr>
      <w:hyperlink w:anchor="_Toc232612083" w:history="1">
        <w:r w:rsidRPr="00EE4B7B">
          <w:rPr>
            <w:rStyle w:val="Hyperlink"/>
          </w:rPr>
          <w:t>Core statistical model</w:t>
        </w:r>
        <w:r>
          <w:rPr>
            <w:webHidden/>
          </w:rPr>
          <w:tab/>
        </w:r>
        <w:r>
          <w:rPr>
            <w:webHidden/>
          </w:rPr>
          <w:fldChar w:fldCharType="begin"/>
        </w:r>
        <w:r>
          <w:rPr>
            <w:webHidden/>
          </w:rPr>
          <w:instrText xml:space="preserve"> PAGEREF _Toc232612083 \h </w:instrText>
        </w:r>
        <w:r>
          <w:rPr>
            <w:webHidden/>
          </w:rPr>
        </w:r>
        <w:r>
          <w:rPr>
            <w:webHidden/>
          </w:rPr>
          <w:fldChar w:fldCharType="separate"/>
        </w:r>
        <w:r>
          <w:rPr>
            <w:webHidden/>
          </w:rPr>
          <w:t>43</w:t>
        </w:r>
        <w:r>
          <w:rPr>
            <w:webHidden/>
          </w:rPr>
          <w:fldChar w:fldCharType="end"/>
        </w:r>
      </w:hyperlink>
    </w:p>
    <w:p w14:paraId="7101C08A" w14:textId="70396534" w:rsidR="00082F4E" w:rsidRDefault="00082F4E">
      <w:pPr>
        <w:pStyle w:val="TOC2"/>
        <w:rPr>
          <w:rFonts w:asciiTheme="minorHAnsi" w:eastAsiaTheme="minorEastAsia" w:hAnsiTheme="minorHAnsi"/>
          <w:kern w:val="2"/>
          <w:sz w:val="24"/>
          <w:szCs w:val="24"/>
          <w:lang w:eastAsia="en-AU"/>
          <w14:ligatures w14:val="standardContextual"/>
        </w:rPr>
      </w:pPr>
      <w:hyperlink w:anchor="_Toc232612084" w:history="1">
        <w:r w:rsidRPr="00EE4B7B">
          <w:rPr>
            <w:rStyle w:val="Hyperlink"/>
          </w:rPr>
          <w:t>Data and scope</w:t>
        </w:r>
        <w:r>
          <w:rPr>
            <w:webHidden/>
          </w:rPr>
          <w:tab/>
        </w:r>
        <w:r>
          <w:rPr>
            <w:webHidden/>
          </w:rPr>
          <w:fldChar w:fldCharType="begin"/>
        </w:r>
        <w:r>
          <w:rPr>
            <w:webHidden/>
          </w:rPr>
          <w:instrText xml:space="preserve"> PAGEREF _Toc232612084 \h </w:instrText>
        </w:r>
        <w:r>
          <w:rPr>
            <w:webHidden/>
          </w:rPr>
        </w:r>
        <w:r>
          <w:rPr>
            <w:webHidden/>
          </w:rPr>
          <w:fldChar w:fldCharType="separate"/>
        </w:r>
        <w:r>
          <w:rPr>
            <w:webHidden/>
          </w:rPr>
          <w:t>44</w:t>
        </w:r>
        <w:r>
          <w:rPr>
            <w:webHidden/>
          </w:rPr>
          <w:fldChar w:fldCharType="end"/>
        </w:r>
      </w:hyperlink>
    </w:p>
    <w:p w14:paraId="6B446C76" w14:textId="5F7E352C" w:rsidR="00082F4E" w:rsidRDefault="00082F4E">
      <w:pPr>
        <w:pStyle w:val="TOC2"/>
        <w:rPr>
          <w:rFonts w:asciiTheme="minorHAnsi" w:eastAsiaTheme="minorEastAsia" w:hAnsiTheme="minorHAnsi"/>
          <w:kern w:val="2"/>
          <w:sz w:val="24"/>
          <w:szCs w:val="24"/>
          <w:lang w:eastAsia="en-AU"/>
          <w14:ligatures w14:val="standardContextual"/>
        </w:rPr>
      </w:pPr>
      <w:hyperlink w:anchor="_Toc232612085" w:history="1">
        <w:r w:rsidRPr="00EE4B7B">
          <w:rPr>
            <w:rStyle w:val="Hyperlink"/>
          </w:rPr>
          <w:t>The core model</w:t>
        </w:r>
        <w:r>
          <w:rPr>
            <w:webHidden/>
          </w:rPr>
          <w:tab/>
        </w:r>
        <w:r>
          <w:rPr>
            <w:webHidden/>
          </w:rPr>
          <w:fldChar w:fldCharType="begin"/>
        </w:r>
        <w:r>
          <w:rPr>
            <w:webHidden/>
          </w:rPr>
          <w:instrText xml:space="preserve"> PAGEREF _Toc232612085 \h </w:instrText>
        </w:r>
        <w:r>
          <w:rPr>
            <w:webHidden/>
          </w:rPr>
        </w:r>
        <w:r>
          <w:rPr>
            <w:webHidden/>
          </w:rPr>
          <w:fldChar w:fldCharType="separate"/>
        </w:r>
        <w:r>
          <w:rPr>
            <w:webHidden/>
          </w:rPr>
          <w:t>44</w:t>
        </w:r>
        <w:r>
          <w:rPr>
            <w:webHidden/>
          </w:rPr>
          <w:fldChar w:fldCharType="end"/>
        </w:r>
      </w:hyperlink>
    </w:p>
    <w:p w14:paraId="3B01CE4C" w14:textId="06C7F3FE" w:rsidR="00082F4E" w:rsidRDefault="00082F4E">
      <w:pPr>
        <w:pStyle w:val="TOC2"/>
        <w:rPr>
          <w:rFonts w:asciiTheme="minorHAnsi" w:eastAsiaTheme="minorEastAsia" w:hAnsiTheme="minorHAnsi"/>
          <w:kern w:val="2"/>
          <w:sz w:val="24"/>
          <w:szCs w:val="24"/>
          <w:lang w:eastAsia="en-AU"/>
          <w14:ligatures w14:val="standardContextual"/>
        </w:rPr>
      </w:pPr>
      <w:hyperlink w:anchor="_Toc232612086" w:history="1">
        <w:r w:rsidRPr="00EE4B7B">
          <w:rPr>
            <w:rStyle w:val="Hyperlink"/>
          </w:rPr>
          <w:t>Main results: employment has grown more slowly in more AI-exposed occupations</w:t>
        </w:r>
        <w:r>
          <w:rPr>
            <w:webHidden/>
          </w:rPr>
          <w:tab/>
        </w:r>
        <w:r>
          <w:rPr>
            <w:webHidden/>
          </w:rPr>
          <w:fldChar w:fldCharType="begin"/>
        </w:r>
        <w:r>
          <w:rPr>
            <w:webHidden/>
          </w:rPr>
          <w:instrText xml:space="preserve"> PAGEREF _Toc232612086 \h </w:instrText>
        </w:r>
        <w:r>
          <w:rPr>
            <w:webHidden/>
          </w:rPr>
        </w:r>
        <w:r>
          <w:rPr>
            <w:webHidden/>
          </w:rPr>
          <w:fldChar w:fldCharType="separate"/>
        </w:r>
        <w:r>
          <w:rPr>
            <w:webHidden/>
          </w:rPr>
          <w:t>45</w:t>
        </w:r>
        <w:r>
          <w:rPr>
            <w:webHidden/>
          </w:rPr>
          <w:fldChar w:fldCharType="end"/>
        </w:r>
      </w:hyperlink>
    </w:p>
    <w:p w14:paraId="4F5414F2" w14:textId="425BEBA8" w:rsidR="00082F4E" w:rsidRDefault="00082F4E">
      <w:pPr>
        <w:pStyle w:val="TOC2"/>
        <w:rPr>
          <w:rFonts w:asciiTheme="minorHAnsi" w:eastAsiaTheme="minorEastAsia" w:hAnsiTheme="minorHAnsi"/>
          <w:kern w:val="2"/>
          <w:sz w:val="24"/>
          <w:szCs w:val="24"/>
          <w:lang w:eastAsia="en-AU"/>
          <w14:ligatures w14:val="standardContextual"/>
        </w:rPr>
      </w:pPr>
      <w:hyperlink w:anchor="_Toc232612087" w:history="1">
        <w:r w:rsidRPr="00EE4B7B">
          <w:rPr>
            <w:rStyle w:val="Hyperlink"/>
          </w:rPr>
          <w:t>Event study: variable impact of AI exposure over time</w:t>
        </w:r>
        <w:r>
          <w:rPr>
            <w:webHidden/>
          </w:rPr>
          <w:tab/>
        </w:r>
        <w:r>
          <w:rPr>
            <w:webHidden/>
          </w:rPr>
          <w:fldChar w:fldCharType="begin"/>
        </w:r>
        <w:r>
          <w:rPr>
            <w:webHidden/>
          </w:rPr>
          <w:instrText xml:space="preserve"> PAGEREF _Toc232612087 \h </w:instrText>
        </w:r>
        <w:r>
          <w:rPr>
            <w:webHidden/>
          </w:rPr>
        </w:r>
        <w:r>
          <w:rPr>
            <w:webHidden/>
          </w:rPr>
          <w:fldChar w:fldCharType="separate"/>
        </w:r>
        <w:r>
          <w:rPr>
            <w:webHidden/>
          </w:rPr>
          <w:t>46</w:t>
        </w:r>
        <w:r>
          <w:rPr>
            <w:webHidden/>
          </w:rPr>
          <w:fldChar w:fldCharType="end"/>
        </w:r>
      </w:hyperlink>
    </w:p>
    <w:p w14:paraId="67B471DC" w14:textId="695344C2" w:rsidR="00082F4E" w:rsidRDefault="00082F4E">
      <w:pPr>
        <w:pStyle w:val="TOC1"/>
        <w:rPr>
          <w:rFonts w:asciiTheme="minorHAnsi" w:eastAsiaTheme="minorEastAsia" w:hAnsiTheme="minorHAnsi" w:cstheme="minorBidi"/>
          <w:b w:val="0"/>
          <w:kern w:val="2"/>
          <w:sz w:val="24"/>
          <w:szCs w:val="24"/>
          <w:lang w:eastAsia="en-AU"/>
          <w14:ligatures w14:val="standardContextual"/>
        </w:rPr>
      </w:pPr>
      <w:hyperlink w:anchor="_Toc232612088" w:history="1">
        <w:r w:rsidRPr="00EE4B7B">
          <w:rPr>
            <w:rStyle w:val="Hyperlink"/>
          </w:rPr>
          <w:t>How robust are the model estimates?</w:t>
        </w:r>
        <w:r>
          <w:rPr>
            <w:webHidden/>
          </w:rPr>
          <w:tab/>
        </w:r>
        <w:r>
          <w:rPr>
            <w:webHidden/>
          </w:rPr>
          <w:fldChar w:fldCharType="begin"/>
        </w:r>
        <w:r>
          <w:rPr>
            <w:webHidden/>
          </w:rPr>
          <w:instrText xml:space="preserve"> PAGEREF _Toc232612088 \h </w:instrText>
        </w:r>
        <w:r>
          <w:rPr>
            <w:webHidden/>
          </w:rPr>
        </w:r>
        <w:r>
          <w:rPr>
            <w:webHidden/>
          </w:rPr>
          <w:fldChar w:fldCharType="separate"/>
        </w:r>
        <w:r>
          <w:rPr>
            <w:webHidden/>
          </w:rPr>
          <w:t>48</w:t>
        </w:r>
        <w:r>
          <w:rPr>
            <w:webHidden/>
          </w:rPr>
          <w:fldChar w:fldCharType="end"/>
        </w:r>
      </w:hyperlink>
    </w:p>
    <w:p w14:paraId="1080FEFC" w14:textId="1D400EF3" w:rsidR="00082F4E" w:rsidRDefault="00082F4E">
      <w:pPr>
        <w:pStyle w:val="TOC2"/>
        <w:rPr>
          <w:rFonts w:asciiTheme="minorHAnsi" w:eastAsiaTheme="minorEastAsia" w:hAnsiTheme="minorHAnsi"/>
          <w:kern w:val="2"/>
          <w:sz w:val="24"/>
          <w:szCs w:val="24"/>
          <w:lang w:eastAsia="en-AU"/>
          <w14:ligatures w14:val="standardContextual"/>
        </w:rPr>
      </w:pPr>
      <w:hyperlink w:anchor="_Toc232612089" w:history="1">
        <w:r w:rsidRPr="00EE4B7B">
          <w:rPr>
            <w:rStyle w:val="Hyperlink"/>
          </w:rPr>
          <w:t>Sensitivity to excluding some occupations</w:t>
        </w:r>
        <w:r>
          <w:rPr>
            <w:webHidden/>
          </w:rPr>
          <w:tab/>
        </w:r>
        <w:r>
          <w:rPr>
            <w:webHidden/>
          </w:rPr>
          <w:fldChar w:fldCharType="begin"/>
        </w:r>
        <w:r>
          <w:rPr>
            <w:webHidden/>
          </w:rPr>
          <w:instrText xml:space="preserve"> PAGEREF _Toc232612089 \h </w:instrText>
        </w:r>
        <w:r>
          <w:rPr>
            <w:webHidden/>
          </w:rPr>
        </w:r>
        <w:r>
          <w:rPr>
            <w:webHidden/>
          </w:rPr>
          <w:fldChar w:fldCharType="separate"/>
        </w:r>
        <w:r>
          <w:rPr>
            <w:webHidden/>
          </w:rPr>
          <w:t>49</w:t>
        </w:r>
        <w:r>
          <w:rPr>
            <w:webHidden/>
          </w:rPr>
          <w:fldChar w:fldCharType="end"/>
        </w:r>
      </w:hyperlink>
    </w:p>
    <w:p w14:paraId="3FC2B8E7" w14:textId="7BA810FF" w:rsidR="00082F4E" w:rsidRDefault="00082F4E">
      <w:pPr>
        <w:pStyle w:val="TOC2"/>
        <w:rPr>
          <w:rFonts w:asciiTheme="minorHAnsi" w:eastAsiaTheme="minorEastAsia" w:hAnsiTheme="minorHAnsi"/>
          <w:kern w:val="2"/>
          <w:sz w:val="24"/>
          <w:szCs w:val="24"/>
          <w:lang w:eastAsia="en-AU"/>
          <w14:ligatures w14:val="standardContextual"/>
        </w:rPr>
      </w:pPr>
      <w:hyperlink w:anchor="_Toc232612090" w:history="1">
        <w:r w:rsidRPr="00EE4B7B">
          <w:rPr>
            <w:rStyle w:val="Hyperlink"/>
          </w:rPr>
          <w:t>Sensitivity to timing</w:t>
        </w:r>
        <w:r>
          <w:rPr>
            <w:webHidden/>
          </w:rPr>
          <w:tab/>
        </w:r>
        <w:r>
          <w:rPr>
            <w:webHidden/>
          </w:rPr>
          <w:fldChar w:fldCharType="begin"/>
        </w:r>
        <w:r>
          <w:rPr>
            <w:webHidden/>
          </w:rPr>
          <w:instrText xml:space="preserve"> PAGEREF _Toc232612090 \h </w:instrText>
        </w:r>
        <w:r>
          <w:rPr>
            <w:webHidden/>
          </w:rPr>
        </w:r>
        <w:r>
          <w:rPr>
            <w:webHidden/>
          </w:rPr>
          <w:fldChar w:fldCharType="separate"/>
        </w:r>
        <w:r>
          <w:rPr>
            <w:webHidden/>
          </w:rPr>
          <w:t>50</w:t>
        </w:r>
        <w:r>
          <w:rPr>
            <w:webHidden/>
          </w:rPr>
          <w:fldChar w:fldCharType="end"/>
        </w:r>
      </w:hyperlink>
    </w:p>
    <w:p w14:paraId="2C3C47F7" w14:textId="2EFDF58B" w:rsidR="00082F4E" w:rsidRDefault="00082F4E">
      <w:pPr>
        <w:pStyle w:val="TOC2"/>
        <w:rPr>
          <w:rFonts w:asciiTheme="minorHAnsi" w:eastAsiaTheme="minorEastAsia" w:hAnsiTheme="minorHAnsi"/>
          <w:kern w:val="2"/>
          <w:sz w:val="24"/>
          <w:szCs w:val="24"/>
          <w:lang w:eastAsia="en-AU"/>
          <w14:ligatures w14:val="standardContextual"/>
        </w:rPr>
      </w:pPr>
      <w:hyperlink w:anchor="_Toc232612091" w:history="1">
        <w:r w:rsidRPr="00EE4B7B">
          <w:rPr>
            <w:rStyle w:val="Hyperlink"/>
          </w:rPr>
          <w:t>Sensitivity to AI exposure measures</w:t>
        </w:r>
        <w:r>
          <w:rPr>
            <w:webHidden/>
          </w:rPr>
          <w:tab/>
        </w:r>
        <w:r>
          <w:rPr>
            <w:webHidden/>
          </w:rPr>
          <w:fldChar w:fldCharType="begin"/>
        </w:r>
        <w:r>
          <w:rPr>
            <w:webHidden/>
          </w:rPr>
          <w:instrText xml:space="preserve"> PAGEREF _Toc232612091 \h </w:instrText>
        </w:r>
        <w:r>
          <w:rPr>
            <w:webHidden/>
          </w:rPr>
        </w:r>
        <w:r>
          <w:rPr>
            <w:webHidden/>
          </w:rPr>
          <w:fldChar w:fldCharType="separate"/>
        </w:r>
        <w:r>
          <w:rPr>
            <w:webHidden/>
          </w:rPr>
          <w:t>52</w:t>
        </w:r>
        <w:r>
          <w:rPr>
            <w:webHidden/>
          </w:rPr>
          <w:fldChar w:fldCharType="end"/>
        </w:r>
      </w:hyperlink>
    </w:p>
    <w:p w14:paraId="1FA1A49A" w14:textId="242B4B05" w:rsidR="00082F4E" w:rsidRDefault="00082F4E">
      <w:pPr>
        <w:pStyle w:val="TOC2"/>
        <w:rPr>
          <w:rFonts w:asciiTheme="minorHAnsi" w:eastAsiaTheme="minorEastAsia" w:hAnsiTheme="minorHAnsi"/>
          <w:kern w:val="2"/>
          <w:sz w:val="24"/>
          <w:szCs w:val="24"/>
          <w:lang w:eastAsia="en-AU"/>
          <w14:ligatures w14:val="standardContextual"/>
        </w:rPr>
      </w:pPr>
      <w:hyperlink w:anchor="_Toc232612092" w:history="1">
        <w:r w:rsidRPr="00EE4B7B">
          <w:rPr>
            <w:rStyle w:val="Hyperlink"/>
          </w:rPr>
          <w:t>Sensitivity to outcome measure</w:t>
        </w:r>
        <w:r>
          <w:rPr>
            <w:webHidden/>
          </w:rPr>
          <w:tab/>
        </w:r>
        <w:r>
          <w:rPr>
            <w:webHidden/>
          </w:rPr>
          <w:fldChar w:fldCharType="begin"/>
        </w:r>
        <w:r>
          <w:rPr>
            <w:webHidden/>
          </w:rPr>
          <w:instrText xml:space="preserve"> PAGEREF _Toc232612092 \h </w:instrText>
        </w:r>
        <w:r>
          <w:rPr>
            <w:webHidden/>
          </w:rPr>
        </w:r>
        <w:r>
          <w:rPr>
            <w:webHidden/>
          </w:rPr>
          <w:fldChar w:fldCharType="separate"/>
        </w:r>
        <w:r>
          <w:rPr>
            <w:webHidden/>
          </w:rPr>
          <w:t>53</w:t>
        </w:r>
        <w:r>
          <w:rPr>
            <w:webHidden/>
          </w:rPr>
          <w:fldChar w:fldCharType="end"/>
        </w:r>
      </w:hyperlink>
    </w:p>
    <w:p w14:paraId="17346191" w14:textId="42AB536A" w:rsidR="00082F4E" w:rsidRDefault="00082F4E">
      <w:pPr>
        <w:pStyle w:val="TOC2"/>
        <w:rPr>
          <w:rFonts w:asciiTheme="minorHAnsi" w:eastAsiaTheme="minorEastAsia" w:hAnsiTheme="minorHAnsi"/>
          <w:kern w:val="2"/>
          <w:sz w:val="24"/>
          <w:szCs w:val="24"/>
          <w:lang w:eastAsia="en-AU"/>
          <w14:ligatures w14:val="standardContextual"/>
        </w:rPr>
      </w:pPr>
      <w:hyperlink w:anchor="_Toc232612093" w:history="1">
        <w:r w:rsidRPr="00EE4B7B">
          <w:rPr>
            <w:rStyle w:val="Hyperlink"/>
          </w:rPr>
          <w:t>Sensitivity to model design choices</w:t>
        </w:r>
        <w:r>
          <w:rPr>
            <w:webHidden/>
          </w:rPr>
          <w:tab/>
        </w:r>
        <w:r>
          <w:rPr>
            <w:webHidden/>
          </w:rPr>
          <w:fldChar w:fldCharType="begin"/>
        </w:r>
        <w:r>
          <w:rPr>
            <w:webHidden/>
          </w:rPr>
          <w:instrText xml:space="preserve"> PAGEREF _Toc232612093 \h </w:instrText>
        </w:r>
        <w:r>
          <w:rPr>
            <w:webHidden/>
          </w:rPr>
        </w:r>
        <w:r>
          <w:rPr>
            <w:webHidden/>
          </w:rPr>
          <w:fldChar w:fldCharType="separate"/>
        </w:r>
        <w:r>
          <w:rPr>
            <w:webHidden/>
          </w:rPr>
          <w:t>54</w:t>
        </w:r>
        <w:r>
          <w:rPr>
            <w:webHidden/>
          </w:rPr>
          <w:fldChar w:fldCharType="end"/>
        </w:r>
      </w:hyperlink>
    </w:p>
    <w:p w14:paraId="4F8FC54D" w14:textId="794C29DD" w:rsidR="00082F4E" w:rsidRDefault="00082F4E">
      <w:pPr>
        <w:pStyle w:val="TOC2"/>
        <w:rPr>
          <w:rFonts w:asciiTheme="minorHAnsi" w:eastAsiaTheme="minorEastAsia" w:hAnsiTheme="minorHAnsi"/>
          <w:kern w:val="2"/>
          <w:sz w:val="24"/>
          <w:szCs w:val="24"/>
          <w:lang w:eastAsia="en-AU"/>
          <w14:ligatures w14:val="standardContextual"/>
        </w:rPr>
      </w:pPr>
      <w:hyperlink w:anchor="_Toc232612094" w:history="1">
        <w:r w:rsidRPr="00EE4B7B">
          <w:rPr>
            <w:rStyle w:val="Hyperlink"/>
          </w:rPr>
          <w:t>Robustness tests suggest caution</w:t>
        </w:r>
        <w:r>
          <w:rPr>
            <w:webHidden/>
          </w:rPr>
          <w:tab/>
        </w:r>
        <w:r>
          <w:rPr>
            <w:webHidden/>
          </w:rPr>
          <w:fldChar w:fldCharType="begin"/>
        </w:r>
        <w:r>
          <w:rPr>
            <w:webHidden/>
          </w:rPr>
          <w:instrText xml:space="preserve"> PAGEREF _Toc232612094 \h </w:instrText>
        </w:r>
        <w:r>
          <w:rPr>
            <w:webHidden/>
          </w:rPr>
        </w:r>
        <w:r>
          <w:rPr>
            <w:webHidden/>
          </w:rPr>
          <w:fldChar w:fldCharType="separate"/>
        </w:r>
        <w:r>
          <w:rPr>
            <w:webHidden/>
          </w:rPr>
          <w:t>55</w:t>
        </w:r>
        <w:r>
          <w:rPr>
            <w:webHidden/>
          </w:rPr>
          <w:fldChar w:fldCharType="end"/>
        </w:r>
      </w:hyperlink>
    </w:p>
    <w:p w14:paraId="5990FBB4" w14:textId="6176E361" w:rsidR="00082F4E" w:rsidRDefault="00082F4E">
      <w:pPr>
        <w:pStyle w:val="TOC1"/>
        <w:rPr>
          <w:rFonts w:asciiTheme="minorHAnsi" w:eastAsiaTheme="minorEastAsia" w:hAnsiTheme="minorHAnsi" w:cstheme="minorBidi"/>
          <w:b w:val="0"/>
          <w:kern w:val="2"/>
          <w:sz w:val="24"/>
          <w:szCs w:val="24"/>
          <w:lang w:eastAsia="en-AU"/>
          <w14:ligatures w14:val="standardContextual"/>
        </w:rPr>
      </w:pPr>
      <w:hyperlink w:anchor="_Toc232612095" w:history="1">
        <w:r w:rsidRPr="00EE4B7B">
          <w:rPr>
            <w:rStyle w:val="Hyperlink"/>
          </w:rPr>
          <w:t>Interpreting the evidence</w:t>
        </w:r>
        <w:r>
          <w:rPr>
            <w:webHidden/>
          </w:rPr>
          <w:tab/>
        </w:r>
        <w:r>
          <w:rPr>
            <w:webHidden/>
          </w:rPr>
          <w:fldChar w:fldCharType="begin"/>
        </w:r>
        <w:r>
          <w:rPr>
            <w:webHidden/>
          </w:rPr>
          <w:instrText xml:space="preserve"> PAGEREF _Toc232612095 \h </w:instrText>
        </w:r>
        <w:r>
          <w:rPr>
            <w:webHidden/>
          </w:rPr>
        </w:r>
        <w:r>
          <w:rPr>
            <w:webHidden/>
          </w:rPr>
          <w:fldChar w:fldCharType="separate"/>
        </w:r>
        <w:r>
          <w:rPr>
            <w:webHidden/>
          </w:rPr>
          <w:t>57</w:t>
        </w:r>
        <w:r>
          <w:rPr>
            <w:webHidden/>
          </w:rPr>
          <w:fldChar w:fldCharType="end"/>
        </w:r>
      </w:hyperlink>
    </w:p>
    <w:p w14:paraId="2A151557" w14:textId="30AC2005" w:rsidR="00082F4E" w:rsidRDefault="00082F4E">
      <w:pPr>
        <w:pStyle w:val="TOC2"/>
        <w:rPr>
          <w:rFonts w:asciiTheme="minorHAnsi" w:eastAsiaTheme="minorEastAsia" w:hAnsiTheme="minorHAnsi"/>
          <w:kern w:val="2"/>
          <w:sz w:val="24"/>
          <w:szCs w:val="24"/>
          <w:lang w:eastAsia="en-AU"/>
          <w14:ligatures w14:val="standardContextual"/>
        </w:rPr>
      </w:pPr>
      <w:hyperlink w:anchor="_Toc232612096" w:history="1">
        <w:r w:rsidRPr="00EE4B7B">
          <w:rPr>
            <w:rStyle w:val="Hyperlink"/>
          </w:rPr>
          <w:t>There are other potential explanations for softness in exposed occupations</w:t>
        </w:r>
        <w:r>
          <w:rPr>
            <w:webHidden/>
          </w:rPr>
          <w:tab/>
        </w:r>
        <w:r>
          <w:rPr>
            <w:webHidden/>
          </w:rPr>
          <w:fldChar w:fldCharType="begin"/>
        </w:r>
        <w:r>
          <w:rPr>
            <w:webHidden/>
          </w:rPr>
          <w:instrText xml:space="preserve"> PAGEREF _Toc232612096 \h </w:instrText>
        </w:r>
        <w:r>
          <w:rPr>
            <w:webHidden/>
          </w:rPr>
        </w:r>
        <w:r>
          <w:rPr>
            <w:webHidden/>
          </w:rPr>
          <w:fldChar w:fldCharType="separate"/>
        </w:r>
        <w:r>
          <w:rPr>
            <w:webHidden/>
          </w:rPr>
          <w:t>57</w:t>
        </w:r>
        <w:r>
          <w:rPr>
            <w:webHidden/>
          </w:rPr>
          <w:fldChar w:fldCharType="end"/>
        </w:r>
      </w:hyperlink>
    </w:p>
    <w:p w14:paraId="05E06222" w14:textId="1E7AB4BD" w:rsidR="00082F4E" w:rsidRDefault="00082F4E">
      <w:pPr>
        <w:pStyle w:val="TOC2"/>
        <w:rPr>
          <w:rFonts w:asciiTheme="minorHAnsi" w:eastAsiaTheme="minorEastAsia" w:hAnsiTheme="minorHAnsi"/>
          <w:kern w:val="2"/>
          <w:sz w:val="24"/>
          <w:szCs w:val="24"/>
          <w:lang w:eastAsia="en-AU"/>
          <w14:ligatures w14:val="standardContextual"/>
        </w:rPr>
      </w:pPr>
      <w:hyperlink w:anchor="_Toc232612097" w:history="1">
        <w:r w:rsidRPr="00EE4B7B">
          <w:rPr>
            <w:rStyle w:val="Hyperlink"/>
          </w:rPr>
          <w:t>What we can and cannot conclude</w:t>
        </w:r>
        <w:r>
          <w:rPr>
            <w:webHidden/>
          </w:rPr>
          <w:tab/>
        </w:r>
        <w:r>
          <w:rPr>
            <w:webHidden/>
          </w:rPr>
          <w:fldChar w:fldCharType="begin"/>
        </w:r>
        <w:r>
          <w:rPr>
            <w:webHidden/>
          </w:rPr>
          <w:instrText xml:space="preserve"> PAGEREF _Toc232612097 \h </w:instrText>
        </w:r>
        <w:r>
          <w:rPr>
            <w:webHidden/>
          </w:rPr>
        </w:r>
        <w:r>
          <w:rPr>
            <w:webHidden/>
          </w:rPr>
          <w:fldChar w:fldCharType="separate"/>
        </w:r>
        <w:r>
          <w:rPr>
            <w:webHidden/>
          </w:rPr>
          <w:t>57</w:t>
        </w:r>
        <w:r>
          <w:rPr>
            <w:webHidden/>
          </w:rPr>
          <w:fldChar w:fldCharType="end"/>
        </w:r>
      </w:hyperlink>
    </w:p>
    <w:p w14:paraId="0C215652" w14:textId="65F81A42" w:rsidR="00082F4E" w:rsidRDefault="00082F4E">
      <w:pPr>
        <w:pStyle w:val="TOC2"/>
        <w:rPr>
          <w:rFonts w:asciiTheme="minorHAnsi" w:eastAsiaTheme="minorEastAsia" w:hAnsiTheme="minorHAnsi"/>
          <w:kern w:val="2"/>
          <w:sz w:val="24"/>
          <w:szCs w:val="24"/>
          <w:lang w:eastAsia="en-AU"/>
          <w14:ligatures w14:val="standardContextual"/>
        </w:rPr>
      </w:pPr>
      <w:hyperlink w:anchor="_Toc232612098" w:history="1">
        <w:r w:rsidRPr="00EE4B7B">
          <w:rPr>
            <w:rStyle w:val="Hyperlink"/>
          </w:rPr>
          <w:t>Potential future work</w:t>
        </w:r>
        <w:r>
          <w:rPr>
            <w:webHidden/>
          </w:rPr>
          <w:tab/>
        </w:r>
        <w:r>
          <w:rPr>
            <w:webHidden/>
          </w:rPr>
          <w:fldChar w:fldCharType="begin"/>
        </w:r>
        <w:r>
          <w:rPr>
            <w:webHidden/>
          </w:rPr>
          <w:instrText xml:space="preserve"> PAGEREF _Toc232612098 \h </w:instrText>
        </w:r>
        <w:r>
          <w:rPr>
            <w:webHidden/>
          </w:rPr>
        </w:r>
        <w:r>
          <w:rPr>
            <w:webHidden/>
          </w:rPr>
          <w:fldChar w:fldCharType="separate"/>
        </w:r>
        <w:r>
          <w:rPr>
            <w:webHidden/>
          </w:rPr>
          <w:t>58</w:t>
        </w:r>
        <w:r>
          <w:rPr>
            <w:webHidden/>
          </w:rPr>
          <w:fldChar w:fldCharType="end"/>
        </w:r>
      </w:hyperlink>
    </w:p>
    <w:p w14:paraId="75F94274" w14:textId="75979E48" w:rsidR="00082F4E" w:rsidRDefault="00082F4E">
      <w:pPr>
        <w:pStyle w:val="TOC2"/>
        <w:rPr>
          <w:rFonts w:asciiTheme="minorHAnsi" w:eastAsiaTheme="minorEastAsia" w:hAnsiTheme="minorHAnsi"/>
          <w:kern w:val="2"/>
          <w:sz w:val="24"/>
          <w:szCs w:val="24"/>
          <w:lang w:eastAsia="en-AU"/>
          <w14:ligatures w14:val="standardContextual"/>
        </w:rPr>
      </w:pPr>
      <w:hyperlink w:anchor="_Toc232612099" w:history="1">
        <w:r w:rsidRPr="00EE4B7B">
          <w:rPr>
            <w:rStyle w:val="Hyperlink"/>
          </w:rPr>
          <w:t>Conclusion</w:t>
        </w:r>
        <w:r>
          <w:rPr>
            <w:webHidden/>
          </w:rPr>
          <w:tab/>
        </w:r>
        <w:r>
          <w:rPr>
            <w:webHidden/>
          </w:rPr>
          <w:fldChar w:fldCharType="begin"/>
        </w:r>
        <w:r>
          <w:rPr>
            <w:webHidden/>
          </w:rPr>
          <w:instrText xml:space="preserve"> PAGEREF _Toc232612099 \h </w:instrText>
        </w:r>
        <w:r>
          <w:rPr>
            <w:webHidden/>
          </w:rPr>
        </w:r>
        <w:r>
          <w:rPr>
            <w:webHidden/>
          </w:rPr>
          <w:fldChar w:fldCharType="separate"/>
        </w:r>
        <w:r>
          <w:rPr>
            <w:webHidden/>
          </w:rPr>
          <w:t>58</w:t>
        </w:r>
        <w:r>
          <w:rPr>
            <w:webHidden/>
          </w:rPr>
          <w:fldChar w:fldCharType="end"/>
        </w:r>
      </w:hyperlink>
    </w:p>
    <w:p w14:paraId="767764F5" w14:textId="1F41189F" w:rsidR="00082F4E" w:rsidRDefault="00082F4E">
      <w:pPr>
        <w:pStyle w:val="TOC1"/>
        <w:rPr>
          <w:rFonts w:asciiTheme="minorHAnsi" w:eastAsiaTheme="minorEastAsia" w:hAnsiTheme="minorHAnsi" w:cstheme="minorBidi"/>
          <w:b w:val="0"/>
          <w:kern w:val="2"/>
          <w:sz w:val="24"/>
          <w:szCs w:val="24"/>
          <w:lang w:eastAsia="en-AU"/>
          <w14:ligatures w14:val="standardContextual"/>
        </w:rPr>
      </w:pPr>
      <w:hyperlink w:anchor="_Toc232612100" w:history="1">
        <w:r w:rsidRPr="00EE4B7B">
          <w:rPr>
            <w:rStyle w:val="Hyperlink"/>
          </w:rPr>
          <w:t>References</w:t>
        </w:r>
        <w:r>
          <w:rPr>
            <w:webHidden/>
          </w:rPr>
          <w:tab/>
        </w:r>
        <w:r>
          <w:rPr>
            <w:webHidden/>
          </w:rPr>
          <w:fldChar w:fldCharType="begin"/>
        </w:r>
        <w:r>
          <w:rPr>
            <w:webHidden/>
          </w:rPr>
          <w:instrText xml:space="preserve"> PAGEREF _Toc232612100 \h </w:instrText>
        </w:r>
        <w:r>
          <w:rPr>
            <w:webHidden/>
          </w:rPr>
        </w:r>
        <w:r>
          <w:rPr>
            <w:webHidden/>
          </w:rPr>
          <w:fldChar w:fldCharType="separate"/>
        </w:r>
        <w:r>
          <w:rPr>
            <w:webHidden/>
          </w:rPr>
          <w:t>59</w:t>
        </w:r>
        <w:r>
          <w:rPr>
            <w:webHidden/>
          </w:rPr>
          <w:fldChar w:fldCharType="end"/>
        </w:r>
      </w:hyperlink>
    </w:p>
    <w:p w14:paraId="5D68FEEB" w14:textId="662FE233" w:rsidR="00082F4E" w:rsidRDefault="00082F4E">
      <w:pPr>
        <w:pStyle w:val="TOC1"/>
        <w:rPr>
          <w:rFonts w:asciiTheme="minorHAnsi" w:eastAsiaTheme="minorEastAsia" w:hAnsiTheme="minorHAnsi" w:cstheme="minorBidi"/>
          <w:b w:val="0"/>
          <w:kern w:val="2"/>
          <w:sz w:val="24"/>
          <w:szCs w:val="24"/>
          <w:lang w:eastAsia="en-AU"/>
          <w14:ligatures w14:val="standardContextual"/>
        </w:rPr>
      </w:pPr>
      <w:hyperlink w:anchor="_Toc232612101" w:history="1">
        <w:r w:rsidRPr="00EE4B7B">
          <w:rPr>
            <w:rStyle w:val="Hyperlink"/>
          </w:rPr>
          <w:t>Appendix A: Measuring AI exposure</w:t>
        </w:r>
        <w:r>
          <w:rPr>
            <w:webHidden/>
          </w:rPr>
          <w:tab/>
        </w:r>
        <w:r>
          <w:rPr>
            <w:webHidden/>
          </w:rPr>
          <w:fldChar w:fldCharType="begin"/>
        </w:r>
        <w:r>
          <w:rPr>
            <w:webHidden/>
          </w:rPr>
          <w:instrText xml:space="preserve"> PAGEREF _Toc232612101 \h </w:instrText>
        </w:r>
        <w:r>
          <w:rPr>
            <w:webHidden/>
          </w:rPr>
        </w:r>
        <w:r>
          <w:rPr>
            <w:webHidden/>
          </w:rPr>
          <w:fldChar w:fldCharType="separate"/>
        </w:r>
        <w:r>
          <w:rPr>
            <w:webHidden/>
          </w:rPr>
          <w:t>63</w:t>
        </w:r>
        <w:r>
          <w:rPr>
            <w:webHidden/>
          </w:rPr>
          <w:fldChar w:fldCharType="end"/>
        </w:r>
      </w:hyperlink>
    </w:p>
    <w:p w14:paraId="20085736" w14:textId="30C9F347" w:rsidR="00082F4E" w:rsidRDefault="00082F4E">
      <w:pPr>
        <w:pStyle w:val="TOC2"/>
        <w:rPr>
          <w:rFonts w:asciiTheme="minorHAnsi" w:eastAsiaTheme="minorEastAsia" w:hAnsiTheme="minorHAnsi"/>
          <w:kern w:val="2"/>
          <w:sz w:val="24"/>
          <w:szCs w:val="24"/>
          <w:lang w:eastAsia="en-AU"/>
          <w14:ligatures w14:val="standardContextual"/>
        </w:rPr>
      </w:pPr>
      <w:hyperlink w:anchor="_Toc232612102" w:history="1">
        <w:r w:rsidRPr="00EE4B7B">
          <w:rPr>
            <w:rStyle w:val="Hyperlink"/>
          </w:rPr>
          <w:t>The JSA approach</w:t>
        </w:r>
        <w:r>
          <w:rPr>
            <w:webHidden/>
          </w:rPr>
          <w:tab/>
        </w:r>
        <w:r>
          <w:rPr>
            <w:webHidden/>
          </w:rPr>
          <w:fldChar w:fldCharType="begin"/>
        </w:r>
        <w:r>
          <w:rPr>
            <w:webHidden/>
          </w:rPr>
          <w:instrText xml:space="preserve"> PAGEREF _Toc232612102 \h </w:instrText>
        </w:r>
        <w:r>
          <w:rPr>
            <w:webHidden/>
          </w:rPr>
        </w:r>
        <w:r>
          <w:rPr>
            <w:webHidden/>
          </w:rPr>
          <w:fldChar w:fldCharType="separate"/>
        </w:r>
        <w:r>
          <w:rPr>
            <w:webHidden/>
          </w:rPr>
          <w:t>63</w:t>
        </w:r>
        <w:r>
          <w:rPr>
            <w:webHidden/>
          </w:rPr>
          <w:fldChar w:fldCharType="end"/>
        </w:r>
      </w:hyperlink>
    </w:p>
    <w:p w14:paraId="7B068449" w14:textId="20B7091B" w:rsidR="00082F4E" w:rsidRDefault="00082F4E">
      <w:pPr>
        <w:pStyle w:val="TOC2"/>
        <w:rPr>
          <w:rFonts w:asciiTheme="minorHAnsi" w:eastAsiaTheme="minorEastAsia" w:hAnsiTheme="minorHAnsi"/>
          <w:kern w:val="2"/>
          <w:sz w:val="24"/>
          <w:szCs w:val="24"/>
          <w:lang w:eastAsia="en-AU"/>
          <w14:ligatures w14:val="standardContextual"/>
        </w:rPr>
      </w:pPr>
      <w:hyperlink w:anchor="_Toc232612103" w:history="1">
        <w:r w:rsidRPr="00EE4B7B">
          <w:rPr>
            <w:rStyle w:val="Hyperlink"/>
          </w:rPr>
          <w:t>Selected alternative approaches</w:t>
        </w:r>
        <w:r>
          <w:rPr>
            <w:webHidden/>
          </w:rPr>
          <w:tab/>
        </w:r>
        <w:r>
          <w:rPr>
            <w:webHidden/>
          </w:rPr>
          <w:fldChar w:fldCharType="begin"/>
        </w:r>
        <w:r>
          <w:rPr>
            <w:webHidden/>
          </w:rPr>
          <w:instrText xml:space="preserve"> PAGEREF _Toc232612103 \h </w:instrText>
        </w:r>
        <w:r>
          <w:rPr>
            <w:webHidden/>
          </w:rPr>
        </w:r>
        <w:r>
          <w:rPr>
            <w:webHidden/>
          </w:rPr>
          <w:fldChar w:fldCharType="separate"/>
        </w:r>
        <w:r>
          <w:rPr>
            <w:webHidden/>
          </w:rPr>
          <w:t>63</w:t>
        </w:r>
        <w:r>
          <w:rPr>
            <w:webHidden/>
          </w:rPr>
          <w:fldChar w:fldCharType="end"/>
        </w:r>
      </w:hyperlink>
    </w:p>
    <w:p w14:paraId="440DE446" w14:textId="791265F3" w:rsidR="00082F4E" w:rsidRDefault="00082F4E">
      <w:pPr>
        <w:pStyle w:val="TOC2"/>
        <w:rPr>
          <w:rFonts w:asciiTheme="minorHAnsi" w:eastAsiaTheme="minorEastAsia" w:hAnsiTheme="minorHAnsi"/>
          <w:kern w:val="2"/>
          <w:sz w:val="24"/>
          <w:szCs w:val="24"/>
          <w:lang w:eastAsia="en-AU"/>
          <w14:ligatures w14:val="standardContextual"/>
        </w:rPr>
      </w:pPr>
      <w:hyperlink w:anchor="_Toc232612104" w:history="1">
        <w:r w:rsidRPr="00EE4B7B">
          <w:rPr>
            <w:rStyle w:val="Hyperlink"/>
          </w:rPr>
          <w:t>Converting US measures to ANZSCO</w:t>
        </w:r>
        <w:r>
          <w:rPr>
            <w:webHidden/>
          </w:rPr>
          <w:tab/>
        </w:r>
        <w:r>
          <w:rPr>
            <w:webHidden/>
          </w:rPr>
          <w:fldChar w:fldCharType="begin"/>
        </w:r>
        <w:r>
          <w:rPr>
            <w:webHidden/>
          </w:rPr>
          <w:instrText xml:space="preserve"> PAGEREF _Toc232612104 \h </w:instrText>
        </w:r>
        <w:r>
          <w:rPr>
            <w:webHidden/>
          </w:rPr>
        </w:r>
        <w:r>
          <w:rPr>
            <w:webHidden/>
          </w:rPr>
          <w:fldChar w:fldCharType="separate"/>
        </w:r>
        <w:r>
          <w:rPr>
            <w:webHidden/>
          </w:rPr>
          <w:t>64</w:t>
        </w:r>
        <w:r>
          <w:rPr>
            <w:webHidden/>
          </w:rPr>
          <w:fldChar w:fldCharType="end"/>
        </w:r>
      </w:hyperlink>
    </w:p>
    <w:p w14:paraId="63FB1FBA" w14:textId="505B34CF" w:rsidR="00082F4E" w:rsidRDefault="00082F4E">
      <w:pPr>
        <w:pStyle w:val="TOC2"/>
        <w:rPr>
          <w:rFonts w:asciiTheme="minorHAnsi" w:eastAsiaTheme="minorEastAsia" w:hAnsiTheme="minorHAnsi"/>
          <w:kern w:val="2"/>
          <w:sz w:val="24"/>
          <w:szCs w:val="24"/>
          <w:lang w:eastAsia="en-AU"/>
          <w14:ligatures w14:val="standardContextual"/>
        </w:rPr>
      </w:pPr>
      <w:hyperlink w:anchor="_Toc232612105" w:history="1">
        <w:r w:rsidRPr="00EE4B7B">
          <w:rPr>
            <w:rStyle w:val="Hyperlink"/>
          </w:rPr>
          <w:t>Comparing scores across measures</w:t>
        </w:r>
        <w:r>
          <w:rPr>
            <w:webHidden/>
          </w:rPr>
          <w:tab/>
        </w:r>
        <w:r>
          <w:rPr>
            <w:webHidden/>
          </w:rPr>
          <w:fldChar w:fldCharType="begin"/>
        </w:r>
        <w:r>
          <w:rPr>
            <w:webHidden/>
          </w:rPr>
          <w:instrText xml:space="preserve"> PAGEREF _Toc232612105 \h </w:instrText>
        </w:r>
        <w:r>
          <w:rPr>
            <w:webHidden/>
          </w:rPr>
        </w:r>
        <w:r>
          <w:rPr>
            <w:webHidden/>
          </w:rPr>
          <w:fldChar w:fldCharType="separate"/>
        </w:r>
        <w:r>
          <w:rPr>
            <w:webHidden/>
          </w:rPr>
          <w:t>65</w:t>
        </w:r>
        <w:r>
          <w:rPr>
            <w:webHidden/>
          </w:rPr>
          <w:fldChar w:fldCharType="end"/>
        </w:r>
      </w:hyperlink>
    </w:p>
    <w:p w14:paraId="33FD1BA8" w14:textId="34B0D879" w:rsidR="00082F4E" w:rsidRDefault="00082F4E">
      <w:pPr>
        <w:pStyle w:val="TOC1"/>
        <w:rPr>
          <w:rFonts w:asciiTheme="minorHAnsi" w:eastAsiaTheme="minorEastAsia" w:hAnsiTheme="minorHAnsi" w:cstheme="minorBidi"/>
          <w:b w:val="0"/>
          <w:kern w:val="2"/>
          <w:sz w:val="24"/>
          <w:szCs w:val="24"/>
          <w:lang w:eastAsia="en-AU"/>
          <w14:ligatures w14:val="standardContextual"/>
        </w:rPr>
      </w:pPr>
      <w:hyperlink w:anchor="_Toc232612106" w:history="1">
        <w:r w:rsidRPr="00EE4B7B">
          <w:rPr>
            <w:rStyle w:val="Hyperlink"/>
          </w:rPr>
          <w:t>Appendix B: Additional details for core statistical model</w:t>
        </w:r>
        <w:r>
          <w:rPr>
            <w:webHidden/>
          </w:rPr>
          <w:tab/>
        </w:r>
        <w:r>
          <w:rPr>
            <w:webHidden/>
          </w:rPr>
          <w:fldChar w:fldCharType="begin"/>
        </w:r>
        <w:r>
          <w:rPr>
            <w:webHidden/>
          </w:rPr>
          <w:instrText xml:space="preserve"> PAGEREF _Toc232612106 \h </w:instrText>
        </w:r>
        <w:r>
          <w:rPr>
            <w:webHidden/>
          </w:rPr>
        </w:r>
        <w:r>
          <w:rPr>
            <w:webHidden/>
          </w:rPr>
          <w:fldChar w:fldCharType="separate"/>
        </w:r>
        <w:r>
          <w:rPr>
            <w:webHidden/>
          </w:rPr>
          <w:t>67</w:t>
        </w:r>
        <w:r>
          <w:rPr>
            <w:webHidden/>
          </w:rPr>
          <w:fldChar w:fldCharType="end"/>
        </w:r>
      </w:hyperlink>
    </w:p>
    <w:p w14:paraId="101AC3E4" w14:textId="21A4B174" w:rsidR="00082F4E" w:rsidRDefault="00082F4E">
      <w:pPr>
        <w:pStyle w:val="TOC2"/>
        <w:rPr>
          <w:rFonts w:asciiTheme="minorHAnsi" w:eastAsiaTheme="minorEastAsia" w:hAnsiTheme="minorHAnsi"/>
          <w:kern w:val="2"/>
          <w:sz w:val="24"/>
          <w:szCs w:val="24"/>
          <w:lang w:eastAsia="en-AU"/>
          <w14:ligatures w14:val="standardContextual"/>
        </w:rPr>
      </w:pPr>
      <w:hyperlink w:anchor="_Toc232612107" w:history="1">
        <w:r w:rsidRPr="00EE4B7B">
          <w:rPr>
            <w:rStyle w:val="Hyperlink"/>
          </w:rPr>
          <w:t>Data</w:t>
        </w:r>
        <w:r>
          <w:rPr>
            <w:webHidden/>
          </w:rPr>
          <w:tab/>
        </w:r>
        <w:r>
          <w:rPr>
            <w:webHidden/>
          </w:rPr>
          <w:fldChar w:fldCharType="begin"/>
        </w:r>
        <w:r>
          <w:rPr>
            <w:webHidden/>
          </w:rPr>
          <w:instrText xml:space="preserve"> PAGEREF _Toc232612107 \h </w:instrText>
        </w:r>
        <w:r>
          <w:rPr>
            <w:webHidden/>
          </w:rPr>
        </w:r>
        <w:r>
          <w:rPr>
            <w:webHidden/>
          </w:rPr>
          <w:fldChar w:fldCharType="separate"/>
        </w:r>
        <w:r>
          <w:rPr>
            <w:webHidden/>
          </w:rPr>
          <w:t>67</w:t>
        </w:r>
        <w:r>
          <w:rPr>
            <w:webHidden/>
          </w:rPr>
          <w:fldChar w:fldCharType="end"/>
        </w:r>
      </w:hyperlink>
    </w:p>
    <w:p w14:paraId="6DD9BCB8" w14:textId="7CCD11D3" w:rsidR="00082F4E" w:rsidRDefault="00082F4E">
      <w:pPr>
        <w:pStyle w:val="TOC2"/>
        <w:rPr>
          <w:rFonts w:asciiTheme="minorHAnsi" w:eastAsiaTheme="minorEastAsia" w:hAnsiTheme="minorHAnsi"/>
          <w:kern w:val="2"/>
          <w:sz w:val="24"/>
          <w:szCs w:val="24"/>
          <w:lang w:eastAsia="en-AU"/>
          <w14:ligatures w14:val="standardContextual"/>
        </w:rPr>
      </w:pPr>
      <w:hyperlink w:anchor="_Toc232612108" w:history="1">
        <w:r w:rsidRPr="00EE4B7B">
          <w:rPr>
            <w:rStyle w:val="Hyperlink"/>
          </w:rPr>
          <w:t>The core model specification</w:t>
        </w:r>
        <w:r>
          <w:rPr>
            <w:webHidden/>
          </w:rPr>
          <w:tab/>
        </w:r>
        <w:r>
          <w:rPr>
            <w:webHidden/>
          </w:rPr>
          <w:fldChar w:fldCharType="begin"/>
        </w:r>
        <w:r>
          <w:rPr>
            <w:webHidden/>
          </w:rPr>
          <w:instrText xml:space="preserve"> PAGEREF _Toc232612108 \h </w:instrText>
        </w:r>
        <w:r>
          <w:rPr>
            <w:webHidden/>
          </w:rPr>
        </w:r>
        <w:r>
          <w:rPr>
            <w:webHidden/>
          </w:rPr>
          <w:fldChar w:fldCharType="separate"/>
        </w:r>
        <w:r>
          <w:rPr>
            <w:webHidden/>
          </w:rPr>
          <w:t>67</w:t>
        </w:r>
        <w:r>
          <w:rPr>
            <w:webHidden/>
          </w:rPr>
          <w:fldChar w:fldCharType="end"/>
        </w:r>
      </w:hyperlink>
    </w:p>
    <w:p w14:paraId="5529D634" w14:textId="2B3E241E" w:rsidR="00082F4E" w:rsidRDefault="00082F4E">
      <w:pPr>
        <w:pStyle w:val="TOC2"/>
        <w:rPr>
          <w:rFonts w:asciiTheme="minorHAnsi" w:eastAsiaTheme="minorEastAsia" w:hAnsiTheme="minorHAnsi"/>
          <w:kern w:val="2"/>
          <w:sz w:val="24"/>
          <w:szCs w:val="24"/>
          <w:lang w:eastAsia="en-AU"/>
          <w14:ligatures w14:val="standardContextual"/>
        </w:rPr>
      </w:pPr>
      <w:hyperlink w:anchor="_Toc232612109" w:history="1">
        <w:r w:rsidRPr="00EE4B7B">
          <w:rPr>
            <w:rStyle w:val="Hyperlink"/>
          </w:rPr>
          <w:t>What the model measures</w:t>
        </w:r>
        <w:r>
          <w:rPr>
            <w:webHidden/>
          </w:rPr>
          <w:tab/>
        </w:r>
        <w:r>
          <w:rPr>
            <w:webHidden/>
          </w:rPr>
          <w:fldChar w:fldCharType="begin"/>
        </w:r>
        <w:r>
          <w:rPr>
            <w:webHidden/>
          </w:rPr>
          <w:instrText xml:space="preserve"> PAGEREF _Toc232612109 \h </w:instrText>
        </w:r>
        <w:r>
          <w:rPr>
            <w:webHidden/>
          </w:rPr>
        </w:r>
        <w:r>
          <w:rPr>
            <w:webHidden/>
          </w:rPr>
          <w:fldChar w:fldCharType="separate"/>
        </w:r>
        <w:r>
          <w:rPr>
            <w:webHidden/>
          </w:rPr>
          <w:t>69</w:t>
        </w:r>
        <w:r>
          <w:rPr>
            <w:webHidden/>
          </w:rPr>
          <w:fldChar w:fldCharType="end"/>
        </w:r>
      </w:hyperlink>
    </w:p>
    <w:p w14:paraId="410B705E" w14:textId="320455EE" w:rsidR="00082F4E" w:rsidRDefault="00082F4E">
      <w:pPr>
        <w:pStyle w:val="TOC2"/>
        <w:rPr>
          <w:rFonts w:asciiTheme="minorHAnsi" w:eastAsiaTheme="minorEastAsia" w:hAnsiTheme="minorHAnsi"/>
          <w:kern w:val="2"/>
          <w:sz w:val="24"/>
          <w:szCs w:val="24"/>
          <w:lang w:eastAsia="en-AU"/>
          <w14:ligatures w14:val="standardContextual"/>
        </w:rPr>
      </w:pPr>
      <w:hyperlink w:anchor="_Toc232612110" w:history="1">
        <w:r w:rsidRPr="00EE4B7B">
          <w:rPr>
            <w:rStyle w:val="Hyperlink"/>
          </w:rPr>
          <w:t>What the core model finds</w:t>
        </w:r>
        <w:r>
          <w:rPr>
            <w:webHidden/>
          </w:rPr>
          <w:tab/>
        </w:r>
        <w:r>
          <w:rPr>
            <w:webHidden/>
          </w:rPr>
          <w:fldChar w:fldCharType="begin"/>
        </w:r>
        <w:r>
          <w:rPr>
            <w:webHidden/>
          </w:rPr>
          <w:instrText xml:space="preserve"> PAGEREF _Toc232612110 \h </w:instrText>
        </w:r>
        <w:r>
          <w:rPr>
            <w:webHidden/>
          </w:rPr>
        </w:r>
        <w:r>
          <w:rPr>
            <w:webHidden/>
          </w:rPr>
          <w:fldChar w:fldCharType="separate"/>
        </w:r>
        <w:r>
          <w:rPr>
            <w:webHidden/>
          </w:rPr>
          <w:t>71</w:t>
        </w:r>
        <w:r>
          <w:rPr>
            <w:webHidden/>
          </w:rPr>
          <w:fldChar w:fldCharType="end"/>
        </w:r>
      </w:hyperlink>
    </w:p>
    <w:p w14:paraId="6EE29A11" w14:textId="120DB16F" w:rsidR="00082F4E" w:rsidRDefault="00082F4E">
      <w:pPr>
        <w:pStyle w:val="TOC2"/>
        <w:rPr>
          <w:rFonts w:asciiTheme="minorHAnsi" w:eastAsiaTheme="minorEastAsia" w:hAnsiTheme="minorHAnsi"/>
          <w:kern w:val="2"/>
          <w:sz w:val="24"/>
          <w:szCs w:val="24"/>
          <w:lang w:eastAsia="en-AU"/>
          <w14:ligatures w14:val="standardContextual"/>
        </w:rPr>
      </w:pPr>
      <w:hyperlink w:anchor="_Toc232612111" w:history="1">
        <w:r w:rsidRPr="00EE4B7B">
          <w:rPr>
            <w:rStyle w:val="Hyperlink"/>
          </w:rPr>
          <w:t>Model limitations</w:t>
        </w:r>
        <w:r>
          <w:rPr>
            <w:webHidden/>
          </w:rPr>
          <w:tab/>
        </w:r>
        <w:r>
          <w:rPr>
            <w:webHidden/>
          </w:rPr>
          <w:fldChar w:fldCharType="begin"/>
        </w:r>
        <w:r>
          <w:rPr>
            <w:webHidden/>
          </w:rPr>
          <w:instrText xml:space="preserve"> PAGEREF _Toc232612111 \h </w:instrText>
        </w:r>
        <w:r>
          <w:rPr>
            <w:webHidden/>
          </w:rPr>
        </w:r>
        <w:r>
          <w:rPr>
            <w:webHidden/>
          </w:rPr>
          <w:fldChar w:fldCharType="separate"/>
        </w:r>
        <w:r>
          <w:rPr>
            <w:webHidden/>
          </w:rPr>
          <w:t>71</w:t>
        </w:r>
        <w:r>
          <w:rPr>
            <w:webHidden/>
          </w:rPr>
          <w:fldChar w:fldCharType="end"/>
        </w:r>
      </w:hyperlink>
    </w:p>
    <w:p w14:paraId="063D68CD" w14:textId="26AAA679" w:rsidR="00082F4E" w:rsidRDefault="00082F4E">
      <w:pPr>
        <w:pStyle w:val="TOC2"/>
        <w:rPr>
          <w:rFonts w:asciiTheme="minorHAnsi" w:eastAsiaTheme="minorEastAsia" w:hAnsiTheme="minorHAnsi"/>
          <w:kern w:val="2"/>
          <w:sz w:val="24"/>
          <w:szCs w:val="24"/>
          <w:lang w:eastAsia="en-AU"/>
          <w14:ligatures w14:val="standardContextual"/>
        </w:rPr>
      </w:pPr>
      <w:hyperlink w:anchor="_Toc232612112" w:history="1">
        <w:r w:rsidRPr="00EE4B7B">
          <w:rPr>
            <w:rStyle w:val="Hyperlink"/>
          </w:rPr>
          <w:t>The event study model</w:t>
        </w:r>
        <w:r>
          <w:rPr>
            <w:webHidden/>
          </w:rPr>
          <w:tab/>
        </w:r>
        <w:r>
          <w:rPr>
            <w:webHidden/>
          </w:rPr>
          <w:fldChar w:fldCharType="begin"/>
        </w:r>
        <w:r>
          <w:rPr>
            <w:webHidden/>
          </w:rPr>
          <w:instrText xml:space="preserve"> PAGEREF _Toc232612112 \h </w:instrText>
        </w:r>
        <w:r>
          <w:rPr>
            <w:webHidden/>
          </w:rPr>
        </w:r>
        <w:r>
          <w:rPr>
            <w:webHidden/>
          </w:rPr>
          <w:fldChar w:fldCharType="separate"/>
        </w:r>
        <w:r>
          <w:rPr>
            <w:webHidden/>
          </w:rPr>
          <w:t>72</w:t>
        </w:r>
        <w:r>
          <w:rPr>
            <w:webHidden/>
          </w:rPr>
          <w:fldChar w:fldCharType="end"/>
        </w:r>
      </w:hyperlink>
    </w:p>
    <w:p w14:paraId="7CEA463A" w14:textId="40C5EDF4" w:rsidR="00082F4E" w:rsidRDefault="00082F4E">
      <w:pPr>
        <w:pStyle w:val="TOC2"/>
        <w:rPr>
          <w:rFonts w:asciiTheme="minorHAnsi" w:eastAsiaTheme="minorEastAsia" w:hAnsiTheme="minorHAnsi"/>
          <w:kern w:val="2"/>
          <w:sz w:val="24"/>
          <w:szCs w:val="24"/>
          <w:lang w:eastAsia="en-AU"/>
          <w14:ligatures w14:val="standardContextual"/>
        </w:rPr>
      </w:pPr>
      <w:hyperlink w:anchor="_Toc232612113" w:history="1">
        <w:r w:rsidRPr="00EE4B7B">
          <w:rPr>
            <w:rStyle w:val="Hyperlink"/>
          </w:rPr>
          <w:t>Why we use a PPML fixed effects model</w:t>
        </w:r>
        <w:r>
          <w:rPr>
            <w:webHidden/>
          </w:rPr>
          <w:tab/>
        </w:r>
        <w:r>
          <w:rPr>
            <w:webHidden/>
          </w:rPr>
          <w:fldChar w:fldCharType="begin"/>
        </w:r>
        <w:r>
          <w:rPr>
            <w:webHidden/>
          </w:rPr>
          <w:instrText xml:space="preserve"> PAGEREF _Toc232612113 \h </w:instrText>
        </w:r>
        <w:r>
          <w:rPr>
            <w:webHidden/>
          </w:rPr>
        </w:r>
        <w:r>
          <w:rPr>
            <w:webHidden/>
          </w:rPr>
          <w:fldChar w:fldCharType="separate"/>
        </w:r>
        <w:r>
          <w:rPr>
            <w:webHidden/>
          </w:rPr>
          <w:t>75</w:t>
        </w:r>
        <w:r>
          <w:rPr>
            <w:webHidden/>
          </w:rPr>
          <w:fldChar w:fldCharType="end"/>
        </w:r>
      </w:hyperlink>
    </w:p>
    <w:p w14:paraId="42952365" w14:textId="21D84438" w:rsidR="00082F4E" w:rsidRDefault="00082F4E">
      <w:pPr>
        <w:pStyle w:val="TOC1"/>
        <w:rPr>
          <w:rFonts w:asciiTheme="minorHAnsi" w:eastAsiaTheme="minorEastAsia" w:hAnsiTheme="minorHAnsi" w:cstheme="minorBidi"/>
          <w:b w:val="0"/>
          <w:kern w:val="2"/>
          <w:sz w:val="24"/>
          <w:szCs w:val="24"/>
          <w:lang w:eastAsia="en-AU"/>
          <w14:ligatures w14:val="standardContextual"/>
        </w:rPr>
      </w:pPr>
      <w:hyperlink w:anchor="_Toc232612114" w:history="1">
        <w:r w:rsidRPr="00EE4B7B">
          <w:rPr>
            <w:rStyle w:val="Hyperlink"/>
          </w:rPr>
          <w:t>Appendix C: Additional details for model variants</w:t>
        </w:r>
        <w:r>
          <w:rPr>
            <w:webHidden/>
          </w:rPr>
          <w:tab/>
        </w:r>
        <w:r>
          <w:rPr>
            <w:webHidden/>
          </w:rPr>
          <w:fldChar w:fldCharType="begin"/>
        </w:r>
        <w:r>
          <w:rPr>
            <w:webHidden/>
          </w:rPr>
          <w:instrText xml:space="preserve"> PAGEREF _Toc232612114 \h </w:instrText>
        </w:r>
        <w:r>
          <w:rPr>
            <w:webHidden/>
          </w:rPr>
        </w:r>
        <w:r>
          <w:rPr>
            <w:webHidden/>
          </w:rPr>
          <w:fldChar w:fldCharType="separate"/>
        </w:r>
        <w:r>
          <w:rPr>
            <w:webHidden/>
          </w:rPr>
          <w:t>77</w:t>
        </w:r>
        <w:r>
          <w:rPr>
            <w:webHidden/>
          </w:rPr>
          <w:fldChar w:fldCharType="end"/>
        </w:r>
      </w:hyperlink>
    </w:p>
    <w:p w14:paraId="6E7BAB23" w14:textId="0CC54304" w:rsidR="00082F4E" w:rsidRDefault="00082F4E">
      <w:pPr>
        <w:pStyle w:val="TOC2"/>
        <w:rPr>
          <w:rFonts w:asciiTheme="minorHAnsi" w:eastAsiaTheme="minorEastAsia" w:hAnsiTheme="minorHAnsi"/>
          <w:kern w:val="2"/>
          <w:sz w:val="24"/>
          <w:szCs w:val="24"/>
          <w:lang w:eastAsia="en-AU"/>
          <w14:ligatures w14:val="standardContextual"/>
        </w:rPr>
      </w:pPr>
      <w:hyperlink w:anchor="_Toc232612115" w:history="1">
        <w:r w:rsidRPr="00EE4B7B">
          <w:rPr>
            <w:rStyle w:val="Hyperlink"/>
          </w:rPr>
          <w:t>Clustering of standard errors and fixed effects</w:t>
        </w:r>
        <w:r>
          <w:rPr>
            <w:webHidden/>
          </w:rPr>
          <w:tab/>
        </w:r>
        <w:r>
          <w:rPr>
            <w:webHidden/>
          </w:rPr>
          <w:fldChar w:fldCharType="begin"/>
        </w:r>
        <w:r>
          <w:rPr>
            <w:webHidden/>
          </w:rPr>
          <w:instrText xml:space="preserve"> PAGEREF _Toc232612115 \h </w:instrText>
        </w:r>
        <w:r>
          <w:rPr>
            <w:webHidden/>
          </w:rPr>
        </w:r>
        <w:r>
          <w:rPr>
            <w:webHidden/>
          </w:rPr>
          <w:fldChar w:fldCharType="separate"/>
        </w:r>
        <w:r>
          <w:rPr>
            <w:webHidden/>
          </w:rPr>
          <w:t>77</w:t>
        </w:r>
        <w:r>
          <w:rPr>
            <w:webHidden/>
          </w:rPr>
          <w:fldChar w:fldCharType="end"/>
        </w:r>
      </w:hyperlink>
    </w:p>
    <w:p w14:paraId="19614891" w14:textId="0EEABB89" w:rsidR="00082F4E" w:rsidRDefault="00082F4E">
      <w:pPr>
        <w:pStyle w:val="TOC2"/>
        <w:rPr>
          <w:rFonts w:asciiTheme="minorHAnsi" w:eastAsiaTheme="minorEastAsia" w:hAnsiTheme="minorHAnsi"/>
          <w:kern w:val="2"/>
          <w:sz w:val="24"/>
          <w:szCs w:val="24"/>
          <w:lang w:eastAsia="en-AU"/>
          <w14:ligatures w14:val="standardContextual"/>
        </w:rPr>
      </w:pPr>
      <w:hyperlink w:anchor="_Toc232612116" w:history="1">
        <w:r w:rsidRPr="00EE4B7B">
          <w:rPr>
            <w:rStyle w:val="Hyperlink"/>
          </w:rPr>
          <w:t>Ordinary least squares regression</w:t>
        </w:r>
        <w:r>
          <w:rPr>
            <w:webHidden/>
          </w:rPr>
          <w:tab/>
        </w:r>
        <w:r>
          <w:rPr>
            <w:webHidden/>
          </w:rPr>
          <w:fldChar w:fldCharType="begin"/>
        </w:r>
        <w:r>
          <w:rPr>
            <w:webHidden/>
          </w:rPr>
          <w:instrText xml:space="preserve"> PAGEREF _Toc232612116 \h </w:instrText>
        </w:r>
        <w:r>
          <w:rPr>
            <w:webHidden/>
          </w:rPr>
        </w:r>
        <w:r>
          <w:rPr>
            <w:webHidden/>
          </w:rPr>
          <w:fldChar w:fldCharType="separate"/>
        </w:r>
        <w:r>
          <w:rPr>
            <w:webHidden/>
          </w:rPr>
          <w:t>77</w:t>
        </w:r>
        <w:r>
          <w:rPr>
            <w:webHidden/>
          </w:rPr>
          <w:fldChar w:fldCharType="end"/>
        </w:r>
      </w:hyperlink>
    </w:p>
    <w:p w14:paraId="4429970D" w14:textId="6B146254" w:rsidR="00082F4E" w:rsidRDefault="00082F4E">
      <w:pPr>
        <w:pStyle w:val="TOC2"/>
        <w:rPr>
          <w:rFonts w:asciiTheme="minorHAnsi" w:eastAsiaTheme="minorEastAsia" w:hAnsiTheme="minorHAnsi"/>
          <w:kern w:val="2"/>
          <w:sz w:val="24"/>
          <w:szCs w:val="24"/>
          <w:lang w:eastAsia="en-AU"/>
          <w14:ligatures w14:val="standardContextual"/>
        </w:rPr>
      </w:pPr>
      <w:hyperlink w:anchor="_Toc232612117" w:history="1">
        <w:r w:rsidRPr="00EE4B7B">
          <w:rPr>
            <w:rStyle w:val="Hyperlink"/>
          </w:rPr>
          <w:t>Weighting by pre-treatment share of employment</w:t>
        </w:r>
        <w:r>
          <w:rPr>
            <w:webHidden/>
          </w:rPr>
          <w:tab/>
        </w:r>
        <w:r>
          <w:rPr>
            <w:webHidden/>
          </w:rPr>
          <w:fldChar w:fldCharType="begin"/>
        </w:r>
        <w:r>
          <w:rPr>
            <w:webHidden/>
          </w:rPr>
          <w:instrText xml:space="preserve"> PAGEREF _Toc232612117 \h </w:instrText>
        </w:r>
        <w:r>
          <w:rPr>
            <w:webHidden/>
          </w:rPr>
        </w:r>
        <w:r>
          <w:rPr>
            <w:webHidden/>
          </w:rPr>
          <w:fldChar w:fldCharType="separate"/>
        </w:r>
        <w:r>
          <w:rPr>
            <w:webHidden/>
          </w:rPr>
          <w:t>78</w:t>
        </w:r>
        <w:r>
          <w:rPr>
            <w:webHidden/>
          </w:rPr>
          <w:fldChar w:fldCharType="end"/>
        </w:r>
      </w:hyperlink>
    </w:p>
    <w:p w14:paraId="0A94A64B" w14:textId="7CA87972" w:rsidR="00082F4E" w:rsidRDefault="00082F4E">
      <w:pPr>
        <w:pStyle w:val="TOC2"/>
        <w:rPr>
          <w:rFonts w:asciiTheme="minorHAnsi" w:eastAsiaTheme="minorEastAsia" w:hAnsiTheme="minorHAnsi"/>
          <w:kern w:val="2"/>
          <w:sz w:val="24"/>
          <w:szCs w:val="24"/>
          <w:lang w:eastAsia="en-AU"/>
          <w14:ligatures w14:val="standardContextual"/>
        </w:rPr>
      </w:pPr>
      <w:hyperlink w:anchor="_Toc232612118" w:history="1">
        <w:r w:rsidRPr="00EE4B7B">
          <w:rPr>
            <w:rStyle w:val="Hyperlink"/>
          </w:rPr>
          <w:t>Omission of the level-shift term</w:t>
        </w:r>
        <w:r>
          <w:rPr>
            <w:webHidden/>
          </w:rPr>
          <w:tab/>
        </w:r>
        <w:r>
          <w:rPr>
            <w:webHidden/>
          </w:rPr>
          <w:fldChar w:fldCharType="begin"/>
        </w:r>
        <w:r>
          <w:rPr>
            <w:webHidden/>
          </w:rPr>
          <w:instrText xml:space="preserve"> PAGEREF _Toc232612118 \h </w:instrText>
        </w:r>
        <w:r>
          <w:rPr>
            <w:webHidden/>
          </w:rPr>
        </w:r>
        <w:r>
          <w:rPr>
            <w:webHidden/>
          </w:rPr>
          <w:fldChar w:fldCharType="separate"/>
        </w:r>
        <w:r>
          <w:rPr>
            <w:webHidden/>
          </w:rPr>
          <w:t>79</w:t>
        </w:r>
        <w:r>
          <w:rPr>
            <w:webHidden/>
          </w:rPr>
          <w:fldChar w:fldCharType="end"/>
        </w:r>
      </w:hyperlink>
    </w:p>
    <w:p w14:paraId="03BC3330" w14:textId="76AC2B9F" w:rsidR="00082F4E" w:rsidRDefault="00082F4E">
      <w:pPr>
        <w:pStyle w:val="TOC2"/>
        <w:rPr>
          <w:rFonts w:asciiTheme="minorHAnsi" w:eastAsiaTheme="minorEastAsia" w:hAnsiTheme="minorHAnsi"/>
          <w:kern w:val="2"/>
          <w:sz w:val="24"/>
          <w:szCs w:val="24"/>
          <w:lang w:eastAsia="en-AU"/>
          <w14:ligatures w14:val="standardContextual"/>
        </w:rPr>
      </w:pPr>
      <w:hyperlink w:anchor="_Toc232612119" w:history="1">
        <w:r w:rsidRPr="00EE4B7B">
          <w:rPr>
            <w:rStyle w:val="Hyperlink"/>
          </w:rPr>
          <w:t>Filtering out the most extreme values</w:t>
        </w:r>
        <w:r>
          <w:rPr>
            <w:webHidden/>
          </w:rPr>
          <w:tab/>
        </w:r>
        <w:r>
          <w:rPr>
            <w:webHidden/>
          </w:rPr>
          <w:fldChar w:fldCharType="begin"/>
        </w:r>
        <w:r>
          <w:rPr>
            <w:webHidden/>
          </w:rPr>
          <w:instrText xml:space="preserve"> PAGEREF _Toc232612119 \h </w:instrText>
        </w:r>
        <w:r>
          <w:rPr>
            <w:webHidden/>
          </w:rPr>
        </w:r>
        <w:r>
          <w:rPr>
            <w:webHidden/>
          </w:rPr>
          <w:fldChar w:fldCharType="separate"/>
        </w:r>
        <w:r>
          <w:rPr>
            <w:webHidden/>
          </w:rPr>
          <w:t>79</w:t>
        </w:r>
        <w:r>
          <w:rPr>
            <w:webHidden/>
          </w:rPr>
          <w:fldChar w:fldCharType="end"/>
        </w:r>
      </w:hyperlink>
    </w:p>
    <w:p w14:paraId="660464CB" w14:textId="4970067B" w:rsidR="00082F4E" w:rsidRDefault="00082F4E">
      <w:pPr>
        <w:pStyle w:val="TOC2"/>
        <w:rPr>
          <w:rFonts w:asciiTheme="minorHAnsi" w:eastAsiaTheme="minorEastAsia" w:hAnsiTheme="minorHAnsi"/>
          <w:kern w:val="2"/>
          <w:sz w:val="24"/>
          <w:szCs w:val="24"/>
          <w:lang w:eastAsia="en-AU"/>
          <w14:ligatures w14:val="standardContextual"/>
        </w:rPr>
      </w:pPr>
      <w:hyperlink w:anchor="_Toc232612120" w:history="1">
        <w:r w:rsidRPr="00EE4B7B">
          <w:rPr>
            <w:rStyle w:val="Hyperlink"/>
          </w:rPr>
          <w:t>Selecting the start of the pre-treatment period</w:t>
        </w:r>
        <w:r>
          <w:rPr>
            <w:webHidden/>
          </w:rPr>
          <w:tab/>
        </w:r>
        <w:r>
          <w:rPr>
            <w:webHidden/>
          </w:rPr>
          <w:fldChar w:fldCharType="begin"/>
        </w:r>
        <w:r>
          <w:rPr>
            <w:webHidden/>
          </w:rPr>
          <w:instrText xml:space="preserve"> PAGEREF _Toc232612120 \h </w:instrText>
        </w:r>
        <w:r>
          <w:rPr>
            <w:webHidden/>
          </w:rPr>
        </w:r>
        <w:r>
          <w:rPr>
            <w:webHidden/>
          </w:rPr>
          <w:fldChar w:fldCharType="separate"/>
        </w:r>
        <w:r>
          <w:rPr>
            <w:webHidden/>
          </w:rPr>
          <w:t>79</w:t>
        </w:r>
        <w:r>
          <w:rPr>
            <w:webHidden/>
          </w:rPr>
          <w:fldChar w:fldCharType="end"/>
        </w:r>
      </w:hyperlink>
    </w:p>
    <w:p w14:paraId="519BADF7" w14:textId="6FC1F92C" w:rsidR="00082F4E" w:rsidRDefault="00082F4E">
      <w:pPr>
        <w:pStyle w:val="TOC2"/>
        <w:rPr>
          <w:rFonts w:asciiTheme="minorHAnsi" w:eastAsiaTheme="minorEastAsia" w:hAnsiTheme="minorHAnsi"/>
          <w:kern w:val="2"/>
          <w:sz w:val="24"/>
          <w:szCs w:val="24"/>
          <w:lang w:eastAsia="en-AU"/>
          <w14:ligatures w14:val="standardContextual"/>
        </w:rPr>
      </w:pPr>
      <w:hyperlink w:anchor="_Toc232612121" w:history="1">
        <w:r w:rsidRPr="00EE4B7B">
          <w:rPr>
            <w:rStyle w:val="Hyperlink"/>
          </w:rPr>
          <w:t>Controlling for variable sensitivity to business cycle movements</w:t>
        </w:r>
        <w:r>
          <w:rPr>
            <w:webHidden/>
          </w:rPr>
          <w:tab/>
        </w:r>
        <w:r>
          <w:rPr>
            <w:webHidden/>
          </w:rPr>
          <w:fldChar w:fldCharType="begin"/>
        </w:r>
        <w:r>
          <w:rPr>
            <w:webHidden/>
          </w:rPr>
          <w:instrText xml:space="preserve"> PAGEREF _Toc232612121 \h </w:instrText>
        </w:r>
        <w:r>
          <w:rPr>
            <w:webHidden/>
          </w:rPr>
        </w:r>
        <w:r>
          <w:rPr>
            <w:webHidden/>
          </w:rPr>
          <w:fldChar w:fldCharType="separate"/>
        </w:r>
        <w:r>
          <w:rPr>
            <w:webHidden/>
          </w:rPr>
          <w:t>81</w:t>
        </w:r>
        <w:r>
          <w:rPr>
            <w:webHidden/>
          </w:rPr>
          <w:fldChar w:fldCharType="end"/>
        </w:r>
      </w:hyperlink>
    </w:p>
    <w:p w14:paraId="5C6DBDFC" w14:textId="10C4CB93" w:rsidR="00082F4E" w:rsidRDefault="00082F4E">
      <w:pPr>
        <w:pStyle w:val="TOC1"/>
        <w:rPr>
          <w:rFonts w:asciiTheme="minorHAnsi" w:eastAsiaTheme="minorEastAsia" w:hAnsiTheme="minorHAnsi" w:cstheme="minorBidi"/>
          <w:b w:val="0"/>
          <w:kern w:val="2"/>
          <w:sz w:val="24"/>
          <w:szCs w:val="24"/>
          <w:lang w:eastAsia="en-AU"/>
          <w14:ligatures w14:val="standardContextual"/>
        </w:rPr>
      </w:pPr>
      <w:hyperlink w:anchor="_Toc232612122" w:history="1">
        <w:r w:rsidRPr="00EE4B7B">
          <w:rPr>
            <w:rStyle w:val="Hyperlink"/>
          </w:rPr>
          <w:t>Appendix D: Dissimilarity index</w:t>
        </w:r>
        <w:r>
          <w:rPr>
            <w:webHidden/>
          </w:rPr>
          <w:tab/>
        </w:r>
        <w:r>
          <w:rPr>
            <w:webHidden/>
          </w:rPr>
          <w:fldChar w:fldCharType="begin"/>
        </w:r>
        <w:r>
          <w:rPr>
            <w:webHidden/>
          </w:rPr>
          <w:instrText xml:space="preserve"> PAGEREF _Toc232612122 \h </w:instrText>
        </w:r>
        <w:r>
          <w:rPr>
            <w:webHidden/>
          </w:rPr>
        </w:r>
        <w:r>
          <w:rPr>
            <w:webHidden/>
          </w:rPr>
          <w:fldChar w:fldCharType="separate"/>
        </w:r>
        <w:r>
          <w:rPr>
            <w:webHidden/>
          </w:rPr>
          <w:t>83</w:t>
        </w:r>
        <w:r>
          <w:rPr>
            <w:webHidden/>
          </w:rPr>
          <w:fldChar w:fldCharType="end"/>
        </w:r>
      </w:hyperlink>
    </w:p>
    <w:p w14:paraId="518D18E2" w14:textId="791E63E8" w:rsidR="001B7662" w:rsidRDefault="00A208A5">
      <w:r>
        <w:fldChar w:fldCharType="end"/>
      </w:r>
    </w:p>
    <w:p w14:paraId="518D18E3" w14:textId="77777777" w:rsidR="001B7662" w:rsidRDefault="00A208A5">
      <w:r>
        <w:br w:type="page"/>
      </w:r>
    </w:p>
    <w:p w14:paraId="518D18E4" w14:textId="77777777" w:rsidR="001B7662" w:rsidRDefault="00A208A5">
      <w:pPr>
        <w:pStyle w:val="Heading1"/>
      </w:pPr>
      <w:bookmarkStart w:id="0" w:name="_Toc232612067"/>
      <w:bookmarkStart w:id="1" w:name="executive-summary"/>
      <w:r>
        <w:lastRenderedPageBreak/>
        <w:t>Executive summary</w:t>
      </w:r>
      <w:bookmarkEnd w:id="0"/>
    </w:p>
    <w:tbl>
      <w:tblPr>
        <w:tblW w:w="0" w:type="auto"/>
        <w:jc w:val="center"/>
        <w:tblLayout w:type="fixed"/>
        <w:tblLook w:val="0420" w:firstRow="1" w:lastRow="0" w:firstColumn="0" w:lastColumn="0" w:noHBand="0" w:noVBand="1"/>
      </w:tblPr>
      <w:tblGrid>
        <w:gridCol w:w="317"/>
        <w:gridCol w:w="9043"/>
      </w:tblGrid>
      <w:tr w:rsidR="001B7662" w14:paraId="518D18E6" w14:textId="77777777">
        <w:trPr>
          <w:jc w:val="center"/>
        </w:trPr>
        <w:tc>
          <w:tcPr>
            <w:tcW w:w="9360" w:type="dxa"/>
            <w:gridSpan w:val="2"/>
            <w:tcBorders>
              <w:top w:val="single" w:sz="10" w:space="0" w:color="5D7A38"/>
              <w:left w:val="single" w:sz="10" w:space="0" w:color="5D7A38"/>
              <w:bottom w:val="none" w:sz="0" w:space="0" w:color="F1F5ED"/>
              <w:right w:val="single" w:sz="10" w:space="0" w:color="5D7A38"/>
            </w:tcBorders>
            <w:shd w:val="clear" w:color="auto" w:fill="F1F5ED"/>
            <w:tcMar>
              <w:top w:w="0" w:type="dxa"/>
              <w:left w:w="0" w:type="dxa"/>
              <w:bottom w:w="0" w:type="dxa"/>
              <w:right w:w="0" w:type="dxa"/>
            </w:tcMar>
          </w:tcPr>
          <w:p w14:paraId="518D18E5" w14:textId="77777777" w:rsidR="001B7662" w:rsidRDefault="00A208A5">
            <w:pPr>
              <w:keepNext/>
              <w:pBdr>
                <w:top w:val="none" w:sz="0" w:space="0" w:color="000000"/>
                <w:left w:val="none" w:sz="0" w:space="0" w:color="000000"/>
                <w:bottom w:val="none" w:sz="0" w:space="0" w:color="000000"/>
                <w:right w:val="none" w:sz="0" w:space="0" w:color="000000"/>
              </w:pBdr>
              <w:spacing w:before="80" w:after="80" w:line="276" w:lineRule="auto"/>
              <w:ind w:left="120" w:right="120"/>
              <w:rPr>
                <w:rFonts w:eastAsia="Aptos Display" w:cs="Aptos Display"/>
                <w:color w:val="000000"/>
              </w:rPr>
            </w:pPr>
            <w:r>
              <w:rPr>
                <w:rFonts w:eastAsia="Aptos Display" w:cs="Aptos Display"/>
                <w:b/>
                <w:color w:val="5D7A38"/>
                <w:sz w:val="28"/>
                <w:szCs w:val="28"/>
              </w:rPr>
              <w:t>Key points</w:t>
            </w:r>
          </w:p>
        </w:tc>
      </w:tr>
      <w:tr w:rsidR="001B7662" w14:paraId="518D18E9"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8E7"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8E8"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There is no evidence to date of broad labour market upheaval driven by Artificial Intelligence (AI) in Australia. Overall labour market conditions remain strong by historical standards, youth outcomes have mostly held up, and occupational reshuffling has not accelerated.</w:t>
            </w:r>
          </w:p>
        </w:tc>
      </w:tr>
      <w:tr w:rsidR="001B7662" w14:paraId="518D18EC"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8EA"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8EB"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However, occupations more exposed to potential automation by generative AI have grown more slowly than other occupations. Between November 2022 and February 2026, employment in the most-exposed fifth of occupations grew by 5.6%, compared with 9.5% in the least-exposed fifth.</w:t>
            </w:r>
          </w:p>
        </w:tc>
      </w:tr>
      <w:tr w:rsidR="001B7662" w14:paraId="518D18EF"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8ED"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8EE" w14:textId="5592689A"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 xml:space="preserve">We find a small negative relationship between AI exposure and employment growth. For an occupation with AI exposure one standard deviation above average, </w:t>
            </w:r>
            <w:r w:rsidR="002F185C">
              <w:rPr>
                <w:rFonts w:eastAsia="Aptos Display" w:cs="Aptos Display"/>
                <w:color w:val="000000"/>
              </w:rPr>
              <w:t xml:space="preserve">our </w:t>
            </w:r>
            <w:r>
              <w:rPr>
                <w:rFonts w:eastAsia="Aptos Display" w:cs="Aptos Display"/>
                <w:color w:val="000000"/>
              </w:rPr>
              <w:t>model implies employment was about 2% lower by February 2026 than it would have been under its pre-ChatGPT trend.</w:t>
            </w:r>
          </w:p>
        </w:tc>
      </w:tr>
      <w:tr w:rsidR="001B7662" w14:paraId="518D18F2"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8F0"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8F1" w14:textId="2A137DDA"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 xml:space="preserve">This is not definitive evidence of job loss caused by AI. The finding is sensitive to some modelling choices. In particular, the negative employment relationship is not statistically significant when we use 2 alternative AI exposure measures, nor when the COVID-19 period is excluded from the pre-treatment sample. The result should therefore be read as </w:t>
            </w:r>
            <w:r w:rsidR="00B61EFE">
              <w:rPr>
                <w:rFonts w:eastAsia="Aptos Display" w:cs="Aptos Display"/>
                <w:color w:val="000000"/>
              </w:rPr>
              <w:t>justification for ongoing monitoring</w:t>
            </w:r>
            <w:r>
              <w:rPr>
                <w:rFonts w:eastAsia="Aptos Display" w:cs="Aptos Display"/>
                <w:color w:val="000000"/>
              </w:rPr>
              <w:t xml:space="preserve"> rather than </w:t>
            </w:r>
            <w:r w:rsidR="00B61EFE">
              <w:rPr>
                <w:rFonts w:eastAsia="Aptos Display" w:cs="Aptos Display"/>
                <w:color w:val="000000"/>
              </w:rPr>
              <w:t xml:space="preserve">clear </w:t>
            </w:r>
            <w:r>
              <w:rPr>
                <w:rFonts w:eastAsia="Aptos Display" w:cs="Aptos Display"/>
                <w:color w:val="000000"/>
              </w:rPr>
              <w:t>evidence that AI has reduced employment.</w:t>
            </w:r>
          </w:p>
        </w:tc>
      </w:tr>
      <w:tr w:rsidR="001B7662" w14:paraId="518D18F5"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8F3"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8F4" w14:textId="7F707ADF"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 xml:space="preserve">The evidence </w:t>
            </w:r>
            <w:r w:rsidR="005A2C4D">
              <w:rPr>
                <w:rFonts w:eastAsia="Aptos Display" w:cs="Aptos Display"/>
                <w:color w:val="000000"/>
              </w:rPr>
              <w:t>is</w:t>
            </w:r>
            <w:r>
              <w:rPr>
                <w:rFonts w:eastAsia="Aptos Display" w:cs="Aptos Display"/>
                <w:color w:val="000000"/>
              </w:rPr>
              <w:t xml:space="preserve"> an early indication of some modest slowing in employment growth in some highly exposed occupations, not proof of large AI-driven job loss.</w:t>
            </w:r>
          </w:p>
        </w:tc>
      </w:tr>
      <w:tr w:rsidR="001B7662" w14:paraId="518D18F8" w14:textId="77777777">
        <w:trPr>
          <w:jc w:val="center"/>
        </w:trPr>
        <w:tc>
          <w:tcPr>
            <w:tcW w:w="317" w:type="dxa"/>
            <w:tcBorders>
              <w:top w:val="none" w:sz="0" w:space="0" w:color="F1F5ED"/>
              <w:left w:val="single" w:sz="10" w:space="0" w:color="5D7A38"/>
              <w:bottom w:val="single" w:sz="10" w:space="0" w:color="5D7A38"/>
              <w:right w:val="none" w:sz="0" w:space="0" w:color="F1F5ED"/>
            </w:tcBorders>
            <w:shd w:val="clear" w:color="auto" w:fill="F1F5ED"/>
            <w:tcMar>
              <w:top w:w="0" w:type="dxa"/>
              <w:left w:w="0" w:type="dxa"/>
              <w:bottom w:w="0" w:type="dxa"/>
              <w:right w:w="0" w:type="dxa"/>
            </w:tcMar>
          </w:tcPr>
          <w:p w14:paraId="518D18F6"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single" w:sz="10" w:space="0" w:color="5D7A38"/>
              <w:right w:val="single" w:sz="10" w:space="0" w:color="5D7A38"/>
            </w:tcBorders>
            <w:shd w:val="clear" w:color="auto" w:fill="F1F5ED"/>
            <w:tcMar>
              <w:top w:w="0" w:type="dxa"/>
              <w:left w:w="0" w:type="dxa"/>
              <w:bottom w:w="0" w:type="dxa"/>
              <w:right w:w="0" w:type="dxa"/>
            </w:tcMar>
          </w:tcPr>
          <w:p w14:paraId="518D18F7" w14:textId="55DD7572"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DEWR will continue monitoring the relationship between AI exposure and employment growth.</w:t>
            </w:r>
          </w:p>
        </w:tc>
      </w:tr>
    </w:tbl>
    <w:p w14:paraId="518D18F9" w14:textId="77777777" w:rsidR="001B7662" w:rsidRDefault="00A208A5">
      <w:pPr>
        <w:pStyle w:val="Heading3"/>
      </w:pPr>
      <w:bookmarkStart w:id="2" w:name="X4ac2c972cc392249fda2065cceaca558613cfa6"/>
      <w:r>
        <w:t>AI could affect employment, but the direction and timing are uncertain</w:t>
      </w:r>
    </w:p>
    <w:p w14:paraId="518D18FA" w14:textId="30D0821C" w:rsidR="001B7662" w:rsidRDefault="00A208A5">
      <w:r>
        <w:t>AI could reshape the labour market, but its effect on employment is highly uncertain. AI can perform tasks previously done by workers. But it can also raise productivity, create new tasks, and increase demand for labour in other parts of the economy. The net effect on jobs cannot be settled by theory or prediction. It needs to be monitored with data.</w:t>
      </w:r>
    </w:p>
    <w:p w14:paraId="518D18FB" w14:textId="77777777" w:rsidR="001B7662" w:rsidRDefault="00A208A5">
      <w:pPr>
        <w:pStyle w:val="BodyText"/>
      </w:pPr>
      <w:r>
        <w:t xml:space="preserve">This report examines whether there is evidence that AI is affecting employment in Australia. It seeks to answer one main question: </w:t>
      </w:r>
      <w:r>
        <w:rPr>
          <w:b/>
          <w:bCs/>
        </w:rPr>
        <w:t>since the public release of generative AI tools in late 2022, has employment in more AI-exposed occupations grown more slowly than employment in other occupations?</w:t>
      </w:r>
      <w:r>
        <w:t xml:space="preserve"> The report does not make predictions about potential future effects.</w:t>
      </w:r>
    </w:p>
    <w:p w14:paraId="518D18FC" w14:textId="77777777" w:rsidR="001B7662" w:rsidRDefault="00A208A5">
      <w:pPr>
        <w:pStyle w:val="Heading3"/>
      </w:pPr>
      <w:bookmarkStart w:id="3" w:name="X5d893787bc08b6df26cdcec52df3f7cf251e047"/>
      <w:bookmarkEnd w:id="2"/>
      <w:r>
        <w:t>This report focuses on employment, not every effect of AI on work</w:t>
      </w:r>
    </w:p>
    <w:p w14:paraId="518D18FD" w14:textId="4A1C4AE2" w:rsidR="001B7662" w:rsidRDefault="00A208A5">
      <w:r>
        <w:t xml:space="preserve">We focus on the employment impact of generative AI tools, including large </w:t>
      </w:r>
      <w:r w:rsidR="002D089F">
        <w:t>l</w:t>
      </w:r>
      <w:r>
        <w:t>anguage models such as ChatGPT and Claude, rather than all technological change.</w:t>
      </w:r>
    </w:p>
    <w:p w14:paraId="518D18FE" w14:textId="77777777" w:rsidR="001B7662" w:rsidRDefault="00A208A5">
      <w:pPr>
        <w:pStyle w:val="BodyText"/>
      </w:pPr>
      <w:r>
        <w:t>This report does not examine every way AI could affect work. It focuses on employment, hours worked and job advertisements by occupation. It does not measure the relationship between AI and wages, productivity, job quality, or work intensity. It does not examine firm-level AI adoption, changes in tasks within jobs or changes in skill requirements for occupations.</w:t>
      </w:r>
    </w:p>
    <w:p w14:paraId="518D18FF" w14:textId="77777777" w:rsidR="001B7662" w:rsidRDefault="00A208A5">
      <w:pPr>
        <w:pStyle w:val="Heading3"/>
      </w:pPr>
      <w:bookmarkStart w:id="4" w:name="X3429ec9d7d39b1e6372467c3679f26fb2ae9301"/>
      <w:bookmarkEnd w:id="3"/>
      <w:r>
        <w:t>We use a monitoring framework, not a single indicator</w:t>
      </w:r>
    </w:p>
    <w:p w14:paraId="518D1900" w14:textId="77777777" w:rsidR="001B7662" w:rsidRDefault="00A208A5">
      <w:r>
        <w:t>We use a multi-dimensional monitoring framework. The framework combines descriptive labour market indicators, a core statistical model and robustness tests of that model.</w:t>
      </w:r>
    </w:p>
    <w:p w14:paraId="518D1901" w14:textId="77777777" w:rsidR="001B7662" w:rsidRDefault="00A208A5">
      <w:pPr>
        <w:pStyle w:val="BodyText"/>
      </w:pPr>
      <w:r>
        <w:lastRenderedPageBreak/>
        <w:t>Each part of the framework is important. The descriptive indicators show whether there are broad signs of labour market disruption. The core model tests whether employment growth shifted away from more AI-exposed occupations after ChatGPT was released. The robustness tests assess how much confidence to place in that model result.</w:t>
      </w:r>
    </w:p>
    <w:p w14:paraId="518D1902" w14:textId="77777777" w:rsidR="001B7662" w:rsidRDefault="00A208A5">
      <w:pPr>
        <w:pStyle w:val="BodyText"/>
      </w:pPr>
      <w:r>
        <w:t>The framework aims to measure what we observe in the data regarding the relationship between AI and employment. It does not make any predictions about potential future effects.</w:t>
      </w:r>
    </w:p>
    <w:p w14:paraId="518D1903" w14:textId="77777777" w:rsidR="001B7662" w:rsidRDefault="00A208A5">
      <w:pPr>
        <w:pStyle w:val="Heading3"/>
      </w:pPr>
      <w:bookmarkStart w:id="5" w:name="X3bd540523ceb9f2de2db35293771fb703e67a69"/>
      <w:bookmarkEnd w:id="4"/>
      <w:r>
        <w:t>The labour market does not show signs of major AI-driven change</w:t>
      </w:r>
    </w:p>
    <w:p w14:paraId="518D1904" w14:textId="3A718A5B" w:rsidR="001B7662" w:rsidRDefault="00A208A5">
      <w:r>
        <w:t>The labour market remains resilient. As at February 2026, the unemployment rate was 4.2%, lower than at any point in the decade before COVID.</w:t>
      </w:r>
      <w:r>
        <w:rPr>
          <w:rStyle w:val="FootnoteReference"/>
        </w:rPr>
        <w:footnoteReference w:id="1"/>
      </w:r>
      <w:r>
        <w:t xml:space="preserve"> The employment-to-population ratio was 64.0%, above its pre-COVID average. The volume underutilisation rate was 5.5%, also below its typical pre-COVID level. The hiring rate </w:t>
      </w:r>
      <w:r w:rsidR="00304C76">
        <w:t>has slowed</w:t>
      </w:r>
      <w:r>
        <w:t xml:space="preserve"> and warrants monitoring, but this is not enough to conclude that AI is disrupting the labour market.</w:t>
      </w:r>
    </w:p>
    <w:p w14:paraId="518D1906" w14:textId="3A4B5B22" w:rsidR="001B7662" w:rsidRDefault="00A208A5">
      <w:pPr>
        <w:pStyle w:val="BodyText"/>
      </w:pPr>
      <w:r>
        <w:t>The labour market for young workers and young graduates is also not showing broad deterioration. This matters because international evidence suggests young workers, and especially young graduates in exposed occupations, could be among the first groups to be affected by AI.</w:t>
      </w:r>
      <w:r w:rsidR="00EC74CF">
        <w:t xml:space="preserve"> </w:t>
      </w:r>
      <w:r>
        <w:t>Employment for people aged 20 to 24 has grown slightly faster than employment for people aged 25 and over since ChatGPT was introduced. The unemployment rate for young tertiary graduates remains low, the gap between young and older graduates’ unemployment rates remains relatively low, and the share of young graduates working in degree-level occupations has risen.</w:t>
      </w:r>
    </w:p>
    <w:p w14:paraId="518D1907" w14:textId="3357C0CE" w:rsidR="001B7662" w:rsidRDefault="00EC74CF">
      <w:pPr>
        <w:pStyle w:val="BodyText"/>
      </w:pPr>
      <w:r>
        <w:t>T</w:t>
      </w:r>
      <w:r w:rsidR="00A208A5">
        <w:t>he</w:t>
      </w:r>
      <w:r>
        <w:t xml:space="preserve"> </w:t>
      </w:r>
      <w:r w:rsidR="00A208A5">
        <w:t xml:space="preserve">evidence </w:t>
      </w:r>
      <w:r>
        <w:t xml:space="preserve">does not show </w:t>
      </w:r>
      <w:r w:rsidR="00A208A5">
        <w:t>unusually rapid reshuffling across occupations. If AI were already causing widespread disruption, we might expect the occupational mix of employment to be changing faster than usual. We do not see that pattern. The pace of occupational compositional change has fallen since late 2022 and remains within its typical pre-COVID range. This is true for the labour market overall and for young workers.</w:t>
      </w:r>
    </w:p>
    <w:p w14:paraId="518D1908" w14:textId="77777777" w:rsidR="001B7662" w:rsidRDefault="00A208A5">
      <w:pPr>
        <w:pStyle w:val="Heading3"/>
      </w:pPr>
      <w:bookmarkStart w:id="6" w:name="Xd0dd80ccc86e0279a6620bc0df695cb39510d2b"/>
      <w:bookmarkEnd w:id="5"/>
      <w:r>
        <w:t>Highly exposed occupations are growing more slowly than others</w:t>
      </w:r>
    </w:p>
    <w:p w14:paraId="518D1909" w14:textId="77777777" w:rsidR="001B7662" w:rsidRDefault="00A208A5">
      <w:r>
        <w:t>Using Jobs and Skills Australia’s (JSA) occupation-level AI automation exposure scores,</w:t>
      </w:r>
      <w:r>
        <w:rPr>
          <w:rStyle w:val="FootnoteReference"/>
        </w:rPr>
        <w:footnoteReference w:id="2"/>
      </w:r>
      <w:r>
        <w:t xml:space="preserve"> we find that employment, hours worked and job advertisements have grown more slowly in highly exposed occupations than in less-exposed occupations. The most-exposed occupations include routine cognitive roles such as ‘Filing and Registry Clerks’, ‘Keyboard Operators’ and ‘Telemarketers’.</w:t>
      </w:r>
    </w:p>
    <w:p w14:paraId="518D190A" w14:textId="77777777" w:rsidR="001B7662" w:rsidRDefault="00A208A5">
      <w:pPr>
        <w:pStyle w:val="BodyText"/>
      </w:pPr>
      <w:r>
        <w:t>Since November 2022, employment in the most-exposed fifth of occupations has grown by 5.6%, compared with 9.5% in the least-exposed fifth. The unemployment rate for workers previously employed in the most-exposed occupations has also risen more than for other workers, narrowing the gap with the unemployment rate for the least-exposed occupations.</w:t>
      </w:r>
    </w:p>
    <w:p w14:paraId="518D190B" w14:textId="77777777" w:rsidR="001B7662" w:rsidRDefault="00A208A5">
      <w:pPr>
        <w:pStyle w:val="BodyText"/>
      </w:pPr>
      <w:r>
        <w:t>These descriptive results are suggestive, but not conclusive. Some of the occupations most exposed to AI are routine cognitive jobs, such as clerical and administrative occupations, which were already on a long-running downward trajectory before the introduction of ChatGPT. The share of employment in routine cognitive work has continued to decline broadly in line with pre-existing trends. Slower growth in highly exposed occupations may therefore not reflect AI-driven disruption.</w:t>
      </w:r>
    </w:p>
    <w:p w14:paraId="518D190C" w14:textId="77777777" w:rsidR="001B7662" w:rsidRDefault="00A208A5">
      <w:pPr>
        <w:pStyle w:val="Heading3"/>
      </w:pPr>
      <w:bookmarkStart w:id="7" w:name="Xbb2bc7de5b813d1bb4ac64467d7082a9405a30b"/>
      <w:bookmarkEnd w:id="6"/>
      <w:r>
        <w:t>Our statistical model finds a modest negative signal</w:t>
      </w:r>
    </w:p>
    <w:p w14:paraId="518D190D" w14:textId="488C6CE9" w:rsidR="001B7662" w:rsidRDefault="00A208A5">
      <w:r>
        <w:t xml:space="preserve">We use a statistical model to test whether the relationship between occupational AI exposure and employment growth changed after November 2022, compared with the pre-ChatGPT period. The </w:t>
      </w:r>
      <w:r>
        <w:lastRenderedPageBreak/>
        <w:t>model uses quarterly employment data for 355 occupations from February 2015 to February 2026</w:t>
      </w:r>
      <w:r w:rsidR="006B37CA">
        <w:t xml:space="preserve">, along with </w:t>
      </w:r>
      <w:r>
        <w:t>JSA’s AI automation exposure scores.</w:t>
      </w:r>
    </w:p>
    <w:p w14:paraId="518D190E" w14:textId="77777777" w:rsidR="001B7662" w:rsidRDefault="00A208A5">
      <w:pPr>
        <w:pStyle w:val="BodyText"/>
      </w:pPr>
      <w:r>
        <w:t>Employment has grown at a slower relative pace in more AI-exposed occupations since ChatGPT was released. For an occupation with an AI exposure score one standard deviation above the average, the model implies employment was about 2% lower by February 2026 than it would have been under its pre-ChatGPT trend, although this estimate is sensitive to modelling choices.</w:t>
      </w:r>
    </w:p>
    <w:p w14:paraId="518D1910" w14:textId="730C5A00" w:rsidR="001B7662" w:rsidRDefault="00A208A5">
      <w:pPr>
        <w:pStyle w:val="BodyText"/>
      </w:pPr>
      <w:r>
        <w:t>This estimate is much smaller than some public predictions of large AI-driven job losses, and it should not be interpreted as evidence of large-scale labour market disruption.</w:t>
      </w:r>
      <w:r w:rsidR="00DD0315">
        <w:t xml:space="preserve"> </w:t>
      </w:r>
      <w:r>
        <w:t>The model does not observe whether firms adopted AI. It does not identify specific jobs created or destroyed. It estimates whether employment patterns changed in a way that is correlated with occupations’ potential exposure to AI automation. Other factors, including post-COVID adjustment and longer-running occupational change, may also have affected more-exposed occupations.</w:t>
      </w:r>
    </w:p>
    <w:p w14:paraId="518D1911" w14:textId="78A71CDA" w:rsidR="001B7662" w:rsidRDefault="00A208A5">
      <w:pPr>
        <w:pStyle w:val="BodyText"/>
      </w:pPr>
      <w:r>
        <w:t xml:space="preserve">The </w:t>
      </w:r>
      <w:r w:rsidR="00B06662">
        <w:t>quarter-by-quarter</w:t>
      </w:r>
      <w:r>
        <w:t xml:space="preserve"> version of the model suggests the negative exposure–employment relationship is clearer in recent quarters than immediately after ChatGPT was released. This is consistent with the possibility that any employment effects of AI may take time to emerge, as firms experiment with AI tools, adopt them in production and adjust staffing. But the quarter-by-quarter estimates are variable, so they should be interpreted as a </w:t>
      </w:r>
      <w:r w:rsidR="00B06662">
        <w:t xml:space="preserve">tentative </w:t>
      </w:r>
      <w:r>
        <w:t xml:space="preserve">signal rather than </w:t>
      </w:r>
      <w:r w:rsidR="00B06662">
        <w:t xml:space="preserve">definitive </w:t>
      </w:r>
      <w:r>
        <w:t>evidence.</w:t>
      </w:r>
    </w:p>
    <w:p w14:paraId="518D1912" w14:textId="77777777" w:rsidR="001B7662" w:rsidRDefault="00A208A5">
      <w:pPr>
        <w:pStyle w:val="Heading3"/>
      </w:pPr>
      <w:bookmarkStart w:id="8" w:name="robustness-tests-suggest-caution"/>
      <w:bookmarkEnd w:id="7"/>
      <w:r>
        <w:t>Robustness tests suggest caution</w:t>
      </w:r>
    </w:p>
    <w:p w14:paraId="518D1913" w14:textId="77777777" w:rsidR="001B7662" w:rsidRDefault="00A208A5">
      <w:r>
        <w:t>The results of the statistical model are sensitive to some modelling choices, notably the choice of AI exposure measure. This means that we should interpret the model’s findings with caution.</w:t>
      </w:r>
    </w:p>
    <w:p w14:paraId="518D1914" w14:textId="77777777" w:rsidR="001B7662" w:rsidRDefault="00A208A5">
      <w:pPr>
        <w:pStyle w:val="BodyText"/>
      </w:pPr>
      <w:r>
        <w:t>The result does not appear to be driven by a small number of occupations. The result also survives several timing and model-design variations, including a version that controls for occupations’ historical sensitivity to the business cycle.</w:t>
      </w:r>
    </w:p>
    <w:p w14:paraId="518D1915" w14:textId="42A84259" w:rsidR="001B7662" w:rsidRDefault="00A208A5">
      <w:pPr>
        <w:pStyle w:val="BodyText"/>
      </w:pPr>
      <w:r>
        <w:t>But the main result is not robust to every test. The AI exposure–employment relationship weakens or disappears when we use alternative measures of occupational AI exposure, or when we estimate the statistical model in a different way. These inconsistencies in the exposure–employment relationship are the strongest reason for caution. If future updates to this analysis find a statistically significant negative exposure–employment relationship when using alternative measures of exposure, that will be a sign that we can be more confident that AI is weighing on employment.</w:t>
      </w:r>
    </w:p>
    <w:p w14:paraId="518D1916" w14:textId="77777777" w:rsidR="001B7662" w:rsidRDefault="00A208A5">
      <w:pPr>
        <w:pStyle w:val="Heading3"/>
      </w:pPr>
      <w:bookmarkStart w:id="9" w:name="Xe01a958c33e4adb2014ee5e1904ce54c79304b8"/>
      <w:bookmarkEnd w:id="8"/>
      <w:r>
        <w:t>The evidence does not show large AI-driven job loss</w:t>
      </w:r>
    </w:p>
    <w:p w14:paraId="518D1917" w14:textId="4C062F31" w:rsidR="001B7662" w:rsidRDefault="00A208A5">
      <w:r>
        <w:t xml:space="preserve">Taken together, the evidence points to some modest and tentative signs that employment may be softening in more AI-exposed occupations. But there is no evidence to date of broad AI-driven labour market upheaval in Australia. Aggregate conditions remain strong, youth outcomes have mostly held </w:t>
      </w:r>
      <w:proofErr w:type="gramStart"/>
      <w:r>
        <w:t>up</w:t>
      </w:r>
      <w:proofErr w:type="gramEnd"/>
      <w:r>
        <w:t xml:space="preserve"> and occupational reshuffling has not accelerated. </w:t>
      </w:r>
      <w:r w:rsidR="009C4E82">
        <w:t>T</w:t>
      </w:r>
      <w:r>
        <w:t>here is a modest and concentrated signal that employment in more AI-exposed occupations has softened relative to less-exposed occupations.</w:t>
      </w:r>
    </w:p>
    <w:p w14:paraId="518D1918" w14:textId="244D42FE" w:rsidR="001B7662" w:rsidRDefault="009C4E82">
      <w:pPr>
        <w:pStyle w:val="BodyText"/>
      </w:pPr>
      <w:r>
        <w:t>DEWR will continue to monitor the data</w:t>
      </w:r>
      <w:r w:rsidR="00A208A5">
        <w:t>. The framework in this report can be used to track whether the current signal grows, fades or persists. Future work should extend the evidence base by using administrative data and updating exposure measures as AI capabilities evolve.</w:t>
      </w:r>
    </w:p>
    <w:p w14:paraId="518D1919" w14:textId="77777777" w:rsidR="001B7662" w:rsidRDefault="00A208A5">
      <w:pPr>
        <w:pStyle w:val="Heading1"/>
      </w:pPr>
      <w:bookmarkStart w:id="10" w:name="_Toc232612068"/>
      <w:bookmarkStart w:id="11" w:name="introduction"/>
      <w:bookmarkEnd w:id="1"/>
      <w:bookmarkEnd w:id="9"/>
      <w:r>
        <w:lastRenderedPageBreak/>
        <w:t>Introduction</w:t>
      </w:r>
      <w:bookmarkEnd w:id="10"/>
    </w:p>
    <w:tbl>
      <w:tblPr>
        <w:tblW w:w="0" w:type="auto"/>
        <w:jc w:val="center"/>
        <w:tblLayout w:type="fixed"/>
        <w:tblLook w:val="0420" w:firstRow="1" w:lastRow="0" w:firstColumn="0" w:lastColumn="0" w:noHBand="0" w:noVBand="1"/>
      </w:tblPr>
      <w:tblGrid>
        <w:gridCol w:w="317"/>
        <w:gridCol w:w="9043"/>
      </w:tblGrid>
      <w:tr w:rsidR="001B7662" w14:paraId="518D191B" w14:textId="77777777">
        <w:trPr>
          <w:jc w:val="center"/>
        </w:trPr>
        <w:tc>
          <w:tcPr>
            <w:tcW w:w="9360" w:type="dxa"/>
            <w:gridSpan w:val="2"/>
            <w:tcBorders>
              <w:top w:val="single" w:sz="10" w:space="0" w:color="5D7A38"/>
              <w:left w:val="single" w:sz="10" w:space="0" w:color="5D7A38"/>
              <w:bottom w:val="none" w:sz="0" w:space="0" w:color="F1F5ED"/>
              <w:right w:val="single" w:sz="10" w:space="0" w:color="5D7A38"/>
            </w:tcBorders>
            <w:shd w:val="clear" w:color="auto" w:fill="F1F5ED"/>
            <w:tcMar>
              <w:top w:w="0" w:type="dxa"/>
              <w:left w:w="0" w:type="dxa"/>
              <w:bottom w:w="0" w:type="dxa"/>
              <w:right w:w="0" w:type="dxa"/>
            </w:tcMar>
          </w:tcPr>
          <w:p w14:paraId="518D191A" w14:textId="77777777" w:rsidR="001B7662" w:rsidRDefault="00A208A5">
            <w:pPr>
              <w:keepNext/>
              <w:pBdr>
                <w:top w:val="none" w:sz="0" w:space="0" w:color="000000"/>
                <w:left w:val="none" w:sz="0" w:space="0" w:color="000000"/>
                <w:bottom w:val="none" w:sz="0" w:space="0" w:color="000000"/>
                <w:right w:val="none" w:sz="0" w:space="0" w:color="000000"/>
              </w:pBdr>
              <w:spacing w:before="80" w:after="80" w:line="276" w:lineRule="auto"/>
              <w:ind w:left="120" w:right="120"/>
              <w:rPr>
                <w:rFonts w:eastAsia="Aptos Display" w:cs="Aptos Display"/>
                <w:color w:val="000000"/>
              </w:rPr>
            </w:pPr>
            <w:r>
              <w:rPr>
                <w:rFonts w:eastAsia="Aptos Display" w:cs="Aptos Display"/>
                <w:b/>
                <w:color w:val="5D7A38"/>
                <w:sz w:val="28"/>
                <w:szCs w:val="28"/>
              </w:rPr>
              <w:t>Key points</w:t>
            </w:r>
          </w:p>
        </w:tc>
      </w:tr>
      <w:tr w:rsidR="001B7662" w14:paraId="518D191E"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91C"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91D"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Expert predictions about the potential future effect of AI on the labour market differ dramatically. A wide range of outcomes is possible.</w:t>
            </w:r>
          </w:p>
        </w:tc>
      </w:tr>
      <w:tr w:rsidR="001B7662" w14:paraId="518D1921"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91F"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920"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In theory, technologies such as AI can displace workers. But they can also increase employment by boosting productivity and creating new tasks. The net effect of AI on jobs could be either negative or positive. The overall effect is an empirical question – it can only be estimated with data.</w:t>
            </w:r>
          </w:p>
        </w:tc>
      </w:tr>
      <w:tr w:rsidR="001B7662" w14:paraId="518D1924"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922"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923"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Existing evidence on the effect of AI on jobs is mixed. This evidence is mostly from overseas. Some studies find that youth employment in more-exposed occupations has grown more slowly in the period since generative AI became widely available. But most studies find no evidence of a negative overall effect of AI on jobs so far.</w:t>
            </w:r>
          </w:p>
        </w:tc>
      </w:tr>
      <w:tr w:rsidR="001B7662" w14:paraId="518D1927"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925"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926"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This report measures whether occupations more exposed to AI have grown more slowly than other occupations in the period since ChatGPT was introduced. It also examines a range of other labour market indicators to see whether there are signs of disruption.</w:t>
            </w:r>
          </w:p>
        </w:tc>
      </w:tr>
      <w:tr w:rsidR="001B7662" w14:paraId="518D192A"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928"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929"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 report sets up a framework that could be used for ongoing monitoring. The approach is multi-dimensional: descriptive indicators, a core statistical model and variations on the core model.</w:t>
            </w:r>
          </w:p>
        </w:tc>
      </w:tr>
      <w:tr w:rsidR="001B7662" w14:paraId="518D192D"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92B"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92C"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 xml:space="preserve">The analysis in this report builds on JSA's GenAI capacity study, </w:t>
            </w:r>
            <w:proofErr w:type="gramStart"/>
            <w:r>
              <w:rPr>
                <w:rFonts w:eastAsia="Aptos Display" w:cs="Aptos Display"/>
                <w:color w:val="000000"/>
              </w:rPr>
              <w:t>in particular using</w:t>
            </w:r>
            <w:proofErr w:type="gramEnd"/>
            <w:r>
              <w:rPr>
                <w:rFonts w:eastAsia="Aptos Display" w:cs="Aptos Display"/>
                <w:color w:val="000000"/>
              </w:rPr>
              <w:t xml:space="preserve"> JSA's measures of each occupation's exposure to automation by AI tools.</w:t>
            </w:r>
          </w:p>
        </w:tc>
      </w:tr>
      <w:tr w:rsidR="001B7662" w14:paraId="518D1930" w14:textId="77777777">
        <w:trPr>
          <w:jc w:val="center"/>
        </w:trPr>
        <w:tc>
          <w:tcPr>
            <w:tcW w:w="317" w:type="dxa"/>
            <w:tcBorders>
              <w:top w:val="none" w:sz="0" w:space="0" w:color="F1F5ED"/>
              <w:left w:val="single" w:sz="10" w:space="0" w:color="5D7A38"/>
              <w:bottom w:val="single" w:sz="10" w:space="0" w:color="5D7A38"/>
              <w:right w:val="none" w:sz="0" w:space="0" w:color="F1F5ED"/>
            </w:tcBorders>
            <w:shd w:val="clear" w:color="auto" w:fill="F1F5ED"/>
            <w:tcMar>
              <w:top w:w="0" w:type="dxa"/>
              <w:left w:w="0" w:type="dxa"/>
              <w:bottom w:w="0" w:type="dxa"/>
              <w:right w:w="0" w:type="dxa"/>
            </w:tcMar>
          </w:tcPr>
          <w:p w14:paraId="518D192E"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single" w:sz="10" w:space="0" w:color="5D7A38"/>
              <w:right w:val="single" w:sz="10" w:space="0" w:color="5D7A38"/>
            </w:tcBorders>
            <w:shd w:val="clear" w:color="auto" w:fill="F1F5ED"/>
            <w:tcMar>
              <w:top w:w="0" w:type="dxa"/>
              <w:left w:w="0" w:type="dxa"/>
              <w:bottom w:w="0" w:type="dxa"/>
              <w:right w:w="0" w:type="dxa"/>
            </w:tcMar>
          </w:tcPr>
          <w:p w14:paraId="518D192F" w14:textId="2E97EDFB"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 focus of this report is employment and AI. It does not consider the labour market effects of other technologies, such as self-driving cars. It also does not examine other potential ways that AI could affect the world of work, such as work intensification or surveillance. Nor does the report examine the effect of AI on wages or any other outcomes beyond employment, hours worked and job advertisements.</w:t>
            </w:r>
            <w:r w:rsidR="00A23A18">
              <w:rPr>
                <w:rFonts w:eastAsia="Aptos Display" w:cs="Aptos Display"/>
                <w:color w:val="000000"/>
              </w:rPr>
              <w:t xml:space="preserve"> It does not include predictions or forecasts of potential future effects of AI.</w:t>
            </w:r>
          </w:p>
        </w:tc>
      </w:tr>
    </w:tbl>
    <w:p w14:paraId="518D1931" w14:textId="77777777" w:rsidR="001B7662" w:rsidRDefault="001B7662"/>
    <w:p w14:paraId="518D1932" w14:textId="77777777" w:rsidR="001B7662" w:rsidRDefault="00A208A5">
      <w:pPr>
        <w:pStyle w:val="Heading2"/>
      </w:pPr>
      <w:bookmarkStart w:id="12" w:name="_Toc232612069"/>
      <w:bookmarkStart w:id="13" w:name="Xdf53a31a16535644be0c89133768eed5064c81b"/>
      <w:r>
        <w:t>The future effect of AI is highly uncertain</w:t>
      </w:r>
      <w:bookmarkEnd w:id="12"/>
    </w:p>
    <w:p w14:paraId="518D1933" w14:textId="77777777" w:rsidR="001B7662" w:rsidRDefault="00A208A5">
      <w:r>
        <w:t>AI is a general-purpose technology that could potentially reshape the world of work.</w:t>
      </w:r>
      <w:r>
        <w:rPr>
          <w:rStyle w:val="FootnoteReference"/>
        </w:rPr>
        <w:footnoteReference w:id="3"/>
      </w:r>
      <w:r>
        <w:t xml:space="preserve"> But there is a wide range of views about the possible impact of AI on the labour market, including among well-credentialled observers. For example, Daron Acemoglu, the Nobel Prize-winning economist, expects minimal labour market disruption, predicting that ‘only 5% of jobs will be heavily affected by AI over the next 10 years’.</w:t>
      </w:r>
      <w:r>
        <w:rPr>
          <w:rStyle w:val="FootnoteReference"/>
        </w:rPr>
        <w:footnoteReference w:id="4"/>
      </w:r>
      <w:r>
        <w:t xml:space="preserve"> At the other extreme, Dario Amodei, co-founder and CEO of Anthropic, has stated that ‘AI could wipe out half of all entry-level white collar jobs and spike unemployment to 10% to 20% in the next one to five years’.</w:t>
      </w:r>
      <w:r>
        <w:rPr>
          <w:rStyle w:val="FootnoteReference"/>
        </w:rPr>
        <w:footnoteReference w:id="5"/>
      </w:r>
      <w:r>
        <w:t xml:space="preserve"> There are predictions at many points on the spectrum between these ‘employment optimist’ and ‘employment pessimist’ positions.</w:t>
      </w:r>
      <w:r>
        <w:rPr>
          <w:rStyle w:val="FootnoteReference"/>
        </w:rPr>
        <w:footnoteReference w:id="6"/>
      </w:r>
    </w:p>
    <w:p w14:paraId="518D1934" w14:textId="77777777" w:rsidR="001B7662" w:rsidRDefault="00A208A5">
      <w:pPr>
        <w:pStyle w:val="BodyText"/>
      </w:pPr>
      <w:r>
        <w:t xml:space="preserve">This report does not add to the speculation about what may happen to employment in the future </w:t>
      </w:r>
      <w:proofErr w:type="gramStart"/>
      <w:r>
        <w:t>as a result of</w:t>
      </w:r>
      <w:proofErr w:type="gramEnd"/>
      <w:r>
        <w:t xml:space="preserve"> AI. Instead, it examines the data to February 2026 to answer the following core question: </w:t>
      </w:r>
      <w:r>
        <w:rPr>
          <w:b/>
          <w:bCs/>
        </w:rPr>
        <w:t xml:space="preserve">since the public release of generative AI tools in late 2022, has employment in more AI-exposed </w:t>
      </w:r>
      <w:r>
        <w:rPr>
          <w:b/>
          <w:bCs/>
        </w:rPr>
        <w:lastRenderedPageBreak/>
        <w:t>occupations in Australia grown more slowly than other occupations?</w:t>
      </w:r>
      <w:r>
        <w:t xml:space="preserve"> As well as answering this core question, we scan a broader range of descriptive indicators that may reveal other AI-related changes to the labour market. We are focused </w:t>
      </w:r>
      <w:proofErr w:type="gramStart"/>
      <w:r>
        <w:t>in particular on</w:t>
      </w:r>
      <w:proofErr w:type="gramEnd"/>
      <w:r>
        <w:t xml:space="preserve"> generative and agentic AI tools based on large language models (LLMs).</w:t>
      </w:r>
    </w:p>
    <w:p w14:paraId="518D1935" w14:textId="77777777" w:rsidR="001B7662" w:rsidRDefault="00A208A5">
      <w:pPr>
        <w:pStyle w:val="Heading2"/>
      </w:pPr>
      <w:bookmarkStart w:id="14" w:name="_Toc232612070"/>
      <w:bookmarkStart w:id="15" w:name="ai-could-reduce-or-increase-employment"/>
      <w:bookmarkEnd w:id="13"/>
      <w:r>
        <w:t>AI could reduce or increase employment</w:t>
      </w:r>
      <w:bookmarkEnd w:id="14"/>
    </w:p>
    <w:p w14:paraId="518D1936" w14:textId="77777777" w:rsidR="001B7662" w:rsidRDefault="00A208A5">
      <w:r>
        <w:t>AI can already perform many tasks that are undertaken by human workers. As AI models improve, and adoption increases, it is possible that some workers may be displaced. But displacement is not an inevitable consequence of the ability of AI to perform productive tasks that have traditionally been undertaken by humans.</w:t>
      </w:r>
      <w:r>
        <w:rPr>
          <w:rStyle w:val="FootnoteReference"/>
        </w:rPr>
        <w:footnoteReference w:id="7"/>
      </w:r>
    </w:p>
    <w:p w14:paraId="518D1937" w14:textId="77777777" w:rsidR="001B7662" w:rsidRDefault="00A208A5">
      <w:pPr>
        <w:pStyle w:val="BodyText"/>
      </w:pPr>
      <w:r>
        <w:t>New technology’s net effect on work can be divided into 3 broad components:</w:t>
      </w:r>
      <w:r>
        <w:rPr>
          <w:rStyle w:val="FootnoteReference"/>
        </w:rPr>
        <w:footnoteReference w:id="8"/>
      </w:r>
    </w:p>
    <w:p w14:paraId="518D1938" w14:textId="77777777" w:rsidR="001B7662" w:rsidRDefault="00A208A5" w:rsidP="00A208A5">
      <w:pPr>
        <w:numPr>
          <w:ilvl w:val="0"/>
          <w:numId w:val="7"/>
        </w:numPr>
      </w:pPr>
      <w:r>
        <w:rPr>
          <w:b/>
          <w:bCs/>
        </w:rPr>
        <w:t>Displacement:</w:t>
      </w:r>
      <w:r>
        <w:t xml:space="preserve"> When technology can do tasks previously undertaken by humans, some firms may substitute technology for human labour, putting people out of work in the process. This is the effect that is often focused on in public discussion.</w:t>
      </w:r>
    </w:p>
    <w:p w14:paraId="518D1939" w14:textId="77777777" w:rsidR="001B7662" w:rsidRDefault="00A208A5" w:rsidP="00A208A5">
      <w:pPr>
        <w:numPr>
          <w:ilvl w:val="0"/>
          <w:numId w:val="7"/>
        </w:numPr>
      </w:pPr>
      <w:r>
        <w:rPr>
          <w:b/>
          <w:bCs/>
        </w:rPr>
        <w:t>Productivity:</w:t>
      </w:r>
      <w:r>
        <w:t xml:space="preserve"> Automation increases the amount that can be produced for each hour of work, on average. This can be through automation that reduces the amount of human labour needed for a task, or augmentation which improves output quality for the same amount of labour.</w:t>
      </w:r>
      <w:r>
        <w:rPr>
          <w:rStyle w:val="FootnoteReference"/>
        </w:rPr>
        <w:footnoteReference w:id="9"/>
      </w:r>
      <w:r>
        <w:t xml:space="preserve"> This rise in productivity increases the demand for labour in non-automated tasks. As Deming et al. (2025, 181) describe, ‘if productivity gains from automation greatly increase the size of the pie, workers may still get a larger slice even if one or two slices now get eaten by robots.’</w:t>
      </w:r>
    </w:p>
    <w:p w14:paraId="518D193A" w14:textId="77777777" w:rsidR="001B7662" w:rsidRDefault="00A208A5" w:rsidP="00A208A5">
      <w:pPr>
        <w:numPr>
          <w:ilvl w:val="0"/>
          <w:numId w:val="7"/>
        </w:numPr>
      </w:pPr>
      <w:r>
        <w:rPr>
          <w:b/>
          <w:bCs/>
        </w:rPr>
        <w:t>Reinstatement</w:t>
      </w:r>
      <w:r>
        <w:t>: Technology can create new tasks in which humans have a comparative advantage. Past technological changes have created a range of new tasks and occupations that did not previously exist. Most Americans are employed in jobs that did not exist in 1940,</w:t>
      </w:r>
      <w:r>
        <w:rPr>
          <w:rStyle w:val="FootnoteReference"/>
        </w:rPr>
        <w:footnoteReference w:id="10"/>
      </w:r>
      <w:r>
        <w:t xml:space="preserve"> and the Australian labour market has been similarly reshaped by past technological change.</w:t>
      </w:r>
      <w:r>
        <w:rPr>
          <w:rStyle w:val="FootnoteReference"/>
        </w:rPr>
        <w:footnoteReference w:id="11"/>
      </w:r>
    </w:p>
    <w:p w14:paraId="518D193B" w14:textId="77777777" w:rsidR="001B7662" w:rsidRDefault="00A208A5">
      <w:r>
        <w:t>AI can reduce employment by replacing tasks, but it can also raise employment by increasing productivity and creating new tasks.</w:t>
      </w:r>
      <w:r>
        <w:rPr>
          <w:rStyle w:val="FootnoteReference"/>
        </w:rPr>
        <w:footnoteReference w:id="12"/>
      </w:r>
      <w:r>
        <w:t xml:space="preserve"> The net effect of AI on employment is ambiguous in theory. We will not know the effect until we can measure it with data.</w:t>
      </w:r>
      <w:r>
        <w:rPr>
          <w:rStyle w:val="FootnoteReference"/>
        </w:rPr>
        <w:footnoteReference w:id="13"/>
      </w:r>
    </w:p>
    <w:p w14:paraId="518D193C" w14:textId="77777777" w:rsidR="001B7662" w:rsidRDefault="00A208A5">
      <w:pPr>
        <w:pStyle w:val="BodyText"/>
      </w:pPr>
      <w:r>
        <w:t>If we do not see job displacement from AI, this would mean the reinstatement and productivity effects have outweighed displacement. This could occur if AI has been used more to augment rather than automate tasks.</w:t>
      </w:r>
      <w:r>
        <w:rPr>
          <w:rStyle w:val="FootnoteReference"/>
        </w:rPr>
        <w:footnoteReference w:id="14"/>
      </w:r>
    </w:p>
    <w:p w14:paraId="518D193D" w14:textId="77777777" w:rsidR="001B7662" w:rsidRDefault="00A208A5">
      <w:pPr>
        <w:pStyle w:val="Heading2"/>
      </w:pPr>
      <w:bookmarkStart w:id="16" w:name="_Toc232612071"/>
      <w:bookmarkStart w:id="17" w:name="X4758ed6616024d167d73edf0e2289e9067189d4"/>
      <w:bookmarkEnd w:id="15"/>
      <w:r>
        <w:t>Most studies find little overall employment effect so far</w:t>
      </w:r>
      <w:bookmarkEnd w:id="16"/>
    </w:p>
    <w:p w14:paraId="518D193E" w14:textId="77777777" w:rsidR="001B7662" w:rsidRDefault="00A208A5">
      <w:r>
        <w:t>A range of studies, mostly overseas, have examined the effect of AI on employment. Most find limited effects so far. Here we highlight some of the more notable recent studies that focus on employment specifically.</w:t>
      </w:r>
    </w:p>
    <w:p w14:paraId="518D193F" w14:textId="77777777" w:rsidR="001B7662" w:rsidRDefault="00A208A5">
      <w:pPr>
        <w:pStyle w:val="BodyText"/>
      </w:pPr>
      <w:proofErr w:type="gramStart"/>
      <w:r>
        <w:lastRenderedPageBreak/>
        <w:t>A number of</w:t>
      </w:r>
      <w:proofErr w:type="gramEnd"/>
      <w:r>
        <w:t xml:space="preserve"> international studies find no or minimal impact. Gimbel et al. (2026), using US data, find that ‘the broader labor market has not experienced a discernible disruption since ChatGPT’s release’. Chandar (2025) and Humlum and Vestergaard (2026) also do not find significant decreases in employment for more exposed occupations in the US and Denmark, respectively. However, these papers generally do note that they cannot rule out some negative employment effects for some occupations or groups that may be outweighed by positive outcomes for others.</w:t>
      </w:r>
    </w:p>
    <w:p w14:paraId="518D1940" w14:textId="77777777" w:rsidR="001B7662" w:rsidRDefault="00A208A5">
      <w:pPr>
        <w:pStyle w:val="BodyText"/>
      </w:pPr>
      <w:r>
        <w:t>Some studies find negative effects, notably the American ‘Canaries in the coal mine’ paper by Brynjolfsson et al. (2025), particularly on the employment of young workers in highly exposed occupations. Massenkoff and McCrory (2026) also find small negative effects only for young workers in highly exposed occupations in the US. Klein Teeselink (2025) finds some negative impacts in the UK, again mostly for younger exposed workers. However, Lambert and Schindler (2026) find the decline for exposed young workers could be explained by AI-exposed occupations also having high rates of working from home, which could benefit established workers over new workers.</w:t>
      </w:r>
    </w:p>
    <w:p w14:paraId="518D1941" w14:textId="77777777" w:rsidR="001B7662" w:rsidRDefault="00A208A5">
      <w:pPr>
        <w:pStyle w:val="BodyText"/>
      </w:pPr>
      <w:r>
        <w:t>The Australian evidence is still limited. A recent study by CSIRO researchers (Mason et al. 2026) found no negative effects. A recent working paper using linked Australian administrative data (Gross 2026) finds that earnings and hiring outcomes in more-exposed occupations are overall no worse than for those less-exposed, though younger exposed workers show some signs of lower hiring rates.</w:t>
      </w:r>
    </w:p>
    <w:p w14:paraId="518D1942" w14:textId="77777777" w:rsidR="001B7662" w:rsidRDefault="00A208A5">
      <w:pPr>
        <w:pStyle w:val="BodyText"/>
      </w:pPr>
      <w:r>
        <w:t>Whether AI has reduced employment for exposed occupations is still an unsettled empirical question and a very active area of research. A survey by Kolko (2026) notes that early findings on AI’s effect on labour demand are inconclusive, and importantly only a weak signal for what may happen in future. Future studies will benefit from additional data, new data sources, and will reflect the evolving capabilities of AI models and their increased adoption.</w:t>
      </w:r>
    </w:p>
    <w:p w14:paraId="518D1943" w14:textId="77777777" w:rsidR="001B7662" w:rsidRDefault="00A208A5">
      <w:pPr>
        <w:pStyle w:val="Heading2"/>
      </w:pPr>
      <w:bookmarkStart w:id="18" w:name="_Toc232612072"/>
      <w:bookmarkStart w:id="19" w:name="we-use-a-multi-dimensional-approach"/>
      <w:bookmarkEnd w:id="17"/>
      <w:r>
        <w:t>We use a multi-dimensional approach</w:t>
      </w:r>
      <w:bookmarkEnd w:id="18"/>
    </w:p>
    <w:p w14:paraId="518D1944" w14:textId="77777777" w:rsidR="001B7662" w:rsidRDefault="00A208A5">
      <w:r>
        <w:t>DEWR’s framework for monitoring AI and employment has 3 components:</w:t>
      </w:r>
      <w:r>
        <w:rPr>
          <w:rStyle w:val="FootnoteReference"/>
        </w:rPr>
        <w:footnoteReference w:id="15"/>
      </w:r>
    </w:p>
    <w:p w14:paraId="518D1945" w14:textId="77777777" w:rsidR="001B7662" w:rsidRDefault="00A208A5" w:rsidP="00A208A5">
      <w:pPr>
        <w:numPr>
          <w:ilvl w:val="0"/>
          <w:numId w:val="8"/>
        </w:numPr>
      </w:pPr>
      <w:r>
        <w:rPr>
          <w:b/>
          <w:bCs/>
        </w:rPr>
        <w:t>Descriptive indicators</w:t>
      </w:r>
      <w:r>
        <w:t>: We examine a range of labour market indicators to assess whether they are moving in a direction consistent with AI-driven upheaval in the labour market.</w:t>
      </w:r>
    </w:p>
    <w:p w14:paraId="518D1946" w14:textId="77777777" w:rsidR="001B7662" w:rsidRDefault="00A208A5" w:rsidP="00A208A5">
      <w:pPr>
        <w:numPr>
          <w:ilvl w:val="0"/>
          <w:numId w:val="8"/>
        </w:numPr>
      </w:pPr>
      <w:r>
        <w:rPr>
          <w:b/>
          <w:bCs/>
        </w:rPr>
        <w:t>Core statistical model</w:t>
      </w:r>
      <w:r>
        <w:t>: We assess whether the relationship between occupations’ AI exposure and employment has changed in the period since November 2022.</w:t>
      </w:r>
    </w:p>
    <w:p w14:paraId="518D1947" w14:textId="77777777" w:rsidR="001B7662" w:rsidRDefault="00A208A5" w:rsidP="00A208A5">
      <w:pPr>
        <w:numPr>
          <w:ilvl w:val="0"/>
          <w:numId w:val="8"/>
        </w:numPr>
      </w:pPr>
      <w:r>
        <w:rPr>
          <w:b/>
          <w:bCs/>
        </w:rPr>
        <w:t>Variations on the core model</w:t>
      </w:r>
      <w:r>
        <w:t xml:space="preserve"> (‘robustness tests’): We try a range of alternative modelling approaches to assess whether the findings from our core model are robust.</w:t>
      </w:r>
    </w:p>
    <w:p w14:paraId="518D1948" w14:textId="77777777" w:rsidR="001B7662" w:rsidRDefault="00A208A5">
      <w:r>
        <w:t>Each of these components is important. Descriptive indicators show whether there is a broad labour market disruption. The core model provides the central statistical test. Robustness tests determine how much confidence we should place in that result.</w:t>
      </w:r>
    </w:p>
    <w:p w14:paraId="518D1949" w14:textId="77777777" w:rsidR="001B7662" w:rsidRDefault="00A208A5">
      <w:pPr>
        <w:pStyle w:val="BodyText"/>
      </w:pPr>
      <w:r>
        <w:t>We treat the date on which ChatGPT was introduced to the public – 30 November 2022 – as the ‘treatment date’, the date that separates ‘before’ and ‘after’ when it comes to AI. This is consistent with a range of other studies.</w:t>
      </w:r>
      <w:r>
        <w:rPr>
          <w:rStyle w:val="FootnoteReference"/>
        </w:rPr>
        <w:footnoteReference w:id="16"/>
      </w:r>
      <w:r>
        <w:t xml:space="preserve"> There is nothing ChatGPT-specific in our analysis other than this timing.</w:t>
      </w:r>
    </w:p>
    <w:p w14:paraId="518D194A" w14:textId="77777777" w:rsidR="001B7662" w:rsidRDefault="00A208A5">
      <w:pPr>
        <w:pStyle w:val="BodyText"/>
      </w:pPr>
      <w:r>
        <w:t>We use data up to February 2026, which is the most-recently-available release of employment-by-occupation data from the ABS Labour Force Survey.</w:t>
      </w:r>
      <w:r>
        <w:rPr>
          <w:rStyle w:val="FootnoteReference"/>
        </w:rPr>
        <w:footnoteReference w:id="17"/>
      </w:r>
      <w:r>
        <w:t xml:space="preserve"> We use February 2026 as the reference date, </w:t>
      </w:r>
      <w:r>
        <w:lastRenderedPageBreak/>
        <w:t>even for series such as the unemployment rate that have more recent monthly data available. We do this so that our analysis captures a snapshot of a single point in time.</w:t>
      </w:r>
      <w:r>
        <w:rPr>
          <w:rStyle w:val="FootnoteReference"/>
        </w:rPr>
        <w:footnoteReference w:id="18"/>
      </w:r>
    </w:p>
    <w:p w14:paraId="518D194B" w14:textId="77777777" w:rsidR="001B7662" w:rsidRDefault="00A208A5">
      <w:pPr>
        <w:pStyle w:val="Heading2"/>
      </w:pPr>
      <w:bookmarkStart w:id="20" w:name="_Toc232612073"/>
      <w:bookmarkStart w:id="21" w:name="measuring-ai-exposure"/>
      <w:bookmarkEnd w:id="19"/>
      <w:r>
        <w:t>We use JSA’s estimates of AI exposure</w:t>
      </w:r>
      <w:bookmarkEnd w:id="20"/>
    </w:p>
    <w:p w14:paraId="518D194C" w14:textId="0CD6CFFC" w:rsidR="001B7662" w:rsidRDefault="00A208A5">
      <w:r>
        <w:t xml:space="preserve">This report builds on the JSA capacity study </w:t>
      </w:r>
      <w:r>
        <w:rPr>
          <w:i/>
          <w:iCs/>
        </w:rPr>
        <w:t>Our Gen AI Transition</w:t>
      </w:r>
      <w:r>
        <w:t>.</w:t>
      </w:r>
      <w:r>
        <w:rPr>
          <w:rStyle w:val="FootnoteReference"/>
        </w:rPr>
        <w:footnoteReference w:id="19"/>
      </w:r>
      <w:r>
        <w:t xml:space="preserve"> We use the GenAI automation exposure scores developed by JSA to classify each occupation’s level of potential exposure to automation by AI. Further details on the construction of these scores and their limitations, as well as information about alternative exposure measures, can be found in </w:t>
      </w:r>
      <w:hyperlink w:anchor="appendix-a">
        <w:r>
          <w:rPr>
            <w:rStyle w:val="Hyperlink"/>
          </w:rPr>
          <w:t>Appendix A</w:t>
        </w:r>
      </w:hyperlink>
      <w:r>
        <w:t xml:space="preserve"> at page </w:t>
      </w:r>
      <w:r>
        <w:fldChar w:fldCharType="begin"/>
      </w:r>
      <w:r>
        <w:instrText>PAGEREF appendix-a \h</w:instrText>
      </w:r>
      <w:r>
        <w:fldChar w:fldCharType="separate"/>
      </w:r>
      <w:r w:rsidR="00082F4E">
        <w:rPr>
          <w:noProof/>
        </w:rPr>
        <w:t>63</w:t>
      </w:r>
      <w:r>
        <w:fldChar w:fldCharType="end"/>
      </w:r>
      <w:r>
        <w:t>.</w:t>
      </w:r>
    </w:p>
    <w:p w14:paraId="518D194D" w14:textId="05F80CAB" w:rsidR="001B7662" w:rsidRDefault="00A208A5">
      <w:pPr>
        <w:pStyle w:val="BodyText"/>
      </w:pPr>
      <w:r>
        <w:t xml:space="preserve">Figure </w:t>
      </w:r>
      <w:hyperlink w:anchor="viz-jsa-dist" w:history="1">
        <w:r>
          <w:fldChar w:fldCharType="begin"/>
        </w:r>
        <w:r>
          <w:instrText xml:space="preserve"> REF viz-jsa-dist \h</w:instrText>
        </w:r>
        <w:r>
          <w:fldChar w:fldCharType="separate"/>
        </w:r>
        <w:r w:rsidR="00082F4E">
          <w:rPr>
            <w:noProof/>
          </w:rPr>
          <w:t>1</w:t>
        </w:r>
        <w:r>
          <w:fldChar w:fldCharType="end"/>
        </w:r>
      </w:hyperlink>
      <w:r>
        <w:t xml:space="preserve"> shows the distribution of AI automation exposure scores, as estimated by JSA, across individual occupations as defined by the Australia</w:t>
      </w:r>
      <w:r w:rsidR="00FA3CF9">
        <w:t>n</w:t>
      </w:r>
      <w:r>
        <w:t xml:space="preserve"> and New Zealand Standard Classification of Occupations (ANZSCO).</w:t>
      </w:r>
      <w:r>
        <w:rPr>
          <w:rStyle w:val="FootnoteReference"/>
        </w:rPr>
        <w:footnoteReference w:id="20"/>
      </w:r>
      <w:r>
        <w:t xml:space="preserve"> In theory, the scores range from 0 to 1, but in practice no occupation is either fully exposed or fully insulated from generative AI, so the actual scores run from 0.10 to 0.81.</w:t>
      </w:r>
    </w:p>
    <w:p w14:paraId="518D194E" w14:textId="77777777" w:rsidR="001B7662" w:rsidRDefault="00A208A5">
      <w:pPr>
        <w:pStyle w:val="BodyText"/>
      </w:pPr>
      <w:r>
        <w:t>The most-exposed occupations are generally routine cognitive jobs like Filing and Registry Clerks or Keyboard Operators, as their tasks are most able to be automated by generative AI. The least exposed jobs are typically manual, such as Domestic Cleaners and Handypersons.</w:t>
      </w:r>
    </w:p>
    <w:p w14:paraId="518D194F" w14:textId="1935906D" w:rsidR="001B7662" w:rsidRDefault="00A208A5">
      <w:pPr>
        <w:pStyle w:val="ImageCaption"/>
      </w:pPr>
      <w:r>
        <w:t xml:space="preserve">Figure </w:t>
      </w:r>
      <w:bookmarkStart w:id="22" w:name="viz-jsa-dist"/>
      <w:r>
        <w:fldChar w:fldCharType="begin"/>
      </w:r>
      <w:r>
        <w:instrText>SEQ fig \* Arabic</w:instrText>
      </w:r>
      <w:r>
        <w:fldChar w:fldCharType="separate"/>
      </w:r>
      <w:r w:rsidR="00082F4E">
        <w:rPr>
          <w:noProof/>
        </w:rPr>
        <w:t>1</w:t>
      </w:r>
      <w:r>
        <w:fldChar w:fldCharType="end"/>
      </w:r>
      <w:bookmarkEnd w:id="22"/>
      <w:r>
        <w:t>: Routine cognitive occupations like ‘Keyboard Operators’ are most exposed to automation by generative AI</w:t>
      </w:r>
    </w:p>
    <w:p w14:paraId="518D1950" w14:textId="69377664" w:rsidR="001B7662" w:rsidRDefault="00274E2F">
      <w:pPr>
        <w:pStyle w:val="CompactNormal"/>
        <w:jc w:val="center"/>
      </w:pPr>
      <w:r>
        <w:rPr>
          <w:noProof/>
        </w:rPr>
        <w:drawing>
          <wp:inline distT="0" distB="0" distL="0" distR="0" wp14:anchorId="01922C8C" wp14:editId="71A913C7">
            <wp:extent cx="5760720" cy="2880360"/>
            <wp:effectExtent l="0" t="0" r="0" b="0"/>
            <wp:docPr id="1204790693" name="Picture 1204790693" descr="A dot plot displays distribution of occupations' JSA AI automation exposure scores, ranging from 0 to 1 on the x-axis with dots representing 4-digit ANZSCO occupations. Labels highlight least exposed jobs like Domestic Cleaners and most exposed jobs including Filing Clerks and Telemarketers, showing a concentration of occupations around 0.25 to 0.5 exposure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90693" name="Picture 1204790693" descr="A dot plot displays distribution of occupations' JSA AI automation exposure scores, ranging from 0 to 1 on the x-axis with dots representing 4-digit ANZSCO occupations. Labels highlight least exposed jobs like Domestic Cleaners and most exposed jobs including Filing Clerks and Telemarketers, showing a concentration of occupations around 0.25 to 0.5 exposure scores."/>
                    <pic:cNvPicPr>
                      <a:picLocks noChangeAspect="1" noChangeArrowheads="1"/>
                    </pic:cNvPicPr>
                  </pic:nvPicPr>
                  <pic:blipFill>
                    <a:blip r:embed="rId14"/>
                    <a:stretch>
                      <a:fillRect/>
                    </a:stretch>
                  </pic:blipFill>
                  <pic:spPr bwMode="auto">
                    <a:xfrm>
                      <a:off x="0" y="0"/>
                      <a:ext cx="5760720" cy="2880360"/>
                    </a:xfrm>
                    <a:prstGeom prst="rect">
                      <a:avLst/>
                    </a:prstGeom>
                    <a:noFill/>
                  </pic:spPr>
                </pic:pic>
              </a:graphicData>
            </a:graphic>
          </wp:inline>
        </w:drawing>
      </w:r>
    </w:p>
    <w:p w14:paraId="518D1951" w14:textId="6390236E" w:rsidR="001B7662" w:rsidRDefault="00A208A5">
      <w:pPr>
        <w:pStyle w:val="BodyText"/>
      </w:pPr>
      <w:r>
        <w:t>JSA’s exposure scores are based on work by researchers at the International Labour Organisation (ILO).</w:t>
      </w:r>
      <w:r>
        <w:rPr>
          <w:rStyle w:val="FootnoteReference"/>
        </w:rPr>
        <w:footnoteReference w:id="21"/>
      </w:r>
      <w:r>
        <w:t xml:space="preserve"> They use a robust, defensible methodology. But any measure of the potential exposure of individual occupations to future automation by AI is inherently speculative and imprecise. For this reason, our analysis includes a range of descriptive indicators that do not rely on any exposure scores, such as the rate of compositional change in the jobs market. We also estimate our statistical model using </w:t>
      </w:r>
      <w:hyperlink w:anchor="sec-alt-exposure">
        <w:r>
          <w:rPr>
            <w:rStyle w:val="Hyperlink"/>
          </w:rPr>
          <w:t>alternative measures of AI exposure</w:t>
        </w:r>
      </w:hyperlink>
      <w:r>
        <w:t xml:space="preserve"> as a robustness test –– see page </w:t>
      </w:r>
      <w:r>
        <w:fldChar w:fldCharType="begin"/>
      </w:r>
      <w:r>
        <w:instrText>PAGEREF sec-alt-exposure \h</w:instrText>
      </w:r>
      <w:r>
        <w:fldChar w:fldCharType="separate"/>
      </w:r>
      <w:r w:rsidR="00082F4E">
        <w:rPr>
          <w:noProof/>
        </w:rPr>
        <w:t>52</w:t>
      </w:r>
      <w:r>
        <w:fldChar w:fldCharType="end"/>
      </w:r>
      <w:r>
        <w:t>.</w:t>
      </w:r>
    </w:p>
    <w:p w14:paraId="518D1952" w14:textId="1BE3992D" w:rsidR="001B7662" w:rsidRDefault="00A208A5">
      <w:pPr>
        <w:pStyle w:val="BodyText"/>
      </w:pPr>
      <w:r>
        <w:t>For our descriptive analysis, we divide occupations into 5 equal groups (‘quintiles’) based on their AI exposure.</w:t>
      </w:r>
      <w:r>
        <w:rPr>
          <w:rStyle w:val="FootnoteReference"/>
        </w:rPr>
        <w:footnoteReference w:id="22"/>
      </w:r>
      <w:r>
        <w:t xml:space="preserve"> Table </w:t>
      </w:r>
      <w:hyperlink w:anchor="tab-top-occs-by-quint" w:history="1">
        <w:r>
          <w:fldChar w:fldCharType="begin"/>
        </w:r>
        <w:r>
          <w:instrText xml:space="preserve"> REF tab-top-occs-by-quint \h</w:instrText>
        </w:r>
        <w:r>
          <w:fldChar w:fldCharType="separate"/>
        </w:r>
        <w:r w:rsidR="00082F4E">
          <w:rPr>
            <w:noProof/>
          </w:rPr>
          <w:t>1</w:t>
        </w:r>
        <w:r>
          <w:fldChar w:fldCharType="end"/>
        </w:r>
      </w:hyperlink>
      <w:r>
        <w:t xml:space="preserve"> shows the 10 largest occupations in each quintile of AI exposure. The group with </w:t>
      </w:r>
      <w:r>
        <w:lastRenderedPageBreak/>
        <w:t>the highest exposure mostly contains cognitive roles – clerks, programmers, and administrative roles. The least exposed quintile consists mostly of manual roles – carers, tradespeople, and drivers.</w:t>
      </w:r>
    </w:p>
    <w:p w14:paraId="518D1953" w14:textId="1B7ECD8E" w:rsidR="001B7662" w:rsidRDefault="00A208A5">
      <w:pPr>
        <w:pStyle w:val="TableCaption"/>
        <w:pBdr>
          <w:top w:val="none" w:sz="0" w:space="0" w:color="000000"/>
          <w:left w:val="none" w:sz="0" w:space="0" w:color="000000"/>
          <w:bottom w:val="none" w:sz="0" w:space="0" w:color="000000"/>
          <w:right w:val="none" w:sz="0" w:space="0" w:color="000000"/>
        </w:pBdr>
        <w:spacing w:before="0" w:after="0"/>
      </w:pPr>
      <w:r>
        <w:t xml:space="preserve">Table </w:t>
      </w:r>
      <w:bookmarkStart w:id="23" w:name="tab-top-occs-by-quint"/>
      <w:r>
        <w:fldChar w:fldCharType="begin"/>
      </w:r>
      <w:r>
        <w:instrText>SEQ tab \* Arabic</w:instrText>
      </w:r>
      <w:r>
        <w:fldChar w:fldCharType="separate"/>
      </w:r>
      <w:r w:rsidR="00082F4E">
        <w:rPr>
          <w:noProof/>
        </w:rPr>
        <w:t>1</w:t>
      </w:r>
      <w:r>
        <w:fldChar w:fldCharType="end"/>
      </w:r>
      <w:bookmarkEnd w:id="23"/>
      <w:r>
        <w:t>: The largest occupations in each exposure quintile</w:t>
      </w:r>
    </w:p>
    <w:tbl>
      <w:tblPr>
        <w:tblW w:w="0" w:type="auto"/>
        <w:jc w:val="center"/>
        <w:tblLayout w:type="fixed"/>
        <w:tblLook w:val="0420" w:firstRow="1" w:lastRow="0" w:firstColumn="0" w:lastColumn="0" w:noHBand="0" w:noVBand="1"/>
      </w:tblPr>
      <w:tblGrid>
        <w:gridCol w:w="1814"/>
        <w:gridCol w:w="1814"/>
        <w:gridCol w:w="1814"/>
        <w:gridCol w:w="1814"/>
        <w:gridCol w:w="1814"/>
      </w:tblGrid>
      <w:tr w:rsidR="001B7662" w14:paraId="518D1959" w14:textId="77777777">
        <w:trPr>
          <w:cantSplit/>
          <w:tblHeader/>
          <w:jc w:val="center"/>
        </w:trPr>
        <w:tc>
          <w:tcPr>
            <w:tcW w:w="1814" w:type="dxa"/>
            <w:tcBorders>
              <w:top w:val="single" w:sz="12" w:space="0" w:color="666666"/>
              <w:left w:val="none" w:sz="0" w:space="0" w:color="000000"/>
              <w:bottom w:val="single" w:sz="12" w:space="0" w:color="666666"/>
              <w:right w:val="none" w:sz="0" w:space="0" w:color="000000"/>
            </w:tcBorders>
            <w:shd w:val="clear" w:color="auto" w:fill="5D7A38"/>
            <w:tcMar>
              <w:top w:w="0" w:type="dxa"/>
              <w:left w:w="0" w:type="dxa"/>
              <w:bottom w:w="0" w:type="dxa"/>
              <w:right w:w="0" w:type="dxa"/>
            </w:tcMar>
            <w:vAlign w:val="center"/>
          </w:tcPr>
          <w:p w14:paraId="518D1954" w14:textId="77777777" w:rsidR="001B7662" w:rsidRDefault="00A208A5">
            <w:pPr>
              <w:pBdr>
                <w:top w:val="none" w:sz="0" w:space="0" w:color="000000"/>
                <w:left w:val="none" w:sz="0" w:space="0" w:color="000000"/>
                <w:bottom w:val="none" w:sz="0" w:space="0" w:color="000000"/>
                <w:right w:val="none" w:sz="0" w:space="0" w:color="000000"/>
              </w:pBdr>
              <w:spacing w:before="100" w:after="100" w:line="192" w:lineRule="auto"/>
              <w:ind w:left="100" w:right="100"/>
              <w:rPr>
                <w:rFonts w:ascii="Aptos" w:eastAsia="Aptos" w:hAnsi="Aptos" w:cs="Aptos"/>
                <w:color w:val="FFFFFF"/>
                <w:sz w:val="20"/>
                <w:szCs w:val="20"/>
              </w:rPr>
            </w:pPr>
            <w:r>
              <w:rPr>
                <w:rFonts w:ascii="Aptos" w:eastAsia="Aptos" w:hAnsi="Aptos" w:cs="Aptos"/>
                <w:color w:val="FFFFFF"/>
                <w:sz w:val="20"/>
                <w:szCs w:val="20"/>
              </w:rPr>
              <w:t>Least exposed</w:t>
            </w:r>
          </w:p>
        </w:tc>
        <w:tc>
          <w:tcPr>
            <w:tcW w:w="1814" w:type="dxa"/>
            <w:tcBorders>
              <w:top w:val="single" w:sz="12" w:space="0" w:color="666666"/>
              <w:left w:val="none" w:sz="0" w:space="0" w:color="000000"/>
              <w:bottom w:val="single" w:sz="12" w:space="0" w:color="666666"/>
              <w:right w:val="none" w:sz="0" w:space="0" w:color="000000"/>
            </w:tcBorders>
            <w:shd w:val="clear" w:color="auto" w:fill="5D7A38"/>
            <w:tcMar>
              <w:top w:w="0" w:type="dxa"/>
              <w:left w:w="0" w:type="dxa"/>
              <w:bottom w:w="0" w:type="dxa"/>
              <w:right w:w="0" w:type="dxa"/>
            </w:tcMar>
            <w:vAlign w:val="center"/>
          </w:tcPr>
          <w:p w14:paraId="518D1955" w14:textId="77777777" w:rsidR="001B7662" w:rsidRDefault="00A208A5">
            <w:pPr>
              <w:pBdr>
                <w:top w:val="none" w:sz="0" w:space="0" w:color="000000"/>
                <w:left w:val="none" w:sz="0" w:space="0" w:color="000000"/>
                <w:bottom w:val="none" w:sz="0" w:space="0" w:color="000000"/>
                <w:right w:val="none" w:sz="0" w:space="0" w:color="000000"/>
              </w:pBdr>
              <w:spacing w:before="100" w:after="100" w:line="192" w:lineRule="auto"/>
              <w:ind w:left="100" w:right="100"/>
              <w:rPr>
                <w:rFonts w:ascii="Aptos" w:eastAsia="Aptos" w:hAnsi="Aptos" w:cs="Aptos"/>
                <w:color w:val="FFFFFF"/>
                <w:sz w:val="20"/>
                <w:szCs w:val="20"/>
              </w:rPr>
            </w:pPr>
            <w:r>
              <w:rPr>
                <w:rFonts w:ascii="Aptos" w:eastAsia="Aptos" w:hAnsi="Aptos" w:cs="Aptos"/>
                <w:color w:val="FFFFFF"/>
                <w:sz w:val="20"/>
                <w:szCs w:val="20"/>
              </w:rPr>
              <w:t>Second least exposed</w:t>
            </w:r>
          </w:p>
        </w:tc>
        <w:tc>
          <w:tcPr>
            <w:tcW w:w="1814" w:type="dxa"/>
            <w:tcBorders>
              <w:top w:val="single" w:sz="12" w:space="0" w:color="666666"/>
              <w:left w:val="none" w:sz="0" w:space="0" w:color="000000"/>
              <w:bottom w:val="single" w:sz="12" w:space="0" w:color="666666"/>
              <w:right w:val="none" w:sz="0" w:space="0" w:color="000000"/>
            </w:tcBorders>
            <w:shd w:val="clear" w:color="auto" w:fill="5D7A38"/>
            <w:tcMar>
              <w:top w:w="0" w:type="dxa"/>
              <w:left w:w="0" w:type="dxa"/>
              <w:bottom w:w="0" w:type="dxa"/>
              <w:right w:w="0" w:type="dxa"/>
            </w:tcMar>
            <w:vAlign w:val="center"/>
          </w:tcPr>
          <w:p w14:paraId="518D1956" w14:textId="77777777" w:rsidR="001B7662" w:rsidRDefault="00A208A5">
            <w:pPr>
              <w:pBdr>
                <w:top w:val="none" w:sz="0" w:space="0" w:color="000000"/>
                <w:left w:val="none" w:sz="0" w:space="0" w:color="000000"/>
                <w:bottom w:val="none" w:sz="0" w:space="0" w:color="000000"/>
                <w:right w:val="none" w:sz="0" w:space="0" w:color="000000"/>
              </w:pBdr>
              <w:spacing w:before="100" w:after="100" w:line="192" w:lineRule="auto"/>
              <w:ind w:left="100" w:right="100"/>
              <w:rPr>
                <w:rFonts w:ascii="Aptos" w:eastAsia="Aptos" w:hAnsi="Aptos" w:cs="Aptos"/>
                <w:color w:val="FFFFFF"/>
                <w:sz w:val="20"/>
                <w:szCs w:val="20"/>
              </w:rPr>
            </w:pPr>
            <w:r>
              <w:rPr>
                <w:rFonts w:ascii="Aptos" w:eastAsia="Aptos" w:hAnsi="Aptos" w:cs="Aptos"/>
                <w:color w:val="FFFFFF"/>
                <w:sz w:val="20"/>
                <w:szCs w:val="20"/>
              </w:rPr>
              <w:t>Middle exposure</w:t>
            </w:r>
          </w:p>
        </w:tc>
        <w:tc>
          <w:tcPr>
            <w:tcW w:w="1814" w:type="dxa"/>
            <w:tcBorders>
              <w:top w:val="single" w:sz="12" w:space="0" w:color="666666"/>
              <w:left w:val="none" w:sz="0" w:space="0" w:color="000000"/>
              <w:bottom w:val="single" w:sz="12" w:space="0" w:color="666666"/>
              <w:right w:val="none" w:sz="0" w:space="0" w:color="000000"/>
            </w:tcBorders>
            <w:shd w:val="clear" w:color="auto" w:fill="5D7A38"/>
            <w:tcMar>
              <w:top w:w="0" w:type="dxa"/>
              <w:left w:w="0" w:type="dxa"/>
              <w:bottom w:w="0" w:type="dxa"/>
              <w:right w:w="0" w:type="dxa"/>
            </w:tcMar>
            <w:vAlign w:val="center"/>
          </w:tcPr>
          <w:p w14:paraId="518D1957" w14:textId="77777777" w:rsidR="001B7662" w:rsidRDefault="00A208A5">
            <w:pPr>
              <w:pBdr>
                <w:top w:val="none" w:sz="0" w:space="0" w:color="000000"/>
                <w:left w:val="none" w:sz="0" w:space="0" w:color="000000"/>
                <w:bottom w:val="none" w:sz="0" w:space="0" w:color="000000"/>
                <w:right w:val="none" w:sz="0" w:space="0" w:color="000000"/>
              </w:pBdr>
              <w:spacing w:before="100" w:after="100" w:line="192" w:lineRule="auto"/>
              <w:ind w:left="100" w:right="100"/>
              <w:rPr>
                <w:rFonts w:ascii="Aptos" w:eastAsia="Aptos" w:hAnsi="Aptos" w:cs="Aptos"/>
                <w:color w:val="FFFFFF"/>
                <w:sz w:val="20"/>
                <w:szCs w:val="20"/>
              </w:rPr>
            </w:pPr>
            <w:r>
              <w:rPr>
                <w:rFonts w:ascii="Aptos" w:eastAsia="Aptos" w:hAnsi="Aptos" w:cs="Aptos"/>
                <w:color w:val="FFFFFF"/>
                <w:sz w:val="20"/>
                <w:szCs w:val="20"/>
              </w:rPr>
              <w:t>Second most exposed</w:t>
            </w:r>
          </w:p>
        </w:tc>
        <w:tc>
          <w:tcPr>
            <w:tcW w:w="1814" w:type="dxa"/>
            <w:tcBorders>
              <w:top w:val="single" w:sz="12" w:space="0" w:color="666666"/>
              <w:left w:val="none" w:sz="0" w:space="0" w:color="000000"/>
              <w:bottom w:val="single" w:sz="12" w:space="0" w:color="666666"/>
              <w:right w:val="none" w:sz="0" w:space="0" w:color="000000"/>
            </w:tcBorders>
            <w:shd w:val="clear" w:color="auto" w:fill="5D7A38"/>
            <w:tcMar>
              <w:top w:w="0" w:type="dxa"/>
              <w:left w:w="0" w:type="dxa"/>
              <w:bottom w:w="0" w:type="dxa"/>
              <w:right w:w="0" w:type="dxa"/>
            </w:tcMar>
            <w:vAlign w:val="center"/>
          </w:tcPr>
          <w:p w14:paraId="518D1958" w14:textId="77777777" w:rsidR="001B7662" w:rsidRDefault="00A208A5">
            <w:pPr>
              <w:pBdr>
                <w:top w:val="none" w:sz="0" w:space="0" w:color="000000"/>
                <w:left w:val="none" w:sz="0" w:space="0" w:color="000000"/>
                <w:bottom w:val="none" w:sz="0" w:space="0" w:color="000000"/>
                <w:right w:val="none" w:sz="0" w:space="0" w:color="000000"/>
              </w:pBdr>
              <w:spacing w:before="100" w:after="100" w:line="192" w:lineRule="auto"/>
              <w:ind w:left="100" w:right="100"/>
              <w:rPr>
                <w:rFonts w:ascii="Aptos" w:eastAsia="Aptos" w:hAnsi="Aptos" w:cs="Aptos"/>
                <w:color w:val="FFFFFF"/>
                <w:sz w:val="20"/>
                <w:szCs w:val="20"/>
              </w:rPr>
            </w:pPr>
            <w:r>
              <w:rPr>
                <w:rFonts w:ascii="Aptos" w:eastAsia="Aptos" w:hAnsi="Aptos" w:cs="Aptos"/>
                <w:color w:val="FFFFFF"/>
                <w:sz w:val="20"/>
                <w:szCs w:val="20"/>
              </w:rPr>
              <w:t>Most exposed</w:t>
            </w:r>
          </w:p>
        </w:tc>
      </w:tr>
      <w:tr w:rsidR="001B7662" w14:paraId="518D195F" w14:textId="77777777">
        <w:trPr>
          <w:cantSplit/>
          <w:jc w:val="center"/>
        </w:trPr>
        <w:tc>
          <w:tcPr>
            <w:tcW w:w="181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5A"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Aged &amp; Disabled Carers</w:t>
            </w:r>
          </w:p>
        </w:tc>
        <w:tc>
          <w:tcPr>
            <w:tcW w:w="181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5B"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Kitchenhands</w:t>
            </w:r>
          </w:p>
        </w:tc>
        <w:tc>
          <w:tcPr>
            <w:tcW w:w="181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5C"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Registered Nurses</w:t>
            </w:r>
          </w:p>
        </w:tc>
        <w:tc>
          <w:tcPr>
            <w:tcW w:w="181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5D"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Sales Assistants (General)</w:t>
            </w:r>
          </w:p>
        </w:tc>
        <w:tc>
          <w:tcPr>
            <w:tcW w:w="181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5E"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General Clerks</w:t>
            </w:r>
          </w:p>
        </w:tc>
      </w:tr>
      <w:tr w:rsidR="001B7662" w14:paraId="518D1965" w14:textId="77777777">
        <w:trPr>
          <w:cantSplit/>
          <w:jc w:val="center"/>
        </w:trPr>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0"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Electricians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1"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Waiters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2"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Storepersons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3"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Advertising, Public Relations &amp; Sales Managers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4"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Retail Managers</w:t>
            </w:r>
          </w:p>
        </w:tc>
      </w:tr>
      <w:tr w:rsidR="001B7662" w14:paraId="518D196B" w14:textId="77777777">
        <w:trPr>
          <w:cantSplit/>
          <w:jc w:val="center"/>
        </w:trPr>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6"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Truck Drivers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7"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Motor Mechanics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8"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Secondary School Teachers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9"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Office Managers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A"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Software &amp; Applications Programmers</w:t>
            </w:r>
          </w:p>
        </w:tc>
      </w:tr>
      <w:tr w:rsidR="001B7662" w14:paraId="518D1971" w14:textId="77777777">
        <w:trPr>
          <w:cantSplit/>
          <w:jc w:val="center"/>
        </w:trPr>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C"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Child Carers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D"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Bar Attendants &amp; Baristas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E"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Primary School Teachers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6F"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ICT Managers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0"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Accountants</w:t>
            </w:r>
          </w:p>
        </w:tc>
      </w:tr>
      <w:tr w:rsidR="001B7662" w14:paraId="518D1977" w14:textId="77777777">
        <w:trPr>
          <w:cantSplit/>
          <w:jc w:val="center"/>
        </w:trPr>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2"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Commercial Cleaners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3"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Nursing Support &amp; Personal Care Workers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4"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Chefs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5"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Other Hospitality, Retail &amp; Service Managers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6"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Receptionists</w:t>
            </w:r>
          </w:p>
        </w:tc>
      </w:tr>
      <w:tr w:rsidR="001B7662" w14:paraId="518D197D" w14:textId="77777777">
        <w:trPr>
          <w:cantSplit/>
          <w:jc w:val="center"/>
        </w:trPr>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8"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Carpenters &amp; Joiners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9"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Drillers, Miners &amp; Shot Firers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A"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Construction Managers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B"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Welfare Support Workers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C"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Contract, Program &amp; Project Administrators</w:t>
            </w:r>
          </w:p>
        </w:tc>
      </w:tr>
      <w:tr w:rsidR="001B7662" w14:paraId="518D1983" w14:textId="77777777">
        <w:trPr>
          <w:cantSplit/>
          <w:jc w:val="center"/>
        </w:trPr>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E"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Metal Fitters &amp; Machinists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7F"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Shelf Fillers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0"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Education Aides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1"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Finance Managers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2"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Accounting Clerks</w:t>
            </w:r>
          </w:p>
        </w:tc>
      </w:tr>
      <w:tr w:rsidR="001B7662" w14:paraId="518D1989" w14:textId="77777777">
        <w:trPr>
          <w:cantSplit/>
          <w:jc w:val="center"/>
        </w:trPr>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4"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Plumbers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5"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Police</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6"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Solicitors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7"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Production Managers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8"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Purchasing &amp; Supply Logistics Clerks</w:t>
            </w:r>
          </w:p>
        </w:tc>
      </w:tr>
      <w:tr w:rsidR="001B7662" w14:paraId="518D198F" w14:textId="77777777">
        <w:trPr>
          <w:cantSplit/>
          <w:jc w:val="center"/>
        </w:trPr>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A"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Gardeners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B"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Chief Executives &amp; Managing Directors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C"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Human Resource Managers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D"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Cafe &amp; Restaurant Managers</w:t>
            </w:r>
          </w:p>
        </w:tc>
        <w:tc>
          <w:tcPr>
            <w:tcW w:w="18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198E"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Advertising &amp; Marketing Professionals</w:t>
            </w:r>
          </w:p>
        </w:tc>
      </w:tr>
      <w:tr w:rsidR="001B7662" w14:paraId="518D1995" w14:textId="77777777">
        <w:trPr>
          <w:cantSplit/>
          <w:jc w:val="center"/>
        </w:trPr>
        <w:tc>
          <w:tcPr>
            <w:tcW w:w="181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8D1990"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Forklift Drivers</w:t>
            </w:r>
          </w:p>
        </w:tc>
        <w:tc>
          <w:tcPr>
            <w:tcW w:w="181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8D1991"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Early Childhood (Pre-primary School) Teachers</w:t>
            </w:r>
          </w:p>
        </w:tc>
        <w:tc>
          <w:tcPr>
            <w:tcW w:w="181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8D1992"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General Practitioners &amp; Resident Medical Officers</w:t>
            </w:r>
          </w:p>
        </w:tc>
        <w:tc>
          <w:tcPr>
            <w:tcW w:w="181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8D1993"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University Lecturers &amp; Tutors</w:t>
            </w:r>
          </w:p>
        </w:tc>
        <w:tc>
          <w:tcPr>
            <w:tcW w:w="181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8D1994" w14:textId="77777777" w:rsidR="001B7662" w:rsidRDefault="00A208A5">
            <w:pPr>
              <w:keepNext/>
              <w:pBdr>
                <w:top w:val="none" w:sz="0" w:space="0" w:color="000000"/>
                <w:left w:val="none" w:sz="0" w:space="0" w:color="000000"/>
                <w:bottom w:val="none" w:sz="0" w:space="0" w:color="000000"/>
                <w:right w:val="none" w:sz="0" w:space="0" w:color="000000"/>
              </w:pBdr>
              <w:spacing w:before="15" w:after="15" w:line="192" w:lineRule="auto"/>
              <w:ind w:left="60" w:right="60"/>
              <w:rPr>
                <w:rFonts w:ascii="Aptos" w:eastAsia="Aptos" w:hAnsi="Aptos" w:cs="Aptos"/>
                <w:color w:val="000000"/>
                <w:sz w:val="18"/>
                <w:szCs w:val="18"/>
              </w:rPr>
            </w:pPr>
            <w:r>
              <w:rPr>
                <w:rFonts w:ascii="Aptos" w:eastAsia="Aptos" w:hAnsi="Aptos" w:cs="Aptos"/>
                <w:color w:val="000000"/>
                <w:sz w:val="18"/>
                <w:szCs w:val="18"/>
              </w:rPr>
              <w:t>Checkout Operators &amp; Office Cashiers</w:t>
            </w:r>
          </w:p>
        </w:tc>
      </w:tr>
    </w:tbl>
    <w:p w14:paraId="518D1996" w14:textId="77777777" w:rsidR="001B7662" w:rsidRDefault="00A208A5">
      <w:pPr>
        <w:pStyle w:val="Source"/>
        <w:pBdr>
          <w:top w:val="none" w:sz="0" w:space="0" w:color="000000"/>
          <w:left w:val="none" w:sz="0" w:space="0" w:color="000000"/>
          <w:bottom w:val="none" w:sz="0" w:space="0" w:color="000000"/>
          <w:right w:val="none" w:sz="0" w:space="0" w:color="000000"/>
        </w:pBdr>
        <w:spacing w:after="0"/>
      </w:pPr>
      <w:r>
        <w:t>Notes: Table lists top occupations for each AI exposure quintile, ranked by employment level as at February quarter 2026.</w:t>
      </w:r>
    </w:p>
    <w:p w14:paraId="518D1997" w14:textId="76D24ADC" w:rsidR="001B7662" w:rsidRDefault="00A208A5">
      <w:pPr>
        <w:pStyle w:val="Source"/>
        <w:pBdr>
          <w:top w:val="none" w:sz="0" w:space="0" w:color="000000"/>
          <w:left w:val="none" w:sz="0" w:space="0" w:color="000000"/>
          <w:bottom w:val="none" w:sz="0" w:space="0" w:color="000000"/>
          <w:right w:val="none" w:sz="0" w:space="0" w:color="000000"/>
        </w:pBdr>
        <w:spacing w:after="0"/>
      </w:pPr>
      <w:r>
        <w:t>Source: JSA (2025a</w:t>
      </w:r>
      <w:r w:rsidR="00CE41D6">
        <w:t>), ABS Labour Force (Detailed) and DEWR calculations.</w:t>
      </w:r>
    </w:p>
    <w:p w14:paraId="518D1998" w14:textId="77777777" w:rsidR="001B7662" w:rsidRDefault="001B7662">
      <w:pPr>
        <w:pStyle w:val="BodyText"/>
      </w:pPr>
    </w:p>
    <w:p w14:paraId="518D1999" w14:textId="3832C45F" w:rsidR="001B7662" w:rsidRDefault="00A208A5">
      <w:pPr>
        <w:pStyle w:val="BodyText"/>
      </w:pPr>
      <w:r>
        <w:t xml:space="preserve">Table </w:t>
      </w:r>
      <w:hyperlink w:anchor="tab-demogs-by-quintile" w:history="1">
        <w:r>
          <w:fldChar w:fldCharType="begin"/>
        </w:r>
        <w:r>
          <w:instrText xml:space="preserve"> REF tab-demogs-by-quintile \h</w:instrText>
        </w:r>
        <w:r>
          <w:fldChar w:fldCharType="separate"/>
        </w:r>
        <w:r w:rsidR="00082F4E">
          <w:rPr>
            <w:noProof/>
          </w:rPr>
          <w:t>2</w:t>
        </w:r>
        <w:r>
          <w:fldChar w:fldCharType="end"/>
        </w:r>
      </w:hyperlink>
      <w:r>
        <w:t xml:space="preserve"> shows some characteristics of workers in occupations at different levels of exposure to potential automation by AI. Nearly 70% of workers in the least-exposed group are male, whereas men represent only 43.7% of workers in the most-exposed group. Relatively few workers in the least-exposed group have tertiary qualifications (14.9%),</w:t>
      </w:r>
      <w:r>
        <w:rPr>
          <w:rStyle w:val="FootnoteReference"/>
        </w:rPr>
        <w:footnoteReference w:id="23"/>
      </w:r>
      <w:r>
        <w:t xml:space="preserve"> whereas 43.7% of the most-exposed group are tertiary-qualified. The average age of each group is broadly similar, as is the proportion of the group that were born overseas.</w:t>
      </w:r>
    </w:p>
    <w:p w14:paraId="518D199A" w14:textId="77777777" w:rsidR="001B7662" w:rsidRDefault="00A208A5">
      <w:pPr>
        <w:pStyle w:val="BodyText"/>
      </w:pPr>
      <w:r>
        <w:t>The exposure scores represent an estimate, as at 2025, of the potential exposure of occupations to displacement due to AI automation. If AI model capabilities advance rapidly, these scores could become out of date,</w:t>
      </w:r>
      <w:r>
        <w:rPr>
          <w:rStyle w:val="FootnoteReference"/>
        </w:rPr>
        <w:footnoteReference w:id="24"/>
      </w:r>
      <w:r>
        <w:t xml:space="preserve"> which would mean any monitoring framework built on these scores could mismeasure the AI exposure–employment relationship. For this reason, we incorporate a range of descriptive indicators that do not rely on the JSA scores, and we will incorporate alternative scores into the monitoring framework </w:t>
      </w:r>
      <w:proofErr w:type="gramStart"/>
      <w:r>
        <w:t>if and when</w:t>
      </w:r>
      <w:proofErr w:type="gramEnd"/>
      <w:r>
        <w:t xml:space="preserve"> they become available.</w:t>
      </w:r>
    </w:p>
    <w:p w14:paraId="518D199B" w14:textId="21A5A56D" w:rsidR="001B7662" w:rsidRDefault="00A208A5">
      <w:pPr>
        <w:pStyle w:val="TableCaption"/>
        <w:pBdr>
          <w:top w:val="none" w:sz="0" w:space="0" w:color="000000"/>
          <w:left w:val="none" w:sz="0" w:space="0" w:color="000000"/>
          <w:bottom w:val="none" w:sz="0" w:space="0" w:color="000000"/>
          <w:right w:val="none" w:sz="0" w:space="0" w:color="000000"/>
        </w:pBdr>
        <w:spacing w:before="0" w:after="0"/>
      </w:pPr>
      <w:r>
        <w:lastRenderedPageBreak/>
        <w:t xml:space="preserve">Table </w:t>
      </w:r>
      <w:bookmarkStart w:id="24" w:name="tab-demogs-by-quintile"/>
      <w:r>
        <w:fldChar w:fldCharType="begin"/>
      </w:r>
      <w:r>
        <w:instrText>SEQ tab \* Arabic</w:instrText>
      </w:r>
      <w:r>
        <w:fldChar w:fldCharType="separate"/>
      </w:r>
      <w:r w:rsidR="00082F4E">
        <w:rPr>
          <w:noProof/>
        </w:rPr>
        <w:t>2</w:t>
      </w:r>
      <w:r>
        <w:fldChar w:fldCharType="end"/>
      </w:r>
      <w:bookmarkEnd w:id="24"/>
      <w:r>
        <w:t>: Workers in the most exposed occupations are more likely to be women and have tertiary qualifications than those in the least-exposed occupations</w:t>
      </w:r>
    </w:p>
    <w:tbl>
      <w:tblPr>
        <w:tblW w:w="0" w:type="auto"/>
        <w:jc w:val="center"/>
        <w:tblLayout w:type="fixed"/>
        <w:tblLook w:val="0420" w:firstRow="1" w:lastRow="0" w:firstColumn="0" w:lastColumn="0" w:noHBand="0" w:noVBand="1"/>
      </w:tblPr>
      <w:tblGrid>
        <w:gridCol w:w="1440"/>
        <w:gridCol w:w="1066"/>
        <w:gridCol w:w="1066"/>
        <w:gridCol w:w="1066"/>
        <w:gridCol w:w="1066"/>
        <w:gridCol w:w="1066"/>
        <w:gridCol w:w="1066"/>
        <w:gridCol w:w="1066"/>
      </w:tblGrid>
      <w:tr w:rsidR="001B7662" w14:paraId="518D19A1" w14:textId="77777777">
        <w:trPr>
          <w:cantSplit/>
          <w:tblHeader/>
          <w:jc w:val="center"/>
        </w:trPr>
        <w:tc>
          <w:tcPr>
            <w:tcW w:w="1440" w:type="dxa"/>
            <w:vMerge w:val="restart"/>
            <w:tcBorders>
              <w:top w:val="single" w:sz="12" w:space="0" w:color="000000"/>
              <w:left w:val="none" w:sz="0" w:space="0" w:color="000000"/>
              <w:bottom w:val="single" w:sz="4" w:space="0" w:color="000000"/>
              <w:right w:val="none" w:sz="0" w:space="0" w:color="000000"/>
            </w:tcBorders>
            <w:shd w:val="clear" w:color="auto" w:fill="5D7A38"/>
            <w:tcMar>
              <w:top w:w="0" w:type="dxa"/>
              <w:left w:w="0" w:type="dxa"/>
              <w:bottom w:w="0" w:type="dxa"/>
              <w:right w:w="0" w:type="dxa"/>
            </w:tcMar>
            <w:vAlign w:val="center"/>
          </w:tcPr>
          <w:p w14:paraId="518D199C" w14:textId="77777777" w:rsidR="001B7662" w:rsidRDefault="00A208A5">
            <w:pPr>
              <w:pBdr>
                <w:top w:val="none" w:sz="0" w:space="0" w:color="000000"/>
                <w:left w:val="none" w:sz="0" w:space="0" w:color="000000"/>
                <w:bottom w:val="none" w:sz="0" w:space="0" w:color="000000"/>
                <w:right w:val="none" w:sz="0" w:space="0" w:color="000000"/>
              </w:pBdr>
              <w:spacing w:before="40" w:after="40" w:line="240" w:lineRule="auto"/>
              <w:ind w:left="40" w:right="40"/>
              <w:rPr>
                <w:rFonts w:ascii="Aptos" w:eastAsia="Aptos" w:hAnsi="Aptos" w:cs="Aptos"/>
                <w:b/>
                <w:color w:val="FFFFFF"/>
                <w:sz w:val="20"/>
                <w:szCs w:val="20"/>
              </w:rPr>
            </w:pPr>
            <w:r>
              <w:rPr>
                <w:rFonts w:ascii="Aptos" w:eastAsia="Aptos" w:hAnsi="Aptos" w:cs="Aptos"/>
                <w:b/>
                <w:color w:val="FFFFFF"/>
                <w:sz w:val="20"/>
                <w:szCs w:val="20"/>
              </w:rPr>
              <w:t>AI exposure quintile</w:t>
            </w:r>
          </w:p>
        </w:tc>
        <w:tc>
          <w:tcPr>
            <w:tcW w:w="1066" w:type="dxa"/>
            <w:tcBorders>
              <w:top w:val="single" w:sz="12" w:space="0" w:color="000000"/>
              <w:left w:val="none" w:sz="0" w:space="0" w:color="000000"/>
              <w:bottom w:val="none" w:sz="0" w:space="0" w:color="000000"/>
              <w:right w:val="none" w:sz="0" w:space="0" w:color="000000"/>
            </w:tcBorders>
            <w:shd w:val="clear" w:color="auto" w:fill="5D7A38"/>
            <w:tcMar>
              <w:top w:w="0" w:type="dxa"/>
              <w:left w:w="0" w:type="dxa"/>
              <w:bottom w:w="0" w:type="dxa"/>
              <w:right w:w="0" w:type="dxa"/>
            </w:tcMar>
            <w:vAlign w:val="center"/>
          </w:tcPr>
          <w:p w14:paraId="518D199D" w14:textId="77777777" w:rsidR="001B7662" w:rsidRDefault="00A208A5">
            <w:pPr>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b/>
                <w:color w:val="FFFFFF"/>
                <w:sz w:val="20"/>
                <w:szCs w:val="20"/>
              </w:rPr>
            </w:pPr>
            <w:r>
              <w:rPr>
                <w:rFonts w:ascii="Aptos" w:eastAsia="Aptos" w:hAnsi="Aptos" w:cs="Aptos"/>
                <w:b/>
                <w:color w:val="FFFFFF"/>
                <w:sz w:val="20"/>
                <w:szCs w:val="20"/>
              </w:rPr>
              <w:t>Sex</w:t>
            </w:r>
          </w:p>
        </w:tc>
        <w:tc>
          <w:tcPr>
            <w:tcW w:w="3198" w:type="dxa"/>
            <w:gridSpan w:val="3"/>
            <w:tcBorders>
              <w:top w:val="single" w:sz="12" w:space="0" w:color="000000"/>
              <w:left w:val="none" w:sz="0" w:space="0" w:color="000000"/>
              <w:bottom w:val="none" w:sz="0" w:space="0" w:color="000000"/>
              <w:right w:val="none" w:sz="0" w:space="0" w:color="000000"/>
            </w:tcBorders>
            <w:shd w:val="clear" w:color="auto" w:fill="5D7A38"/>
            <w:tcMar>
              <w:top w:w="0" w:type="dxa"/>
              <w:left w:w="0" w:type="dxa"/>
              <w:bottom w:w="0" w:type="dxa"/>
              <w:right w:w="0" w:type="dxa"/>
            </w:tcMar>
            <w:vAlign w:val="center"/>
          </w:tcPr>
          <w:p w14:paraId="518D199E" w14:textId="77777777" w:rsidR="001B7662" w:rsidRDefault="00A208A5">
            <w:pPr>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b/>
                <w:color w:val="FFFFFF"/>
                <w:sz w:val="20"/>
                <w:szCs w:val="20"/>
              </w:rPr>
            </w:pPr>
            <w:r>
              <w:rPr>
                <w:rFonts w:ascii="Aptos" w:eastAsia="Aptos" w:hAnsi="Aptos" w:cs="Aptos"/>
                <w:b/>
                <w:color w:val="FFFFFF"/>
                <w:sz w:val="20"/>
                <w:szCs w:val="20"/>
              </w:rPr>
              <w:t>Educational attainment</w:t>
            </w:r>
            <w:r>
              <w:rPr>
                <w:rFonts w:ascii="Aptos" w:eastAsia="Aptos" w:hAnsi="Aptos" w:cs="Aptos"/>
                <w:b/>
                <w:color w:val="FFFFFF"/>
                <w:sz w:val="20"/>
                <w:szCs w:val="20"/>
              </w:rPr>
              <w:br/>
              <w:t>(highest level)</w:t>
            </w:r>
          </w:p>
        </w:tc>
        <w:tc>
          <w:tcPr>
            <w:tcW w:w="2132" w:type="dxa"/>
            <w:gridSpan w:val="2"/>
            <w:tcBorders>
              <w:top w:val="single" w:sz="12" w:space="0" w:color="000000"/>
              <w:left w:val="none" w:sz="0" w:space="0" w:color="000000"/>
              <w:bottom w:val="none" w:sz="0" w:space="0" w:color="000000"/>
              <w:right w:val="none" w:sz="0" w:space="0" w:color="000000"/>
            </w:tcBorders>
            <w:shd w:val="clear" w:color="auto" w:fill="5D7A38"/>
            <w:tcMar>
              <w:top w:w="0" w:type="dxa"/>
              <w:left w:w="0" w:type="dxa"/>
              <w:bottom w:w="0" w:type="dxa"/>
              <w:right w:w="0" w:type="dxa"/>
            </w:tcMar>
            <w:vAlign w:val="center"/>
          </w:tcPr>
          <w:p w14:paraId="518D199F" w14:textId="77777777" w:rsidR="001B7662" w:rsidRDefault="00A208A5">
            <w:pPr>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b/>
                <w:color w:val="FFFFFF"/>
                <w:sz w:val="20"/>
                <w:szCs w:val="20"/>
              </w:rPr>
            </w:pPr>
            <w:r>
              <w:rPr>
                <w:rFonts w:ascii="Aptos" w:eastAsia="Aptos" w:hAnsi="Aptos" w:cs="Aptos"/>
                <w:b/>
                <w:color w:val="FFFFFF"/>
                <w:sz w:val="20"/>
                <w:szCs w:val="20"/>
              </w:rPr>
              <w:t>Age</w:t>
            </w:r>
          </w:p>
        </w:tc>
        <w:tc>
          <w:tcPr>
            <w:tcW w:w="1066" w:type="dxa"/>
            <w:tcBorders>
              <w:top w:val="single" w:sz="12" w:space="0" w:color="000000"/>
              <w:left w:val="none" w:sz="0" w:space="0" w:color="000000"/>
              <w:bottom w:val="none" w:sz="0" w:space="0" w:color="000000"/>
              <w:right w:val="none" w:sz="0" w:space="0" w:color="000000"/>
            </w:tcBorders>
            <w:shd w:val="clear" w:color="auto" w:fill="5D7A38"/>
            <w:tcMar>
              <w:top w:w="0" w:type="dxa"/>
              <w:left w:w="0" w:type="dxa"/>
              <w:bottom w:w="0" w:type="dxa"/>
              <w:right w:w="0" w:type="dxa"/>
            </w:tcMar>
            <w:vAlign w:val="center"/>
          </w:tcPr>
          <w:p w14:paraId="518D19A0" w14:textId="77777777" w:rsidR="001B7662" w:rsidRDefault="00A208A5">
            <w:pPr>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b/>
                <w:color w:val="FFFFFF"/>
                <w:sz w:val="20"/>
                <w:szCs w:val="20"/>
              </w:rPr>
            </w:pPr>
            <w:r>
              <w:rPr>
                <w:rFonts w:ascii="Aptos" w:eastAsia="Aptos" w:hAnsi="Aptos" w:cs="Aptos"/>
                <w:b/>
                <w:color w:val="FFFFFF"/>
                <w:sz w:val="20"/>
                <w:szCs w:val="20"/>
              </w:rPr>
              <w:t>Migrant status</w:t>
            </w:r>
          </w:p>
        </w:tc>
      </w:tr>
      <w:tr w:rsidR="001B7662" w14:paraId="518D19AA" w14:textId="77777777">
        <w:trPr>
          <w:cantSplit/>
          <w:tblHeader/>
          <w:jc w:val="center"/>
        </w:trPr>
        <w:tc>
          <w:tcPr>
            <w:tcW w:w="1440" w:type="dxa"/>
            <w:vMerge/>
            <w:tcBorders>
              <w:top w:val="single" w:sz="4" w:space="0" w:color="000000"/>
              <w:left w:val="none" w:sz="0" w:space="0" w:color="000000"/>
              <w:bottom w:val="single" w:sz="4" w:space="0" w:color="000000"/>
              <w:right w:val="none" w:sz="0" w:space="0" w:color="000000"/>
            </w:tcBorders>
            <w:shd w:val="clear" w:color="auto" w:fill="5D7A38"/>
            <w:tcMar>
              <w:top w:w="0" w:type="dxa"/>
              <w:left w:w="0" w:type="dxa"/>
              <w:bottom w:w="0" w:type="dxa"/>
              <w:right w:w="0" w:type="dxa"/>
            </w:tcMar>
            <w:vAlign w:val="center"/>
          </w:tcPr>
          <w:p w14:paraId="518D19A2" w14:textId="77777777" w:rsidR="001B7662" w:rsidRDefault="001B7662">
            <w:pPr>
              <w:pBdr>
                <w:top w:val="none" w:sz="0" w:space="0" w:color="000000"/>
                <w:left w:val="none" w:sz="0" w:space="0" w:color="000000"/>
                <w:bottom w:val="none" w:sz="0" w:space="0" w:color="000000"/>
                <w:right w:val="none" w:sz="0" w:space="0" w:color="000000"/>
              </w:pBdr>
              <w:spacing w:before="40" w:after="40" w:line="240" w:lineRule="auto"/>
              <w:ind w:left="40" w:right="40"/>
              <w:rPr>
                <w:rFonts w:ascii="Aptos" w:eastAsia="Aptos" w:hAnsi="Aptos" w:cs="Aptos"/>
                <w:color w:val="FFFFFF"/>
                <w:sz w:val="18"/>
                <w:szCs w:val="18"/>
              </w:rPr>
            </w:pPr>
          </w:p>
        </w:tc>
        <w:tc>
          <w:tcPr>
            <w:tcW w:w="1066" w:type="dxa"/>
            <w:tcBorders>
              <w:top w:val="none" w:sz="0" w:space="0" w:color="000000"/>
              <w:left w:val="none" w:sz="0" w:space="0" w:color="000000"/>
              <w:bottom w:val="single" w:sz="4" w:space="0" w:color="000000"/>
              <w:right w:val="none" w:sz="0" w:space="0" w:color="000000"/>
            </w:tcBorders>
            <w:shd w:val="clear" w:color="auto" w:fill="5D7A38"/>
            <w:tcMar>
              <w:top w:w="0" w:type="dxa"/>
              <w:left w:w="0" w:type="dxa"/>
              <w:bottom w:w="0" w:type="dxa"/>
              <w:right w:w="0" w:type="dxa"/>
            </w:tcMar>
            <w:vAlign w:val="center"/>
          </w:tcPr>
          <w:p w14:paraId="518D19A3" w14:textId="77777777" w:rsidR="001B7662" w:rsidRDefault="00A208A5">
            <w:pPr>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FFFFFF"/>
                <w:sz w:val="18"/>
                <w:szCs w:val="18"/>
              </w:rPr>
            </w:pPr>
            <w:r>
              <w:rPr>
                <w:rFonts w:ascii="Aptos" w:eastAsia="Aptos" w:hAnsi="Aptos" w:cs="Aptos"/>
                <w:color w:val="FFFFFF"/>
                <w:sz w:val="18"/>
                <w:szCs w:val="18"/>
              </w:rPr>
              <w:t>% male</w:t>
            </w:r>
          </w:p>
        </w:tc>
        <w:tc>
          <w:tcPr>
            <w:tcW w:w="1066" w:type="dxa"/>
            <w:tcBorders>
              <w:top w:val="none" w:sz="0" w:space="0" w:color="000000"/>
              <w:left w:val="none" w:sz="0" w:space="0" w:color="000000"/>
              <w:bottom w:val="single" w:sz="4" w:space="0" w:color="000000"/>
              <w:right w:val="none" w:sz="0" w:space="0" w:color="000000"/>
            </w:tcBorders>
            <w:shd w:val="clear" w:color="auto" w:fill="5D7A38"/>
            <w:tcMar>
              <w:top w:w="0" w:type="dxa"/>
              <w:left w:w="0" w:type="dxa"/>
              <w:bottom w:w="0" w:type="dxa"/>
              <w:right w:w="0" w:type="dxa"/>
            </w:tcMar>
            <w:vAlign w:val="center"/>
          </w:tcPr>
          <w:p w14:paraId="518D19A4" w14:textId="77777777" w:rsidR="001B7662" w:rsidRDefault="00A208A5">
            <w:pPr>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FFFFFF"/>
                <w:sz w:val="18"/>
                <w:szCs w:val="18"/>
              </w:rPr>
            </w:pPr>
            <w:r>
              <w:rPr>
                <w:rFonts w:ascii="Aptos" w:eastAsia="Aptos" w:hAnsi="Aptos" w:cs="Aptos"/>
                <w:color w:val="FFFFFF"/>
                <w:sz w:val="18"/>
                <w:szCs w:val="18"/>
              </w:rPr>
              <w:t>% with Year 12 or lower</w:t>
            </w:r>
          </w:p>
        </w:tc>
        <w:tc>
          <w:tcPr>
            <w:tcW w:w="1066" w:type="dxa"/>
            <w:tcBorders>
              <w:top w:val="none" w:sz="0" w:space="0" w:color="000000"/>
              <w:left w:val="none" w:sz="0" w:space="0" w:color="000000"/>
              <w:bottom w:val="single" w:sz="4" w:space="0" w:color="000000"/>
              <w:right w:val="none" w:sz="0" w:space="0" w:color="000000"/>
            </w:tcBorders>
            <w:shd w:val="clear" w:color="auto" w:fill="5D7A38"/>
            <w:tcMar>
              <w:top w:w="0" w:type="dxa"/>
              <w:left w:w="0" w:type="dxa"/>
              <w:bottom w:w="0" w:type="dxa"/>
              <w:right w:w="0" w:type="dxa"/>
            </w:tcMar>
            <w:vAlign w:val="center"/>
          </w:tcPr>
          <w:p w14:paraId="518D19A5" w14:textId="77777777" w:rsidR="001B7662" w:rsidRDefault="00A208A5">
            <w:pPr>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FFFFFF"/>
                <w:sz w:val="18"/>
                <w:szCs w:val="18"/>
              </w:rPr>
            </w:pPr>
            <w:r>
              <w:rPr>
                <w:rFonts w:ascii="Aptos" w:eastAsia="Aptos" w:hAnsi="Aptos" w:cs="Aptos"/>
                <w:color w:val="FFFFFF"/>
                <w:sz w:val="18"/>
                <w:szCs w:val="18"/>
              </w:rPr>
              <w:t>% with VET quals</w:t>
            </w:r>
          </w:p>
        </w:tc>
        <w:tc>
          <w:tcPr>
            <w:tcW w:w="1066" w:type="dxa"/>
            <w:tcBorders>
              <w:top w:val="none" w:sz="0" w:space="0" w:color="000000"/>
              <w:left w:val="none" w:sz="0" w:space="0" w:color="000000"/>
              <w:bottom w:val="single" w:sz="4" w:space="0" w:color="000000"/>
              <w:right w:val="none" w:sz="0" w:space="0" w:color="000000"/>
            </w:tcBorders>
            <w:shd w:val="clear" w:color="auto" w:fill="5D7A38"/>
            <w:tcMar>
              <w:top w:w="0" w:type="dxa"/>
              <w:left w:w="0" w:type="dxa"/>
              <w:bottom w:w="0" w:type="dxa"/>
              <w:right w:w="0" w:type="dxa"/>
            </w:tcMar>
            <w:vAlign w:val="center"/>
          </w:tcPr>
          <w:p w14:paraId="518D19A6" w14:textId="2BEF6CF5" w:rsidR="001B7662" w:rsidRDefault="00A208A5">
            <w:pPr>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FFFFFF"/>
                <w:sz w:val="18"/>
                <w:szCs w:val="18"/>
              </w:rPr>
            </w:pPr>
            <w:r>
              <w:rPr>
                <w:rFonts w:ascii="Aptos" w:eastAsia="Aptos" w:hAnsi="Aptos" w:cs="Aptos"/>
                <w:color w:val="FFFFFF"/>
                <w:sz w:val="18"/>
                <w:szCs w:val="18"/>
              </w:rPr>
              <w:t xml:space="preserve">% with </w:t>
            </w:r>
            <w:proofErr w:type="gramStart"/>
            <w:r w:rsidR="00D37646">
              <w:rPr>
                <w:rFonts w:ascii="Aptos" w:eastAsia="Aptos" w:hAnsi="Aptos" w:cs="Aptos"/>
                <w:color w:val="FFFFFF"/>
                <w:sz w:val="18"/>
                <w:szCs w:val="18"/>
              </w:rPr>
              <w:t>bachelor</w:t>
            </w:r>
            <w:proofErr w:type="gramEnd"/>
            <w:r w:rsidR="00D37646">
              <w:rPr>
                <w:rFonts w:ascii="Aptos" w:eastAsia="Aptos" w:hAnsi="Aptos" w:cs="Aptos"/>
                <w:color w:val="FFFFFF"/>
                <w:sz w:val="18"/>
                <w:szCs w:val="18"/>
              </w:rPr>
              <w:t xml:space="preserve"> </w:t>
            </w:r>
            <w:r>
              <w:rPr>
                <w:rFonts w:ascii="Aptos" w:eastAsia="Aptos" w:hAnsi="Aptos" w:cs="Aptos"/>
                <w:color w:val="FFFFFF"/>
                <w:sz w:val="18"/>
                <w:szCs w:val="18"/>
              </w:rPr>
              <w:t>degree or higher</w:t>
            </w:r>
          </w:p>
        </w:tc>
        <w:tc>
          <w:tcPr>
            <w:tcW w:w="1066" w:type="dxa"/>
            <w:tcBorders>
              <w:top w:val="none" w:sz="0" w:space="0" w:color="000000"/>
              <w:left w:val="none" w:sz="0" w:space="0" w:color="000000"/>
              <w:bottom w:val="single" w:sz="4" w:space="0" w:color="000000"/>
              <w:right w:val="none" w:sz="0" w:space="0" w:color="000000"/>
            </w:tcBorders>
            <w:shd w:val="clear" w:color="auto" w:fill="5D7A38"/>
            <w:tcMar>
              <w:top w:w="0" w:type="dxa"/>
              <w:left w:w="0" w:type="dxa"/>
              <w:bottom w:w="0" w:type="dxa"/>
              <w:right w:w="0" w:type="dxa"/>
            </w:tcMar>
            <w:vAlign w:val="center"/>
          </w:tcPr>
          <w:p w14:paraId="518D19A7" w14:textId="77777777" w:rsidR="001B7662" w:rsidRDefault="00A208A5">
            <w:pPr>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FFFFFF"/>
                <w:sz w:val="18"/>
                <w:szCs w:val="18"/>
              </w:rPr>
            </w:pPr>
            <w:r>
              <w:rPr>
                <w:rFonts w:ascii="Aptos" w:eastAsia="Aptos" w:hAnsi="Aptos" w:cs="Aptos"/>
                <w:color w:val="FFFFFF"/>
                <w:sz w:val="18"/>
                <w:szCs w:val="18"/>
              </w:rPr>
              <w:t>Average age</w:t>
            </w:r>
          </w:p>
        </w:tc>
        <w:tc>
          <w:tcPr>
            <w:tcW w:w="1066" w:type="dxa"/>
            <w:tcBorders>
              <w:top w:val="none" w:sz="0" w:space="0" w:color="000000"/>
              <w:left w:val="none" w:sz="0" w:space="0" w:color="000000"/>
              <w:bottom w:val="single" w:sz="4" w:space="0" w:color="000000"/>
              <w:right w:val="none" w:sz="0" w:space="0" w:color="000000"/>
            </w:tcBorders>
            <w:shd w:val="clear" w:color="auto" w:fill="5D7A38"/>
            <w:tcMar>
              <w:top w:w="0" w:type="dxa"/>
              <w:left w:w="0" w:type="dxa"/>
              <w:bottom w:w="0" w:type="dxa"/>
              <w:right w:w="0" w:type="dxa"/>
            </w:tcMar>
            <w:vAlign w:val="center"/>
          </w:tcPr>
          <w:p w14:paraId="518D19A8" w14:textId="77777777" w:rsidR="001B7662" w:rsidRDefault="00A208A5">
            <w:pPr>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FFFFFF"/>
                <w:sz w:val="18"/>
                <w:szCs w:val="18"/>
              </w:rPr>
            </w:pPr>
            <w:r>
              <w:rPr>
                <w:rFonts w:ascii="Aptos" w:eastAsia="Aptos" w:hAnsi="Aptos" w:cs="Aptos"/>
                <w:color w:val="FFFFFF"/>
                <w:sz w:val="18"/>
                <w:szCs w:val="18"/>
              </w:rPr>
              <w:t>% aged 15–24</w:t>
            </w:r>
          </w:p>
        </w:tc>
        <w:tc>
          <w:tcPr>
            <w:tcW w:w="1066" w:type="dxa"/>
            <w:tcBorders>
              <w:top w:val="none" w:sz="0" w:space="0" w:color="000000"/>
              <w:left w:val="none" w:sz="0" w:space="0" w:color="000000"/>
              <w:bottom w:val="single" w:sz="4" w:space="0" w:color="000000"/>
              <w:right w:val="none" w:sz="0" w:space="0" w:color="000000"/>
            </w:tcBorders>
            <w:shd w:val="clear" w:color="auto" w:fill="5D7A38"/>
            <w:tcMar>
              <w:top w:w="0" w:type="dxa"/>
              <w:left w:w="0" w:type="dxa"/>
              <w:bottom w:w="0" w:type="dxa"/>
              <w:right w:w="0" w:type="dxa"/>
            </w:tcMar>
            <w:vAlign w:val="center"/>
          </w:tcPr>
          <w:p w14:paraId="518D19A9" w14:textId="77777777" w:rsidR="001B7662" w:rsidRDefault="00A208A5">
            <w:pPr>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FFFFFF"/>
                <w:sz w:val="18"/>
                <w:szCs w:val="18"/>
              </w:rPr>
            </w:pPr>
            <w:r>
              <w:rPr>
                <w:rFonts w:ascii="Aptos" w:eastAsia="Aptos" w:hAnsi="Aptos" w:cs="Aptos"/>
                <w:color w:val="FFFFFF"/>
                <w:sz w:val="18"/>
                <w:szCs w:val="18"/>
              </w:rPr>
              <w:t>% born overseas</w:t>
            </w:r>
          </w:p>
        </w:tc>
      </w:tr>
      <w:tr w:rsidR="001B7662" w14:paraId="518D19B3" w14:textId="77777777">
        <w:trPr>
          <w:cantSplit/>
          <w:jc w:val="center"/>
        </w:trPr>
        <w:tc>
          <w:tcPr>
            <w:tcW w:w="144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AB"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rPr>
                <w:rFonts w:ascii="Aptos" w:eastAsia="Aptos" w:hAnsi="Aptos" w:cs="Aptos"/>
                <w:color w:val="000000"/>
                <w:sz w:val="20"/>
                <w:szCs w:val="20"/>
              </w:rPr>
            </w:pPr>
            <w:r>
              <w:rPr>
                <w:rFonts w:ascii="Aptos" w:eastAsia="Aptos" w:hAnsi="Aptos" w:cs="Aptos"/>
                <w:color w:val="000000"/>
                <w:sz w:val="20"/>
                <w:szCs w:val="20"/>
              </w:rPr>
              <w:t>Least exposed</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AC"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69.5%</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AD"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39.4%</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AE"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41.4%</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AF"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14.9%</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0"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40.0</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1"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17.4%</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2"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35.2%</w:t>
            </w:r>
          </w:p>
        </w:tc>
      </w:tr>
      <w:tr w:rsidR="001B7662" w14:paraId="518D19BC" w14:textId="77777777">
        <w:trPr>
          <w:cantSplit/>
          <w:jc w:val="center"/>
        </w:trPr>
        <w:tc>
          <w:tcPr>
            <w:tcW w:w="144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4"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rPr>
                <w:rFonts w:ascii="Aptos" w:eastAsia="Aptos" w:hAnsi="Aptos" w:cs="Aptos"/>
                <w:color w:val="000000"/>
                <w:sz w:val="20"/>
                <w:szCs w:val="20"/>
              </w:rPr>
            </w:pPr>
            <w:r>
              <w:rPr>
                <w:rFonts w:ascii="Aptos" w:eastAsia="Aptos" w:hAnsi="Aptos" w:cs="Aptos"/>
                <w:color w:val="000000"/>
                <w:sz w:val="20"/>
                <w:szCs w:val="20"/>
              </w:rPr>
              <w:t>Second least exposed</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5"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52.5%</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6"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39.3%</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7"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29.3%</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8"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27.8%</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9"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36.6</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A"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27.1%</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B"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33.2%</w:t>
            </w:r>
          </w:p>
        </w:tc>
      </w:tr>
      <w:tr w:rsidR="001B7662" w14:paraId="518D19C5" w14:textId="77777777">
        <w:trPr>
          <w:cantSplit/>
          <w:jc w:val="center"/>
        </w:trPr>
        <w:tc>
          <w:tcPr>
            <w:tcW w:w="144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D"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rPr>
                <w:rFonts w:ascii="Aptos" w:eastAsia="Aptos" w:hAnsi="Aptos" w:cs="Aptos"/>
                <w:color w:val="000000"/>
                <w:sz w:val="20"/>
                <w:szCs w:val="20"/>
              </w:rPr>
            </w:pPr>
            <w:r>
              <w:rPr>
                <w:rFonts w:ascii="Aptos" w:eastAsia="Aptos" w:hAnsi="Aptos" w:cs="Aptos"/>
                <w:color w:val="000000"/>
                <w:sz w:val="20"/>
                <w:szCs w:val="20"/>
              </w:rPr>
              <w:t>Middle exposure</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E"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47.6%</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BF"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17.7%</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0"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21.1%</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1"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58.0%</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2"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41.6</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3"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9.8%</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4"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36.0%</w:t>
            </w:r>
          </w:p>
        </w:tc>
      </w:tr>
      <w:tr w:rsidR="001B7662" w14:paraId="518D19CE" w14:textId="77777777">
        <w:trPr>
          <w:cantSplit/>
          <w:jc w:val="center"/>
        </w:trPr>
        <w:tc>
          <w:tcPr>
            <w:tcW w:w="1440"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6"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rPr>
                <w:rFonts w:ascii="Aptos" w:eastAsia="Aptos" w:hAnsi="Aptos" w:cs="Aptos"/>
                <w:color w:val="000000"/>
                <w:sz w:val="20"/>
                <w:szCs w:val="20"/>
              </w:rPr>
            </w:pPr>
            <w:r>
              <w:rPr>
                <w:rFonts w:ascii="Aptos" w:eastAsia="Aptos" w:hAnsi="Aptos" w:cs="Aptos"/>
                <w:color w:val="000000"/>
                <w:sz w:val="20"/>
                <w:szCs w:val="20"/>
              </w:rPr>
              <w:t>Second most exposed</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7"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49.5%</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8"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32.5%</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9"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22.4%</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A"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41.9%</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B"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40.9</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C"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16.4%</w:t>
            </w:r>
          </w:p>
        </w:tc>
        <w:tc>
          <w:tcPr>
            <w:tcW w:w="1066" w:type="dxa"/>
            <w:tcBorders>
              <w:top w:val="single" w:sz="4"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D19CD"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34.6%</w:t>
            </w:r>
          </w:p>
        </w:tc>
      </w:tr>
      <w:tr w:rsidR="001B7662" w14:paraId="518D19D7" w14:textId="77777777">
        <w:trPr>
          <w:cantSplit/>
          <w:jc w:val="center"/>
        </w:trPr>
        <w:tc>
          <w:tcPr>
            <w:tcW w:w="1440" w:type="dxa"/>
            <w:tcBorders>
              <w:top w:val="single" w:sz="4"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CF"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rPr>
                <w:rFonts w:ascii="Aptos" w:eastAsia="Aptos" w:hAnsi="Aptos" w:cs="Aptos"/>
                <w:color w:val="000000"/>
                <w:sz w:val="20"/>
                <w:szCs w:val="20"/>
              </w:rPr>
            </w:pPr>
            <w:r>
              <w:rPr>
                <w:rFonts w:ascii="Aptos" w:eastAsia="Aptos" w:hAnsi="Aptos" w:cs="Aptos"/>
                <w:color w:val="000000"/>
                <w:sz w:val="20"/>
                <w:szCs w:val="20"/>
              </w:rPr>
              <w:t>Most exposed</w:t>
            </w:r>
          </w:p>
        </w:tc>
        <w:tc>
          <w:tcPr>
            <w:tcW w:w="1066" w:type="dxa"/>
            <w:tcBorders>
              <w:top w:val="single" w:sz="4"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0"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43.7%</w:t>
            </w:r>
          </w:p>
        </w:tc>
        <w:tc>
          <w:tcPr>
            <w:tcW w:w="1066" w:type="dxa"/>
            <w:tcBorders>
              <w:top w:val="single" w:sz="4"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1"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29.7%</w:t>
            </w:r>
          </w:p>
        </w:tc>
        <w:tc>
          <w:tcPr>
            <w:tcW w:w="1066" w:type="dxa"/>
            <w:tcBorders>
              <w:top w:val="single" w:sz="4"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2"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23.4%</w:t>
            </w:r>
          </w:p>
        </w:tc>
        <w:tc>
          <w:tcPr>
            <w:tcW w:w="1066" w:type="dxa"/>
            <w:tcBorders>
              <w:top w:val="single" w:sz="4"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3"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43.7%</w:t>
            </w:r>
          </w:p>
        </w:tc>
        <w:tc>
          <w:tcPr>
            <w:tcW w:w="1066" w:type="dxa"/>
            <w:tcBorders>
              <w:top w:val="single" w:sz="4"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4"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41.6</w:t>
            </w:r>
          </w:p>
        </w:tc>
        <w:tc>
          <w:tcPr>
            <w:tcW w:w="1066" w:type="dxa"/>
            <w:tcBorders>
              <w:top w:val="single" w:sz="4"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5"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11.4%</w:t>
            </w:r>
          </w:p>
        </w:tc>
        <w:tc>
          <w:tcPr>
            <w:tcW w:w="1066" w:type="dxa"/>
            <w:tcBorders>
              <w:top w:val="single" w:sz="4"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6"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color w:val="000000"/>
                <w:sz w:val="20"/>
                <w:szCs w:val="20"/>
              </w:rPr>
            </w:pPr>
            <w:r>
              <w:rPr>
                <w:rFonts w:ascii="Aptos" w:eastAsia="Aptos" w:hAnsi="Aptos" w:cs="Aptos"/>
                <w:color w:val="000000"/>
                <w:sz w:val="20"/>
                <w:szCs w:val="20"/>
              </w:rPr>
              <w:t>36.7%</w:t>
            </w:r>
          </w:p>
        </w:tc>
      </w:tr>
      <w:tr w:rsidR="001B7662" w14:paraId="518D19E0" w14:textId="77777777">
        <w:trPr>
          <w:cantSplit/>
          <w:jc w:val="center"/>
        </w:trPr>
        <w:tc>
          <w:tcPr>
            <w:tcW w:w="1440"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8"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rPr>
                <w:rFonts w:ascii="Aptos" w:eastAsia="Aptos" w:hAnsi="Aptos" w:cs="Aptos"/>
                <w:b/>
                <w:color w:val="000000"/>
                <w:sz w:val="20"/>
                <w:szCs w:val="20"/>
              </w:rPr>
            </w:pPr>
            <w:r>
              <w:rPr>
                <w:rFonts w:ascii="Aptos" w:eastAsia="Aptos" w:hAnsi="Aptos" w:cs="Aptos"/>
                <w:b/>
                <w:color w:val="000000"/>
                <w:sz w:val="20"/>
                <w:szCs w:val="20"/>
              </w:rPr>
              <w:t>All workers</w:t>
            </w:r>
          </w:p>
        </w:tc>
        <w:tc>
          <w:tcPr>
            <w:tcW w:w="1066"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9"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b/>
                <w:color w:val="000000"/>
                <w:sz w:val="20"/>
                <w:szCs w:val="20"/>
              </w:rPr>
            </w:pPr>
            <w:r>
              <w:rPr>
                <w:rFonts w:ascii="Aptos" w:eastAsia="Aptos" w:hAnsi="Aptos" w:cs="Aptos"/>
                <w:b/>
                <w:color w:val="000000"/>
                <w:sz w:val="20"/>
                <w:szCs w:val="20"/>
              </w:rPr>
              <w:t>51.9%</w:t>
            </w:r>
          </w:p>
        </w:tc>
        <w:tc>
          <w:tcPr>
            <w:tcW w:w="1066"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A"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b/>
                <w:color w:val="000000"/>
                <w:sz w:val="20"/>
                <w:szCs w:val="20"/>
              </w:rPr>
            </w:pPr>
            <w:r>
              <w:rPr>
                <w:rFonts w:ascii="Aptos" w:eastAsia="Aptos" w:hAnsi="Aptos" w:cs="Aptos"/>
                <w:b/>
                <w:color w:val="000000"/>
                <w:sz w:val="20"/>
                <w:szCs w:val="20"/>
              </w:rPr>
              <w:t>30.9%</w:t>
            </w:r>
          </w:p>
        </w:tc>
        <w:tc>
          <w:tcPr>
            <w:tcW w:w="1066"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B"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b/>
                <w:color w:val="000000"/>
                <w:sz w:val="20"/>
                <w:szCs w:val="20"/>
              </w:rPr>
            </w:pPr>
            <w:r>
              <w:rPr>
                <w:rFonts w:ascii="Aptos" w:eastAsia="Aptos" w:hAnsi="Aptos" w:cs="Aptos"/>
                <w:b/>
                <w:color w:val="000000"/>
                <w:sz w:val="20"/>
                <w:szCs w:val="20"/>
              </w:rPr>
              <w:t>27.1%</w:t>
            </w:r>
          </w:p>
        </w:tc>
        <w:tc>
          <w:tcPr>
            <w:tcW w:w="1066"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C"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b/>
                <w:color w:val="000000"/>
                <w:sz w:val="20"/>
                <w:szCs w:val="20"/>
              </w:rPr>
            </w:pPr>
            <w:r>
              <w:rPr>
                <w:rFonts w:ascii="Aptos" w:eastAsia="Aptos" w:hAnsi="Aptos" w:cs="Aptos"/>
                <w:b/>
                <w:color w:val="000000"/>
                <w:sz w:val="20"/>
                <w:szCs w:val="20"/>
              </w:rPr>
              <w:t>38.6%</w:t>
            </w:r>
          </w:p>
        </w:tc>
        <w:tc>
          <w:tcPr>
            <w:tcW w:w="1066"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D"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b/>
                <w:color w:val="000000"/>
                <w:sz w:val="20"/>
                <w:szCs w:val="20"/>
              </w:rPr>
            </w:pPr>
            <w:r>
              <w:rPr>
                <w:rFonts w:ascii="Aptos" w:eastAsia="Aptos" w:hAnsi="Aptos" w:cs="Aptos"/>
                <w:b/>
                <w:color w:val="000000"/>
                <w:sz w:val="20"/>
                <w:szCs w:val="20"/>
              </w:rPr>
              <w:t>40.5</w:t>
            </w:r>
          </w:p>
        </w:tc>
        <w:tc>
          <w:tcPr>
            <w:tcW w:w="1066"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E"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b/>
                <w:color w:val="000000"/>
                <w:sz w:val="20"/>
                <w:szCs w:val="20"/>
              </w:rPr>
            </w:pPr>
            <w:r>
              <w:rPr>
                <w:rFonts w:ascii="Aptos" w:eastAsia="Aptos" w:hAnsi="Aptos" w:cs="Aptos"/>
                <w:b/>
                <w:color w:val="000000"/>
                <w:sz w:val="20"/>
                <w:szCs w:val="20"/>
              </w:rPr>
              <w:t>15.3%</w:t>
            </w:r>
          </w:p>
        </w:tc>
        <w:tc>
          <w:tcPr>
            <w:tcW w:w="1066"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18D19DF" w14:textId="77777777" w:rsidR="001B7662" w:rsidRDefault="00A208A5">
            <w:pPr>
              <w:keepNext/>
              <w:pBdr>
                <w:top w:val="none" w:sz="0" w:space="0" w:color="000000"/>
                <w:left w:val="none" w:sz="0" w:space="0" w:color="000000"/>
                <w:bottom w:val="none" w:sz="0" w:space="0" w:color="000000"/>
                <w:right w:val="none" w:sz="0" w:space="0" w:color="000000"/>
              </w:pBdr>
              <w:spacing w:before="40" w:after="40" w:line="240" w:lineRule="auto"/>
              <w:ind w:left="40" w:right="40"/>
              <w:jc w:val="center"/>
              <w:rPr>
                <w:rFonts w:ascii="Aptos" w:eastAsia="Aptos" w:hAnsi="Aptos" w:cs="Aptos"/>
                <w:b/>
                <w:color w:val="000000"/>
                <w:sz w:val="20"/>
                <w:szCs w:val="20"/>
              </w:rPr>
            </w:pPr>
            <w:r>
              <w:rPr>
                <w:rFonts w:ascii="Aptos" w:eastAsia="Aptos" w:hAnsi="Aptos" w:cs="Aptos"/>
                <w:b/>
                <w:color w:val="000000"/>
                <w:sz w:val="20"/>
                <w:szCs w:val="20"/>
              </w:rPr>
              <w:t>35.4%</w:t>
            </w:r>
          </w:p>
        </w:tc>
      </w:tr>
    </w:tbl>
    <w:p w14:paraId="518D19E1" w14:textId="77777777" w:rsidR="001B7662" w:rsidRDefault="00A208A5">
      <w:pPr>
        <w:pStyle w:val="Source"/>
        <w:pBdr>
          <w:top w:val="none" w:sz="0" w:space="0" w:color="000000"/>
          <w:left w:val="none" w:sz="0" w:space="0" w:color="000000"/>
          <w:bottom w:val="none" w:sz="0" w:space="0" w:color="000000"/>
          <w:right w:val="none" w:sz="0" w:space="0" w:color="000000"/>
        </w:pBdr>
        <w:spacing w:after="0"/>
      </w:pPr>
      <w:r>
        <w:t>Notes: Average of the 4 quarters to November 2025 (2026 data not available). 'VET qualifications' refers to Certificate III / IV and Diploma / Advanced Diploma. The educational attainment columns do not sum to 100, as the totals include 'Certificate not further defined' and 'Level not determined', which are not included in the columns.</w:t>
      </w:r>
    </w:p>
    <w:p w14:paraId="518D19E2" w14:textId="77777777" w:rsidR="001B7662" w:rsidRDefault="00A208A5">
      <w:pPr>
        <w:pStyle w:val="Source"/>
        <w:pBdr>
          <w:top w:val="none" w:sz="0" w:space="0" w:color="000000"/>
          <w:left w:val="none" w:sz="0" w:space="0" w:color="000000"/>
          <w:bottom w:val="none" w:sz="0" w:space="0" w:color="000000"/>
          <w:right w:val="none" w:sz="0" w:space="0" w:color="000000"/>
        </w:pBdr>
        <w:spacing w:after="0"/>
      </w:pPr>
      <w:r>
        <w:t>Sources: ABS Labour Force (TableBuilder) and DEWR calculations.</w:t>
      </w:r>
    </w:p>
    <w:p w14:paraId="518D19E3" w14:textId="77777777" w:rsidR="001B7662" w:rsidRDefault="001B7662">
      <w:pPr>
        <w:pStyle w:val="BodyText"/>
      </w:pPr>
    </w:p>
    <w:p w14:paraId="518D19E4" w14:textId="77777777" w:rsidR="001B7662" w:rsidRDefault="00A208A5">
      <w:pPr>
        <w:pStyle w:val="Heading2"/>
      </w:pPr>
      <w:bookmarkStart w:id="25" w:name="_Toc232612074"/>
      <w:bookmarkStart w:id="26" w:name="what-we-are-not-measuring"/>
      <w:bookmarkEnd w:id="21"/>
      <w:r>
        <w:t>What we are not measuring</w:t>
      </w:r>
      <w:bookmarkEnd w:id="25"/>
    </w:p>
    <w:p w14:paraId="518D19E5" w14:textId="77777777" w:rsidR="001B7662" w:rsidRDefault="00A208A5">
      <w:r>
        <w:t xml:space="preserve">This report is focused on the relationship between AI and employment. There are many other labour market issues that are beyond the scope of this report. AI could potentially have a range of effects on the world of work. It could affect productivity, job quality or the intensity of work. It could change the types of tasks that </w:t>
      </w:r>
      <w:proofErr w:type="gramStart"/>
      <w:r>
        <w:t>particular occupations</w:t>
      </w:r>
      <w:proofErr w:type="gramEnd"/>
      <w:r>
        <w:t xml:space="preserve"> undertake and thereby alter the skill requirements of jobs. We do not seek to measure any of these potential effects in this report.</w:t>
      </w:r>
    </w:p>
    <w:p w14:paraId="518D19E6" w14:textId="77777777" w:rsidR="001B7662" w:rsidRDefault="00A208A5">
      <w:pPr>
        <w:pStyle w:val="BodyText"/>
      </w:pPr>
      <w:r>
        <w:t>We do not measure the effect, if any, of AI on wages. In theory, AI could have a positive or negative effect on wages, depending on the value of the remaining non-automated tasks.</w:t>
      </w:r>
      <w:r>
        <w:rPr>
          <w:rStyle w:val="FootnoteReference"/>
        </w:rPr>
        <w:footnoteReference w:id="25"/>
      </w:r>
      <w:r>
        <w:t xml:space="preserve"> Even studies that have found a negative effect of AI on employment for some workers overseas have not found wage effects.</w:t>
      </w:r>
      <w:r>
        <w:rPr>
          <w:rStyle w:val="FootnoteReference"/>
        </w:rPr>
        <w:footnoteReference w:id="26"/>
      </w:r>
      <w:r>
        <w:t xml:space="preserve"> Any effect of AI on wages would likely take longer to appear in the data than an effect on employment, given that wages tend to be ‘sticky’ and can take time to adjust. A potential future extension of this work is to examine the relationship between AI and wages, but it is out of scope of this report. This report is focused on the central question of whether AI is reducing employment.</w:t>
      </w:r>
    </w:p>
    <w:p w14:paraId="518D19E7" w14:textId="77777777" w:rsidR="001B7662" w:rsidRDefault="00A208A5">
      <w:pPr>
        <w:pStyle w:val="BodyText"/>
      </w:pPr>
      <w:r>
        <w:t>Other technologies could affect work, including potentially reducing employment in some occupations. For example, self-driving vehicles could be potentially disruptive. This report does not examine all sources of potential technological disruption to the labour market, focusing instead on generative AI specifically.</w:t>
      </w:r>
    </w:p>
    <w:p w14:paraId="518D19E8" w14:textId="75102646" w:rsidR="001B7662" w:rsidRDefault="00A208A5">
      <w:pPr>
        <w:pStyle w:val="BodyText"/>
      </w:pPr>
      <w:r>
        <w:t>We do not examine specific demographic groups, other than young people. Young people are thought to be specifically susceptible to displacement by AI. This is because AI models are generally best at performing tasks that require codified knowledge (‘book-learning’) but ‘less capable of replacing tacit knowledge, the idiosyncratic tips and tricks that accumulate with experience’,</w:t>
      </w:r>
      <w:r>
        <w:rPr>
          <w:rStyle w:val="FootnoteReference"/>
        </w:rPr>
        <w:footnoteReference w:id="27"/>
      </w:r>
      <w:r>
        <w:t xml:space="preserve"> which younger workers disproportionately lack. Young people are therefore more susceptible to automation </w:t>
      </w:r>
      <w:r>
        <w:rPr>
          <w:i/>
          <w:iCs/>
        </w:rPr>
        <w:t>within occupations</w:t>
      </w:r>
      <w:r>
        <w:t xml:space="preserve">. Other demographic groups, such as women, are thought to be susceptible to automation </w:t>
      </w:r>
      <w:r>
        <w:lastRenderedPageBreak/>
        <w:t xml:space="preserve">because they are disproportionately employed in exposed occupations (see Table </w:t>
      </w:r>
      <w:hyperlink w:anchor="tab-demogs-by-quintile" w:history="1">
        <w:r>
          <w:fldChar w:fldCharType="begin"/>
        </w:r>
        <w:r>
          <w:instrText xml:space="preserve"> REF tab-demogs-by-quintile \h</w:instrText>
        </w:r>
        <w:r>
          <w:fldChar w:fldCharType="separate"/>
        </w:r>
        <w:r w:rsidR="00082F4E">
          <w:rPr>
            <w:noProof/>
          </w:rPr>
          <w:t>2</w:t>
        </w:r>
        <w:r>
          <w:fldChar w:fldCharType="end"/>
        </w:r>
      </w:hyperlink>
      <w:r>
        <w:t>), not because they are inherently more susceptible. Examining employment trends for young people can give some early indication of potential disruption to the labour market for other workers, whereas the effect on other demographic groups is likely to be downstream of occupation-level trends.</w:t>
      </w:r>
    </w:p>
    <w:p w14:paraId="518D19E9" w14:textId="77777777" w:rsidR="001B7662" w:rsidRDefault="00A208A5">
      <w:pPr>
        <w:pStyle w:val="BodyText"/>
      </w:pPr>
      <w:r>
        <w:t>We do not use data on AI adoption by firms.</w:t>
      </w:r>
      <w:r>
        <w:rPr>
          <w:rStyle w:val="FootnoteReference"/>
        </w:rPr>
        <w:footnoteReference w:id="28"/>
      </w:r>
      <w:r>
        <w:t xml:space="preserve"> This report assesses whether AI appears to be reducing employment. If it is not, a potential explanation is that AI has not yet been deployed by </w:t>
      </w:r>
      <w:proofErr w:type="gramStart"/>
      <w:r>
        <w:t>a sufficient number of</w:t>
      </w:r>
      <w:proofErr w:type="gramEnd"/>
      <w:r>
        <w:t xml:space="preserve"> employers. Firms’ plans for future adoption of AI could also affect employment, as it could influence current hiring decisions. This report does not include measures of planned adoption.</w:t>
      </w:r>
    </w:p>
    <w:p w14:paraId="518D19EA" w14:textId="77777777" w:rsidR="001B7662" w:rsidRDefault="00A208A5">
      <w:pPr>
        <w:pStyle w:val="BodyText"/>
      </w:pPr>
      <w:r>
        <w:t>We are focused on using data to examine the effect of AI on employment in Australia to date. This report does not include any predictions of potential future change. We do not measure upstream technological capability, nor the cost or accessibility of AI tools.</w:t>
      </w:r>
    </w:p>
    <w:p w14:paraId="518D19EB" w14:textId="77777777" w:rsidR="001B7662" w:rsidRDefault="00A208A5">
      <w:pPr>
        <w:pStyle w:val="BodyText"/>
      </w:pPr>
      <w:r>
        <w:t>Most of our analysis relies on survey data, specifically from the ABS Labour Force Survey. The limitations of a sample survey mean we are restricted in our ability to do detailed analysis of occupational employment trends by demographic characteristics, such as age. Future updates to the monitoring framework may incorporate administrative data, such as the ATO Single Touch Payroll (STP) data, which would increase our ability to do this sort of analysis.</w:t>
      </w:r>
    </w:p>
    <w:p w14:paraId="518D19EC" w14:textId="77777777" w:rsidR="001B7662" w:rsidRDefault="00A208A5">
      <w:pPr>
        <w:pStyle w:val="Heading2"/>
      </w:pPr>
      <w:bookmarkStart w:id="27" w:name="_Toc232612075"/>
      <w:bookmarkStart w:id="28" w:name="monitoring-cadence"/>
      <w:bookmarkEnd w:id="26"/>
      <w:r>
        <w:t>Monitoring cadence</w:t>
      </w:r>
      <w:bookmarkEnd w:id="27"/>
    </w:p>
    <w:p w14:paraId="518D19ED" w14:textId="77777777" w:rsidR="001B7662" w:rsidRDefault="00A208A5">
      <w:r>
        <w:t>We plan to use the monitoring framework set out in this report as the basis for ongoing quarterly monitoring of the Australian labour market.</w:t>
      </w:r>
    </w:p>
    <w:p w14:paraId="518D19EE" w14:textId="77777777" w:rsidR="001B7662" w:rsidRDefault="00A208A5">
      <w:pPr>
        <w:pStyle w:val="BodyText"/>
      </w:pPr>
      <w:r>
        <w:t>Updates will not be possible until late 2026, due to a transition in the ABS Labour Force Survey.</w:t>
      </w:r>
      <w:r>
        <w:rPr>
          <w:rStyle w:val="FootnoteReference"/>
        </w:rPr>
        <w:footnoteReference w:id="29"/>
      </w:r>
      <w:r>
        <w:t xml:space="preserve"> This transition will include ceasing to publish employment by ANZSCO occupations, which will require us to convert to the new Occupation Standard Classification for Australia (OSCA) framework.</w:t>
      </w:r>
      <w:r>
        <w:rPr>
          <w:rStyle w:val="FootnoteReference"/>
        </w:rPr>
        <w:footnoteReference w:id="30"/>
      </w:r>
    </w:p>
    <w:p w14:paraId="518D19EF" w14:textId="77777777" w:rsidR="001B7662" w:rsidRDefault="00A208A5">
      <w:r>
        <w:br w:type="page"/>
      </w:r>
    </w:p>
    <w:p w14:paraId="518D19F0" w14:textId="77777777" w:rsidR="001B7662" w:rsidRDefault="00A208A5">
      <w:pPr>
        <w:pStyle w:val="Heading1"/>
      </w:pPr>
      <w:bookmarkStart w:id="29" w:name="_Toc232612076"/>
      <w:bookmarkStart w:id="30" w:name="descriptive-indicators"/>
      <w:bookmarkEnd w:id="11"/>
      <w:bookmarkEnd w:id="28"/>
      <w:r>
        <w:lastRenderedPageBreak/>
        <w:t>Descriptive indicators</w:t>
      </w:r>
      <w:bookmarkEnd w:id="29"/>
    </w:p>
    <w:tbl>
      <w:tblPr>
        <w:tblW w:w="0" w:type="auto"/>
        <w:jc w:val="center"/>
        <w:tblLayout w:type="fixed"/>
        <w:tblLook w:val="0420" w:firstRow="1" w:lastRow="0" w:firstColumn="0" w:lastColumn="0" w:noHBand="0" w:noVBand="1"/>
      </w:tblPr>
      <w:tblGrid>
        <w:gridCol w:w="317"/>
        <w:gridCol w:w="9043"/>
      </w:tblGrid>
      <w:tr w:rsidR="001B7662" w14:paraId="518D19F2" w14:textId="77777777">
        <w:trPr>
          <w:jc w:val="center"/>
        </w:trPr>
        <w:tc>
          <w:tcPr>
            <w:tcW w:w="9360" w:type="dxa"/>
            <w:gridSpan w:val="2"/>
            <w:tcBorders>
              <w:top w:val="single" w:sz="10" w:space="0" w:color="5D7A38"/>
              <w:left w:val="single" w:sz="10" w:space="0" w:color="5D7A38"/>
              <w:bottom w:val="none" w:sz="0" w:space="0" w:color="F1F5ED"/>
              <w:right w:val="single" w:sz="10" w:space="0" w:color="5D7A38"/>
            </w:tcBorders>
            <w:shd w:val="clear" w:color="auto" w:fill="F1F5ED"/>
            <w:tcMar>
              <w:top w:w="0" w:type="dxa"/>
              <w:left w:w="0" w:type="dxa"/>
              <w:bottom w:w="0" w:type="dxa"/>
              <w:right w:w="0" w:type="dxa"/>
            </w:tcMar>
          </w:tcPr>
          <w:p w14:paraId="518D19F1" w14:textId="77777777" w:rsidR="001B7662" w:rsidRDefault="00A208A5">
            <w:pPr>
              <w:keepNext/>
              <w:pBdr>
                <w:top w:val="none" w:sz="0" w:space="0" w:color="000000"/>
                <w:left w:val="none" w:sz="0" w:space="0" w:color="000000"/>
                <w:bottom w:val="none" w:sz="0" w:space="0" w:color="000000"/>
                <w:right w:val="none" w:sz="0" w:space="0" w:color="000000"/>
              </w:pBdr>
              <w:spacing w:before="80" w:after="80" w:line="276" w:lineRule="auto"/>
              <w:ind w:left="120" w:right="120"/>
              <w:rPr>
                <w:rFonts w:eastAsia="Aptos Display" w:cs="Aptos Display"/>
                <w:color w:val="000000"/>
              </w:rPr>
            </w:pPr>
            <w:r>
              <w:rPr>
                <w:rFonts w:eastAsia="Aptos Display" w:cs="Aptos Display"/>
                <w:b/>
                <w:color w:val="5D7A38"/>
                <w:sz w:val="28"/>
                <w:szCs w:val="28"/>
              </w:rPr>
              <w:t>Key points</w:t>
            </w:r>
          </w:p>
        </w:tc>
      </w:tr>
      <w:tr w:rsidR="001B7662" w14:paraId="518D19F5"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9F3"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9F4"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Overall, the Australian labour market remains resilient as at February 2026. Most measures show that, while conditions have eased since late 2022 when ChatGPT was introduced, the jobs market is stronger than in the decade prior to COVID.</w:t>
            </w:r>
          </w:p>
        </w:tc>
      </w:tr>
      <w:tr w:rsidR="001B7662" w14:paraId="518D19F8"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9F6"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9F7"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 unemployment rate, at a 3-month average of 4.2% as at February 2026, is lower than at any point in the decade prior to COVID. 64.0% of Australians aged 15 and over are in work, well above the average employment-to-population ratio in the decade before COVID (61.6%) and around the level in late 2022 when ChatGPT was introduced.</w:t>
            </w:r>
          </w:p>
        </w:tc>
      </w:tr>
      <w:tr w:rsidR="001B7662" w14:paraId="518D19FB"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9F9"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9FA"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Other key indicators also remain strong. For example, the volume underutilisation rate, which compares the total hours worked in Australia with the total hours both employed and unemployed people say they want to work, is at 5.5%, well below the pre-COVID average of 7.6%.</w:t>
            </w:r>
          </w:p>
        </w:tc>
      </w:tr>
      <w:tr w:rsidR="001B7662" w14:paraId="518D19FE"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9FC"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9FD" w14:textId="430FDC18"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 xml:space="preserve">The hiring rate </w:t>
            </w:r>
            <w:r w:rsidR="00DD443C">
              <w:rPr>
                <w:rFonts w:eastAsia="Aptos Display" w:cs="Aptos Display"/>
                <w:color w:val="000000"/>
              </w:rPr>
              <w:t>has fallen</w:t>
            </w:r>
            <w:r>
              <w:rPr>
                <w:rFonts w:eastAsia="Aptos Display" w:cs="Aptos Display"/>
                <w:color w:val="000000"/>
              </w:rPr>
              <w:t>. This rate, measured as the proportion of workers who have recently commenced with their employer, is at a relatively low level. But there are strong alternative explanations for the low hiring rate other than an AI effect.</w:t>
            </w:r>
          </w:p>
        </w:tc>
      </w:tr>
      <w:tr w:rsidR="001B7662" w14:paraId="518D1A01"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9FF"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A00" w14:textId="527B6C0B"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 labour market</w:t>
            </w:r>
            <w:r w:rsidR="00182D43">
              <w:rPr>
                <w:rFonts w:eastAsia="Aptos Display" w:cs="Aptos Display"/>
                <w:color w:val="000000"/>
              </w:rPr>
              <w:t xml:space="preserve"> for young people</w:t>
            </w:r>
            <w:r>
              <w:rPr>
                <w:rFonts w:eastAsia="Aptos Display" w:cs="Aptos Display"/>
                <w:color w:val="000000"/>
              </w:rPr>
              <w:t xml:space="preserve"> has held up well, with youth (aged 20–24 years) employment growth outpacing that of older (25 years and above) people in the period since November 2022 when ChatGPT was introduced.</w:t>
            </w:r>
          </w:p>
        </w:tc>
      </w:tr>
      <w:tr w:rsidR="001B7662" w14:paraId="518D1A04"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A02"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A03"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Employment outcomes for young tertiary graduates have been positive, despite expectations young graduates could be among the first groups to be affected by AI. Their unemployment rate remains low relative to older graduates, and the share of young graduates employed in degree-level jobs has risen.</w:t>
            </w:r>
          </w:p>
        </w:tc>
      </w:tr>
      <w:tr w:rsidR="001B7662" w14:paraId="518D1A07"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A05"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A06"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There is no sign of unusually rapid reshuffling across occupations. If AI were causing broad labour market disruption we would expect faster compositional change, but the pace of change has eased since 2022 and remains within its normal pre-COVID range.</w:t>
            </w:r>
          </w:p>
        </w:tc>
      </w:tr>
      <w:tr w:rsidR="001B7662" w14:paraId="518D1A0A"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A08"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A09"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Some highly exposed occupations have grown strongly. For example, software developer employment ('Software and Applications Programmers') has increased by 25% since November 2022.</w:t>
            </w:r>
          </w:p>
        </w:tc>
      </w:tr>
      <w:tr w:rsidR="001B7662" w14:paraId="518D1A0D" w14:textId="77777777">
        <w:trPr>
          <w:jc w:val="center"/>
        </w:trPr>
        <w:tc>
          <w:tcPr>
            <w:tcW w:w="317" w:type="dxa"/>
            <w:tcBorders>
              <w:top w:val="none" w:sz="0" w:space="0" w:color="F1F5ED"/>
              <w:left w:val="single" w:sz="10" w:space="0" w:color="5D7A38"/>
              <w:bottom w:val="single" w:sz="10" w:space="0" w:color="5D7A38"/>
              <w:right w:val="none" w:sz="0" w:space="0" w:color="F1F5ED"/>
            </w:tcBorders>
            <w:shd w:val="clear" w:color="auto" w:fill="F1F5ED"/>
            <w:tcMar>
              <w:top w:w="0" w:type="dxa"/>
              <w:left w:w="0" w:type="dxa"/>
              <w:bottom w:w="0" w:type="dxa"/>
              <w:right w:w="0" w:type="dxa"/>
            </w:tcMar>
          </w:tcPr>
          <w:p w14:paraId="518D1A0B"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single" w:sz="10" w:space="0" w:color="5D7A38"/>
              <w:right w:val="single" w:sz="10" w:space="0" w:color="5D7A38"/>
            </w:tcBorders>
            <w:shd w:val="clear" w:color="auto" w:fill="F1F5ED"/>
            <w:tcMar>
              <w:top w:w="0" w:type="dxa"/>
              <w:left w:w="0" w:type="dxa"/>
              <w:bottom w:w="0" w:type="dxa"/>
              <w:right w:w="0" w:type="dxa"/>
            </w:tcMar>
          </w:tcPr>
          <w:p w14:paraId="518D1A0C"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However, an area of emerging concern is that</w:t>
            </w:r>
            <w:proofErr w:type="gramStart"/>
            <w:r>
              <w:rPr>
                <w:rFonts w:eastAsia="Aptos Display" w:cs="Aptos Display"/>
                <w:color w:val="000000"/>
              </w:rPr>
              <w:t>, as a whole, the</w:t>
            </w:r>
            <w:proofErr w:type="gramEnd"/>
            <w:r>
              <w:rPr>
                <w:rFonts w:eastAsia="Aptos Display" w:cs="Aptos Display"/>
                <w:color w:val="000000"/>
              </w:rPr>
              <w:t xml:space="preserve"> occupations most exposed to AI automation are growing more slowly than others. Those occupations have seen slower employment and hours growth, larger falls in job advertisements, and a narrowing unemployment advantage relative to low-exposure jobs. These findings may reflect pre-existing trends.</w:t>
            </w:r>
          </w:p>
        </w:tc>
      </w:tr>
    </w:tbl>
    <w:p w14:paraId="518D1A0E" w14:textId="77777777" w:rsidR="001B7662" w:rsidRDefault="001B7662"/>
    <w:p w14:paraId="518D1A0F" w14:textId="77777777" w:rsidR="001B7662" w:rsidRDefault="00A208A5">
      <w:pPr>
        <w:pStyle w:val="BodyText"/>
      </w:pPr>
      <w:r>
        <w:t>Most labour market indicators do not show broad AI-driven labour market upheaval. But several measures point to softer conditions in occupations more exposed to AI automation.</w:t>
      </w:r>
    </w:p>
    <w:p w14:paraId="518D1A10" w14:textId="77777777" w:rsidR="001B7662" w:rsidRDefault="00A208A5">
      <w:pPr>
        <w:pStyle w:val="BodyText"/>
      </w:pPr>
      <w:r>
        <w:t xml:space="preserve">We compare each descriptive indicator with its November 2022 value and its pre-COVID range. This is to inform a judgement about whether the indicators are in line with ‘normal’ levels. The descriptive indicators in this chapter should not be interpreted in a ‘causal’ way – we cannot infer from these indicators whether the introduction of AI has </w:t>
      </w:r>
      <w:r>
        <w:rPr>
          <w:i/>
          <w:iCs/>
        </w:rPr>
        <w:t>caused</w:t>
      </w:r>
      <w:r>
        <w:t xml:space="preserve"> a change.</w:t>
      </w:r>
    </w:p>
    <w:p w14:paraId="518D1A11" w14:textId="77777777" w:rsidR="001B7662" w:rsidRDefault="00A208A5">
      <w:pPr>
        <w:pStyle w:val="BodyText"/>
      </w:pPr>
      <w:r>
        <w:lastRenderedPageBreak/>
        <w:t>These descriptive indicators are intended to complement and cross-check the formal statistical modelling that will come in the following chapter.</w:t>
      </w:r>
    </w:p>
    <w:p w14:paraId="518D1A12" w14:textId="77777777" w:rsidR="001B7662" w:rsidRDefault="00A208A5">
      <w:pPr>
        <w:pStyle w:val="Heading2"/>
      </w:pPr>
      <w:bookmarkStart w:id="31" w:name="_Toc232612077"/>
      <w:bookmarkStart w:id="32" w:name="the-labour-market-remains-resilient"/>
      <w:r>
        <w:t>The labour market remains resilient</w:t>
      </w:r>
      <w:bookmarkEnd w:id="31"/>
    </w:p>
    <w:p w14:paraId="518D1A13" w14:textId="77777777" w:rsidR="001B7662" w:rsidRDefault="00A208A5">
      <w:r>
        <w:t>The Australian labour market experienced a rise in unemployment and a fall in employment during 2020 due to the COVID-19 pandemic and the restrictions put in place to contain the spread of the virus. In 2022, the labour market strengthened in Australia (and elsewhere), due to the availability of vaccines, removal of restrictions, and the (in some cases lagged) effect of macroeconomic support put in place during the pandemic, including low interest rates and fiscal support.</w:t>
      </w:r>
      <w:r>
        <w:rPr>
          <w:rStyle w:val="FootnoteReference"/>
        </w:rPr>
        <w:footnoteReference w:id="31"/>
      </w:r>
    </w:p>
    <w:p w14:paraId="518D1A14" w14:textId="77777777" w:rsidR="001B7662" w:rsidRDefault="00A208A5">
      <w:pPr>
        <w:pStyle w:val="BodyText"/>
      </w:pPr>
      <w:r>
        <w:t>The post-pandemic labour market reached its tightest point during 2022. In November 2022, the unemployment rate reached its lowest level since 1974. Conditions have since eased but remain significantly stronger than during the decade before COVID.</w:t>
      </w:r>
    </w:p>
    <w:p w14:paraId="518D1A15" w14:textId="77777777" w:rsidR="001B7662" w:rsidRDefault="00A208A5">
      <w:pPr>
        <w:pStyle w:val="BodyText"/>
      </w:pPr>
      <w:r>
        <w:t>The unemployment rate remains well below its typical level in the decade before COVID. Although there has been some moderation in the period since 2022, unemployment remains very low compared to recent decades in Australia. At 4.2% as at February 2026, the unemployment rate remains lower than any level recorded in the decade prior to COVID.</w:t>
      </w:r>
      <w:r>
        <w:rPr>
          <w:rStyle w:val="FootnoteReference"/>
        </w:rPr>
        <w:footnoteReference w:id="32"/>
      </w:r>
      <w:r>
        <w:t xml:space="preserve"> While the unemployment rate did begin to rise from late 2022, this is more plausibly due to macroeconomic factors including the effect of global supply shocks and rising interest rates than the introduction of AI tools for widespread use.</w:t>
      </w:r>
    </w:p>
    <w:p w14:paraId="518D1A16" w14:textId="1D7A5823" w:rsidR="001B7662" w:rsidRDefault="00A208A5">
      <w:pPr>
        <w:pStyle w:val="ImageCaption"/>
      </w:pPr>
      <w:r>
        <w:t xml:space="preserve">Figure </w:t>
      </w:r>
      <w:bookmarkStart w:id="33" w:name="viz-ur"/>
      <w:r>
        <w:fldChar w:fldCharType="begin"/>
      </w:r>
      <w:r>
        <w:instrText>SEQ fig \* Arabic</w:instrText>
      </w:r>
      <w:r>
        <w:fldChar w:fldCharType="separate"/>
      </w:r>
      <w:r w:rsidR="00082F4E">
        <w:rPr>
          <w:noProof/>
        </w:rPr>
        <w:t>2</w:t>
      </w:r>
      <w:r>
        <w:fldChar w:fldCharType="end"/>
      </w:r>
      <w:bookmarkEnd w:id="33"/>
      <w:r>
        <w:t>: The unemployment rate remains well below its typical pre-COVID range</w:t>
      </w:r>
    </w:p>
    <w:p w14:paraId="518D1A17" w14:textId="77777777" w:rsidR="001B7662" w:rsidRDefault="00A208A5">
      <w:pPr>
        <w:pStyle w:val="CompactNormal"/>
        <w:jc w:val="center"/>
      </w:pPr>
      <w:r>
        <w:rPr>
          <w:noProof/>
        </w:rPr>
        <w:drawing>
          <wp:inline distT="0" distB="0" distL="0" distR="0" wp14:anchorId="518D1D09" wp14:editId="3546E2AC">
            <wp:extent cx="5835650" cy="2917825"/>
            <wp:effectExtent l="0" t="0" r="0" b="0"/>
            <wp:docPr id="5" name="Picture 5" descr="Line graph showing unemployment rate from 2001 to 2026, highlighting a sharp drop around November 2022 reflecting post-COVID labour market tightness, and a gradual rise toward February 2026. Key elements include average 2010-2020 (typical pre-COVID rate) rate of 5.5%, November 2022 rate of 3.5% and February 2026 rate of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ine graph showing unemployment rate from 2001 to 2026, highlighting a sharp drop around November 2022 reflecting post-COVID labour market tightness, and a gradual rise toward February 2026. Key elements include average 2010-2020 (typical pre-COVID rate) rate of 5.5%, November 2022 rate of 3.5% and February 2026 rate of 4.2%."/>
                    <pic:cNvPicPr>
                      <a:picLocks noChangeAspect="1" noChangeArrowheads="1"/>
                    </pic:cNvPicPr>
                  </pic:nvPicPr>
                  <pic:blipFill>
                    <a:blip r:embed="rId15"/>
                    <a:stretch>
                      <a:fillRect/>
                    </a:stretch>
                  </pic:blipFill>
                  <pic:spPr bwMode="auto">
                    <a:xfrm>
                      <a:off x="0" y="0"/>
                      <a:ext cx="5835650" cy="2917825"/>
                    </a:xfrm>
                    <a:prstGeom prst="rect">
                      <a:avLst/>
                    </a:prstGeom>
                    <a:noFill/>
                  </pic:spPr>
                </pic:pic>
              </a:graphicData>
            </a:graphic>
          </wp:inline>
        </w:drawing>
      </w:r>
    </w:p>
    <w:tbl>
      <w:tblPr>
        <w:tblW w:w="0" w:type="auto"/>
        <w:jc w:val="center"/>
        <w:tblLayout w:type="fixed"/>
        <w:tblLook w:val="0420" w:firstRow="1" w:lastRow="0" w:firstColumn="0" w:lastColumn="0" w:noHBand="0" w:noVBand="1"/>
      </w:tblPr>
      <w:tblGrid>
        <w:gridCol w:w="9360"/>
      </w:tblGrid>
      <w:tr w:rsidR="001B7662" w14:paraId="518D1A19" w14:textId="77777777">
        <w:trPr>
          <w:jc w:val="center"/>
        </w:trPr>
        <w:tc>
          <w:tcPr>
            <w:tcW w:w="9360" w:type="dxa"/>
            <w:tcBorders>
              <w:top w:val="single" w:sz="10" w:space="0" w:color="404246"/>
              <w:left w:val="single" w:sz="10" w:space="0" w:color="404246"/>
              <w:bottom w:val="none" w:sz="0" w:space="0" w:color="F2F2F2"/>
              <w:right w:val="single" w:sz="10" w:space="0" w:color="404246"/>
            </w:tcBorders>
            <w:shd w:val="clear" w:color="auto" w:fill="F2F2F2"/>
            <w:tcMar>
              <w:top w:w="0" w:type="dxa"/>
              <w:left w:w="0" w:type="dxa"/>
              <w:bottom w:w="0" w:type="dxa"/>
              <w:right w:w="0" w:type="dxa"/>
            </w:tcMar>
          </w:tcPr>
          <w:p w14:paraId="518D1A18" w14:textId="77777777" w:rsidR="001B7662" w:rsidRDefault="00A208A5">
            <w:pPr>
              <w:keepNext/>
              <w:pBdr>
                <w:top w:val="none" w:sz="0" w:space="0" w:color="000000"/>
                <w:left w:val="none" w:sz="0" w:space="0" w:color="000000"/>
                <w:bottom w:val="none" w:sz="0" w:space="0" w:color="000000"/>
                <w:right w:val="none" w:sz="0" w:space="0" w:color="000000"/>
              </w:pBdr>
              <w:spacing w:before="80" w:after="80" w:line="276" w:lineRule="auto"/>
              <w:ind w:left="120" w:right="120"/>
              <w:rPr>
                <w:rFonts w:ascii="Arial" w:eastAsia="Arial" w:hAnsi="Arial"/>
                <w:color w:val="000000"/>
              </w:rPr>
            </w:pPr>
            <w:r>
              <w:rPr>
                <w:rFonts w:eastAsia="Aptos Display" w:cs="Aptos Display"/>
                <w:b/>
                <w:color w:val="404246"/>
                <w:sz w:val="28"/>
                <w:szCs w:val="28"/>
              </w:rPr>
              <w:lastRenderedPageBreak/>
              <w:t>About these charts</w:t>
            </w:r>
          </w:p>
        </w:tc>
      </w:tr>
      <w:tr w:rsidR="001B7662" w14:paraId="518D1A1B" w14:textId="77777777">
        <w:trPr>
          <w:jc w:val="center"/>
        </w:trPr>
        <w:tc>
          <w:tcPr>
            <w:tcW w:w="9360" w:type="dxa"/>
            <w:tcBorders>
              <w:top w:val="none" w:sz="0" w:space="0" w:color="F2F2F2"/>
              <w:left w:val="single" w:sz="10" w:space="0" w:color="404246"/>
              <w:bottom w:val="none" w:sz="0" w:space="0" w:color="F2F2F2"/>
              <w:right w:val="single" w:sz="10" w:space="0" w:color="404246"/>
            </w:tcBorders>
            <w:shd w:val="clear" w:color="auto" w:fill="F2F2F2"/>
            <w:tcMar>
              <w:top w:w="0" w:type="dxa"/>
              <w:left w:w="0" w:type="dxa"/>
              <w:bottom w:w="0" w:type="dxa"/>
              <w:right w:w="0" w:type="dxa"/>
            </w:tcMar>
          </w:tcPr>
          <w:p w14:paraId="518D1A1A" w14:textId="214AF903"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120" w:right="120"/>
              <w:rPr>
                <w:rFonts w:ascii="Arial" w:eastAsia="Arial" w:hAnsi="Arial"/>
                <w:color w:val="000000"/>
              </w:rPr>
            </w:pPr>
            <w:r>
              <w:rPr>
                <w:rFonts w:eastAsia="Aptos Display" w:cs="Aptos Display"/>
                <w:color w:val="000000"/>
              </w:rPr>
              <w:t xml:space="preserve">Many of the data visualisations in this report follow the style of Figure </w:t>
            </w:r>
            <w:r>
              <w:rPr>
                <w:rFonts w:eastAsia="Aptos Display" w:cs="Aptos Display"/>
                <w:color w:val="000000"/>
              </w:rPr>
              <w:fldChar w:fldCharType="begin"/>
            </w:r>
            <w:r>
              <w:rPr>
                <w:rFonts w:eastAsia="Aptos Display" w:cs="Aptos Display"/>
                <w:color w:val="000000"/>
              </w:rPr>
              <w:instrText xml:space="preserve"> REF viz-ur \h </w:instrText>
            </w:r>
            <w:r>
              <w:rPr>
                <w:rFonts w:eastAsia="Aptos Display" w:cs="Aptos Display"/>
                <w:color w:val="000000"/>
              </w:rPr>
            </w:r>
            <w:r>
              <w:rPr>
                <w:rFonts w:eastAsia="Aptos Display" w:cs="Aptos Display"/>
                <w:color w:val="000000"/>
              </w:rPr>
              <w:fldChar w:fldCharType="separate"/>
            </w:r>
            <w:r w:rsidR="00082F4E">
              <w:rPr>
                <w:noProof/>
              </w:rPr>
              <w:t>2</w:t>
            </w:r>
            <w:r>
              <w:rPr>
                <w:rFonts w:eastAsia="Aptos Display" w:cs="Aptos Display"/>
                <w:color w:val="000000"/>
              </w:rPr>
              <w:fldChar w:fldCharType="end"/>
            </w:r>
            <w:r>
              <w:rPr>
                <w:rFonts w:eastAsia="Aptos Display" w:cs="Aptos Display"/>
                <w:color w:val="000000"/>
              </w:rPr>
              <w:t xml:space="preserve">. It compares the </w:t>
            </w:r>
            <w:r>
              <w:rPr>
                <w:rFonts w:eastAsia="Aptos Display" w:cs="Aptos Display"/>
                <w:b/>
                <w:color w:val="5D7A38"/>
              </w:rPr>
              <w:t>latest value</w:t>
            </w:r>
            <w:r>
              <w:rPr>
                <w:rFonts w:eastAsia="Aptos Display" w:cs="Aptos Display"/>
                <w:color w:val="000000"/>
              </w:rPr>
              <w:t xml:space="preserve">, generally </w:t>
            </w:r>
            <w:r>
              <w:rPr>
                <w:rFonts w:eastAsia="Aptos Display" w:cs="Aptos Display"/>
                <w:b/>
                <w:color w:val="5D7A38"/>
              </w:rPr>
              <w:t>February 2026</w:t>
            </w:r>
            <w:r>
              <w:rPr>
                <w:rFonts w:eastAsia="Aptos Display" w:cs="Aptos Display"/>
                <w:color w:val="000000"/>
              </w:rPr>
              <w:t xml:space="preserve">, to the value in </w:t>
            </w:r>
            <w:r>
              <w:rPr>
                <w:rFonts w:eastAsia="Aptos Display" w:cs="Aptos Display"/>
                <w:b/>
                <w:color w:val="009B9F"/>
              </w:rPr>
              <w:t>November 2022</w:t>
            </w:r>
            <w:r>
              <w:rPr>
                <w:rFonts w:eastAsia="Aptos Display" w:cs="Aptos Display"/>
                <w:color w:val="000000"/>
              </w:rPr>
              <w:t xml:space="preserve">, the final quarter before </w:t>
            </w:r>
            <w:r>
              <w:rPr>
                <w:rFonts w:eastAsia="Aptos Display" w:cs="Aptos Display"/>
                <w:b/>
                <w:color w:val="009B9F"/>
              </w:rPr>
              <w:t>ChatGPT</w:t>
            </w:r>
            <w:r>
              <w:rPr>
                <w:rFonts w:eastAsia="Aptos Display" w:cs="Aptos Display"/>
                <w:color w:val="000000"/>
              </w:rPr>
              <w:t xml:space="preserve"> was introduced. It also shows the </w:t>
            </w:r>
            <w:r>
              <w:rPr>
                <w:rFonts w:eastAsia="Aptos Display" w:cs="Aptos Display"/>
                <w:b/>
                <w:color w:val="62165C"/>
              </w:rPr>
              <w:t>pre-COVID average</w:t>
            </w:r>
            <w:r>
              <w:rPr>
                <w:rFonts w:eastAsia="Aptos Display" w:cs="Aptos Display"/>
                <w:color w:val="000000"/>
              </w:rPr>
              <w:t xml:space="preserve"> value. The pre-COVID average period for Figure </w:t>
            </w:r>
            <w:r>
              <w:rPr>
                <w:rFonts w:eastAsia="Aptos Display" w:cs="Aptos Display"/>
                <w:color w:val="000000"/>
              </w:rPr>
              <w:fldChar w:fldCharType="begin"/>
            </w:r>
            <w:r>
              <w:rPr>
                <w:rFonts w:eastAsia="Aptos Display" w:cs="Aptos Display"/>
                <w:color w:val="000000"/>
              </w:rPr>
              <w:instrText xml:space="preserve"> REF viz-ur \h </w:instrText>
            </w:r>
            <w:r>
              <w:rPr>
                <w:rFonts w:eastAsia="Aptos Display" w:cs="Aptos Display"/>
                <w:color w:val="000000"/>
              </w:rPr>
            </w:r>
            <w:r>
              <w:rPr>
                <w:rFonts w:eastAsia="Aptos Display" w:cs="Aptos Display"/>
                <w:color w:val="000000"/>
              </w:rPr>
              <w:fldChar w:fldCharType="separate"/>
            </w:r>
            <w:r w:rsidR="00082F4E">
              <w:rPr>
                <w:noProof/>
              </w:rPr>
              <w:t>2</w:t>
            </w:r>
            <w:r>
              <w:rPr>
                <w:rFonts w:eastAsia="Aptos Display" w:cs="Aptos Display"/>
                <w:color w:val="000000"/>
              </w:rPr>
              <w:fldChar w:fldCharType="end"/>
            </w:r>
            <w:r>
              <w:rPr>
                <w:rFonts w:eastAsia="Aptos Display" w:cs="Aptos Display"/>
                <w:color w:val="000000"/>
              </w:rPr>
              <w:t xml:space="preserve"> and most figures runs from February 2010 to February 2020. Where data is not available for this full period, the longest period available is used and this is made clear in the visualisation. The </w:t>
            </w:r>
            <w:r>
              <w:rPr>
                <w:rFonts w:eastAsia="Aptos Display" w:cs="Aptos Display"/>
                <w:color w:val="000000"/>
                <w:shd w:val="clear" w:color="auto" w:fill="D8C5D6"/>
              </w:rPr>
              <w:t>typical pre-COVID range</w:t>
            </w:r>
            <w:r>
              <w:rPr>
                <w:rFonts w:eastAsia="Aptos Display" w:cs="Aptos Display"/>
                <w:color w:val="000000"/>
              </w:rPr>
              <w:t xml:space="preserve"> is shown, which covers the middle 80% of observations over the pre-COVID period. The points on the right-hand side reflect the levels as illustrated in the line chart – these points are then combined in 'dashboard charts', such as Figure </w:t>
            </w:r>
            <w:r>
              <w:rPr>
                <w:rFonts w:eastAsia="Aptos Display" w:cs="Aptos Display"/>
                <w:color w:val="000000"/>
              </w:rPr>
              <w:fldChar w:fldCharType="begin"/>
            </w:r>
            <w:r>
              <w:rPr>
                <w:rFonts w:eastAsia="Aptos Display" w:cs="Aptos Display"/>
                <w:color w:val="000000"/>
              </w:rPr>
              <w:instrText xml:space="preserve"> REF viz-dashboard-headline \h </w:instrText>
            </w:r>
            <w:r>
              <w:rPr>
                <w:rFonts w:eastAsia="Aptos Display" w:cs="Aptos Display"/>
                <w:color w:val="000000"/>
              </w:rPr>
            </w:r>
            <w:r>
              <w:rPr>
                <w:rFonts w:eastAsia="Aptos Display" w:cs="Aptos Display"/>
                <w:color w:val="000000"/>
              </w:rPr>
              <w:fldChar w:fldCharType="separate"/>
            </w:r>
            <w:r w:rsidR="00082F4E">
              <w:rPr>
                <w:noProof/>
              </w:rPr>
              <w:t>6</w:t>
            </w:r>
            <w:r>
              <w:rPr>
                <w:rFonts w:eastAsia="Aptos Display" w:cs="Aptos Display"/>
                <w:color w:val="000000"/>
              </w:rPr>
              <w:fldChar w:fldCharType="end"/>
            </w:r>
            <w:r>
              <w:rPr>
                <w:rFonts w:eastAsia="Aptos Display" w:cs="Aptos Display"/>
                <w:color w:val="000000"/>
              </w:rPr>
              <w:t>.</w:t>
            </w:r>
          </w:p>
        </w:tc>
      </w:tr>
      <w:tr w:rsidR="001B7662" w14:paraId="518D1A1D" w14:textId="77777777">
        <w:trPr>
          <w:jc w:val="center"/>
        </w:trPr>
        <w:tc>
          <w:tcPr>
            <w:tcW w:w="9360" w:type="dxa"/>
            <w:tcBorders>
              <w:top w:val="none" w:sz="0" w:space="0" w:color="F2F2F2"/>
              <w:left w:val="single" w:sz="10" w:space="0" w:color="404246"/>
              <w:bottom w:val="single" w:sz="10" w:space="0" w:color="404246"/>
              <w:right w:val="single" w:sz="10" w:space="0" w:color="404246"/>
            </w:tcBorders>
            <w:shd w:val="clear" w:color="auto" w:fill="F2F2F2"/>
            <w:tcMar>
              <w:top w:w="0" w:type="dxa"/>
              <w:left w:w="0" w:type="dxa"/>
              <w:bottom w:w="0" w:type="dxa"/>
              <w:right w:w="0" w:type="dxa"/>
            </w:tcMar>
          </w:tcPr>
          <w:p w14:paraId="518D1A1C"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120" w:right="120"/>
              <w:rPr>
                <w:rFonts w:ascii="Arial" w:eastAsia="Arial" w:hAnsi="Arial"/>
                <w:color w:val="000000"/>
              </w:rPr>
            </w:pPr>
            <w:r>
              <w:rPr>
                <w:rFonts w:eastAsia="Aptos Display" w:cs="Aptos Display"/>
                <w:color w:val="000000"/>
              </w:rPr>
              <w:t>These charts compare current values with historical levels, to assess whether they have moved in a direction that would be consistent with AI-driven changes in employment patterns. The charts are not conclusive in themselves. Judgement is required in interpreting them, as some time series were trending up or down prior to the introduction of ChatGPT in a way that could make the pre-COVID average and typical range an imperfect guide to what would reasonably be expected if generative AI tools had not been introduced. A range of factors other than AI, including macroeconomic shocks and business cycles, affect these series.</w:t>
            </w:r>
          </w:p>
        </w:tc>
      </w:tr>
    </w:tbl>
    <w:p w14:paraId="518D1A1E" w14:textId="77777777" w:rsidR="001B7662" w:rsidRDefault="001B7662">
      <w:pPr>
        <w:pStyle w:val="BodyText"/>
      </w:pPr>
    </w:p>
    <w:p w14:paraId="518D1A1F" w14:textId="051881A7" w:rsidR="001B7662" w:rsidRDefault="00A208A5">
      <w:pPr>
        <w:pStyle w:val="BodyText"/>
      </w:pPr>
      <w:r>
        <w:t xml:space="preserve">Most other headline indicators also suggest ongoing strength in the Australian labour market. For example, as at February 2026, the employment-to-population ratio is 64.0%. This is substantially above the level in the decade prior to the COVID pandemic, when the employment-to-population ratio averaged 61.6%, as shown in Figure </w:t>
      </w:r>
      <w:hyperlink w:anchor="viz-epop" w:history="1">
        <w:r>
          <w:fldChar w:fldCharType="begin"/>
        </w:r>
        <w:r>
          <w:instrText xml:space="preserve"> REF viz-epop \h</w:instrText>
        </w:r>
        <w:r>
          <w:fldChar w:fldCharType="separate"/>
        </w:r>
        <w:r w:rsidR="00082F4E">
          <w:rPr>
            <w:noProof/>
          </w:rPr>
          <w:t>3</w:t>
        </w:r>
        <w:r>
          <w:fldChar w:fldCharType="end"/>
        </w:r>
      </w:hyperlink>
      <w:r>
        <w:t>. This ratio, which measures the proportion of the civilian population aged 15 or above that is employed, provides a clear, high-level measure of overall labour market conditions.</w:t>
      </w:r>
    </w:p>
    <w:p w14:paraId="518D1A20" w14:textId="25C84C23" w:rsidR="001B7662" w:rsidRDefault="00A208A5">
      <w:pPr>
        <w:pStyle w:val="ImageCaption"/>
      </w:pPr>
      <w:r>
        <w:t xml:space="preserve">Figure </w:t>
      </w:r>
      <w:bookmarkStart w:id="34" w:name="viz-epop"/>
      <w:r>
        <w:fldChar w:fldCharType="begin"/>
      </w:r>
      <w:r>
        <w:instrText>SEQ fig \* Arabic</w:instrText>
      </w:r>
      <w:r>
        <w:fldChar w:fldCharType="separate"/>
      </w:r>
      <w:r w:rsidR="00082F4E">
        <w:rPr>
          <w:noProof/>
        </w:rPr>
        <w:t>3</w:t>
      </w:r>
      <w:r>
        <w:fldChar w:fldCharType="end"/>
      </w:r>
      <w:bookmarkEnd w:id="34"/>
      <w:r>
        <w:t>: The share of the population in work remains very high</w:t>
      </w:r>
    </w:p>
    <w:p w14:paraId="518D1A21" w14:textId="77777777" w:rsidR="001B7662" w:rsidRDefault="00A208A5">
      <w:pPr>
        <w:pStyle w:val="CompactNormal"/>
        <w:jc w:val="center"/>
      </w:pPr>
      <w:r>
        <w:rPr>
          <w:noProof/>
        </w:rPr>
        <w:drawing>
          <wp:inline distT="0" distB="0" distL="0" distR="0" wp14:anchorId="518D1D0B" wp14:editId="339253F1">
            <wp:extent cx="5835650" cy="2917825"/>
            <wp:effectExtent l="0" t="0" r="0" b="0"/>
            <wp:docPr id="7" name="Picture 7" descr="Line graph showing employment-to-population ratio (3-month average) for ages 15+ from 2000 to 2026, with data points. The graph highlights a sharp dip around 2020, a rapid recovery surpassing the average 2010-2020 range (typical pre-COVID range) of 61.6%, with a peak of 64.2% in November 2022, and value of 64 in Februar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ine graph showing employment-to-population ratio (3-month average) for ages 15+ from 2000 to 2026, with data points. The graph highlights a sharp dip around 2020, a rapid recovery surpassing the average 2010-2020 range (typical pre-COVID range) of 61.6%, with a peak of 64.2% in November 2022, and value of 64 in February 2026."/>
                    <pic:cNvPicPr>
                      <a:picLocks noChangeAspect="1" noChangeArrowheads="1"/>
                    </pic:cNvPicPr>
                  </pic:nvPicPr>
                  <pic:blipFill>
                    <a:blip r:embed="rId16"/>
                    <a:stretch>
                      <a:fillRect/>
                    </a:stretch>
                  </pic:blipFill>
                  <pic:spPr bwMode="auto">
                    <a:xfrm>
                      <a:off x="0" y="0"/>
                      <a:ext cx="5835650" cy="2917825"/>
                    </a:xfrm>
                    <a:prstGeom prst="rect">
                      <a:avLst/>
                    </a:prstGeom>
                    <a:noFill/>
                  </pic:spPr>
                </pic:pic>
              </a:graphicData>
            </a:graphic>
          </wp:inline>
        </w:drawing>
      </w:r>
    </w:p>
    <w:p w14:paraId="518D1A22" w14:textId="77777777" w:rsidR="001B7662" w:rsidRDefault="00A208A5">
      <w:pPr>
        <w:pStyle w:val="BodyText"/>
      </w:pPr>
      <w:r>
        <w:t xml:space="preserve">The underutilisation rate also suggests that the overall labour market remains resilient. We examine the volume underutilisation rate, which compares the hours that Australians (both employed and unemployed) want to work with the hours they </w:t>
      </w:r>
      <w:proofErr w:type="gramStart"/>
      <w:r>
        <w:t>actually work</w:t>
      </w:r>
      <w:proofErr w:type="gramEnd"/>
      <w:r>
        <w:t xml:space="preserve">. This is a comprehensive measure of the spare capacity in the labour market, as it reflects both unemployment (people who want to work, but </w:t>
      </w:r>
      <w:r>
        <w:lastRenderedPageBreak/>
        <w:t>currently do not) and underemployment (people who are employed but would like more hours of work). As with the unemployment rate, a lower number means less labour market slack.</w:t>
      </w:r>
    </w:p>
    <w:p w14:paraId="518D1A23" w14:textId="6EF65D64" w:rsidR="001B7662" w:rsidRDefault="00A208A5">
      <w:pPr>
        <w:pStyle w:val="BodyText"/>
      </w:pPr>
      <w:r>
        <w:t xml:space="preserve">As </w:t>
      </w:r>
      <w:proofErr w:type="gramStart"/>
      <w:r>
        <w:t>at</w:t>
      </w:r>
      <w:proofErr w:type="gramEnd"/>
      <w:r>
        <w:t xml:space="preserve"> February 2026, the volume underutilisation rate is 5.5%, well below the pre-COVID average of 7.6% and outside the typical range experienced in the decade before COVID (Figure </w:t>
      </w:r>
      <w:hyperlink w:anchor="viz-underut" w:history="1">
        <w:r>
          <w:fldChar w:fldCharType="begin"/>
        </w:r>
        <w:r>
          <w:instrText xml:space="preserve"> REF viz-underut \h</w:instrText>
        </w:r>
        <w:r>
          <w:fldChar w:fldCharType="separate"/>
        </w:r>
        <w:r w:rsidR="00082F4E">
          <w:rPr>
            <w:noProof/>
          </w:rPr>
          <w:t>4</w:t>
        </w:r>
        <w:r>
          <w:fldChar w:fldCharType="end"/>
        </w:r>
      </w:hyperlink>
      <w:r>
        <w:t>).</w:t>
      </w:r>
      <w:r>
        <w:rPr>
          <w:rStyle w:val="FootnoteReference"/>
        </w:rPr>
        <w:footnoteReference w:id="33"/>
      </w:r>
    </w:p>
    <w:p w14:paraId="518D1A24" w14:textId="6B31ECC6" w:rsidR="001B7662" w:rsidRDefault="00A208A5">
      <w:pPr>
        <w:pStyle w:val="ImageCaption"/>
      </w:pPr>
      <w:r>
        <w:t xml:space="preserve">Figure </w:t>
      </w:r>
      <w:bookmarkStart w:id="35" w:name="viz-underut"/>
      <w:r>
        <w:fldChar w:fldCharType="begin"/>
      </w:r>
      <w:r>
        <w:instrText>SEQ fig \* Arabic</w:instrText>
      </w:r>
      <w:r>
        <w:fldChar w:fldCharType="separate"/>
      </w:r>
      <w:r w:rsidR="00082F4E">
        <w:rPr>
          <w:noProof/>
        </w:rPr>
        <w:t>4</w:t>
      </w:r>
      <w:r>
        <w:fldChar w:fldCharType="end"/>
      </w:r>
      <w:bookmarkEnd w:id="35"/>
      <w:r>
        <w:t>: The labour underutilisation rate – the gap between actual and desired hours of work – remains below its pre-COVID average</w:t>
      </w:r>
    </w:p>
    <w:p w14:paraId="518D1A25" w14:textId="77777777" w:rsidR="001B7662" w:rsidRDefault="00A208A5">
      <w:pPr>
        <w:pStyle w:val="CompactNormal"/>
        <w:jc w:val="center"/>
      </w:pPr>
      <w:r>
        <w:rPr>
          <w:noProof/>
        </w:rPr>
        <w:drawing>
          <wp:inline distT="0" distB="0" distL="0" distR="0" wp14:anchorId="518D1D0D" wp14:editId="09BFCEB6">
            <wp:extent cx="5835650" cy="2917825"/>
            <wp:effectExtent l="0" t="0" r="0" b="0"/>
            <wp:docPr id="9" name="Picture 9" descr="Line graph showing volume underutilization rate from 2015 to 2026, measuring desired unworked hours as a percentage of total desired hours, 3-month average. Key details include a peak above 10% around 2020, a notable drop to 4.4% in November 2022, and rising to 5.5% in February 2026, with typical pre-COVID value of 7.6% marked for 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ine graph showing volume underutilization rate from 2015 to 2026, measuring desired unworked hours as a percentage of total desired hours, 3-month average. Key details include a peak above 10% around 2020, a notable drop to 4.4% in November 2022, and rising to 5.5% in February 2026, with typical pre-COVID value of 7.6% marked for comparison."/>
                    <pic:cNvPicPr>
                      <a:picLocks noChangeAspect="1" noChangeArrowheads="1"/>
                    </pic:cNvPicPr>
                  </pic:nvPicPr>
                  <pic:blipFill>
                    <a:blip r:embed="rId17"/>
                    <a:stretch>
                      <a:fillRect/>
                    </a:stretch>
                  </pic:blipFill>
                  <pic:spPr bwMode="auto">
                    <a:xfrm>
                      <a:off x="0" y="0"/>
                      <a:ext cx="5835650" cy="2917825"/>
                    </a:xfrm>
                    <a:prstGeom prst="rect">
                      <a:avLst/>
                    </a:prstGeom>
                    <a:noFill/>
                  </pic:spPr>
                </pic:pic>
              </a:graphicData>
            </a:graphic>
          </wp:inline>
        </w:drawing>
      </w:r>
    </w:p>
    <w:p w14:paraId="518D1A26" w14:textId="77777777" w:rsidR="001B7662" w:rsidRDefault="00A208A5">
      <w:pPr>
        <w:pStyle w:val="BodyText"/>
      </w:pPr>
      <w:r>
        <w:t>Most headline indicators – the unemployment rate, employment-to-population ratio, and volume underutilisation rate – remain stronger than their pre-COVID typical levels and reflect ongoing resilience in the Australian labour market. But one key headline measure, the hiring rate, has fallen and is below its typical levels.</w:t>
      </w:r>
    </w:p>
    <w:p w14:paraId="518D1A27" w14:textId="034B8845" w:rsidR="001B7662" w:rsidRDefault="00A208A5">
      <w:pPr>
        <w:pStyle w:val="BodyText"/>
      </w:pPr>
      <w:r>
        <w:t xml:space="preserve">The hiring rate is 4.2% as at February 2026, as shown in Figure </w:t>
      </w:r>
      <w:hyperlink w:anchor="viz-hiring" w:history="1">
        <w:r>
          <w:fldChar w:fldCharType="begin"/>
        </w:r>
        <w:r>
          <w:instrText xml:space="preserve"> REF viz-hiring \h</w:instrText>
        </w:r>
        <w:r>
          <w:fldChar w:fldCharType="separate"/>
        </w:r>
        <w:r w:rsidR="00082F4E">
          <w:rPr>
            <w:noProof/>
          </w:rPr>
          <w:t>5</w:t>
        </w:r>
        <w:r>
          <w:fldChar w:fldCharType="end"/>
        </w:r>
      </w:hyperlink>
      <w:r>
        <w:t>.</w:t>
      </w:r>
      <w:r>
        <w:rPr>
          <w:rStyle w:val="FootnoteReference"/>
        </w:rPr>
        <w:footnoteReference w:id="34"/>
      </w:r>
      <w:r>
        <w:t xml:space="preserve"> This means that only 4.2% of workers commenced with their current employer in the past 3 months, compared to a pre-COVID average of 5.1% and a November 2022 level of 5.5%. Although a low hiring rate could be consistent with AI-driven effects on jobs, this may not be the case, as:</w:t>
      </w:r>
    </w:p>
    <w:p w14:paraId="518D1A28" w14:textId="77777777" w:rsidR="001B7662" w:rsidRDefault="00A208A5" w:rsidP="00A208A5">
      <w:pPr>
        <w:numPr>
          <w:ilvl w:val="0"/>
          <w:numId w:val="9"/>
        </w:numPr>
      </w:pPr>
      <w:r>
        <w:t>Most other headline indicators remain resilient.</w:t>
      </w:r>
    </w:p>
    <w:p w14:paraId="518D1A29" w14:textId="77777777" w:rsidR="001B7662" w:rsidRDefault="00A208A5" w:rsidP="00A208A5">
      <w:pPr>
        <w:numPr>
          <w:ilvl w:val="0"/>
          <w:numId w:val="9"/>
        </w:numPr>
      </w:pPr>
      <w:r>
        <w:t>The hiring rate was also low in early 2020, prior to COVID and before the introduction of ChatGPT.</w:t>
      </w:r>
    </w:p>
    <w:p w14:paraId="518D1A2A" w14:textId="77777777" w:rsidR="001B7662" w:rsidRDefault="00A208A5" w:rsidP="00A208A5">
      <w:pPr>
        <w:numPr>
          <w:ilvl w:val="0"/>
          <w:numId w:val="9"/>
        </w:numPr>
      </w:pPr>
      <w:r>
        <w:t xml:space="preserve">The period in which the hiring rate </w:t>
      </w:r>
      <w:proofErr w:type="gramStart"/>
      <w:r>
        <w:t>fell</w:t>
      </w:r>
      <w:proofErr w:type="gramEnd"/>
      <w:r>
        <w:t xml:space="preserve"> coincided with tightening monetary policy. Higher interest rates generally reduce hiring.</w:t>
      </w:r>
    </w:p>
    <w:p w14:paraId="518D1A2B" w14:textId="77777777" w:rsidR="001B7662" w:rsidRDefault="00A208A5" w:rsidP="00A208A5">
      <w:pPr>
        <w:numPr>
          <w:ilvl w:val="0"/>
          <w:numId w:val="9"/>
        </w:numPr>
      </w:pPr>
      <w:r>
        <w:t>The hiring rate has been trending down over the longer term.</w:t>
      </w:r>
    </w:p>
    <w:p w14:paraId="518D1A2C" w14:textId="77777777" w:rsidR="001B7662" w:rsidRDefault="00A208A5" w:rsidP="00A208A5">
      <w:pPr>
        <w:numPr>
          <w:ilvl w:val="0"/>
          <w:numId w:val="9"/>
        </w:numPr>
      </w:pPr>
      <w:r>
        <w:t>We have seen the hiring rate decline in some previous periods (such as after the Global Financial Crisis).</w:t>
      </w:r>
    </w:p>
    <w:p w14:paraId="518D1A2D" w14:textId="77777777" w:rsidR="001B7662" w:rsidRDefault="00A208A5" w:rsidP="00A208A5">
      <w:pPr>
        <w:numPr>
          <w:ilvl w:val="0"/>
          <w:numId w:val="9"/>
        </w:numPr>
      </w:pPr>
      <w:r>
        <w:t>The fall in the hiring rate appears to have been driven by a decline in job-to-job transitions rather than a fall in the rate at which people move into employment. Transitions from non-employment to employment remain above pre-pandemic levels.</w:t>
      </w:r>
    </w:p>
    <w:p w14:paraId="518D1A2E" w14:textId="47F8F356" w:rsidR="001B7662" w:rsidRDefault="00A208A5">
      <w:pPr>
        <w:pStyle w:val="ImageCaption"/>
      </w:pPr>
      <w:r>
        <w:lastRenderedPageBreak/>
        <w:t xml:space="preserve">Figure </w:t>
      </w:r>
      <w:bookmarkStart w:id="36" w:name="viz-hiring"/>
      <w:r>
        <w:fldChar w:fldCharType="begin"/>
      </w:r>
      <w:r>
        <w:instrText>SEQ fig \* Arabic</w:instrText>
      </w:r>
      <w:r>
        <w:fldChar w:fldCharType="separate"/>
      </w:r>
      <w:r w:rsidR="00082F4E">
        <w:rPr>
          <w:noProof/>
        </w:rPr>
        <w:t>5</w:t>
      </w:r>
      <w:r>
        <w:fldChar w:fldCharType="end"/>
      </w:r>
      <w:bookmarkEnd w:id="36"/>
      <w:r>
        <w:t>: The hiring rate is low, but is around its early 2020 (pre-COVID) level</w:t>
      </w:r>
    </w:p>
    <w:p w14:paraId="518D1A2F" w14:textId="77777777" w:rsidR="001B7662" w:rsidRDefault="00A208A5">
      <w:pPr>
        <w:pStyle w:val="CompactNormal"/>
        <w:jc w:val="center"/>
      </w:pPr>
      <w:r>
        <w:rPr>
          <w:noProof/>
        </w:rPr>
        <w:drawing>
          <wp:inline distT="0" distB="0" distL="0" distR="0" wp14:anchorId="518D1D0F" wp14:editId="0E030EDC">
            <wp:extent cx="5835650" cy="2917825"/>
            <wp:effectExtent l="0" t="0" r="0" b="0"/>
            <wp:docPr id="11" name="Picture 11" descr="Line graph showing hiring rate trends from 2005 to 2026, measuring percentage of employed persons with current employer under 3 months. Key elements include a peak above 6% before 2010, a decline to 4.2% in February 2026, typical pre-COVID average (5.1%) marked with dashed line, and annotation for November 2022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ine graph showing hiring rate trends from 2005 to 2026, measuring percentage of employed persons with current employer under 3 months. Key elements include a peak above 6% before 2010, a decline to 4.2% in February 2026, typical pre-COVID average (5.1%) marked with dashed line, and annotation for November 2022 (5.5%)."/>
                    <pic:cNvPicPr>
                      <a:picLocks noChangeAspect="1" noChangeArrowheads="1"/>
                    </pic:cNvPicPr>
                  </pic:nvPicPr>
                  <pic:blipFill>
                    <a:blip r:embed="rId18"/>
                    <a:stretch>
                      <a:fillRect/>
                    </a:stretch>
                  </pic:blipFill>
                  <pic:spPr bwMode="auto">
                    <a:xfrm>
                      <a:off x="0" y="0"/>
                      <a:ext cx="5835650" cy="2917825"/>
                    </a:xfrm>
                    <a:prstGeom prst="rect">
                      <a:avLst/>
                    </a:prstGeom>
                    <a:noFill/>
                  </pic:spPr>
                </pic:pic>
              </a:graphicData>
            </a:graphic>
          </wp:inline>
        </w:drawing>
      </w:r>
    </w:p>
    <w:p w14:paraId="518D1A30" w14:textId="4579208D" w:rsidR="001B7662" w:rsidRDefault="00A208A5">
      <w:pPr>
        <w:pStyle w:val="BodyText"/>
      </w:pPr>
      <w:r>
        <w:t xml:space="preserve">Overall, the data suggests continued resilience in the Australian labour market, </w:t>
      </w:r>
      <w:proofErr w:type="gramStart"/>
      <w:r>
        <w:t>with the exception of</w:t>
      </w:r>
      <w:proofErr w:type="gramEnd"/>
      <w:r>
        <w:t xml:space="preserve"> the hiring rate. Figure </w:t>
      </w:r>
      <w:hyperlink w:anchor="viz-dashboard-headline" w:history="1">
        <w:r>
          <w:fldChar w:fldCharType="begin"/>
        </w:r>
        <w:r>
          <w:instrText xml:space="preserve"> REF viz-dashboard-headline \h</w:instrText>
        </w:r>
        <w:r>
          <w:fldChar w:fldCharType="separate"/>
        </w:r>
        <w:r w:rsidR="00082F4E">
          <w:rPr>
            <w:noProof/>
          </w:rPr>
          <w:t>6</w:t>
        </w:r>
        <w:r>
          <w:fldChar w:fldCharType="end"/>
        </w:r>
      </w:hyperlink>
      <w:r>
        <w:t xml:space="preserve"> provides an overview of these 4 key indicators and how they compare to typical levels experienced in the decade prior to COVID.</w:t>
      </w:r>
    </w:p>
    <w:p w14:paraId="518D1A31" w14:textId="138FB27D" w:rsidR="001B7662" w:rsidRDefault="00A208A5">
      <w:pPr>
        <w:pStyle w:val="ImageCaption"/>
      </w:pPr>
      <w:r>
        <w:t xml:space="preserve">Figure </w:t>
      </w:r>
      <w:bookmarkStart w:id="37" w:name="viz-dashboard-headline"/>
      <w:r>
        <w:fldChar w:fldCharType="begin"/>
      </w:r>
      <w:r>
        <w:instrText>SEQ fig \* Arabic</w:instrText>
      </w:r>
      <w:r>
        <w:fldChar w:fldCharType="separate"/>
      </w:r>
      <w:r w:rsidR="00082F4E">
        <w:rPr>
          <w:noProof/>
        </w:rPr>
        <w:t>6</w:t>
      </w:r>
      <w:r>
        <w:fldChar w:fldCharType="end"/>
      </w:r>
      <w:bookmarkEnd w:id="37"/>
      <w:r>
        <w:t>: Most overall labour market indicators suggest ongoing resilience</w:t>
      </w:r>
    </w:p>
    <w:p w14:paraId="518D1A32" w14:textId="77777777" w:rsidR="001B7662" w:rsidRDefault="00A208A5">
      <w:pPr>
        <w:pStyle w:val="CompactNormal"/>
        <w:jc w:val="center"/>
      </w:pPr>
      <w:r>
        <w:rPr>
          <w:noProof/>
        </w:rPr>
        <w:drawing>
          <wp:inline distT="0" distB="0" distL="0" distR="0" wp14:anchorId="518D1D11" wp14:editId="73FC7EC9">
            <wp:extent cx="5835650" cy="2743200"/>
            <wp:effectExtent l="0" t="0" r="0" b="0"/>
            <wp:docPr id="13" name="Picture 13" descr="Plot comparing four labour market indicators—employment to population ratio, volume underutilisation rate, unemployment rate, and hiring rate—with three values: November 2022 level, latest value, and pre-COVID average. Data points use teal, green, and purple colours respectively, with horizontal bars showing pre-COVID average ranges. Most overall labour market indicators suggest ongoing resil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lot comparing four labour market indicators—employment to population ratio, volume underutilisation rate, unemployment rate, and hiring rate—with three values: November 2022 level, latest value, and pre-COVID average. Data points use teal, green, and purple colours respectively, with horizontal bars showing pre-COVID average ranges. Most overall labour market indicators suggest ongoing resilience."/>
                    <pic:cNvPicPr>
                      <a:picLocks noChangeAspect="1" noChangeArrowheads="1"/>
                    </pic:cNvPicPr>
                  </pic:nvPicPr>
                  <pic:blipFill>
                    <a:blip r:embed="rId19"/>
                    <a:stretch>
                      <a:fillRect/>
                    </a:stretch>
                  </pic:blipFill>
                  <pic:spPr bwMode="auto">
                    <a:xfrm>
                      <a:off x="0" y="0"/>
                      <a:ext cx="5835650" cy="2743200"/>
                    </a:xfrm>
                    <a:prstGeom prst="rect">
                      <a:avLst/>
                    </a:prstGeom>
                    <a:noFill/>
                  </pic:spPr>
                </pic:pic>
              </a:graphicData>
            </a:graphic>
          </wp:inline>
        </w:drawing>
      </w:r>
    </w:p>
    <w:tbl>
      <w:tblPr>
        <w:tblW w:w="0" w:type="auto"/>
        <w:jc w:val="center"/>
        <w:tblLayout w:type="fixed"/>
        <w:tblLook w:val="0420" w:firstRow="1" w:lastRow="0" w:firstColumn="0" w:lastColumn="0" w:noHBand="0" w:noVBand="1"/>
      </w:tblPr>
      <w:tblGrid>
        <w:gridCol w:w="9360"/>
      </w:tblGrid>
      <w:tr w:rsidR="001B7662" w14:paraId="518D1A34" w14:textId="77777777">
        <w:trPr>
          <w:jc w:val="center"/>
        </w:trPr>
        <w:tc>
          <w:tcPr>
            <w:tcW w:w="9360" w:type="dxa"/>
            <w:tcBorders>
              <w:top w:val="single" w:sz="10" w:space="0" w:color="404246"/>
              <w:left w:val="single" w:sz="10" w:space="0" w:color="404246"/>
              <w:bottom w:val="none" w:sz="0" w:space="0" w:color="F2F2F2"/>
              <w:right w:val="single" w:sz="10" w:space="0" w:color="404246"/>
            </w:tcBorders>
            <w:shd w:val="clear" w:color="auto" w:fill="F2F2F2"/>
            <w:tcMar>
              <w:top w:w="0" w:type="dxa"/>
              <w:left w:w="0" w:type="dxa"/>
              <w:bottom w:w="0" w:type="dxa"/>
              <w:right w:w="0" w:type="dxa"/>
            </w:tcMar>
          </w:tcPr>
          <w:p w14:paraId="518D1A33" w14:textId="77777777" w:rsidR="001B7662" w:rsidRDefault="00A208A5">
            <w:pPr>
              <w:keepNext/>
              <w:pBdr>
                <w:top w:val="none" w:sz="0" w:space="0" w:color="000000"/>
                <w:left w:val="none" w:sz="0" w:space="0" w:color="000000"/>
                <w:bottom w:val="none" w:sz="0" w:space="0" w:color="000000"/>
                <w:right w:val="none" w:sz="0" w:space="0" w:color="000000"/>
              </w:pBdr>
              <w:spacing w:before="80" w:after="80" w:line="276" w:lineRule="auto"/>
              <w:ind w:left="120" w:right="120"/>
              <w:rPr>
                <w:rFonts w:ascii="Arial" w:eastAsia="Arial" w:hAnsi="Arial"/>
                <w:color w:val="000000"/>
              </w:rPr>
            </w:pPr>
            <w:r>
              <w:rPr>
                <w:rFonts w:eastAsia="Aptos Display" w:cs="Aptos Display"/>
                <w:b/>
                <w:color w:val="404246"/>
                <w:sz w:val="28"/>
                <w:szCs w:val="28"/>
              </w:rPr>
              <w:lastRenderedPageBreak/>
              <w:t>About these charts</w:t>
            </w:r>
          </w:p>
        </w:tc>
      </w:tr>
      <w:tr w:rsidR="001B7662" w14:paraId="518D1A36" w14:textId="77777777">
        <w:trPr>
          <w:jc w:val="center"/>
        </w:trPr>
        <w:tc>
          <w:tcPr>
            <w:tcW w:w="9360" w:type="dxa"/>
            <w:tcBorders>
              <w:top w:val="none" w:sz="0" w:space="0" w:color="F2F2F2"/>
              <w:left w:val="single" w:sz="10" w:space="0" w:color="404246"/>
              <w:bottom w:val="none" w:sz="0" w:space="0" w:color="F2F2F2"/>
              <w:right w:val="single" w:sz="10" w:space="0" w:color="404246"/>
            </w:tcBorders>
            <w:shd w:val="clear" w:color="auto" w:fill="F2F2F2"/>
            <w:tcMar>
              <w:top w:w="0" w:type="dxa"/>
              <w:left w:w="0" w:type="dxa"/>
              <w:bottom w:w="0" w:type="dxa"/>
              <w:right w:w="0" w:type="dxa"/>
            </w:tcMar>
          </w:tcPr>
          <w:p w14:paraId="518D1A35" w14:textId="580F1DDA"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120" w:right="120"/>
              <w:rPr>
                <w:rFonts w:ascii="Arial" w:eastAsia="Arial" w:hAnsi="Arial"/>
                <w:color w:val="000000"/>
              </w:rPr>
            </w:pPr>
            <w:r>
              <w:rPr>
                <w:rFonts w:eastAsia="Aptos Display" w:cs="Aptos Display"/>
                <w:color w:val="000000"/>
              </w:rPr>
              <w:t xml:space="preserve">Figure </w:t>
            </w:r>
            <w:r>
              <w:rPr>
                <w:rFonts w:eastAsia="Aptos Display" w:cs="Aptos Display"/>
                <w:color w:val="000000"/>
              </w:rPr>
              <w:fldChar w:fldCharType="begin"/>
            </w:r>
            <w:r>
              <w:rPr>
                <w:rFonts w:eastAsia="Aptos Display" w:cs="Aptos Display"/>
                <w:color w:val="000000"/>
              </w:rPr>
              <w:instrText xml:space="preserve"> REF viz-dashboard-headline \h </w:instrText>
            </w:r>
            <w:r>
              <w:rPr>
                <w:rFonts w:eastAsia="Aptos Display" w:cs="Aptos Display"/>
                <w:color w:val="000000"/>
              </w:rPr>
            </w:r>
            <w:r>
              <w:rPr>
                <w:rFonts w:eastAsia="Aptos Display" w:cs="Aptos Display"/>
                <w:color w:val="000000"/>
              </w:rPr>
              <w:fldChar w:fldCharType="separate"/>
            </w:r>
            <w:r w:rsidR="00082F4E">
              <w:rPr>
                <w:noProof/>
              </w:rPr>
              <w:t>6</w:t>
            </w:r>
            <w:r>
              <w:rPr>
                <w:rFonts w:eastAsia="Aptos Display" w:cs="Aptos Display"/>
                <w:color w:val="000000"/>
              </w:rPr>
              <w:fldChar w:fldCharType="end"/>
            </w:r>
            <w:r>
              <w:rPr>
                <w:rFonts w:eastAsia="Aptos Display" w:cs="Aptos Display"/>
                <w:color w:val="000000"/>
              </w:rPr>
              <w:t xml:space="preserve"> is a 'dashboard chart' that summarises a range of indicators, comparing their </w:t>
            </w:r>
            <w:r>
              <w:rPr>
                <w:rFonts w:eastAsia="Aptos Display" w:cs="Aptos Display"/>
                <w:b/>
                <w:color w:val="5D7A38"/>
              </w:rPr>
              <w:t>latest values</w:t>
            </w:r>
            <w:r>
              <w:rPr>
                <w:rFonts w:eastAsia="Aptos Display" w:cs="Aptos Display"/>
                <w:color w:val="000000"/>
              </w:rPr>
              <w:t xml:space="preserve"> to their </w:t>
            </w:r>
            <w:r>
              <w:rPr>
                <w:rFonts w:eastAsia="Aptos Display" w:cs="Aptos Display"/>
                <w:b/>
                <w:color w:val="009B9F"/>
              </w:rPr>
              <w:t>November 2022 (pre-ChatGPT)</w:t>
            </w:r>
            <w:r>
              <w:rPr>
                <w:rFonts w:eastAsia="Aptos Display" w:cs="Aptos Display"/>
                <w:color w:val="000000"/>
              </w:rPr>
              <w:t xml:space="preserve"> level as well as their </w:t>
            </w:r>
            <w:r>
              <w:rPr>
                <w:rFonts w:eastAsia="Aptos Display" w:cs="Aptos Display"/>
                <w:b/>
                <w:color w:val="62165C"/>
              </w:rPr>
              <w:t>typical level in the decade before the COVID pandemic</w:t>
            </w:r>
            <w:r>
              <w:rPr>
                <w:rFonts w:eastAsia="Aptos Display" w:cs="Aptos Display"/>
                <w:color w:val="000000"/>
              </w:rPr>
              <w:t>. The vertical lines represent the most extreme values observed in the study period.</w:t>
            </w:r>
          </w:p>
        </w:tc>
      </w:tr>
      <w:tr w:rsidR="001B7662" w14:paraId="518D1A38" w14:textId="77777777">
        <w:trPr>
          <w:jc w:val="center"/>
        </w:trPr>
        <w:tc>
          <w:tcPr>
            <w:tcW w:w="9360" w:type="dxa"/>
            <w:tcBorders>
              <w:top w:val="none" w:sz="0" w:space="0" w:color="F2F2F2"/>
              <w:left w:val="single" w:sz="10" w:space="0" w:color="404246"/>
              <w:bottom w:val="none" w:sz="0" w:space="0" w:color="F2F2F2"/>
              <w:right w:val="single" w:sz="10" w:space="0" w:color="404246"/>
            </w:tcBorders>
            <w:shd w:val="clear" w:color="auto" w:fill="F2F2F2"/>
            <w:tcMar>
              <w:top w:w="0" w:type="dxa"/>
              <w:left w:w="0" w:type="dxa"/>
              <w:bottom w:w="0" w:type="dxa"/>
              <w:right w:w="0" w:type="dxa"/>
            </w:tcMar>
          </w:tcPr>
          <w:p w14:paraId="518D1A37" w14:textId="4B7152F1"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120" w:right="120"/>
              <w:rPr>
                <w:rFonts w:ascii="Arial" w:eastAsia="Arial" w:hAnsi="Arial"/>
                <w:color w:val="000000"/>
              </w:rPr>
            </w:pPr>
            <w:r>
              <w:rPr>
                <w:rFonts w:eastAsia="Aptos Display" w:cs="Aptos Display"/>
                <w:color w:val="000000"/>
              </w:rPr>
              <w:t xml:space="preserve">Series are aligned so that values towards the left of the chart are less consistent with AI-driven disruption. Values to the right of the chart are more consistent with disruption but are not necessarily 'worse'. In some cases, like the unemployment rate, a lower rate is 'better' and is also less consistent with AI-driven disruption. For some series, such as the rate of compositional change in the labour market (see Figure </w:t>
            </w:r>
            <w:r>
              <w:rPr>
                <w:rFonts w:eastAsia="Aptos Display" w:cs="Aptos Display"/>
                <w:color w:val="000000"/>
              </w:rPr>
              <w:fldChar w:fldCharType="begin"/>
            </w:r>
            <w:r>
              <w:rPr>
                <w:rFonts w:eastAsia="Aptos Display" w:cs="Aptos Display"/>
                <w:color w:val="000000"/>
              </w:rPr>
              <w:instrText xml:space="preserve"> REF viz-dashboard-churn \h </w:instrText>
            </w:r>
            <w:r>
              <w:rPr>
                <w:rFonts w:eastAsia="Aptos Display" w:cs="Aptos Display"/>
                <w:color w:val="000000"/>
              </w:rPr>
            </w:r>
            <w:r>
              <w:rPr>
                <w:rFonts w:eastAsia="Aptos Display" w:cs="Aptos Display"/>
                <w:color w:val="000000"/>
              </w:rPr>
              <w:fldChar w:fldCharType="separate"/>
            </w:r>
            <w:r w:rsidR="00082F4E">
              <w:rPr>
                <w:noProof/>
              </w:rPr>
              <w:t>15</w:t>
            </w:r>
            <w:r>
              <w:rPr>
                <w:rFonts w:eastAsia="Aptos Display" w:cs="Aptos Display"/>
                <w:color w:val="000000"/>
              </w:rPr>
              <w:fldChar w:fldCharType="end"/>
            </w:r>
            <w:r>
              <w:rPr>
                <w:rFonts w:eastAsia="Aptos Display" w:cs="Aptos Display"/>
                <w:color w:val="000000"/>
              </w:rPr>
              <w:t>) this is more complicated or ambiguous. Faster compositional change can be 'good' in that it is a sign of a dynamic, well-functioning labour market, but it also could be a sign of AI-related change to the jobs market.</w:t>
            </w:r>
          </w:p>
        </w:tc>
      </w:tr>
      <w:tr w:rsidR="001B7662" w14:paraId="518D1A3A" w14:textId="77777777">
        <w:trPr>
          <w:jc w:val="center"/>
        </w:trPr>
        <w:tc>
          <w:tcPr>
            <w:tcW w:w="9360" w:type="dxa"/>
            <w:tcBorders>
              <w:top w:val="none" w:sz="0" w:space="0" w:color="F2F2F2"/>
              <w:left w:val="single" w:sz="10" w:space="0" w:color="404246"/>
              <w:bottom w:val="single" w:sz="10" w:space="0" w:color="404246"/>
              <w:right w:val="single" w:sz="10" w:space="0" w:color="404246"/>
            </w:tcBorders>
            <w:shd w:val="clear" w:color="auto" w:fill="F2F2F2"/>
            <w:tcMar>
              <w:top w:w="0" w:type="dxa"/>
              <w:left w:w="0" w:type="dxa"/>
              <w:bottom w:w="0" w:type="dxa"/>
              <w:right w:w="0" w:type="dxa"/>
            </w:tcMar>
          </w:tcPr>
          <w:p w14:paraId="518D1A39"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120" w:right="120"/>
              <w:rPr>
                <w:rFonts w:ascii="Arial" w:eastAsia="Arial" w:hAnsi="Arial"/>
                <w:color w:val="000000"/>
              </w:rPr>
            </w:pPr>
            <w:r>
              <w:rPr>
                <w:rFonts w:eastAsia="Aptos Display" w:cs="Aptos Display"/>
                <w:color w:val="000000"/>
              </w:rPr>
              <w:t>These charts compare time series to their past values. This historical comparison can help inform judgements about whether we are seeing anything 'out of the ordinary' in the jobs market but is not conclusive. Some time series were trending up or down prior to the introduction of ChatGPT in a way that could make the pre-COVID average and typical range an imperfect guide to what would reasonably be expected if generative AI tools had not been introduced. It is also important to remember there are many factors that influence labour demand, both overall and for specific jobs.</w:t>
            </w:r>
          </w:p>
        </w:tc>
      </w:tr>
    </w:tbl>
    <w:p w14:paraId="518D1A3B" w14:textId="77777777" w:rsidR="001B7662" w:rsidRDefault="001B7662">
      <w:pPr>
        <w:pStyle w:val="BodyText"/>
      </w:pPr>
    </w:p>
    <w:p w14:paraId="518D1A3C" w14:textId="77777777" w:rsidR="001B7662" w:rsidRDefault="00A208A5">
      <w:pPr>
        <w:pStyle w:val="Heading2"/>
      </w:pPr>
      <w:bookmarkStart w:id="38" w:name="_Toc232612078"/>
      <w:bookmarkStart w:id="39" w:name="sec-youth"/>
      <w:bookmarkEnd w:id="32"/>
      <w:r>
        <w:t>Employment outcomes for young workers and graduates remain resilient</w:t>
      </w:r>
      <w:bookmarkEnd w:id="38"/>
    </w:p>
    <w:p w14:paraId="518D1A3D" w14:textId="77777777" w:rsidR="001B7662" w:rsidRDefault="00A208A5">
      <w:r>
        <w:t>Young people are particularly susceptible to negative effects from AI automation. This is for at least 2 reasons:</w:t>
      </w:r>
    </w:p>
    <w:p w14:paraId="518D1A3E" w14:textId="77777777" w:rsidR="001B7662" w:rsidRDefault="00A208A5" w:rsidP="00A208A5">
      <w:pPr>
        <w:numPr>
          <w:ilvl w:val="0"/>
          <w:numId w:val="10"/>
        </w:numPr>
      </w:pPr>
      <w:r>
        <w:t>When economic conditions change, employers tend to adjust their rate of hiring more than the rate at which they retrench existing staff. Young people are more likely to be affected by a reduction in hiring rates, as they are more likely than older people to be moving into work for the first time.</w:t>
      </w:r>
      <w:r>
        <w:rPr>
          <w:rStyle w:val="FootnoteReference"/>
        </w:rPr>
        <w:footnoteReference w:id="35"/>
      </w:r>
    </w:p>
    <w:p w14:paraId="518D1A3F" w14:textId="77777777" w:rsidR="001B7662" w:rsidRDefault="00A208A5" w:rsidP="00A208A5">
      <w:pPr>
        <w:numPr>
          <w:ilvl w:val="0"/>
          <w:numId w:val="10"/>
        </w:numPr>
      </w:pPr>
      <w:r>
        <w:t>Large language models (LLMs) are trained on a corpus of text that includes textbooks and academic articles but does not include the ‘tacit knowledge’ that workers acquire through on-the-job experience. This can mean that LLMs are more able to substitute for young people, particularly young graduates, than workers with more experience.</w:t>
      </w:r>
      <w:r>
        <w:rPr>
          <w:rStyle w:val="FootnoteReference"/>
        </w:rPr>
        <w:footnoteReference w:id="36"/>
      </w:r>
    </w:p>
    <w:p w14:paraId="518D1A40" w14:textId="77777777" w:rsidR="001B7662" w:rsidRDefault="00A208A5">
      <w:r>
        <w:t>For these reasons, young people are sometimes described as the ‘canaries in the coal mine’ for AI-related automation.</w:t>
      </w:r>
      <w:r>
        <w:rPr>
          <w:rStyle w:val="FootnoteReference"/>
        </w:rPr>
        <w:footnoteReference w:id="37"/>
      </w:r>
      <w:r>
        <w:t xml:space="preserve"> Early evidence from the US suggests that young people have experienced slower employment growth than older people since the introduction of generative AI tools – especially in occupations more exposed to AI, though this is contested by some scholars.</w:t>
      </w:r>
      <w:r>
        <w:rPr>
          <w:rStyle w:val="FootnoteReference"/>
        </w:rPr>
        <w:footnoteReference w:id="38"/>
      </w:r>
      <w:r>
        <w:t xml:space="preserve"> This section examines the youth labour market, and particularly labour market outcomes for young tertiary graduates, given the expectation that any effects of AI on employment are likely to show up first for this group.</w:t>
      </w:r>
    </w:p>
    <w:p w14:paraId="518D1A41" w14:textId="77777777" w:rsidR="001B7662" w:rsidRDefault="00A208A5">
      <w:pPr>
        <w:pStyle w:val="BodyText"/>
      </w:pPr>
      <w:r>
        <w:lastRenderedPageBreak/>
        <w:t>Brynjolfsson et al. (2025, 10) show that in the US, there has been ‘some levelling off in employment growth for young workers relative to other age groups, consistent with recent discussion of a worsening job market for entry-level workers.’ We do not see this in the Australian data. Headline indicators of the youth labour market remain reasonably solid in historical terms.</w:t>
      </w:r>
      <w:r>
        <w:rPr>
          <w:rStyle w:val="FootnoteReference"/>
        </w:rPr>
        <w:footnoteReference w:id="39"/>
      </w:r>
    </w:p>
    <w:p w14:paraId="518D1A42" w14:textId="3FF680BA" w:rsidR="001B7662" w:rsidRDefault="00A208A5">
      <w:pPr>
        <w:pStyle w:val="BodyText"/>
      </w:pPr>
      <w:r>
        <w:t xml:space="preserve">Figure </w:t>
      </w:r>
      <w:hyperlink w:anchor="viz-emp-age" w:history="1">
        <w:r>
          <w:fldChar w:fldCharType="begin"/>
        </w:r>
        <w:r>
          <w:instrText xml:space="preserve"> REF viz-emp-age \h</w:instrText>
        </w:r>
        <w:r>
          <w:fldChar w:fldCharType="separate"/>
        </w:r>
        <w:r w:rsidR="00082F4E">
          <w:rPr>
            <w:noProof/>
          </w:rPr>
          <w:t>7</w:t>
        </w:r>
        <w:r>
          <w:fldChar w:fldCharType="end"/>
        </w:r>
      </w:hyperlink>
      <w:r>
        <w:t xml:space="preserve"> shows that, on the contrary, the number of employed people aged 20-24 in Australia has increased slightly </w:t>
      </w:r>
      <w:r>
        <w:rPr>
          <w:i/>
          <w:iCs/>
        </w:rPr>
        <w:t>faster</w:t>
      </w:r>
      <w:r>
        <w:t xml:space="preserve"> than employment of people aged 25 and above.</w:t>
      </w:r>
      <w:r>
        <w:rPr>
          <w:rStyle w:val="FootnoteReference"/>
        </w:rPr>
        <w:footnoteReference w:id="40"/>
      </w:r>
    </w:p>
    <w:p w14:paraId="518D1A43" w14:textId="45D764AE" w:rsidR="001B7662" w:rsidRDefault="00A208A5">
      <w:pPr>
        <w:pStyle w:val="ImageCaption"/>
      </w:pPr>
      <w:r>
        <w:t xml:space="preserve">Figure </w:t>
      </w:r>
      <w:bookmarkStart w:id="40" w:name="viz-emp-age"/>
      <w:r>
        <w:fldChar w:fldCharType="begin"/>
      </w:r>
      <w:r>
        <w:instrText>SEQ fig \* Arabic</w:instrText>
      </w:r>
      <w:r>
        <w:fldChar w:fldCharType="separate"/>
      </w:r>
      <w:r w:rsidR="00082F4E">
        <w:rPr>
          <w:noProof/>
        </w:rPr>
        <w:t>7</w:t>
      </w:r>
      <w:r>
        <w:fldChar w:fldCharType="end"/>
      </w:r>
      <w:bookmarkEnd w:id="40"/>
      <w:r>
        <w:t>: Since ChatGPT was introduced, employment for young adults has grown slightly faster than for people aged 25+, unlike in the US</w:t>
      </w:r>
    </w:p>
    <w:p w14:paraId="518D1A44" w14:textId="77777777" w:rsidR="001B7662" w:rsidRDefault="00A208A5">
      <w:pPr>
        <w:pStyle w:val="CompactNormal"/>
        <w:jc w:val="center"/>
      </w:pPr>
      <w:r>
        <w:rPr>
          <w:noProof/>
        </w:rPr>
        <w:drawing>
          <wp:inline distT="0" distB="0" distL="0" distR="0" wp14:anchorId="518D1D13" wp14:editId="596A827E">
            <wp:extent cx="5835650" cy="2917825"/>
            <wp:effectExtent l="0" t="0" r="0" b="0"/>
            <wp:docPr id="15" name="Picture 15" descr="Line graph showing employment trends by age group from February 2020 to February 2026, indexed to November 2022 (100). Two lines represent ages 20-24 (green) and 25+ (black), with both groups recovering from a dip in 2020 and steadily increasing with employment for young adults growing slightly faster than for people aged 25+. A vertical marker indicates when ChatGPT was introduced in Nov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ine graph showing employment trends by age group from February 2020 to February 2026, indexed to November 2022 (100). Two lines represent ages 20-24 (green) and 25+ (black), with both groups recovering from a dip in 2020 and steadily increasing with employment for young adults growing slightly faster than for people aged 25+. A vertical marker indicates when ChatGPT was introduced in November 2022."/>
                    <pic:cNvPicPr>
                      <a:picLocks noChangeAspect="1" noChangeArrowheads="1"/>
                    </pic:cNvPicPr>
                  </pic:nvPicPr>
                  <pic:blipFill>
                    <a:blip r:embed="rId20"/>
                    <a:stretch>
                      <a:fillRect/>
                    </a:stretch>
                  </pic:blipFill>
                  <pic:spPr bwMode="auto">
                    <a:xfrm>
                      <a:off x="0" y="0"/>
                      <a:ext cx="5835650" cy="2917825"/>
                    </a:xfrm>
                    <a:prstGeom prst="rect">
                      <a:avLst/>
                    </a:prstGeom>
                    <a:noFill/>
                  </pic:spPr>
                </pic:pic>
              </a:graphicData>
            </a:graphic>
          </wp:inline>
        </w:drawing>
      </w:r>
    </w:p>
    <w:p w14:paraId="518D1A45" w14:textId="2864B78A" w:rsidR="001B7662" w:rsidRDefault="00A208A5">
      <w:pPr>
        <w:pStyle w:val="BodyText"/>
      </w:pPr>
      <w:r>
        <w:t xml:space="preserve">The youth unemployment rate is higher than the overall unemployment rate, as it has been for every month on record. But the </w:t>
      </w:r>
      <w:r>
        <w:rPr>
          <w:i/>
          <w:iCs/>
        </w:rPr>
        <w:t>gap</w:t>
      </w:r>
      <w:r>
        <w:t xml:space="preserve"> between the youth unemployment and overall unemployment rates is relatively low - below its typical pre-COVID range, as shown in Figure </w:t>
      </w:r>
      <w:hyperlink w:anchor="viz-youth-gap" w:history="1">
        <w:r>
          <w:fldChar w:fldCharType="begin"/>
        </w:r>
        <w:r>
          <w:instrText xml:space="preserve"> REF viz-youth-gap \h</w:instrText>
        </w:r>
        <w:r>
          <w:fldChar w:fldCharType="separate"/>
        </w:r>
        <w:r w:rsidR="00082F4E">
          <w:rPr>
            <w:noProof/>
          </w:rPr>
          <w:t>8</w:t>
        </w:r>
        <w:r>
          <w:fldChar w:fldCharType="end"/>
        </w:r>
      </w:hyperlink>
      <w:r>
        <w:t>.</w:t>
      </w:r>
    </w:p>
    <w:p w14:paraId="518D1A46" w14:textId="77777777" w:rsidR="001B7662" w:rsidRDefault="00A208A5">
      <w:pPr>
        <w:pStyle w:val="BodyText"/>
      </w:pPr>
      <w:r>
        <w:t>As at February 2026, the overall unemployment rate is 4.2% and the youth (age 15-24) rate is 9.7%. The gap between the two is 5.5 percentage points,</w:t>
      </w:r>
      <w:r>
        <w:rPr>
          <w:rStyle w:val="FootnoteReference"/>
        </w:rPr>
        <w:footnoteReference w:id="41"/>
      </w:r>
      <w:r>
        <w:t xml:space="preserve"> below the pre-COVID average of 6.7 percentage points. Although youth unemployment has risen from its very low 2022 levels – both in absolute terms and relative to overall unemployment – it remains low in historical terms.</w:t>
      </w:r>
    </w:p>
    <w:p w14:paraId="518D1A47" w14:textId="31CE135E" w:rsidR="001B7662" w:rsidRDefault="00A208A5">
      <w:pPr>
        <w:pStyle w:val="ImageCaption"/>
      </w:pPr>
      <w:r>
        <w:lastRenderedPageBreak/>
        <w:t xml:space="preserve">Figure </w:t>
      </w:r>
      <w:bookmarkStart w:id="41" w:name="viz-youth-gap"/>
      <w:r>
        <w:fldChar w:fldCharType="begin"/>
      </w:r>
      <w:r>
        <w:instrText>SEQ fig \* Arabic</w:instrText>
      </w:r>
      <w:r>
        <w:fldChar w:fldCharType="separate"/>
      </w:r>
      <w:r w:rsidR="00082F4E">
        <w:rPr>
          <w:noProof/>
        </w:rPr>
        <w:t>8</w:t>
      </w:r>
      <w:r>
        <w:fldChar w:fldCharType="end"/>
      </w:r>
      <w:bookmarkEnd w:id="41"/>
      <w:r>
        <w:t>: The gap between the youth and overall unemployment rates is lower than pre-COVID</w:t>
      </w:r>
    </w:p>
    <w:p w14:paraId="518D1A48" w14:textId="77777777" w:rsidR="001B7662" w:rsidRDefault="00A208A5">
      <w:pPr>
        <w:pStyle w:val="CompactNormal"/>
        <w:jc w:val="center"/>
      </w:pPr>
      <w:r>
        <w:rPr>
          <w:noProof/>
        </w:rPr>
        <w:drawing>
          <wp:inline distT="0" distB="0" distL="0" distR="0" wp14:anchorId="518D1D15" wp14:editId="34B6BE3B">
            <wp:extent cx="5835650" cy="2917825"/>
            <wp:effectExtent l="0" t="0" r="0" b="0"/>
            <wp:docPr id="17" name="Picture 17" descr="Line graph showing difference between youth and overall unemployment rates from 2001 to 2026, with a notable peak around 2020 and sharp decline in late 2022. Key elements include average difference 2010-2020 (6.7 percentage points), 4.2 percentage points in November 2022 and 5.5 percentage points in Februar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ine graph showing difference between youth and overall unemployment rates from 2001 to 2026, with a notable peak around 2020 and sharp decline in late 2022. Key elements include average difference 2010-2020 (6.7 percentage points), 4.2 percentage points in November 2022 and 5.5 percentage points in February 2026."/>
                    <pic:cNvPicPr>
                      <a:picLocks noChangeAspect="1" noChangeArrowheads="1"/>
                    </pic:cNvPicPr>
                  </pic:nvPicPr>
                  <pic:blipFill>
                    <a:blip r:embed="rId21"/>
                    <a:stretch>
                      <a:fillRect/>
                    </a:stretch>
                  </pic:blipFill>
                  <pic:spPr bwMode="auto">
                    <a:xfrm>
                      <a:off x="0" y="0"/>
                      <a:ext cx="5835650" cy="2917825"/>
                    </a:xfrm>
                    <a:prstGeom prst="rect">
                      <a:avLst/>
                    </a:prstGeom>
                    <a:noFill/>
                  </pic:spPr>
                </pic:pic>
              </a:graphicData>
            </a:graphic>
          </wp:inline>
        </w:drawing>
      </w:r>
    </w:p>
    <w:p w14:paraId="518D1A49" w14:textId="42EF0148" w:rsidR="001B7662" w:rsidRDefault="00A208A5">
      <w:pPr>
        <w:pStyle w:val="BodyText"/>
      </w:pPr>
      <w:r>
        <w:t>Unemployment rates for young tertiary graduates, specifically, also remain relatively low. The unemployment rate for young (age 20–24) graduates is 5.4%, lower than at any time in the 5 years prior to COVID.</w:t>
      </w:r>
      <w:r>
        <w:rPr>
          <w:rStyle w:val="FootnoteReference"/>
        </w:rPr>
        <w:footnoteReference w:id="42"/>
      </w:r>
      <w:r>
        <w:t xml:space="preserve"> Figure </w:t>
      </w:r>
      <w:hyperlink w:anchor="viz-ur-age-grad" w:history="1">
        <w:r>
          <w:fldChar w:fldCharType="begin"/>
        </w:r>
        <w:r>
          <w:instrText xml:space="preserve"> REF viz-ur-age-grad \h</w:instrText>
        </w:r>
        <w:r>
          <w:fldChar w:fldCharType="separate"/>
        </w:r>
        <w:r w:rsidR="00082F4E">
          <w:rPr>
            <w:noProof/>
          </w:rPr>
          <w:t>9</w:t>
        </w:r>
        <w:r>
          <w:fldChar w:fldCharType="end"/>
        </w:r>
      </w:hyperlink>
      <w:r>
        <w:t xml:space="preserve"> compares the unemployment rates for young graduates with young people without a tertiary qualification, as well as the rate for older graduates.</w:t>
      </w:r>
    </w:p>
    <w:p w14:paraId="518D1A4A" w14:textId="37F14512" w:rsidR="001B7662" w:rsidRDefault="00A208A5">
      <w:pPr>
        <w:pStyle w:val="ImageCaption"/>
      </w:pPr>
      <w:r>
        <w:t xml:space="preserve">Figure </w:t>
      </w:r>
      <w:bookmarkStart w:id="42" w:name="viz-ur-age-grad"/>
      <w:r>
        <w:fldChar w:fldCharType="begin"/>
      </w:r>
      <w:r>
        <w:instrText>SEQ fig \* Arabic</w:instrText>
      </w:r>
      <w:r>
        <w:fldChar w:fldCharType="separate"/>
      </w:r>
      <w:r w:rsidR="00082F4E">
        <w:rPr>
          <w:noProof/>
        </w:rPr>
        <w:t>9</w:t>
      </w:r>
      <w:r>
        <w:fldChar w:fldCharType="end"/>
      </w:r>
      <w:bookmarkEnd w:id="42"/>
      <w:r>
        <w:t>: The unemployment rate for young graduates remains low</w:t>
      </w:r>
    </w:p>
    <w:p w14:paraId="518D1A4B" w14:textId="77777777" w:rsidR="001B7662" w:rsidRDefault="00A208A5">
      <w:pPr>
        <w:pStyle w:val="CompactNormal"/>
        <w:jc w:val="center"/>
      </w:pPr>
      <w:r>
        <w:rPr>
          <w:noProof/>
        </w:rPr>
        <w:drawing>
          <wp:inline distT="0" distB="0" distL="0" distR="0" wp14:anchorId="518D1D17" wp14:editId="40ADA53F">
            <wp:extent cx="5835650" cy="2917825"/>
            <wp:effectExtent l="0" t="0" r="0" b="0"/>
            <wp:docPr id="19" name="Picture 19" descr="Line graph showing unemployment rates by age and education level from February 2016 to February 2026, with a vertical marker indicating ChatGPT introduction in November 2022. Three lines represent age 20-24 non-tertiary graduates (purple, highest rates peaking near 12.5%), age 20-24 tertiary graduates (green, moderate rates peaking near 10%), and age 25+ tertiary graduates (blue, lowest rates around 2.5-3.5%), highlighting a general decline in unemployment after 2020 followed by a slight rise post-2024. The unemployment rate for young graduates remains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ine graph showing unemployment rates by age and education level from February 2016 to February 2026, with a vertical marker indicating ChatGPT introduction in November 2022. Three lines represent age 20-24 non-tertiary graduates (purple, highest rates peaking near 12.5%), age 20-24 tertiary graduates (green, moderate rates peaking near 10%), and age 25+ tertiary graduates (blue, lowest rates around 2.5-3.5%), highlighting a general decline in unemployment after 2020 followed by a slight rise post-2024. The unemployment rate for young graduates remains low."/>
                    <pic:cNvPicPr>
                      <a:picLocks noChangeAspect="1" noChangeArrowheads="1"/>
                    </pic:cNvPicPr>
                  </pic:nvPicPr>
                  <pic:blipFill>
                    <a:blip r:embed="rId22"/>
                    <a:stretch>
                      <a:fillRect/>
                    </a:stretch>
                  </pic:blipFill>
                  <pic:spPr bwMode="auto">
                    <a:xfrm>
                      <a:off x="0" y="0"/>
                      <a:ext cx="5835650" cy="2917825"/>
                    </a:xfrm>
                    <a:prstGeom prst="rect">
                      <a:avLst/>
                    </a:prstGeom>
                    <a:noFill/>
                  </pic:spPr>
                </pic:pic>
              </a:graphicData>
            </a:graphic>
          </wp:inline>
        </w:drawing>
      </w:r>
    </w:p>
    <w:p w14:paraId="518D1A4C" w14:textId="5F379CB7" w:rsidR="001B7662" w:rsidRDefault="00A208A5">
      <w:pPr>
        <w:pStyle w:val="BodyText"/>
      </w:pPr>
      <w:r>
        <w:t xml:space="preserve">The unemployment rate of young graduates remains low in historical terms. It is also performing relatively well compared to the rate for older (age 25 and older) tertiary graduates. The gap between the unemployment rates for young and older graduates is 2.7 percentage points. While this is above its immediate pre-ChatGPT level, it is around the bottom of the typical pre-COVID range, as shown in Figure </w:t>
      </w:r>
      <w:hyperlink w:anchor="viz-urgap-younggrads-vsoldergrads" w:history="1">
        <w:r>
          <w:fldChar w:fldCharType="begin"/>
        </w:r>
        <w:r>
          <w:instrText xml:space="preserve"> REF viz-urgap-younggrads-vsoldergrads \h</w:instrText>
        </w:r>
        <w:r>
          <w:fldChar w:fldCharType="separate"/>
        </w:r>
        <w:r w:rsidR="00082F4E">
          <w:rPr>
            <w:noProof/>
          </w:rPr>
          <w:t>10</w:t>
        </w:r>
        <w:r>
          <w:fldChar w:fldCharType="end"/>
        </w:r>
      </w:hyperlink>
      <w:r>
        <w:t>. This suggests there has not been a specific deterioration in labour market conditions for young graduates.</w:t>
      </w:r>
    </w:p>
    <w:p w14:paraId="518D1A4D" w14:textId="5881FBAD" w:rsidR="001B7662" w:rsidRDefault="00A208A5">
      <w:pPr>
        <w:pStyle w:val="ImageCaption"/>
      </w:pPr>
      <w:r>
        <w:lastRenderedPageBreak/>
        <w:t xml:space="preserve">Figure </w:t>
      </w:r>
      <w:bookmarkStart w:id="43" w:name="viz-urgap-younggrads-vsoldergrads"/>
      <w:r>
        <w:fldChar w:fldCharType="begin"/>
      </w:r>
      <w:r>
        <w:instrText>SEQ fig \* Arabic</w:instrText>
      </w:r>
      <w:r>
        <w:fldChar w:fldCharType="separate"/>
      </w:r>
      <w:r w:rsidR="00082F4E">
        <w:rPr>
          <w:noProof/>
        </w:rPr>
        <w:t>10</w:t>
      </w:r>
      <w:r>
        <w:fldChar w:fldCharType="end"/>
      </w:r>
      <w:bookmarkEnd w:id="43"/>
      <w:r>
        <w:t>: The gap between young graduates’ and older graduates’ unemployment rates remains very low, suggesting continued strength in the market for young graduates</w:t>
      </w:r>
    </w:p>
    <w:p w14:paraId="518D1A4E" w14:textId="77777777" w:rsidR="001B7662" w:rsidRDefault="00A208A5">
      <w:pPr>
        <w:pStyle w:val="CompactNormal"/>
        <w:jc w:val="center"/>
      </w:pPr>
      <w:r>
        <w:rPr>
          <w:noProof/>
        </w:rPr>
        <w:drawing>
          <wp:inline distT="0" distB="0" distL="0" distR="0" wp14:anchorId="518D1D19" wp14:editId="1A7AEB0E">
            <wp:extent cx="5835650" cy="2917825"/>
            <wp:effectExtent l="0" t="0" r="0" b="0"/>
            <wp:docPr id="21" name="Picture 21" descr="Line chart showing the difference between young (aged 20-24) tertiary graduates and older (25+) graduates' unemployment rates (percentage points) between 2016 and 2026. The gap between young graduates' and older graduates' unemployment rates remains very low, suggesting continued strength in the market for young graduates. The pre-COVID average value is 3.5 percentage points, the November 22 value is 1.8 percentage points and the February 2026 value is 2.7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ine chart showing the difference between young (aged 20-24) tertiary graduates and older (25+) graduates' unemployment rates (percentage points) between 2016 and 2026. The gap between young graduates' and older graduates' unemployment rates remains very low, suggesting continued strength in the market for young graduates. The pre-COVID average value is 3.5 percentage points, the November 22 value is 1.8 percentage points and the February 2026 value is 2.7 percentage points."/>
                    <pic:cNvPicPr>
                      <a:picLocks noChangeAspect="1" noChangeArrowheads="1"/>
                    </pic:cNvPicPr>
                  </pic:nvPicPr>
                  <pic:blipFill>
                    <a:blip r:embed="rId23"/>
                    <a:stretch>
                      <a:fillRect/>
                    </a:stretch>
                  </pic:blipFill>
                  <pic:spPr bwMode="auto">
                    <a:xfrm>
                      <a:off x="0" y="0"/>
                      <a:ext cx="5835650" cy="2917825"/>
                    </a:xfrm>
                    <a:prstGeom prst="rect">
                      <a:avLst/>
                    </a:prstGeom>
                    <a:noFill/>
                  </pic:spPr>
                </pic:pic>
              </a:graphicData>
            </a:graphic>
          </wp:inline>
        </w:drawing>
      </w:r>
    </w:p>
    <w:p w14:paraId="518D1A4F" w14:textId="77777777" w:rsidR="001B7662" w:rsidRDefault="00A208A5">
      <w:pPr>
        <w:pStyle w:val="BodyText"/>
      </w:pPr>
      <w:r>
        <w:t>Another indicator of interest is the gap between the unemployment rates of young graduates and young people without a tertiary degree. This gap has fallen slightly, suggesting conditions for young non-graduates have improved relative to those of young graduates. This gap is now outside the typical pre-COVID range but is not at unprecedented levels – the gap between young graduates and non-graduates was similarly low in 2020 and 2018. This narrowing could be due to cyclical factors rather than technology.</w:t>
      </w:r>
      <w:r>
        <w:rPr>
          <w:rStyle w:val="FootnoteReference"/>
        </w:rPr>
        <w:footnoteReference w:id="43"/>
      </w:r>
      <w:r>
        <w:t xml:space="preserve"> Dhillon and Cassidy (2018) point out that the Australian youth-to-overall unemployment rate gap tends ‘to increase when economic conditions slow and narrow when conditions improve’. Given that young graduate unemployment remains low in absolute terms, and the young–older graduate unemployment gap remains relatively low, this gap should be treated as a cautionary relative indicator rather than evidence of a clear deterioration in young graduates’ labour market outcomes.</w:t>
      </w:r>
    </w:p>
    <w:p w14:paraId="518D1A50" w14:textId="77777777" w:rsidR="001B7662" w:rsidRDefault="00A208A5">
      <w:pPr>
        <w:pStyle w:val="BodyText"/>
      </w:pPr>
      <w:r>
        <w:t xml:space="preserve">AI could </w:t>
      </w:r>
      <w:proofErr w:type="gramStart"/>
      <w:r>
        <w:t>have an effect on</w:t>
      </w:r>
      <w:proofErr w:type="gramEnd"/>
      <w:r>
        <w:t xml:space="preserve"> young graduates’ employment outcomes even if it does not result in rising unemployment. One possibility is that more young graduates could end up in occupations that are below their ‘skill level’ – roles that typically do not require a tertiary qualification. For example, if more young tertiary graduates are unable to find professional jobs, but remain employed in retail or hospitality, this will show up as a decline in the share of young graduates employed in high-skill occupations.</w:t>
      </w:r>
    </w:p>
    <w:p w14:paraId="518D1A51" w14:textId="39C23A68" w:rsidR="001B7662" w:rsidRDefault="00A208A5">
      <w:pPr>
        <w:pStyle w:val="BodyText"/>
      </w:pPr>
      <w:r>
        <w:t xml:space="preserve">The ABS classifies occupations according to skill level. Those in Skill Level 1 have ‘a level of skill commensurate with a </w:t>
      </w:r>
      <w:proofErr w:type="gramStart"/>
      <w:r>
        <w:t>bachelor</w:t>
      </w:r>
      <w:proofErr w:type="gramEnd"/>
      <w:r>
        <w:t xml:space="preserve"> degree or higher qualification’.</w:t>
      </w:r>
      <w:r>
        <w:rPr>
          <w:rStyle w:val="FootnoteReference"/>
        </w:rPr>
        <w:footnoteReference w:id="44"/>
      </w:r>
      <w:r>
        <w:t xml:space="preserve"> In November 2022, 51.1% of young (age 20–24) graduates were employed in Skill Level 1 occupations. This figure has risen – in November 2025, 52.2% were employed in Skill Level 1 jobs. A larger share of young graduates is employed in occupations that use their qualifications than before ChatGPT, as shown in Figure </w:t>
      </w:r>
      <w:hyperlink w:anchor="viz-younggrads-sl1" w:history="1">
        <w:r>
          <w:fldChar w:fldCharType="begin"/>
        </w:r>
        <w:r>
          <w:instrText xml:space="preserve"> REF viz-younggrads-sl1 \h</w:instrText>
        </w:r>
        <w:r>
          <w:fldChar w:fldCharType="separate"/>
        </w:r>
        <w:r w:rsidR="00082F4E">
          <w:rPr>
            <w:noProof/>
          </w:rPr>
          <w:t>11</w:t>
        </w:r>
        <w:r>
          <w:fldChar w:fldCharType="end"/>
        </w:r>
      </w:hyperlink>
      <w:r>
        <w:t>. We are not seeing a rise in the share of young graduates employed below their skill level.</w:t>
      </w:r>
    </w:p>
    <w:p w14:paraId="518D1A52" w14:textId="4AE2FA32" w:rsidR="001B7662" w:rsidRDefault="00A208A5">
      <w:pPr>
        <w:pStyle w:val="ImageCaption"/>
      </w:pPr>
      <w:r>
        <w:lastRenderedPageBreak/>
        <w:t xml:space="preserve">Figure </w:t>
      </w:r>
      <w:bookmarkStart w:id="44" w:name="viz-younggrads-sl1"/>
      <w:r>
        <w:fldChar w:fldCharType="begin"/>
      </w:r>
      <w:r>
        <w:instrText>SEQ fig \* Arabic</w:instrText>
      </w:r>
      <w:r>
        <w:fldChar w:fldCharType="separate"/>
      </w:r>
      <w:r w:rsidR="00082F4E">
        <w:rPr>
          <w:noProof/>
        </w:rPr>
        <w:t>11</w:t>
      </w:r>
      <w:r>
        <w:fldChar w:fldCharType="end"/>
      </w:r>
      <w:bookmarkEnd w:id="44"/>
      <w:r>
        <w:t>: Most young graduates are still employed in occupations that typically require a degree</w:t>
      </w:r>
    </w:p>
    <w:p w14:paraId="518D1A53" w14:textId="77777777" w:rsidR="001B7662" w:rsidRDefault="00A208A5">
      <w:pPr>
        <w:pStyle w:val="CompactNormal"/>
        <w:jc w:val="center"/>
      </w:pPr>
      <w:r>
        <w:rPr>
          <w:noProof/>
        </w:rPr>
        <w:drawing>
          <wp:inline distT="0" distB="0" distL="0" distR="0" wp14:anchorId="518D1D1B" wp14:editId="0C26A5E5">
            <wp:extent cx="5835650" cy="2917825"/>
            <wp:effectExtent l="0" t="0" r="0" b="0"/>
            <wp:docPr id="23" name="Picture 23" descr="Line graph showing share of young (20-24) tertiary graduates employed in Skill Level 1 occupations from 2007 to 2025. Key elements include average share for 2010-2020 of 50.4%, 51.1% in November 2022 and 52.2% in November 2025. Most young graduates are still employed in occupations that typically require a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ine graph showing share of young (20-24) tertiary graduates employed in Skill Level 1 occupations from 2007 to 2025. Key elements include average share for 2010-2020 of 50.4%, 51.1% in November 2022 and 52.2% in November 2025. Most young graduates are still employed in occupations that typically require a degree."/>
                    <pic:cNvPicPr>
                      <a:picLocks noChangeAspect="1" noChangeArrowheads="1"/>
                    </pic:cNvPicPr>
                  </pic:nvPicPr>
                  <pic:blipFill>
                    <a:blip r:embed="rId24"/>
                    <a:stretch>
                      <a:fillRect/>
                    </a:stretch>
                  </pic:blipFill>
                  <pic:spPr bwMode="auto">
                    <a:xfrm>
                      <a:off x="0" y="0"/>
                      <a:ext cx="5835650" cy="2917825"/>
                    </a:xfrm>
                    <a:prstGeom prst="rect">
                      <a:avLst/>
                    </a:prstGeom>
                    <a:noFill/>
                  </pic:spPr>
                </pic:pic>
              </a:graphicData>
            </a:graphic>
          </wp:inline>
        </w:drawing>
      </w:r>
    </w:p>
    <w:p w14:paraId="518D1A54" w14:textId="77777777" w:rsidR="001B7662" w:rsidRDefault="00A208A5">
      <w:pPr>
        <w:pStyle w:val="BodyText"/>
      </w:pPr>
      <w:r>
        <w:t>Some US-based analysis suggests that young graduates are likely to be the ‘canaries in the coal mine’ for AI-related job loss.</w:t>
      </w:r>
      <w:r>
        <w:rPr>
          <w:rStyle w:val="FootnoteReference"/>
        </w:rPr>
        <w:footnoteReference w:id="45"/>
      </w:r>
      <w:r>
        <w:t xml:space="preserve"> Most Australian data as at February 2026 suggests young graduates in Australia are not faring worse than they were pre-ChatGPT:</w:t>
      </w:r>
    </w:p>
    <w:p w14:paraId="518D1A55" w14:textId="77777777" w:rsidR="001B7662" w:rsidRDefault="00A208A5" w:rsidP="00A208A5">
      <w:pPr>
        <w:numPr>
          <w:ilvl w:val="0"/>
          <w:numId w:val="11"/>
        </w:numPr>
      </w:pPr>
      <w:r>
        <w:t>The gap between youth and overall unemployment rates is lower than its typical pre-COVID level.</w:t>
      </w:r>
    </w:p>
    <w:p w14:paraId="518D1A56" w14:textId="77777777" w:rsidR="001B7662" w:rsidRDefault="00A208A5" w:rsidP="00A208A5">
      <w:pPr>
        <w:numPr>
          <w:ilvl w:val="0"/>
          <w:numId w:val="11"/>
        </w:numPr>
      </w:pPr>
      <w:r>
        <w:t>The unemployment rate gap between young and older tertiary graduates is relatively low.</w:t>
      </w:r>
    </w:p>
    <w:p w14:paraId="518D1A57" w14:textId="77777777" w:rsidR="001B7662" w:rsidRDefault="00A208A5" w:rsidP="00A208A5">
      <w:pPr>
        <w:numPr>
          <w:ilvl w:val="0"/>
          <w:numId w:val="11"/>
        </w:numPr>
      </w:pPr>
      <w:r>
        <w:t>The share of young graduates employed in occupations that require a degree has gone up.</w:t>
      </w:r>
    </w:p>
    <w:p w14:paraId="518D1A58" w14:textId="77777777" w:rsidR="001B7662" w:rsidRDefault="00A208A5">
      <w:r>
        <w:t>The main data point that suggests conditions have worsened for young graduates is the fall in the unemployment rate gap between young graduates and young non-graduates.</w:t>
      </w:r>
    </w:p>
    <w:p w14:paraId="518D1A59" w14:textId="57DFFF80" w:rsidR="001B7662" w:rsidRDefault="00A208A5">
      <w:pPr>
        <w:pStyle w:val="ImageCaption"/>
      </w:pPr>
      <w:r>
        <w:lastRenderedPageBreak/>
        <w:t xml:space="preserve">Figure </w:t>
      </w:r>
      <w:bookmarkStart w:id="45" w:name="viz-dashboard-youth"/>
      <w:r>
        <w:fldChar w:fldCharType="begin"/>
      </w:r>
      <w:r>
        <w:instrText>SEQ fig \* Arabic</w:instrText>
      </w:r>
      <w:r>
        <w:fldChar w:fldCharType="separate"/>
      </w:r>
      <w:r w:rsidR="00082F4E">
        <w:rPr>
          <w:noProof/>
        </w:rPr>
        <w:t>12</w:t>
      </w:r>
      <w:r>
        <w:fldChar w:fldCharType="end"/>
      </w:r>
      <w:bookmarkEnd w:id="45"/>
      <w:r>
        <w:t>: Most youth labour market indicators are within, or better than, their typical pre-COVID levels</w:t>
      </w:r>
    </w:p>
    <w:p w14:paraId="518D1A5A" w14:textId="77777777" w:rsidR="001B7662" w:rsidRDefault="00A208A5">
      <w:pPr>
        <w:pStyle w:val="CompactNormal"/>
        <w:jc w:val="center"/>
      </w:pPr>
      <w:r>
        <w:rPr>
          <w:noProof/>
        </w:rPr>
        <w:drawing>
          <wp:inline distT="0" distB="0" distL="0" distR="0" wp14:anchorId="518D1D1D" wp14:editId="0A616122">
            <wp:extent cx="5835650" cy="3200400"/>
            <wp:effectExtent l="0" t="0" r="0" b="0"/>
            <wp:docPr id="25" name="Picture 25" descr="Chart compares various youth and graduate labour market indicators, using three data points: November 2022 level (blue), latest value (green), and pre-COVID average (purple). Most youth labour market indicators are within, or better than, their typical pre-COVID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compares various youth and graduate labour market indicators, using three data points: November 2022 level (blue), latest value (green), and pre-COVID average (purple). Most youth labour market indicators are within, or better than, their typical pre-COVID levels."/>
                    <pic:cNvPicPr>
                      <a:picLocks noChangeAspect="1" noChangeArrowheads="1"/>
                    </pic:cNvPicPr>
                  </pic:nvPicPr>
                  <pic:blipFill>
                    <a:blip r:embed="rId25"/>
                    <a:stretch>
                      <a:fillRect/>
                    </a:stretch>
                  </pic:blipFill>
                  <pic:spPr bwMode="auto">
                    <a:xfrm>
                      <a:off x="0" y="0"/>
                      <a:ext cx="5835650" cy="3200400"/>
                    </a:xfrm>
                    <a:prstGeom prst="rect">
                      <a:avLst/>
                    </a:prstGeom>
                    <a:noFill/>
                  </pic:spPr>
                </pic:pic>
              </a:graphicData>
            </a:graphic>
          </wp:inline>
        </w:drawing>
      </w:r>
    </w:p>
    <w:p w14:paraId="518D1A5B" w14:textId="77777777" w:rsidR="001B7662" w:rsidRDefault="00A208A5">
      <w:pPr>
        <w:pStyle w:val="Heading2"/>
      </w:pPr>
      <w:bookmarkStart w:id="46" w:name="_Toc232612079"/>
      <w:bookmarkStart w:id="47" w:name="sec-comp-change"/>
      <w:bookmarkEnd w:id="39"/>
      <w:r>
        <w:t>Occupational reshuffling has not accelerated</w:t>
      </w:r>
      <w:bookmarkEnd w:id="46"/>
    </w:p>
    <w:p w14:paraId="518D1A5C" w14:textId="77777777" w:rsidR="001B7662" w:rsidRDefault="00A208A5">
      <w:r>
        <w:t>If AI starts affecting some segments of the labour market more than others, this is likely to result in an increased pace of compositional change in the labour market. Some occupations would shrink, others may grow, and the rate of this change in the occupational profile would be faster than normal.</w:t>
      </w:r>
      <w:r>
        <w:rPr>
          <w:rStyle w:val="FootnoteReference"/>
        </w:rPr>
        <w:footnoteReference w:id="46"/>
      </w:r>
      <w:r>
        <w:t xml:space="preserve"> But we find that the pace of compositional change in the labour market has not accelerated and is slightly below its pre-ChatGPT level.</w:t>
      </w:r>
    </w:p>
    <w:p w14:paraId="518D1A5D" w14:textId="596793BD" w:rsidR="001B7662" w:rsidRDefault="00A208A5">
      <w:pPr>
        <w:pStyle w:val="BodyText"/>
      </w:pPr>
      <w:r>
        <w:t>We measure this pace of compositional change using a dissimilarity index.</w:t>
      </w:r>
      <w:r>
        <w:rPr>
          <w:rStyle w:val="FootnoteReference"/>
        </w:rPr>
        <w:footnoteReference w:id="47"/>
      </w:r>
      <w:r>
        <w:t xml:space="preserve"> This metric has been used to monitor potential AI-driven disruption in the labour market in the US,</w:t>
      </w:r>
      <w:r>
        <w:rPr>
          <w:rStyle w:val="FootnoteReference"/>
        </w:rPr>
        <w:footnoteReference w:id="48"/>
      </w:r>
      <w:r>
        <w:t xml:space="preserve"> and to measure occupational mismatch between available jobs and job seekers in Australia.</w:t>
      </w:r>
      <w:r>
        <w:rPr>
          <w:rStyle w:val="FootnoteReference"/>
        </w:rPr>
        <w:footnoteReference w:id="49"/>
      </w:r>
      <w:r>
        <w:t xml:space="preserve"> </w:t>
      </w:r>
      <w:hyperlink w:anchor="appendix-dissim">
        <w:r>
          <w:rPr>
            <w:rStyle w:val="Hyperlink"/>
          </w:rPr>
          <w:t>Appendix D</w:t>
        </w:r>
      </w:hyperlink>
      <w:r>
        <w:t xml:space="preserve"> contains further details on how the index is constructed.</w:t>
      </w:r>
    </w:p>
    <w:p w14:paraId="518D1A5E" w14:textId="77777777" w:rsidR="001B7662" w:rsidRDefault="00A208A5">
      <w:pPr>
        <w:pStyle w:val="BodyText"/>
      </w:pPr>
      <w:r>
        <w:t>The index ranges from 0 to 100.</w:t>
      </w:r>
      <w:r>
        <w:rPr>
          <w:rStyle w:val="FootnoteReference"/>
        </w:rPr>
        <w:footnoteReference w:id="50"/>
      </w:r>
      <w:r>
        <w:t xml:space="preserve"> A higher number means faster compositional change. It measures the share of employment that would need to shift across occupations to match the previous quarter’s occupational mix. For example, if 3% of workers would need to move between occupations for this quarter’s occupational mix to match last quarter’s, the dissimilarity index is 3.</w:t>
      </w:r>
    </w:p>
    <w:p w14:paraId="518D1A5F" w14:textId="77777777" w:rsidR="001B7662" w:rsidRDefault="00A208A5">
      <w:pPr>
        <w:pStyle w:val="BodyText"/>
      </w:pPr>
      <w:r>
        <w:t>Tracking compositional change in the labour market is a useful cross-check on analyses based on JSA exposure scores – such as in the next section and in our core statistical model – because it does not require assumptions about which occupations are most exposed to AI. The compositional change index measures differences in the mix of occupations that Australians are employed in from quarter-to-quarter, regardless of which specific occupations happen to be growing or shrinking.</w:t>
      </w:r>
    </w:p>
    <w:p w14:paraId="518D1A60" w14:textId="2ECF5671" w:rsidR="001B7662" w:rsidRDefault="00A208A5">
      <w:pPr>
        <w:pStyle w:val="BodyText"/>
      </w:pPr>
      <w:r>
        <w:t xml:space="preserve">Compositional change in the Australian labour market has slowed since late 2022, as shown in Figure </w:t>
      </w:r>
      <w:hyperlink w:anchor="viz-dissim-overall" w:history="1">
        <w:r>
          <w:fldChar w:fldCharType="begin"/>
        </w:r>
        <w:r>
          <w:instrText xml:space="preserve"> REF viz-dissim-overall \h</w:instrText>
        </w:r>
        <w:r>
          <w:fldChar w:fldCharType="separate"/>
        </w:r>
        <w:r w:rsidR="00082F4E">
          <w:rPr>
            <w:noProof/>
          </w:rPr>
          <w:t>13</w:t>
        </w:r>
        <w:r>
          <w:fldChar w:fldCharType="end"/>
        </w:r>
      </w:hyperlink>
      <w:r>
        <w:t xml:space="preserve">. The compositional change index has fallen from 5.9% in the November 2022 quarter to 5.5% in the February 2026 quarter, using data on employment by detailed occupations. Note that the pace of </w:t>
      </w:r>
      <w:r>
        <w:lastRenderedPageBreak/>
        <w:t>compositional change has trended upwards over the longer term, so a modest increase of the index from current levels could still be consistent with this longer-run trend. The index calculated with broader (2-digit ANZSCO) occupational categories is also broadly in line with its typical level in the years before ChatGPT was introduced.</w:t>
      </w:r>
    </w:p>
    <w:p w14:paraId="518D1A61" w14:textId="7CF16CE8" w:rsidR="001B7662" w:rsidRDefault="00A208A5">
      <w:pPr>
        <w:pStyle w:val="ImageCaption"/>
      </w:pPr>
      <w:r>
        <w:t xml:space="preserve">Figure </w:t>
      </w:r>
      <w:bookmarkStart w:id="48" w:name="viz-dissim-overall"/>
      <w:r>
        <w:fldChar w:fldCharType="begin"/>
      </w:r>
      <w:r>
        <w:instrText>SEQ fig \* Arabic</w:instrText>
      </w:r>
      <w:r>
        <w:fldChar w:fldCharType="separate"/>
      </w:r>
      <w:r w:rsidR="00082F4E">
        <w:rPr>
          <w:noProof/>
        </w:rPr>
        <w:t>13</w:t>
      </w:r>
      <w:r>
        <w:fldChar w:fldCharType="end"/>
      </w:r>
      <w:bookmarkEnd w:id="48"/>
      <w:r>
        <w:t>: The pace of change in occupations has fallen since 2022</w:t>
      </w:r>
    </w:p>
    <w:p w14:paraId="518D1A62" w14:textId="77777777" w:rsidR="001B7662" w:rsidRDefault="00A208A5">
      <w:pPr>
        <w:pStyle w:val="CompactNormal"/>
        <w:jc w:val="center"/>
      </w:pPr>
      <w:r>
        <w:rPr>
          <w:noProof/>
        </w:rPr>
        <w:drawing>
          <wp:inline distT="0" distB="0" distL="0" distR="0" wp14:anchorId="518D1D1F" wp14:editId="799C65A2">
            <wp:extent cx="5835650" cy="2743200"/>
            <wp:effectExtent l="0" t="0" r="0" b="0"/>
            <wp:docPr id="27" name="Picture 27" descr="Line graph showing change in occupational composition of employment from 2001 to 2026, measured as share of employment needing to move between occupations to match previous quarter. Graph highlights average change from 2010-2020 of 5.2%, November 2022 value of 5.9% and February 2026 value of 5.5%. The pace of occupational change has fallen since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ine graph showing change in occupational composition of employment from 2001 to 2026, measured as share of employment needing to move between occupations to match previous quarter. Graph highlights average change from 2010-2020 of 5.2%, November 2022 value of 5.9% and February 2026 value of 5.5%. The pace of occupational change has fallen since 2022.&#10;"/>
                    <pic:cNvPicPr>
                      <a:picLocks noChangeAspect="1" noChangeArrowheads="1"/>
                    </pic:cNvPicPr>
                  </pic:nvPicPr>
                  <pic:blipFill>
                    <a:blip r:embed="rId26"/>
                    <a:stretch>
                      <a:fillRect/>
                    </a:stretch>
                  </pic:blipFill>
                  <pic:spPr bwMode="auto">
                    <a:xfrm>
                      <a:off x="0" y="0"/>
                      <a:ext cx="5835650" cy="2743200"/>
                    </a:xfrm>
                    <a:prstGeom prst="rect">
                      <a:avLst/>
                    </a:prstGeom>
                    <a:noFill/>
                  </pic:spPr>
                </pic:pic>
              </a:graphicData>
            </a:graphic>
          </wp:inline>
        </w:drawing>
      </w:r>
    </w:p>
    <w:p w14:paraId="518D1A63" w14:textId="5E012A92" w:rsidR="001B7662" w:rsidRDefault="00A208A5">
      <w:pPr>
        <w:pStyle w:val="BodyText"/>
      </w:pPr>
      <w:r>
        <w:t xml:space="preserve">The pace of compositional change for young people is also below its 2022 level and within its typical pre-COVID range, as shown in Figure </w:t>
      </w:r>
      <w:hyperlink w:anchor="viz-dissim-age" w:history="1">
        <w:r>
          <w:fldChar w:fldCharType="begin"/>
        </w:r>
        <w:r>
          <w:instrText xml:space="preserve"> REF viz-dissim-age \h</w:instrText>
        </w:r>
        <w:r>
          <w:fldChar w:fldCharType="separate"/>
        </w:r>
        <w:r w:rsidR="00082F4E">
          <w:rPr>
            <w:noProof/>
          </w:rPr>
          <w:t>14</w:t>
        </w:r>
        <w:r>
          <w:fldChar w:fldCharType="end"/>
        </w:r>
      </w:hyperlink>
      <w:r>
        <w:t>. If AI-driven disruption were showing up first among younger workers, we would expect faster reshuffling in this group. We do not see that pattern. Compositional change for prime-age and older workers is also around similar levels as in the years before late 2022.</w:t>
      </w:r>
    </w:p>
    <w:p w14:paraId="518D1A64" w14:textId="107529B7" w:rsidR="001B7662" w:rsidRDefault="00A208A5">
      <w:pPr>
        <w:pStyle w:val="ImageCaption"/>
      </w:pPr>
      <w:r>
        <w:t xml:space="preserve">Figure </w:t>
      </w:r>
      <w:bookmarkStart w:id="49" w:name="viz-dissim-age"/>
      <w:r>
        <w:fldChar w:fldCharType="begin"/>
      </w:r>
      <w:r>
        <w:instrText>SEQ fig \* Arabic</w:instrText>
      </w:r>
      <w:r>
        <w:fldChar w:fldCharType="separate"/>
      </w:r>
      <w:r w:rsidR="00082F4E">
        <w:rPr>
          <w:noProof/>
        </w:rPr>
        <w:t>14</w:t>
      </w:r>
      <w:r>
        <w:fldChar w:fldCharType="end"/>
      </w:r>
      <w:bookmarkEnd w:id="49"/>
      <w:r>
        <w:t>: The pace of occupational change for young people has fallen since 2022</w:t>
      </w:r>
    </w:p>
    <w:p w14:paraId="518D1A65" w14:textId="77777777" w:rsidR="001B7662" w:rsidRDefault="00A208A5">
      <w:pPr>
        <w:pStyle w:val="CompactNormal"/>
        <w:jc w:val="center"/>
      </w:pPr>
      <w:r>
        <w:rPr>
          <w:noProof/>
        </w:rPr>
        <w:drawing>
          <wp:inline distT="0" distB="0" distL="0" distR="0" wp14:anchorId="518D1D21" wp14:editId="68F547DC">
            <wp:extent cx="5835650" cy="2917825"/>
            <wp:effectExtent l="0" t="0" r="0" b="0"/>
            <wp:docPr id="29" name="Picture 29" descr="Line chart showing change in occupational composition of employment by age groups 15-24, 25-54, and 55+ from 2006 to 2026. Chart highlights a notable peak around 2017 for ages 15-24, steady increase for ages 25-54, and relatively stable trend for ages 55+, with vertical markers indicating when ChatGPT was introduced. The pace of occupational change for young people has fallen since 2022.&#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ine chart showing change in occupational composition of employment by age groups 15-24, 25-54, and 55+ from 2006 to 2026. Chart highlights a notable peak around 2017 for ages 15-24, steady increase for ages 25-54, and relatively stable trend for ages 55+, with vertical markers indicating when ChatGPT was introduced. The pace of occupational change for young people has fallen since 2022.&#10;&#10;"/>
                    <pic:cNvPicPr>
                      <a:picLocks noChangeAspect="1" noChangeArrowheads="1"/>
                    </pic:cNvPicPr>
                  </pic:nvPicPr>
                  <pic:blipFill>
                    <a:blip r:embed="rId27"/>
                    <a:stretch>
                      <a:fillRect/>
                    </a:stretch>
                  </pic:blipFill>
                  <pic:spPr bwMode="auto">
                    <a:xfrm>
                      <a:off x="0" y="0"/>
                      <a:ext cx="5835650" cy="2917825"/>
                    </a:xfrm>
                    <a:prstGeom prst="rect">
                      <a:avLst/>
                    </a:prstGeom>
                    <a:noFill/>
                  </pic:spPr>
                </pic:pic>
              </a:graphicData>
            </a:graphic>
          </wp:inline>
        </w:drawing>
      </w:r>
    </w:p>
    <w:p w14:paraId="518D1A66" w14:textId="02D82AEB" w:rsidR="001B7662" w:rsidRDefault="00A208A5">
      <w:pPr>
        <w:pStyle w:val="BodyText"/>
      </w:pPr>
      <w:r>
        <w:lastRenderedPageBreak/>
        <w:t xml:space="preserve">Figure </w:t>
      </w:r>
      <w:hyperlink w:anchor="viz-dashboard-churn" w:history="1">
        <w:r>
          <w:fldChar w:fldCharType="begin"/>
        </w:r>
        <w:r>
          <w:instrText xml:space="preserve"> REF viz-dashboard-churn \h</w:instrText>
        </w:r>
        <w:r>
          <w:fldChar w:fldCharType="separate"/>
        </w:r>
        <w:r w:rsidR="00082F4E">
          <w:rPr>
            <w:noProof/>
          </w:rPr>
          <w:t>15</w:t>
        </w:r>
        <w:r>
          <w:fldChar w:fldCharType="end"/>
        </w:r>
      </w:hyperlink>
      <w:r>
        <w:t xml:space="preserve"> summarises our metrics of compositional change, with higher rates of compositional change being more consistent with disruption. It should be noted, however, that faster compositional change can also have positive effects.</w:t>
      </w:r>
      <w:r>
        <w:rPr>
          <w:rStyle w:val="FootnoteReference"/>
        </w:rPr>
        <w:footnoteReference w:id="51"/>
      </w:r>
    </w:p>
    <w:p w14:paraId="518D1A67" w14:textId="745F2E72" w:rsidR="001B7662" w:rsidRDefault="00A208A5">
      <w:pPr>
        <w:pStyle w:val="ImageCaption"/>
      </w:pPr>
      <w:r>
        <w:t xml:space="preserve">Figure </w:t>
      </w:r>
      <w:bookmarkStart w:id="50" w:name="viz-dashboard-churn"/>
      <w:r>
        <w:fldChar w:fldCharType="begin"/>
      </w:r>
      <w:r>
        <w:instrText>SEQ fig \* Arabic</w:instrText>
      </w:r>
      <w:r>
        <w:fldChar w:fldCharType="separate"/>
      </w:r>
      <w:r w:rsidR="00082F4E">
        <w:rPr>
          <w:noProof/>
        </w:rPr>
        <w:t>15</w:t>
      </w:r>
      <w:r>
        <w:fldChar w:fldCharType="end"/>
      </w:r>
      <w:bookmarkEnd w:id="50"/>
      <w:r>
        <w:t>: The pace of compositional change in the labour market is within its pre-COVID normal range</w:t>
      </w:r>
    </w:p>
    <w:p w14:paraId="518D1A68" w14:textId="77777777" w:rsidR="001B7662" w:rsidRDefault="00A208A5">
      <w:pPr>
        <w:pStyle w:val="CompactNormal"/>
        <w:jc w:val="center"/>
      </w:pPr>
      <w:r>
        <w:rPr>
          <w:noProof/>
        </w:rPr>
        <w:drawing>
          <wp:inline distT="0" distB="0" distL="0" distR="0" wp14:anchorId="518D1D23" wp14:editId="3525DDCC">
            <wp:extent cx="5835650" cy="2560320"/>
            <wp:effectExtent l="0" t="0" r="0" b="0"/>
            <wp:docPr id="31" name="Picture 31" descr="Scatter plot showing Duncan index values measuring pace of change in occupational composition of employment for ages 15-24 and all ages. It highlights latest value, pre-COVID average, and November 2022 level with color-coded dots. The pace of compositional change in the labour market is within its pre-COVID normal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atter plot showing Duncan index values measuring pace of change in occupational composition of employment for ages 15-24 and all ages. It highlights latest value, pre-COVID average, and November 2022 level with color-coded dots. The pace of compositional change in the labour market is within its pre-COVID normal range."/>
                    <pic:cNvPicPr>
                      <a:picLocks noChangeAspect="1" noChangeArrowheads="1"/>
                    </pic:cNvPicPr>
                  </pic:nvPicPr>
                  <pic:blipFill>
                    <a:blip r:embed="rId28"/>
                    <a:stretch>
                      <a:fillRect/>
                    </a:stretch>
                  </pic:blipFill>
                  <pic:spPr bwMode="auto">
                    <a:xfrm>
                      <a:off x="0" y="0"/>
                      <a:ext cx="5835650" cy="2560320"/>
                    </a:xfrm>
                    <a:prstGeom prst="rect">
                      <a:avLst/>
                    </a:prstGeom>
                    <a:noFill/>
                  </pic:spPr>
                </pic:pic>
              </a:graphicData>
            </a:graphic>
          </wp:inline>
        </w:drawing>
      </w:r>
    </w:p>
    <w:p w14:paraId="518D1A69" w14:textId="77777777" w:rsidR="001B7662" w:rsidRDefault="00A208A5">
      <w:pPr>
        <w:pStyle w:val="Heading2"/>
      </w:pPr>
      <w:bookmarkStart w:id="51" w:name="_Toc232612080"/>
      <w:bookmarkStart w:id="52" w:name="sec-desc-exposure"/>
      <w:bookmarkEnd w:id="47"/>
      <w:r>
        <w:t>Conditions have softened in some high-exposure occupations</w:t>
      </w:r>
      <w:bookmarkEnd w:id="51"/>
    </w:p>
    <w:tbl>
      <w:tblPr>
        <w:tblW w:w="0" w:type="auto"/>
        <w:jc w:val="center"/>
        <w:tblLayout w:type="fixed"/>
        <w:tblLook w:val="0420" w:firstRow="1" w:lastRow="0" w:firstColumn="0" w:lastColumn="0" w:noHBand="0" w:noVBand="1"/>
      </w:tblPr>
      <w:tblGrid>
        <w:gridCol w:w="317"/>
        <w:gridCol w:w="9043"/>
      </w:tblGrid>
      <w:tr w:rsidR="001B7662" w14:paraId="518D1A6B" w14:textId="77777777">
        <w:trPr>
          <w:jc w:val="center"/>
        </w:trPr>
        <w:tc>
          <w:tcPr>
            <w:tcW w:w="9360" w:type="dxa"/>
            <w:gridSpan w:val="2"/>
            <w:tcBorders>
              <w:top w:val="single" w:sz="10" w:space="0" w:color="404246"/>
              <w:left w:val="single" w:sz="10" w:space="0" w:color="404246"/>
              <w:bottom w:val="none" w:sz="0" w:space="0" w:color="F2F2F2"/>
              <w:right w:val="single" w:sz="10" w:space="0" w:color="404246"/>
            </w:tcBorders>
            <w:shd w:val="clear" w:color="auto" w:fill="F2F2F2"/>
            <w:tcMar>
              <w:top w:w="0" w:type="dxa"/>
              <w:left w:w="0" w:type="dxa"/>
              <w:bottom w:w="0" w:type="dxa"/>
              <w:right w:w="0" w:type="dxa"/>
            </w:tcMar>
          </w:tcPr>
          <w:p w14:paraId="518D1A6A" w14:textId="63ECCE57" w:rsidR="001B7662" w:rsidRDefault="007F1BE8">
            <w:pPr>
              <w:keepNext/>
              <w:pBdr>
                <w:top w:val="none" w:sz="0" w:space="0" w:color="000000"/>
                <w:left w:val="none" w:sz="0" w:space="0" w:color="000000"/>
                <w:bottom w:val="none" w:sz="0" w:space="0" w:color="000000"/>
                <w:right w:val="none" w:sz="0" w:space="0" w:color="000000"/>
              </w:pBdr>
              <w:spacing w:before="80" w:after="80" w:line="276" w:lineRule="auto"/>
              <w:ind w:left="120" w:right="120"/>
              <w:rPr>
                <w:rFonts w:eastAsia="Aptos Display" w:cs="Aptos Display"/>
                <w:color w:val="000000"/>
              </w:rPr>
            </w:pPr>
            <w:r>
              <w:rPr>
                <w:rFonts w:eastAsia="Aptos Display" w:cs="Aptos Display"/>
                <w:b/>
                <w:color w:val="404246"/>
                <w:sz w:val="28"/>
                <w:szCs w:val="28"/>
              </w:rPr>
              <w:t>K</w:t>
            </w:r>
            <w:r w:rsidR="00A208A5">
              <w:rPr>
                <w:rFonts w:eastAsia="Aptos Display" w:cs="Aptos Display"/>
                <w:b/>
                <w:color w:val="404246"/>
                <w:sz w:val="28"/>
                <w:szCs w:val="28"/>
              </w:rPr>
              <w:t>ey points</w:t>
            </w:r>
          </w:p>
        </w:tc>
      </w:tr>
      <w:tr w:rsidR="001B7662" w14:paraId="518D1A6E" w14:textId="77777777">
        <w:trPr>
          <w:jc w:val="center"/>
        </w:trPr>
        <w:tc>
          <w:tcPr>
            <w:tcW w:w="317" w:type="dxa"/>
            <w:tcBorders>
              <w:top w:val="none" w:sz="0" w:space="0" w:color="F2F2F2"/>
              <w:left w:val="single" w:sz="10" w:space="0" w:color="404246"/>
              <w:bottom w:val="none" w:sz="0" w:space="0" w:color="F2F2F2"/>
              <w:right w:val="none" w:sz="0" w:space="0" w:color="F2F2F2"/>
            </w:tcBorders>
            <w:shd w:val="clear" w:color="auto" w:fill="F2F2F2"/>
            <w:tcMar>
              <w:top w:w="0" w:type="dxa"/>
              <w:left w:w="0" w:type="dxa"/>
              <w:bottom w:w="0" w:type="dxa"/>
              <w:right w:w="0" w:type="dxa"/>
            </w:tcMar>
          </w:tcPr>
          <w:p w14:paraId="518D1A6C"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2F2F2"/>
              <w:left w:val="none" w:sz="0" w:space="0" w:color="F2F2F2"/>
              <w:bottom w:val="none" w:sz="0" w:space="0" w:color="F2F2F2"/>
              <w:right w:val="single" w:sz="10" w:space="0" w:color="404246"/>
            </w:tcBorders>
            <w:shd w:val="clear" w:color="auto" w:fill="F2F2F2"/>
            <w:tcMar>
              <w:top w:w="0" w:type="dxa"/>
              <w:left w:w="0" w:type="dxa"/>
              <w:bottom w:w="0" w:type="dxa"/>
              <w:right w:w="0" w:type="dxa"/>
            </w:tcMar>
          </w:tcPr>
          <w:p w14:paraId="518D1A6D"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Overall, jobs that are more exposed to automation by AI have seen employment, hours and job advertisements grow more slowly than less-exposed occupations since November 2022.</w:t>
            </w:r>
          </w:p>
        </w:tc>
      </w:tr>
      <w:tr w:rsidR="001B7662" w14:paraId="518D1A71" w14:textId="77777777">
        <w:trPr>
          <w:jc w:val="center"/>
        </w:trPr>
        <w:tc>
          <w:tcPr>
            <w:tcW w:w="317" w:type="dxa"/>
            <w:tcBorders>
              <w:top w:val="none" w:sz="0" w:space="0" w:color="F2F2F2"/>
              <w:left w:val="single" w:sz="10" w:space="0" w:color="404246"/>
              <w:bottom w:val="none" w:sz="0" w:space="0" w:color="F2F2F2"/>
              <w:right w:val="none" w:sz="0" w:space="0" w:color="F2F2F2"/>
            </w:tcBorders>
            <w:shd w:val="clear" w:color="auto" w:fill="F2F2F2"/>
            <w:tcMar>
              <w:top w:w="0" w:type="dxa"/>
              <w:left w:w="0" w:type="dxa"/>
              <w:bottom w:w="0" w:type="dxa"/>
              <w:right w:w="0" w:type="dxa"/>
            </w:tcMar>
          </w:tcPr>
          <w:p w14:paraId="518D1A6F"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2F2F2"/>
              <w:left w:val="none" w:sz="0" w:space="0" w:color="F2F2F2"/>
              <w:bottom w:val="none" w:sz="0" w:space="0" w:color="F2F2F2"/>
              <w:right w:val="single" w:sz="10" w:space="0" w:color="404246"/>
            </w:tcBorders>
            <w:shd w:val="clear" w:color="auto" w:fill="F2F2F2"/>
            <w:tcMar>
              <w:top w:w="0" w:type="dxa"/>
              <w:left w:w="0" w:type="dxa"/>
              <w:bottom w:w="0" w:type="dxa"/>
              <w:right w:w="0" w:type="dxa"/>
            </w:tcMar>
          </w:tcPr>
          <w:p w14:paraId="518D1A70"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However, total employment in the most-exposed occupations has risen by 5.6% in the period since November 2022, while employment in the least-exposed occupations has grown by 9.5%.</w:t>
            </w:r>
          </w:p>
        </w:tc>
      </w:tr>
      <w:tr w:rsidR="001B7662" w14:paraId="518D1A74" w14:textId="77777777">
        <w:trPr>
          <w:jc w:val="center"/>
        </w:trPr>
        <w:tc>
          <w:tcPr>
            <w:tcW w:w="317" w:type="dxa"/>
            <w:tcBorders>
              <w:top w:val="none" w:sz="0" w:space="0" w:color="F2F2F2"/>
              <w:left w:val="single" w:sz="10" w:space="0" w:color="404246"/>
              <w:bottom w:val="none" w:sz="0" w:space="0" w:color="F2F2F2"/>
              <w:right w:val="none" w:sz="0" w:space="0" w:color="F2F2F2"/>
            </w:tcBorders>
            <w:shd w:val="clear" w:color="auto" w:fill="F2F2F2"/>
            <w:tcMar>
              <w:top w:w="0" w:type="dxa"/>
              <w:left w:w="0" w:type="dxa"/>
              <w:bottom w:w="0" w:type="dxa"/>
              <w:right w:w="0" w:type="dxa"/>
            </w:tcMar>
          </w:tcPr>
          <w:p w14:paraId="518D1A72"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2F2F2"/>
              <w:left w:val="none" w:sz="0" w:space="0" w:color="F2F2F2"/>
              <w:bottom w:val="none" w:sz="0" w:space="0" w:color="F2F2F2"/>
              <w:right w:val="single" w:sz="10" w:space="0" w:color="404246"/>
            </w:tcBorders>
            <w:shd w:val="clear" w:color="auto" w:fill="F2F2F2"/>
            <w:tcMar>
              <w:top w:w="0" w:type="dxa"/>
              <w:left w:w="0" w:type="dxa"/>
              <w:bottom w:w="0" w:type="dxa"/>
              <w:right w:w="0" w:type="dxa"/>
            </w:tcMar>
          </w:tcPr>
          <w:p w14:paraId="518D1A73"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Not all highly exposed occupations have grown slowly. For example, software developer employment is up in Australia in recent years. The ‘Software and Applications Programmers’ occupation employed 199,000 people in February 2026 – up 25% since November 2022.</w:t>
            </w:r>
          </w:p>
        </w:tc>
      </w:tr>
      <w:tr w:rsidR="001B7662" w14:paraId="518D1A77" w14:textId="77777777">
        <w:trPr>
          <w:jc w:val="center"/>
        </w:trPr>
        <w:tc>
          <w:tcPr>
            <w:tcW w:w="317" w:type="dxa"/>
            <w:tcBorders>
              <w:top w:val="none" w:sz="0" w:space="0" w:color="F2F2F2"/>
              <w:left w:val="single" w:sz="10" w:space="0" w:color="404246"/>
              <w:bottom w:val="none" w:sz="0" w:space="0" w:color="F2F2F2"/>
              <w:right w:val="none" w:sz="0" w:space="0" w:color="F2F2F2"/>
            </w:tcBorders>
            <w:shd w:val="clear" w:color="auto" w:fill="F2F2F2"/>
            <w:tcMar>
              <w:top w:w="0" w:type="dxa"/>
              <w:left w:w="0" w:type="dxa"/>
              <w:bottom w:w="0" w:type="dxa"/>
              <w:right w:w="0" w:type="dxa"/>
            </w:tcMar>
          </w:tcPr>
          <w:p w14:paraId="518D1A75"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2F2F2"/>
              <w:left w:val="none" w:sz="0" w:space="0" w:color="F2F2F2"/>
              <w:bottom w:val="none" w:sz="0" w:space="0" w:color="F2F2F2"/>
              <w:right w:val="single" w:sz="10" w:space="0" w:color="404246"/>
            </w:tcBorders>
            <w:shd w:val="clear" w:color="auto" w:fill="F2F2F2"/>
            <w:tcMar>
              <w:top w:w="0" w:type="dxa"/>
              <w:left w:w="0" w:type="dxa"/>
              <w:bottom w:w="0" w:type="dxa"/>
              <w:right w:w="0" w:type="dxa"/>
            </w:tcMar>
          </w:tcPr>
          <w:p w14:paraId="518D1A76"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 most-exposed occupations' share of total employment has declined modestly since ChatGPT was introduced. However, this partly reflects the continuation of pre-AI trends.</w:t>
            </w:r>
          </w:p>
        </w:tc>
      </w:tr>
      <w:tr w:rsidR="001B7662" w14:paraId="518D1A7A" w14:textId="77777777">
        <w:trPr>
          <w:jc w:val="center"/>
        </w:trPr>
        <w:tc>
          <w:tcPr>
            <w:tcW w:w="317" w:type="dxa"/>
            <w:tcBorders>
              <w:top w:val="none" w:sz="0" w:space="0" w:color="F2F2F2"/>
              <w:left w:val="single" w:sz="10" w:space="0" w:color="404246"/>
              <w:bottom w:val="single" w:sz="10" w:space="0" w:color="404246"/>
              <w:right w:val="none" w:sz="0" w:space="0" w:color="F2F2F2"/>
            </w:tcBorders>
            <w:shd w:val="clear" w:color="auto" w:fill="F2F2F2"/>
            <w:tcMar>
              <w:top w:w="0" w:type="dxa"/>
              <w:left w:w="0" w:type="dxa"/>
              <w:bottom w:w="0" w:type="dxa"/>
              <w:right w:w="0" w:type="dxa"/>
            </w:tcMar>
          </w:tcPr>
          <w:p w14:paraId="518D1A78"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2F2F2"/>
              <w:left w:val="none" w:sz="0" w:space="0" w:color="F2F2F2"/>
              <w:bottom w:val="single" w:sz="10" w:space="0" w:color="404246"/>
              <w:right w:val="single" w:sz="10" w:space="0" w:color="404246"/>
            </w:tcBorders>
            <w:shd w:val="clear" w:color="auto" w:fill="F2F2F2"/>
            <w:tcMar>
              <w:top w:w="0" w:type="dxa"/>
              <w:left w:w="0" w:type="dxa"/>
              <w:bottom w:w="0" w:type="dxa"/>
              <w:right w:w="0" w:type="dxa"/>
            </w:tcMar>
          </w:tcPr>
          <w:p w14:paraId="518D1A79"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 unemployment rate for the occupations most exposed to AI has risen more than other occupations. As a result, the gap between the unemployment rate for the most exposed and least exposed occupations has shrunk substantially.</w:t>
            </w:r>
          </w:p>
        </w:tc>
      </w:tr>
    </w:tbl>
    <w:p w14:paraId="518D1A7B" w14:textId="77777777" w:rsidR="001B7662" w:rsidRDefault="001B7662"/>
    <w:p w14:paraId="518D1A7C" w14:textId="77777777" w:rsidR="001B7662" w:rsidRDefault="00A208A5">
      <w:pPr>
        <w:pStyle w:val="BodyText"/>
      </w:pPr>
      <w:r>
        <w:t>In this section, we examine trends across occupations with different levels of exposure to automation from generative AI. We build on this descriptive analysis with more formal statistical modelling seen in the next chapter of this report.</w:t>
      </w:r>
    </w:p>
    <w:p w14:paraId="518D1A7D" w14:textId="4E39D053" w:rsidR="001B7662" w:rsidRDefault="00A208A5">
      <w:pPr>
        <w:pStyle w:val="BodyText"/>
      </w:pPr>
      <w:r>
        <w:lastRenderedPageBreak/>
        <w:t>This section uses the AI automation exposure scores developed by JSA.</w:t>
      </w:r>
      <w:r>
        <w:rPr>
          <w:rStyle w:val="FootnoteReference"/>
        </w:rPr>
        <w:footnoteReference w:id="52"/>
      </w:r>
      <w:r>
        <w:t xml:space="preserve"> See the </w:t>
      </w:r>
      <w:hyperlink w:anchor="measuring-ai-exposure">
        <w:r>
          <w:rPr>
            <w:rStyle w:val="Hyperlink"/>
          </w:rPr>
          <w:t>Measuring AI exposure</w:t>
        </w:r>
      </w:hyperlink>
      <w:r>
        <w:t xml:space="preserve"> section at page </w:t>
      </w:r>
      <w:r>
        <w:fldChar w:fldCharType="begin"/>
      </w:r>
      <w:r>
        <w:instrText>PAGEREF measuring-ai-exposure \h</w:instrText>
      </w:r>
      <w:r>
        <w:fldChar w:fldCharType="separate"/>
      </w:r>
      <w:r w:rsidR="00082F4E">
        <w:rPr>
          <w:noProof/>
        </w:rPr>
        <w:t>11</w:t>
      </w:r>
      <w:r>
        <w:fldChar w:fldCharType="end"/>
      </w:r>
      <w:r>
        <w:t xml:space="preserve"> for an overview of these scores. Further information, including a comparison with alternative exposure measures, can be found in </w:t>
      </w:r>
      <w:hyperlink w:anchor="appendix-a">
        <w:r>
          <w:rPr>
            <w:rStyle w:val="Hyperlink"/>
          </w:rPr>
          <w:t>Appendix A</w:t>
        </w:r>
      </w:hyperlink>
      <w:r>
        <w:t xml:space="preserve"> at page </w:t>
      </w:r>
      <w:r>
        <w:fldChar w:fldCharType="begin"/>
      </w:r>
      <w:r>
        <w:instrText>PAGEREF appendix-a \h</w:instrText>
      </w:r>
      <w:r>
        <w:fldChar w:fldCharType="separate"/>
      </w:r>
      <w:r w:rsidR="00082F4E">
        <w:rPr>
          <w:noProof/>
        </w:rPr>
        <w:t>63</w:t>
      </w:r>
      <w:r>
        <w:fldChar w:fldCharType="end"/>
      </w:r>
      <w:r>
        <w:t>.</w:t>
      </w:r>
    </w:p>
    <w:p w14:paraId="518D1A7E" w14:textId="77777777" w:rsidR="001B7662" w:rsidRDefault="00A208A5">
      <w:pPr>
        <w:pStyle w:val="Heading3"/>
      </w:pPr>
      <w:bookmarkStart w:id="53" w:name="trends-in-individual-occupations"/>
      <w:r>
        <w:t>Trends in individual occupations</w:t>
      </w:r>
    </w:p>
    <w:p w14:paraId="518D1A7F" w14:textId="1721B968" w:rsidR="001B7662" w:rsidRDefault="00A208A5">
      <w:r>
        <w:t xml:space="preserve">There is no common employment trend across all occupations most exposed to potential automation by AI, as shown in Figure </w:t>
      </w:r>
      <w:hyperlink w:anchor="viz-indiv-occs" w:history="1">
        <w:r>
          <w:fldChar w:fldCharType="begin"/>
        </w:r>
        <w:r>
          <w:instrText xml:space="preserve"> REF viz-indiv-occs \h</w:instrText>
        </w:r>
        <w:r>
          <w:fldChar w:fldCharType="separate"/>
        </w:r>
        <w:r w:rsidR="00082F4E">
          <w:rPr>
            <w:noProof/>
          </w:rPr>
          <w:t>16</w:t>
        </w:r>
        <w:r>
          <w:fldChar w:fldCharType="end"/>
        </w:r>
      </w:hyperlink>
      <w:r>
        <w:t>. Some highly exposed occupations have seen a slight decline in employment, while others are up. In the 6 most-exposed occupations, the data shows:</w:t>
      </w:r>
    </w:p>
    <w:p w14:paraId="518D1A80" w14:textId="77777777" w:rsidR="001B7662" w:rsidRDefault="00A208A5" w:rsidP="00A208A5">
      <w:pPr>
        <w:pStyle w:val="Compact"/>
        <w:numPr>
          <w:ilvl w:val="0"/>
          <w:numId w:val="12"/>
        </w:numPr>
      </w:pPr>
      <w:r>
        <w:t>The number of people employed as ‘Human Resource Clerks’ is above its November 2022 level, after a period of volatility.</w:t>
      </w:r>
    </w:p>
    <w:p w14:paraId="518D1A81" w14:textId="77777777" w:rsidR="001B7662" w:rsidRDefault="00A208A5" w:rsidP="00A208A5">
      <w:pPr>
        <w:pStyle w:val="Compact"/>
        <w:numPr>
          <w:ilvl w:val="0"/>
          <w:numId w:val="12"/>
        </w:numPr>
      </w:pPr>
      <w:r>
        <w:t>‘Tourism and Travel Advisers’ employment has increased after a COVID-era decline and is above November 2022 levels.</w:t>
      </w:r>
    </w:p>
    <w:p w14:paraId="518D1A82" w14:textId="77777777" w:rsidR="001B7662" w:rsidRDefault="00A208A5" w:rsidP="00A208A5">
      <w:pPr>
        <w:pStyle w:val="Compact"/>
        <w:numPr>
          <w:ilvl w:val="0"/>
          <w:numId w:val="12"/>
        </w:numPr>
      </w:pPr>
      <w:r>
        <w:t>Employment of ‘Telemarketers’ is also slightly higher as at February 2026 than in November 2022. This is despite a long-run structural decline in this occupation.</w:t>
      </w:r>
    </w:p>
    <w:p w14:paraId="518D1A83" w14:textId="77777777" w:rsidR="001B7662" w:rsidRDefault="00A208A5" w:rsidP="00A208A5">
      <w:pPr>
        <w:pStyle w:val="Compact"/>
        <w:numPr>
          <w:ilvl w:val="0"/>
          <w:numId w:val="12"/>
        </w:numPr>
      </w:pPr>
      <w:r>
        <w:t>Employment in the ‘Keyboard Operators’ and ‘Filing and Registry Clerks’ occupations is around November 2022 levels.</w:t>
      </w:r>
    </w:p>
    <w:p w14:paraId="518D1A84" w14:textId="77777777" w:rsidR="001B7662" w:rsidRDefault="00A208A5" w:rsidP="00A208A5">
      <w:pPr>
        <w:pStyle w:val="Compact"/>
        <w:numPr>
          <w:ilvl w:val="0"/>
          <w:numId w:val="12"/>
        </w:numPr>
      </w:pPr>
      <w:r>
        <w:t>‘Call or Contact Centre Workers’ employment is below November 2022 levels.</w:t>
      </w:r>
    </w:p>
    <w:p w14:paraId="518D1A85" w14:textId="08EBA657" w:rsidR="001B7662" w:rsidRDefault="00A208A5">
      <w:pPr>
        <w:pStyle w:val="ImageCaption"/>
      </w:pPr>
      <w:r>
        <w:t xml:space="preserve">Figure </w:t>
      </w:r>
      <w:bookmarkStart w:id="54" w:name="viz-indiv-occs"/>
      <w:r>
        <w:fldChar w:fldCharType="begin"/>
      </w:r>
      <w:r>
        <w:instrText>SEQ fig \* Arabic</w:instrText>
      </w:r>
      <w:r>
        <w:fldChar w:fldCharType="separate"/>
      </w:r>
      <w:r w:rsidR="00082F4E">
        <w:rPr>
          <w:noProof/>
        </w:rPr>
        <w:t>16</w:t>
      </w:r>
      <w:r>
        <w:fldChar w:fldCharType="end"/>
      </w:r>
      <w:bookmarkEnd w:id="54"/>
      <w:r>
        <w:t>: There is no clear common employment trend in the most-exposed occupations</w:t>
      </w:r>
    </w:p>
    <w:p w14:paraId="518D1A86" w14:textId="77777777" w:rsidR="001B7662" w:rsidRDefault="00A208A5">
      <w:pPr>
        <w:pStyle w:val="CompactNormal"/>
        <w:jc w:val="center"/>
      </w:pPr>
      <w:r>
        <w:rPr>
          <w:noProof/>
        </w:rPr>
        <w:drawing>
          <wp:inline distT="0" distB="0" distL="0" distR="0" wp14:anchorId="518D1D25" wp14:editId="1216CFB1">
            <wp:extent cx="5835650" cy="4389120"/>
            <wp:effectExtent l="0" t="0" r="0" b="0"/>
            <wp:docPr id="33" name="Picture 33" descr="Six line charts display employment trends from 2006 to 2026 in occupations most exposed to AI automation, including Call or Contact Centre Workers, Filing and Registry Clerks, Human Resource Clerks, Keyboard Operators, Telemarketers, and Tourism and Travel Advisers. Each chart uses distinct colours and labels, highlighting notable trends such as a decline in Keyboard Operators and Telemarketers, a rise in Human Resource Clerks, and a marked dip in Tourism and Travel Advisers around 2020. There is no clear common employment trend in the most-exposed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ix line charts display employment trends from 2006 to 2026 in occupations most exposed to AI automation, including Call or Contact Centre Workers, Filing and Registry Clerks, Human Resource Clerks, Keyboard Operators, Telemarketers, and Tourism and Travel Advisers. Each chart uses distinct colours and labels, highlighting notable trends such as a decline in Keyboard Operators and Telemarketers, a rise in Human Resource Clerks, and a marked dip in Tourism and Travel Advisers around 2020. There is no clear common employment trend in the most-exposed occupations."/>
                    <pic:cNvPicPr>
                      <a:picLocks noChangeAspect="1" noChangeArrowheads="1"/>
                    </pic:cNvPicPr>
                  </pic:nvPicPr>
                  <pic:blipFill>
                    <a:blip r:embed="rId29"/>
                    <a:stretch>
                      <a:fillRect/>
                    </a:stretch>
                  </pic:blipFill>
                  <pic:spPr bwMode="auto">
                    <a:xfrm>
                      <a:off x="0" y="0"/>
                      <a:ext cx="5835650" cy="4389120"/>
                    </a:xfrm>
                    <a:prstGeom prst="rect">
                      <a:avLst/>
                    </a:prstGeom>
                    <a:noFill/>
                  </pic:spPr>
                </pic:pic>
              </a:graphicData>
            </a:graphic>
          </wp:inline>
        </w:drawing>
      </w:r>
    </w:p>
    <w:p w14:paraId="518D1A87" w14:textId="77777777" w:rsidR="001B7662" w:rsidRDefault="00A208A5">
      <w:pPr>
        <w:pStyle w:val="BodyText"/>
      </w:pPr>
      <w:r>
        <w:lastRenderedPageBreak/>
        <w:t>Much media commentary has focused on employment of software developers, with job cuts at technology firms ascribed to the effect of AI.</w:t>
      </w:r>
      <w:r>
        <w:rPr>
          <w:rStyle w:val="FootnoteReference"/>
        </w:rPr>
        <w:footnoteReference w:id="53"/>
      </w:r>
      <w:r>
        <w:t xml:space="preserve"> But the much-discussed difficult labour market for software developers is not evident in the aggregate Australian employment data to date.</w:t>
      </w:r>
    </w:p>
    <w:p w14:paraId="518D1A88" w14:textId="45757BDF" w:rsidR="001B7662" w:rsidRDefault="00A208A5">
      <w:pPr>
        <w:pStyle w:val="BodyText"/>
      </w:pPr>
      <w:r>
        <w:t xml:space="preserve">Figure </w:t>
      </w:r>
      <w:hyperlink w:anchor="viz-software-occs" w:history="1">
        <w:r>
          <w:fldChar w:fldCharType="begin"/>
        </w:r>
        <w:r>
          <w:instrText xml:space="preserve"> REF viz-software-occs \h</w:instrText>
        </w:r>
        <w:r>
          <w:fldChar w:fldCharType="separate"/>
        </w:r>
        <w:r w:rsidR="00082F4E">
          <w:rPr>
            <w:noProof/>
          </w:rPr>
          <w:t>17</w:t>
        </w:r>
        <w:r>
          <w:fldChar w:fldCharType="end"/>
        </w:r>
      </w:hyperlink>
      <w:r>
        <w:t xml:space="preserve"> shows employment in 4 software developer occupations. The largest of these (‘Software and Applications Programmers’) employed 199,000 people in February 2026 – up 25% since November 2022. There are 40,000 more people in Australia employed as ‘Software and Applications Programmers’ than in the quarter before ChatGPT was introduced. Employment in the ‘Database Administrators’ occupation is also up modestly.</w:t>
      </w:r>
      <w:r>
        <w:rPr>
          <w:rStyle w:val="FootnoteReference"/>
        </w:rPr>
        <w:footnoteReference w:id="54"/>
      </w:r>
      <w:r>
        <w:t xml:space="preserve"> ‘ICT Business and Systems Analysts’ employment is down, but only slightly. The smallest of these occupations (‘Multimedia Specialists and Web Developers’) has seen a larger proportionate fall in employment but has returned to pre-COVID levels after a surge in 2021. Combined, employment in these occupations has continued to grow at a solid pace since the introduction of ChatGPT.</w:t>
      </w:r>
    </w:p>
    <w:p w14:paraId="518D1A89" w14:textId="6A42F36B" w:rsidR="001B7662" w:rsidRDefault="00A208A5">
      <w:pPr>
        <w:pStyle w:val="ImageCaption"/>
      </w:pPr>
      <w:r>
        <w:lastRenderedPageBreak/>
        <w:t xml:space="preserve">Figure </w:t>
      </w:r>
      <w:bookmarkStart w:id="55" w:name="viz-software-occs"/>
      <w:r>
        <w:fldChar w:fldCharType="begin"/>
      </w:r>
      <w:r>
        <w:instrText>SEQ fig \* Arabic</w:instrText>
      </w:r>
      <w:r>
        <w:fldChar w:fldCharType="separate"/>
      </w:r>
      <w:r w:rsidR="00082F4E">
        <w:rPr>
          <w:noProof/>
        </w:rPr>
        <w:t>17</w:t>
      </w:r>
      <w:r>
        <w:fldChar w:fldCharType="end"/>
      </w:r>
      <w:bookmarkEnd w:id="55"/>
      <w:r>
        <w:t>: There are more people employed in software-related occupations in 2026 than in 2022</w:t>
      </w:r>
    </w:p>
    <w:p w14:paraId="518D1A8A" w14:textId="77777777" w:rsidR="001B7662" w:rsidRDefault="00A208A5">
      <w:pPr>
        <w:pStyle w:val="CompactNormal"/>
        <w:jc w:val="center"/>
      </w:pPr>
      <w:r>
        <w:rPr>
          <w:noProof/>
        </w:rPr>
        <w:drawing>
          <wp:inline distT="0" distB="0" distL="0" distR="0" wp14:anchorId="518D1D27" wp14:editId="35F10E6D">
            <wp:extent cx="5835650" cy="6400800"/>
            <wp:effectExtent l="0" t="0" r="0" b="0"/>
            <wp:docPr id="35" name="Picture 35" descr="Four line graphs and one stacked area chart display employment trends in thousands for ICT occupations from 2000 to 2026. Key details include steady growth in Software and Applications Programmers (blue), a sharp rise in Database and Systems Administrators and ICT Security Specialists (green), fluctuating Multimedia Specialists and Web Developers (yellow), and moderate growth in ICT Business and Systems Analysts (black). There are more people employed in software-related occupations in 2026 than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our line graphs and one stacked area chart display employment trends in thousands for ICT occupations from 2000 to 2026. Key details include steady growth in Software and Applications Programmers (blue), a sharp rise in Database and Systems Administrators and ICT Security Specialists (green), fluctuating Multimedia Specialists and Web Developers (yellow), and moderate growth in ICT Business and Systems Analysts (black). There are more people employed in software-related occupations in 2026 than in 2022."/>
                    <pic:cNvPicPr>
                      <a:picLocks noChangeAspect="1" noChangeArrowheads="1"/>
                    </pic:cNvPicPr>
                  </pic:nvPicPr>
                  <pic:blipFill>
                    <a:blip r:embed="rId30"/>
                    <a:stretch>
                      <a:fillRect/>
                    </a:stretch>
                  </pic:blipFill>
                  <pic:spPr bwMode="auto">
                    <a:xfrm>
                      <a:off x="0" y="0"/>
                      <a:ext cx="5835650" cy="6400800"/>
                    </a:xfrm>
                    <a:prstGeom prst="rect">
                      <a:avLst/>
                    </a:prstGeom>
                    <a:noFill/>
                  </pic:spPr>
                </pic:pic>
              </a:graphicData>
            </a:graphic>
          </wp:inline>
        </w:drawing>
      </w:r>
    </w:p>
    <w:p w14:paraId="518D1A8B" w14:textId="77777777" w:rsidR="001B7662" w:rsidRDefault="00A208A5">
      <w:pPr>
        <w:pStyle w:val="BodyText"/>
      </w:pPr>
      <w:r>
        <w:t>Employment at the individual occupation level can be volatile for reasons unrelated to AI, including sampling error and idiosyncratic shocks. We can reduce the effect of this volatility by grouping occupations together by their level of AI exposure.</w:t>
      </w:r>
    </w:p>
    <w:p w14:paraId="518D1A8C" w14:textId="77777777" w:rsidR="001B7662" w:rsidRDefault="00A208A5">
      <w:pPr>
        <w:pStyle w:val="Heading3"/>
      </w:pPr>
      <w:bookmarkStart w:id="56" w:name="employment-by-exposure-quintile"/>
      <w:bookmarkEnd w:id="53"/>
      <w:r>
        <w:t>Employment by exposure quintile</w:t>
      </w:r>
    </w:p>
    <w:p w14:paraId="518D1A8D" w14:textId="77777777" w:rsidR="001B7662" w:rsidRDefault="00A208A5">
      <w:r>
        <w:t>Some highly exposed occupations have experienced consistent employment growth in the post-ChatGPT period. However, total employment in the most exposed fifth of occupations has grown more slowly than employment in less-exposed occupations.</w:t>
      </w:r>
    </w:p>
    <w:p w14:paraId="518D1A8E" w14:textId="77777777" w:rsidR="001B7662" w:rsidRDefault="00A208A5">
      <w:pPr>
        <w:pStyle w:val="BodyText"/>
      </w:pPr>
      <w:r>
        <w:t>We group occupations into 5 groups (‘quintiles’), based on their JSA AI automation exposure scores.</w:t>
      </w:r>
      <w:r>
        <w:rPr>
          <w:rStyle w:val="FootnoteReference"/>
        </w:rPr>
        <w:footnoteReference w:id="55"/>
      </w:r>
      <w:r>
        <w:t xml:space="preserve"> These quintiles differ in their occupational composition and pre-existing growth trends. The </w:t>
      </w:r>
      <w:r>
        <w:lastRenderedPageBreak/>
        <w:t>comparison between them should therefore be interpreted with caution. Slower growth in more-exposed occupations is consistent with AI-related softening but may also reflect continuation of earlier occupational trends or other sector-specific developments.</w:t>
      </w:r>
    </w:p>
    <w:p w14:paraId="518D1A8F" w14:textId="77777777" w:rsidR="001B7662" w:rsidRDefault="00A208A5">
      <w:pPr>
        <w:pStyle w:val="BodyText"/>
      </w:pPr>
      <w:r>
        <w:t>Since November 2022, employment in the most-exposed quintile of occupations has grown by 5.6%. Over the same period, employment in the least-exposed occupations has grown by 9.5%.</w:t>
      </w:r>
    </w:p>
    <w:p w14:paraId="518D1A90" w14:textId="499D1661" w:rsidR="001B7662" w:rsidRDefault="00A208A5">
      <w:pPr>
        <w:pStyle w:val="BodyText"/>
      </w:pPr>
      <w:r>
        <w:t xml:space="preserve">Total employment in the most-exposed occupations has grown more slowly than all other quintiles over the period since November 2022, as shown in Figure </w:t>
      </w:r>
      <w:hyperlink w:anchor="viz-emp-exp-quint" w:history="1">
        <w:r>
          <w:fldChar w:fldCharType="begin"/>
        </w:r>
        <w:r>
          <w:instrText xml:space="preserve"> REF viz-emp-exp-quint \h</w:instrText>
        </w:r>
        <w:r>
          <w:fldChar w:fldCharType="separate"/>
        </w:r>
        <w:r w:rsidR="00082F4E">
          <w:rPr>
            <w:noProof/>
          </w:rPr>
          <w:t>18</w:t>
        </w:r>
        <w:r>
          <w:fldChar w:fldCharType="end"/>
        </w:r>
      </w:hyperlink>
      <w:r>
        <w:t xml:space="preserve">. </w:t>
      </w:r>
      <w:proofErr w:type="gramStart"/>
      <w:r>
        <w:t>All of</w:t>
      </w:r>
      <w:proofErr w:type="gramEnd"/>
      <w:r>
        <w:t xml:space="preserve"> this sluggishness in employment in the most-exposed occupations has occurred since the beginning of 2024. Although employment in the most-exposed occupations is still above its pre-ChatGPT level, it is slightly below its February 2024 level, despite continued growth in other occupation groups. While the timing is consistent with the introduction of generative AI, other developments could also have influenced these trends. More detailed analysis is contained in the </w:t>
      </w:r>
      <w:hyperlink w:anchor="core-model">
        <w:r>
          <w:rPr>
            <w:rStyle w:val="Hyperlink"/>
          </w:rPr>
          <w:t>statistical model</w:t>
        </w:r>
      </w:hyperlink>
      <w:r>
        <w:t xml:space="preserve"> chapter.</w:t>
      </w:r>
    </w:p>
    <w:p w14:paraId="518D1A91" w14:textId="20CC4E37" w:rsidR="001B7662" w:rsidRDefault="00A208A5">
      <w:pPr>
        <w:pStyle w:val="ImageCaption"/>
      </w:pPr>
      <w:r>
        <w:t xml:space="preserve">Figure </w:t>
      </w:r>
      <w:bookmarkStart w:id="57" w:name="viz-emp-exp-quint"/>
      <w:r>
        <w:fldChar w:fldCharType="begin"/>
      </w:r>
      <w:r>
        <w:instrText>SEQ fig \* Arabic</w:instrText>
      </w:r>
      <w:r>
        <w:fldChar w:fldCharType="separate"/>
      </w:r>
      <w:r w:rsidR="00082F4E">
        <w:rPr>
          <w:noProof/>
        </w:rPr>
        <w:t>18</w:t>
      </w:r>
      <w:r>
        <w:fldChar w:fldCharType="end"/>
      </w:r>
      <w:bookmarkEnd w:id="57"/>
      <w:r>
        <w:t xml:space="preserve">: Employment in the most-exposed occupations has </w:t>
      </w:r>
      <w:proofErr w:type="gramStart"/>
      <w:r>
        <w:t>lagged behind</w:t>
      </w:r>
      <w:proofErr w:type="gramEnd"/>
      <w:r>
        <w:t xml:space="preserve"> less-exposed occupations</w:t>
      </w:r>
    </w:p>
    <w:p w14:paraId="518D1A92" w14:textId="77777777" w:rsidR="001B7662" w:rsidRDefault="00A208A5">
      <w:pPr>
        <w:pStyle w:val="CompactNormal"/>
        <w:jc w:val="center"/>
      </w:pPr>
      <w:r>
        <w:rPr>
          <w:noProof/>
        </w:rPr>
        <w:drawing>
          <wp:inline distT="0" distB="0" distL="0" distR="0" wp14:anchorId="518D1D29" wp14:editId="4B084053">
            <wp:extent cx="5835650" cy="2917825"/>
            <wp:effectExtent l="0" t="0" r="0" b="0"/>
            <wp:docPr id="37" name="Picture 37" descr="Line graph showing employment trends by AI exposure quintiles from 2016 to 2027, indexed to November 2022 equals 100. Employment in the most-exposed occupations has lagged behind less-exposed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ine graph showing employment trends by AI exposure quintiles from 2016 to 2027, indexed to November 2022 equals 100. Employment in the most-exposed occupations has lagged behind less-exposed occupations."/>
                    <pic:cNvPicPr>
                      <a:picLocks noChangeAspect="1" noChangeArrowheads="1"/>
                    </pic:cNvPicPr>
                  </pic:nvPicPr>
                  <pic:blipFill>
                    <a:blip r:embed="rId31"/>
                    <a:stretch>
                      <a:fillRect/>
                    </a:stretch>
                  </pic:blipFill>
                  <pic:spPr bwMode="auto">
                    <a:xfrm>
                      <a:off x="0" y="0"/>
                      <a:ext cx="5835650" cy="2917825"/>
                    </a:xfrm>
                    <a:prstGeom prst="rect">
                      <a:avLst/>
                    </a:prstGeom>
                    <a:noFill/>
                  </pic:spPr>
                </pic:pic>
              </a:graphicData>
            </a:graphic>
          </wp:inline>
        </w:drawing>
      </w:r>
    </w:p>
    <w:p w14:paraId="518D1A93" w14:textId="645A5A9E" w:rsidR="001B7662" w:rsidRDefault="00A208A5">
      <w:pPr>
        <w:pStyle w:val="BodyText"/>
      </w:pPr>
      <w:r>
        <w:t xml:space="preserve">We focus on how the gap between outcomes for the most- and least-exposed occupations has changed over time. The employment levels from Figure </w:t>
      </w:r>
      <w:hyperlink w:anchor="viz-emp-exp-quint" w:history="1">
        <w:r>
          <w:fldChar w:fldCharType="begin"/>
        </w:r>
        <w:r>
          <w:instrText xml:space="preserve"> REF viz-emp-exp-quint \h</w:instrText>
        </w:r>
        <w:r>
          <w:fldChar w:fldCharType="separate"/>
        </w:r>
        <w:r w:rsidR="00082F4E">
          <w:rPr>
            <w:noProof/>
          </w:rPr>
          <w:t>18</w:t>
        </w:r>
        <w:r>
          <w:fldChar w:fldCharType="end"/>
        </w:r>
      </w:hyperlink>
      <w:r>
        <w:t xml:space="preserve"> are converted to a growth rate, and we look at the difference in growth rates between the top and bottom exposure quintiles in Figure </w:t>
      </w:r>
      <w:hyperlink w:anchor="viz-empdiff-topbottom-quint" w:history="1">
        <w:r>
          <w:fldChar w:fldCharType="begin"/>
        </w:r>
        <w:r>
          <w:instrText xml:space="preserve"> REF viz-empdiff-topbottom-quint \h</w:instrText>
        </w:r>
        <w:r>
          <w:fldChar w:fldCharType="separate"/>
        </w:r>
        <w:r w:rsidR="00082F4E">
          <w:rPr>
            <w:noProof/>
          </w:rPr>
          <w:t>19</w:t>
        </w:r>
        <w:r>
          <w:fldChar w:fldCharType="end"/>
        </w:r>
      </w:hyperlink>
      <w:r>
        <w:t>. The sign of this gap has changed frequently, with periods of faster growth for more exposed occupations (positive gap) and periods which favour the least exposed occupations (negative gap). The latest data favours the least exposed occupations, but the employment growth gap is within its typical range and is moving towards neutral.</w:t>
      </w:r>
    </w:p>
    <w:p w14:paraId="518D1A94" w14:textId="71F326E0" w:rsidR="001B7662" w:rsidRDefault="00A208A5">
      <w:pPr>
        <w:pStyle w:val="ImageCaption"/>
      </w:pPr>
      <w:r>
        <w:lastRenderedPageBreak/>
        <w:t xml:space="preserve">Figure </w:t>
      </w:r>
      <w:bookmarkStart w:id="58" w:name="viz-empdiff-topbottom-quint"/>
      <w:r>
        <w:fldChar w:fldCharType="begin"/>
      </w:r>
      <w:r>
        <w:instrText>SEQ fig \* Arabic</w:instrText>
      </w:r>
      <w:r>
        <w:fldChar w:fldCharType="separate"/>
      </w:r>
      <w:r w:rsidR="00082F4E">
        <w:rPr>
          <w:noProof/>
        </w:rPr>
        <w:t>19</w:t>
      </w:r>
      <w:r>
        <w:fldChar w:fldCharType="end"/>
      </w:r>
      <w:bookmarkEnd w:id="58"/>
      <w:r>
        <w:t>: High-exposure occupations are growing more slowly than low-exposure occupations, but the gap is within its typical range</w:t>
      </w:r>
    </w:p>
    <w:p w14:paraId="518D1A95" w14:textId="77777777" w:rsidR="001B7662" w:rsidRDefault="00A208A5">
      <w:pPr>
        <w:pStyle w:val="CompactNormal"/>
        <w:jc w:val="center"/>
      </w:pPr>
      <w:r>
        <w:rPr>
          <w:noProof/>
        </w:rPr>
        <w:drawing>
          <wp:inline distT="0" distB="0" distL="0" distR="0" wp14:anchorId="518D1D2B" wp14:editId="14A86E20">
            <wp:extent cx="5835650" cy="2917825"/>
            <wp:effectExtent l="0" t="0" r="0" b="0"/>
            <wp:docPr id="39" name="Picture 39" descr="Line graph showing difference in employment growth between most- and least-exposed occupations from 2000 to 2026, with values fluctuating. Average of -0.1 for 2010-2020. Drop to -2 in November 2022 and a slight recovery by February 2026 to -1.1. High exposure occupations are growing more slowly than low-exposure occupations, but the gap is within its typical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Line graph showing difference in employment growth between most- and least-exposed occupations from 2000 to 2026, with values fluctuating. Average of -0.1 for 2010-2020. Drop to -2 in November 2022 and a slight recovery by February 2026 to -1.1. High exposure occupations are growing more slowly than low-exposure occupations, but the gap is within its typical range."/>
                    <pic:cNvPicPr>
                      <a:picLocks noChangeAspect="1" noChangeArrowheads="1"/>
                    </pic:cNvPicPr>
                  </pic:nvPicPr>
                  <pic:blipFill>
                    <a:blip r:embed="rId32"/>
                    <a:stretch>
                      <a:fillRect/>
                    </a:stretch>
                  </pic:blipFill>
                  <pic:spPr bwMode="auto">
                    <a:xfrm>
                      <a:off x="0" y="0"/>
                      <a:ext cx="5835650" cy="2917825"/>
                    </a:xfrm>
                    <a:prstGeom prst="rect">
                      <a:avLst/>
                    </a:prstGeom>
                    <a:noFill/>
                  </pic:spPr>
                </pic:pic>
              </a:graphicData>
            </a:graphic>
          </wp:inline>
        </w:drawing>
      </w:r>
    </w:p>
    <w:p w14:paraId="518D1A96" w14:textId="1D6F8341" w:rsidR="001B7662" w:rsidRDefault="00A208A5">
      <w:pPr>
        <w:pStyle w:val="BodyText"/>
      </w:pPr>
      <w:r>
        <w:t xml:space="preserve">Headcount employment can be slower to adjust to declines in labour demand than hours worked, due to hiring and firing frictions. Changes in relative demand for different occupations may therefore show up in hours worked before becoming apparent in employment. To assess this, we examine the growth rate in total hours worked and focus on the difference between the most exposed and least exposed occupations (Figure </w:t>
      </w:r>
      <w:hyperlink w:anchor="viz-hrsdiff-topbottom-quint" w:history="1">
        <w:r>
          <w:fldChar w:fldCharType="begin"/>
        </w:r>
        <w:r>
          <w:instrText xml:space="preserve"> REF viz-hrsdiff-topbottom-quint \h</w:instrText>
        </w:r>
        <w:r>
          <w:fldChar w:fldCharType="separate"/>
        </w:r>
        <w:r w:rsidR="00082F4E">
          <w:rPr>
            <w:noProof/>
          </w:rPr>
          <w:t>20</w:t>
        </w:r>
        <w:r>
          <w:fldChar w:fldCharType="end"/>
        </w:r>
      </w:hyperlink>
      <w:r>
        <w:t xml:space="preserve">). </w:t>
      </w:r>
      <w:proofErr w:type="gramStart"/>
      <w:r>
        <w:t>Similar to</w:t>
      </w:r>
      <w:proofErr w:type="gramEnd"/>
      <w:r>
        <w:t xml:space="preserve"> the results for headcount employment, since November 2022 we have seen hours growth switch from favouring least exposed, to most exposed, and back to least exposed. The latest estimate of the hours gap is negative, and slightly outside its typical pre-COVID range.</w:t>
      </w:r>
    </w:p>
    <w:p w14:paraId="518D1A97" w14:textId="1AF3DE78" w:rsidR="001B7662" w:rsidRDefault="00A208A5">
      <w:pPr>
        <w:pStyle w:val="ImageCaption"/>
      </w:pPr>
      <w:r>
        <w:t xml:space="preserve">Figure </w:t>
      </w:r>
      <w:bookmarkStart w:id="59" w:name="viz-hrsdiff-topbottom-quint"/>
      <w:r>
        <w:fldChar w:fldCharType="begin"/>
      </w:r>
      <w:r>
        <w:instrText>SEQ fig \* Arabic</w:instrText>
      </w:r>
      <w:r>
        <w:fldChar w:fldCharType="separate"/>
      </w:r>
      <w:r w:rsidR="00082F4E">
        <w:rPr>
          <w:noProof/>
        </w:rPr>
        <w:t>20</w:t>
      </w:r>
      <w:r>
        <w:fldChar w:fldCharType="end"/>
      </w:r>
      <w:bookmarkEnd w:id="59"/>
      <w:r>
        <w:t>: Hours worked in high-exposure occupations have grown more slowly since ChatGPT</w:t>
      </w:r>
    </w:p>
    <w:p w14:paraId="518D1A98" w14:textId="77777777" w:rsidR="001B7662" w:rsidRDefault="00A208A5">
      <w:pPr>
        <w:pStyle w:val="CompactNormal"/>
        <w:jc w:val="center"/>
      </w:pPr>
      <w:r>
        <w:rPr>
          <w:noProof/>
        </w:rPr>
        <w:drawing>
          <wp:inline distT="0" distB="0" distL="0" distR="0" wp14:anchorId="518D1D2D" wp14:editId="6C922545">
            <wp:extent cx="5835650" cy="2917825"/>
            <wp:effectExtent l="0" t="0" r="0" b="0"/>
            <wp:docPr id="41" name="Picture 41" descr="Line chart showing difference in worked hours growth between most exposed and least exposed occupations. Average value of -0.1 for 2010 to 2020, value of -3.5 for November 2022 and -2.6 for February 2026. Hours worked in high-exposure occupations have grown more slowly since ChatGPT was intro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Line chart showing difference in worked hours growth between most exposed and least exposed occupations. Average value of -0.1 for 2010 to 2020, value of -3.5 for November 2022 and -2.6 for February 2026. Hours worked in high-exposure occupations have grown more slowly since ChatGPT was introduced."/>
                    <pic:cNvPicPr>
                      <a:picLocks noChangeAspect="1" noChangeArrowheads="1"/>
                    </pic:cNvPicPr>
                  </pic:nvPicPr>
                  <pic:blipFill>
                    <a:blip r:embed="rId33"/>
                    <a:stretch>
                      <a:fillRect/>
                    </a:stretch>
                  </pic:blipFill>
                  <pic:spPr bwMode="auto">
                    <a:xfrm>
                      <a:off x="0" y="0"/>
                      <a:ext cx="5835650" cy="2917825"/>
                    </a:xfrm>
                    <a:prstGeom prst="rect">
                      <a:avLst/>
                    </a:prstGeom>
                    <a:noFill/>
                  </pic:spPr>
                </pic:pic>
              </a:graphicData>
            </a:graphic>
          </wp:inline>
        </w:drawing>
      </w:r>
    </w:p>
    <w:p w14:paraId="518D1A99" w14:textId="77777777" w:rsidR="001B7662" w:rsidRDefault="00A208A5">
      <w:pPr>
        <w:pStyle w:val="BodyText"/>
      </w:pPr>
      <w:r>
        <w:t xml:space="preserve">Growth rates and indices can be useful, but they can also hide differences in the size of each group. For this reason, we also look at the number of people working in occupations in each exposure quintile, expressed as a share of total employment. The exposure quintiles contain equal numbers of </w:t>
      </w:r>
      <w:r>
        <w:lastRenderedPageBreak/>
        <w:t>occupations, but occupations themselves vary greatly in size, and their employment levels change over time. As a result, the employment shares of the quintiles are not equal or fixed.</w:t>
      </w:r>
    </w:p>
    <w:p w14:paraId="518D1A9A" w14:textId="50BBAA1D" w:rsidR="001B7662" w:rsidRDefault="00A208A5">
      <w:pPr>
        <w:pStyle w:val="BodyText"/>
      </w:pPr>
      <w:r>
        <w:t xml:space="preserve">The most exposed quintile accounts for more than a quarter of total employment, although its share has been gradually declining. This decline was already under way before the introduction of ChatGPT and has continued at a similar pace since then, falling from 28.7% in February 2015 to 27.0% as at February 2026 (Figure </w:t>
      </w:r>
      <w:hyperlink w:anchor="viz-empshare-exp-quint" w:history="1">
        <w:r>
          <w:fldChar w:fldCharType="begin"/>
        </w:r>
        <w:r>
          <w:instrText xml:space="preserve"> REF viz-empshare-exp-quint \h</w:instrText>
        </w:r>
        <w:r>
          <w:fldChar w:fldCharType="separate"/>
        </w:r>
        <w:r w:rsidR="00082F4E">
          <w:rPr>
            <w:noProof/>
          </w:rPr>
          <w:t>21</w:t>
        </w:r>
        <w:r>
          <w:fldChar w:fldCharType="end"/>
        </w:r>
      </w:hyperlink>
      <w:r>
        <w:t>).</w:t>
      </w:r>
    </w:p>
    <w:p w14:paraId="518D1A9B" w14:textId="77777777" w:rsidR="001B7662" w:rsidRDefault="00A208A5">
      <w:pPr>
        <w:pStyle w:val="BodyText"/>
      </w:pPr>
      <w:r>
        <w:t>Employment in the least exposed quintile was also declining as a share of total employment before ChatGPT but has partly recovered in recent years. By contrast, the middle exposure quintile increased its employment share from 19.2% to 21.4%. Taken together, these changes suggest employment shares have declined at both the highest and lowest ends of the exposure distribution, while the middle has expanded.</w:t>
      </w:r>
    </w:p>
    <w:p w14:paraId="518D1A9C" w14:textId="6F8D2AD6" w:rsidR="001B7662" w:rsidRDefault="00A208A5">
      <w:pPr>
        <w:pStyle w:val="ImageCaption"/>
      </w:pPr>
      <w:r>
        <w:t xml:space="preserve">Figure </w:t>
      </w:r>
      <w:bookmarkStart w:id="60" w:name="viz-empshare-exp-quint"/>
      <w:r>
        <w:fldChar w:fldCharType="begin"/>
      </w:r>
      <w:r>
        <w:instrText>SEQ fig \* Arabic</w:instrText>
      </w:r>
      <w:r>
        <w:fldChar w:fldCharType="separate"/>
      </w:r>
      <w:r w:rsidR="00082F4E">
        <w:rPr>
          <w:noProof/>
        </w:rPr>
        <w:t>21</w:t>
      </w:r>
      <w:r>
        <w:fldChar w:fldCharType="end"/>
      </w:r>
      <w:bookmarkEnd w:id="60"/>
      <w:r>
        <w:t>: The employment share of the most-exposed occupations has been declining, before and after the introduction of ChatGPT</w:t>
      </w:r>
    </w:p>
    <w:p w14:paraId="518D1A9D" w14:textId="77777777" w:rsidR="001B7662" w:rsidRDefault="00A208A5">
      <w:pPr>
        <w:pStyle w:val="CompactNormal"/>
        <w:jc w:val="center"/>
      </w:pPr>
      <w:r>
        <w:rPr>
          <w:noProof/>
        </w:rPr>
        <w:drawing>
          <wp:inline distT="0" distB="0" distL="0" distR="0" wp14:anchorId="518D1D2F" wp14:editId="55215529">
            <wp:extent cx="5835650" cy="2917825"/>
            <wp:effectExtent l="0" t="0" r="0" b="0"/>
            <wp:docPr id="43" name="Picture 43" descr="Line graph showing percentage share of total employment by quintile of AI exposure from February 2017 to February 2026, with a vertical marker indicating ChatGPT introduction in November 2022. Five color-coded lines represent quintiles from most exposed (dark blue) to least exposed (light green), revealing a slight decline in most exposed employment share - both before and after the introduction of ChatG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Line graph showing percentage share of total employment by quintile of AI exposure from February 2017 to February 2026, with a vertical marker indicating ChatGPT introduction in November 2022. Five color-coded lines represent quintiles from most exposed (dark blue) to least exposed (light green), revealing a slight decline in most exposed employment share - both before and after the introduction of ChatGPT."/>
                    <pic:cNvPicPr>
                      <a:picLocks noChangeAspect="1" noChangeArrowheads="1"/>
                    </pic:cNvPicPr>
                  </pic:nvPicPr>
                  <pic:blipFill>
                    <a:blip r:embed="rId34"/>
                    <a:stretch>
                      <a:fillRect/>
                    </a:stretch>
                  </pic:blipFill>
                  <pic:spPr bwMode="auto">
                    <a:xfrm>
                      <a:off x="0" y="0"/>
                      <a:ext cx="5835650" cy="2917825"/>
                    </a:xfrm>
                    <a:prstGeom prst="rect">
                      <a:avLst/>
                    </a:prstGeom>
                    <a:noFill/>
                  </pic:spPr>
                </pic:pic>
              </a:graphicData>
            </a:graphic>
          </wp:inline>
        </w:drawing>
      </w:r>
    </w:p>
    <w:p w14:paraId="518D1A9E" w14:textId="17CA3631" w:rsidR="001B7662" w:rsidRDefault="00A208A5">
      <w:pPr>
        <w:pStyle w:val="BodyText"/>
      </w:pPr>
      <w:r>
        <w:t xml:space="preserve">One way to summarise these changes is to examine the percentage point gap between employment shares in the most and least exposed quintiles (Figure </w:t>
      </w:r>
      <w:hyperlink w:anchor="viz-empsharediff-topbottom-quint" w:history="1">
        <w:r>
          <w:fldChar w:fldCharType="begin"/>
        </w:r>
        <w:r>
          <w:instrText xml:space="preserve"> REF viz-empsharediff-topbottom-quint \h</w:instrText>
        </w:r>
        <w:r>
          <w:fldChar w:fldCharType="separate"/>
        </w:r>
        <w:r w:rsidR="00082F4E">
          <w:rPr>
            <w:noProof/>
          </w:rPr>
          <w:t>22</w:t>
        </w:r>
        <w:r>
          <w:fldChar w:fldCharType="end"/>
        </w:r>
      </w:hyperlink>
      <w:r>
        <w:t>). This measure captures the net movement at the two extremes of the exposure distribution. The gap is currently outside its typical pre-COVID range.</w:t>
      </w:r>
    </w:p>
    <w:p w14:paraId="518D1A9F" w14:textId="77777777" w:rsidR="001B7662" w:rsidRDefault="00A208A5">
      <w:pPr>
        <w:pStyle w:val="BodyText"/>
      </w:pPr>
      <w:r>
        <w:t>However, this descriptive analysis cannot tell us how much, if any, of the narrowing is related to the introduction of ChatGPT. Because the decline in the most exposed occupations has largely followed its pre-existing trend, it is difficult to distinguish any ChatGPT-related change from trends that were already in train. See the next chapter for more in-depth analysis of the exposure–employment relationship.</w:t>
      </w:r>
    </w:p>
    <w:p w14:paraId="518D1AA0" w14:textId="254CDC5B" w:rsidR="001B7662" w:rsidRDefault="00A208A5">
      <w:pPr>
        <w:pStyle w:val="ImageCaption"/>
      </w:pPr>
      <w:r>
        <w:lastRenderedPageBreak/>
        <w:t xml:space="preserve">Figure </w:t>
      </w:r>
      <w:bookmarkStart w:id="61" w:name="viz-empsharediff-topbottom-quint"/>
      <w:r>
        <w:fldChar w:fldCharType="begin"/>
      </w:r>
      <w:r>
        <w:instrText>SEQ fig \* Arabic</w:instrText>
      </w:r>
      <w:r>
        <w:fldChar w:fldCharType="separate"/>
      </w:r>
      <w:r w:rsidR="00082F4E">
        <w:rPr>
          <w:noProof/>
        </w:rPr>
        <w:t>22</w:t>
      </w:r>
      <w:r>
        <w:fldChar w:fldCharType="end"/>
      </w:r>
      <w:bookmarkEnd w:id="61"/>
      <w:r>
        <w:t>: The gap between the share of most- and least-exposed occupations has narrowed</w:t>
      </w:r>
    </w:p>
    <w:p w14:paraId="518D1AA1" w14:textId="77777777" w:rsidR="001B7662" w:rsidRDefault="00A208A5">
      <w:pPr>
        <w:pStyle w:val="CompactNormal"/>
        <w:jc w:val="center"/>
      </w:pPr>
      <w:r>
        <w:rPr>
          <w:noProof/>
        </w:rPr>
        <w:drawing>
          <wp:inline distT="0" distB="0" distL="0" distR="0" wp14:anchorId="518D1D31" wp14:editId="7317DD7B">
            <wp:extent cx="5835650" cy="2917825"/>
            <wp:effectExtent l="0" t="0" r="0" b="0"/>
            <wp:docPr id="45" name="Picture 45" descr="Line graph showing difference in share of total employment between most- and least-exposed occupations from 2000 to 2026. Key markers include value of 8.3 in November 2022 at the introduction of ChatGPT, average value of 8.5 for 2010-2020 and a value of 7.4 in Februar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Line graph showing difference in share of total employment between most- and least-exposed occupations from 2000 to 2026. Key markers include value of 8.3 in November 2022 at the introduction of ChatGPT, average value of 8.5 for 2010-2020 and a value of 7.4 in February 2026."/>
                    <pic:cNvPicPr>
                      <a:picLocks noChangeAspect="1" noChangeArrowheads="1"/>
                    </pic:cNvPicPr>
                  </pic:nvPicPr>
                  <pic:blipFill>
                    <a:blip r:embed="rId35"/>
                    <a:stretch>
                      <a:fillRect/>
                    </a:stretch>
                  </pic:blipFill>
                  <pic:spPr bwMode="auto">
                    <a:xfrm>
                      <a:off x="0" y="0"/>
                      <a:ext cx="5835650" cy="2917825"/>
                    </a:xfrm>
                    <a:prstGeom prst="rect">
                      <a:avLst/>
                    </a:prstGeom>
                    <a:noFill/>
                  </pic:spPr>
                </pic:pic>
              </a:graphicData>
            </a:graphic>
          </wp:inline>
        </w:drawing>
      </w:r>
    </w:p>
    <w:p w14:paraId="518D1AA2" w14:textId="77777777" w:rsidR="001B7662" w:rsidRDefault="00A208A5">
      <w:pPr>
        <w:pStyle w:val="Heading3"/>
      </w:pPr>
      <w:bookmarkStart w:id="62" w:name="vacancies-by-exposure-quintile"/>
      <w:bookmarkEnd w:id="56"/>
      <w:r>
        <w:t>Vacancies by exposure quintile</w:t>
      </w:r>
    </w:p>
    <w:p w14:paraId="518D1AA3" w14:textId="77777777" w:rsidR="001B7662" w:rsidRDefault="00A208A5">
      <w:r>
        <w:t>Job advertisements can adjust faster than employment and hours worked and may therefore provide an early indication of future employment effects. We measure the number of job advertisements using the Internet Vacancy Index (IVI)</w:t>
      </w:r>
      <w:r>
        <w:rPr>
          <w:rStyle w:val="FootnoteReference"/>
        </w:rPr>
        <w:footnoteReference w:id="56"/>
      </w:r>
      <w:r>
        <w:t xml:space="preserve"> and group occupations into exposure quintiles using the JSA AI automation exposure scores.</w:t>
      </w:r>
    </w:p>
    <w:p w14:paraId="518D1AA4" w14:textId="1B595D48" w:rsidR="001B7662" w:rsidRDefault="00A208A5">
      <w:pPr>
        <w:pStyle w:val="BodyText"/>
      </w:pPr>
      <w:r>
        <w:t xml:space="preserve">In the period before November 2022, vacancies were rising sharply across all exposure quintiles (Figure </w:t>
      </w:r>
      <w:hyperlink w:anchor="viz-ivi-exp-quint" w:history="1">
        <w:r>
          <w:fldChar w:fldCharType="begin"/>
        </w:r>
        <w:r>
          <w:instrText xml:space="preserve"> REF viz-ivi-exp-quint \h</w:instrText>
        </w:r>
        <w:r>
          <w:fldChar w:fldCharType="separate"/>
        </w:r>
        <w:r w:rsidR="00082F4E">
          <w:rPr>
            <w:noProof/>
          </w:rPr>
          <w:t>23</w:t>
        </w:r>
        <w:r>
          <w:fldChar w:fldCharType="end"/>
        </w:r>
      </w:hyperlink>
      <w:r>
        <w:t xml:space="preserve">). However, there has been a subsequent broad decline. All quintiles experienced declines of at least 37%. As much of the earlier vacancy growth may be a result of the post-COVID recovery hiring boom, it is not clear how much of the decline may be due to the impacts of AI or simply post-COVID normalisation. However, as </w:t>
      </w:r>
      <w:proofErr w:type="gramStart"/>
      <w:r>
        <w:t>at</w:t>
      </w:r>
      <w:proofErr w:type="gramEnd"/>
      <w:r>
        <w:t xml:space="preserve"> February 2026, vacancies for the most exposed occupations were </w:t>
      </w:r>
      <w:proofErr w:type="gramStart"/>
      <w:r>
        <w:t>similar to</w:t>
      </w:r>
      <w:proofErr w:type="gramEnd"/>
      <w:r>
        <w:t xml:space="preserve"> their pre-COVID levels, while the least exposed occupations are further above pre-COVID levels.</w:t>
      </w:r>
    </w:p>
    <w:p w14:paraId="518D1AA5" w14:textId="2A216A31" w:rsidR="001B7662" w:rsidRDefault="00A208A5">
      <w:pPr>
        <w:pStyle w:val="ImageCaption"/>
      </w:pPr>
      <w:r>
        <w:lastRenderedPageBreak/>
        <w:t xml:space="preserve">Figure </w:t>
      </w:r>
      <w:bookmarkStart w:id="63" w:name="viz-ivi-exp-quint"/>
      <w:r>
        <w:fldChar w:fldCharType="begin"/>
      </w:r>
      <w:r>
        <w:instrText>SEQ fig \* Arabic</w:instrText>
      </w:r>
      <w:r>
        <w:fldChar w:fldCharType="separate"/>
      </w:r>
      <w:r w:rsidR="00082F4E">
        <w:rPr>
          <w:noProof/>
        </w:rPr>
        <w:t>23</w:t>
      </w:r>
      <w:r>
        <w:fldChar w:fldCharType="end"/>
      </w:r>
      <w:bookmarkEnd w:id="63"/>
      <w:r>
        <w:t>: Job advertisements have fallen in all exposure groups, with high-exposure occupations back near pre-COVID levels</w:t>
      </w:r>
    </w:p>
    <w:p w14:paraId="518D1AA6" w14:textId="77777777" w:rsidR="001B7662" w:rsidRDefault="00A208A5">
      <w:pPr>
        <w:pStyle w:val="CompactNormal"/>
        <w:jc w:val="center"/>
      </w:pPr>
      <w:r>
        <w:rPr>
          <w:noProof/>
        </w:rPr>
        <w:drawing>
          <wp:inline distT="0" distB="0" distL="0" distR="0" wp14:anchorId="518D1D33" wp14:editId="706F92D2">
            <wp:extent cx="5835650" cy="2917825"/>
            <wp:effectExtent l="0" t="0" r="0" b="0"/>
            <wp:docPr id="47" name="Picture 47" descr="Line chart showing internet vacancy index job ads by quintile of AI exposure (Nov 22 = 100). Job advertisements have fallen in all exposure groups, with high-exposure occupations back near pre-COVID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Line chart showing internet vacancy index job ads by quintile of AI exposure (Nov 22 = 100). Job advertisements have fallen in all exposure groups, with high-exposure occupations back near pre-COVID levels."/>
                    <pic:cNvPicPr>
                      <a:picLocks noChangeAspect="1" noChangeArrowheads="1"/>
                    </pic:cNvPicPr>
                  </pic:nvPicPr>
                  <pic:blipFill>
                    <a:blip r:embed="rId36"/>
                    <a:stretch>
                      <a:fillRect/>
                    </a:stretch>
                  </pic:blipFill>
                  <pic:spPr bwMode="auto">
                    <a:xfrm>
                      <a:off x="0" y="0"/>
                      <a:ext cx="5835650" cy="2917825"/>
                    </a:xfrm>
                    <a:prstGeom prst="rect">
                      <a:avLst/>
                    </a:prstGeom>
                    <a:noFill/>
                  </pic:spPr>
                </pic:pic>
              </a:graphicData>
            </a:graphic>
          </wp:inline>
        </w:drawing>
      </w:r>
    </w:p>
    <w:p w14:paraId="518D1AA7" w14:textId="7F25FBFC" w:rsidR="001B7662" w:rsidRDefault="00A208A5">
      <w:pPr>
        <w:pStyle w:val="BodyText"/>
      </w:pPr>
      <w:r>
        <w:t xml:space="preserve">We convert the IVI data to growth rates and focus on the difference in growth between the most and least exposed occupations. Since November 2022 the job advertisements growth gap has been consistently negative (Figure </w:t>
      </w:r>
      <w:hyperlink w:anchor="viz-ividiff-topbottom-quint" w:history="1">
        <w:r>
          <w:fldChar w:fldCharType="begin"/>
        </w:r>
        <w:r>
          <w:instrText xml:space="preserve"> REF viz-ividiff-topbottom-quint \h</w:instrText>
        </w:r>
        <w:r>
          <w:fldChar w:fldCharType="separate"/>
        </w:r>
        <w:r w:rsidR="00082F4E">
          <w:rPr>
            <w:noProof/>
          </w:rPr>
          <w:t>24</w:t>
        </w:r>
        <w:r>
          <w:fldChar w:fldCharType="end"/>
        </w:r>
      </w:hyperlink>
      <w:r>
        <w:t xml:space="preserve">). While the size of this gap is within the typical pre-COVID range, persistent gaps in growth can produce effects that accumulate over time. It is important to note that the statistical modelling in the </w:t>
      </w:r>
      <w:hyperlink w:anchor="core-model">
        <w:r>
          <w:rPr>
            <w:rStyle w:val="Hyperlink"/>
          </w:rPr>
          <w:t>next chapter</w:t>
        </w:r>
      </w:hyperlink>
      <w:r>
        <w:t xml:space="preserve"> suggests that this may continue a pre-ChatGPT trend of slower growth in job advertisements for the most exposed occupations.</w:t>
      </w:r>
    </w:p>
    <w:p w14:paraId="518D1AA8" w14:textId="6F932361" w:rsidR="001B7662" w:rsidRDefault="00A208A5">
      <w:pPr>
        <w:pStyle w:val="ImageCaption"/>
      </w:pPr>
      <w:r>
        <w:t xml:space="preserve">Figure </w:t>
      </w:r>
      <w:bookmarkStart w:id="64" w:name="viz-ividiff-topbottom-quint"/>
      <w:r>
        <w:fldChar w:fldCharType="begin"/>
      </w:r>
      <w:r>
        <w:instrText>SEQ fig \* Arabic</w:instrText>
      </w:r>
      <w:r>
        <w:fldChar w:fldCharType="separate"/>
      </w:r>
      <w:r w:rsidR="00082F4E">
        <w:rPr>
          <w:noProof/>
        </w:rPr>
        <w:t>24</w:t>
      </w:r>
      <w:r>
        <w:fldChar w:fldCharType="end"/>
      </w:r>
      <w:bookmarkEnd w:id="64"/>
      <w:r>
        <w:t>: Job advertisements in high-exposure occupations have fallen more than low-exposure occupations</w:t>
      </w:r>
    </w:p>
    <w:p w14:paraId="518D1AA9" w14:textId="77777777" w:rsidR="001B7662" w:rsidRDefault="00A208A5">
      <w:pPr>
        <w:pStyle w:val="CompactNormal"/>
        <w:jc w:val="center"/>
      </w:pPr>
      <w:r>
        <w:rPr>
          <w:noProof/>
        </w:rPr>
        <w:drawing>
          <wp:inline distT="0" distB="0" distL="0" distR="0" wp14:anchorId="518D1D35" wp14:editId="578BA235">
            <wp:extent cx="5835650" cy="2917825"/>
            <wp:effectExtent l="0" t="0" r="0" b="0"/>
            <wp:docPr id="49" name="Picture 49" descr="Line graph showing difference in job ads growth between most exposed and least exposed occupations from 2010 to 2026, with data fluctuating around zero until a sharp drop near 2021 followed by partial recovery. Key elements include average value of -0.2  2010-2020 in purple, a vertical marker for ChatGPT introduction in November 2022 (value of -2.2) and value for February 2026 of -4.2. Job advertisements in high-exposure occupations have fallen more than low-exposure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Line graph showing difference in job ads growth between most exposed and least exposed occupations from 2010 to 2026, with data fluctuating around zero until a sharp drop near 2021 followed by partial recovery. Key elements include average value of -0.2  2010-2020 in purple, a vertical marker for ChatGPT introduction in November 2022 (value of -2.2) and value for February 2026 of -4.2. Job advertisements in high-exposure occupations have fallen more than low-exposure occupations."/>
                    <pic:cNvPicPr>
                      <a:picLocks noChangeAspect="1" noChangeArrowheads="1"/>
                    </pic:cNvPicPr>
                  </pic:nvPicPr>
                  <pic:blipFill>
                    <a:blip r:embed="rId37"/>
                    <a:stretch>
                      <a:fillRect/>
                    </a:stretch>
                  </pic:blipFill>
                  <pic:spPr bwMode="auto">
                    <a:xfrm>
                      <a:off x="0" y="0"/>
                      <a:ext cx="5835650" cy="2917825"/>
                    </a:xfrm>
                    <a:prstGeom prst="rect">
                      <a:avLst/>
                    </a:prstGeom>
                    <a:noFill/>
                  </pic:spPr>
                </pic:pic>
              </a:graphicData>
            </a:graphic>
          </wp:inline>
        </w:drawing>
      </w:r>
    </w:p>
    <w:p w14:paraId="518D1AAA" w14:textId="77777777" w:rsidR="001B7662" w:rsidRDefault="00A208A5">
      <w:pPr>
        <w:pStyle w:val="Heading3"/>
      </w:pPr>
      <w:bookmarkStart w:id="65" w:name="unemployment-by-exposure-quintile"/>
      <w:bookmarkEnd w:id="62"/>
      <w:r>
        <w:lastRenderedPageBreak/>
        <w:t>Unemployment by exposure quintile</w:t>
      </w:r>
    </w:p>
    <w:p w14:paraId="518D1AAB" w14:textId="77777777" w:rsidR="001B7662" w:rsidRDefault="00A208A5">
      <w:r>
        <w:t>As well as tracking employment trends for different occupational groups, we calculate unemployment rates for each quintile of AI exposure.</w:t>
      </w:r>
      <w:r>
        <w:rPr>
          <w:rStyle w:val="FootnoteReference"/>
        </w:rPr>
        <w:footnoteReference w:id="57"/>
      </w:r>
    </w:p>
    <w:p w14:paraId="518D1AAC" w14:textId="5E482843" w:rsidR="001B7662" w:rsidRDefault="00A208A5">
      <w:pPr>
        <w:pStyle w:val="BodyText"/>
      </w:pPr>
      <w:r>
        <w:t xml:space="preserve">Figure </w:t>
      </w:r>
      <w:hyperlink w:anchor="viz-urbyexp" w:history="1">
        <w:r>
          <w:fldChar w:fldCharType="begin"/>
        </w:r>
        <w:r>
          <w:instrText xml:space="preserve"> REF viz-urbyexp \h</w:instrText>
        </w:r>
        <w:r>
          <w:fldChar w:fldCharType="separate"/>
        </w:r>
        <w:r w:rsidR="00082F4E">
          <w:rPr>
            <w:noProof/>
          </w:rPr>
          <w:t>25</w:t>
        </w:r>
        <w:r>
          <w:fldChar w:fldCharType="end"/>
        </w:r>
      </w:hyperlink>
      <w:r>
        <w:t xml:space="preserve"> shows that the unemployment rate for occupations most exposed to automation by AI has risen since late 2022, to a greater degree than other occupational groups. The unemployment rate for the most exposed occupations remains below that for the least exposed, but this gap has closed considerably.</w:t>
      </w:r>
    </w:p>
    <w:p w14:paraId="518D1AAD" w14:textId="634A7B17" w:rsidR="001B7662" w:rsidRDefault="00A208A5">
      <w:pPr>
        <w:pStyle w:val="ImageCaption"/>
      </w:pPr>
      <w:r>
        <w:t xml:space="preserve">Figure </w:t>
      </w:r>
      <w:bookmarkStart w:id="66" w:name="viz-urbyexp"/>
      <w:r>
        <w:fldChar w:fldCharType="begin"/>
      </w:r>
      <w:r>
        <w:instrText>SEQ fig \* Arabic</w:instrText>
      </w:r>
      <w:r>
        <w:fldChar w:fldCharType="separate"/>
      </w:r>
      <w:r w:rsidR="00082F4E">
        <w:rPr>
          <w:noProof/>
        </w:rPr>
        <w:t>25</w:t>
      </w:r>
      <w:r>
        <w:fldChar w:fldCharType="end"/>
      </w:r>
      <w:bookmarkEnd w:id="66"/>
      <w:r>
        <w:t>: Unemployment has risen more for the most exposed occupations</w:t>
      </w:r>
    </w:p>
    <w:p w14:paraId="518D1AAE" w14:textId="77777777" w:rsidR="001B7662" w:rsidRDefault="00A208A5">
      <w:pPr>
        <w:pStyle w:val="CompactNormal"/>
        <w:jc w:val="center"/>
      </w:pPr>
      <w:r>
        <w:rPr>
          <w:noProof/>
        </w:rPr>
        <w:drawing>
          <wp:inline distT="0" distB="0" distL="0" distR="0" wp14:anchorId="518D1D37" wp14:editId="5B984904">
            <wp:extent cx="5835650" cy="2917825"/>
            <wp:effectExtent l="0" t="0" r="0" b="0"/>
            <wp:docPr id="51" name="Picture 51" descr="Line graph displays unemployment rates by occupational AI-exposure quintiles from 2010 to 2025, highlighting a sharp spike around 2020 followed by a decline. Five color-coded lines represent least exposed (dark green), most exposed (blue), and intermediate exposure levels, with a vertical marker indicating ChatGPT introduction. Unemployment has risen more for the most exposed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Line graph displays unemployment rates by occupational AI-exposure quintiles from 2010 to 2025, highlighting a sharp spike around 2020 followed by a decline. Five color-coded lines represent least exposed (dark green), most exposed (blue), and intermediate exposure levels, with a vertical marker indicating ChatGPT introduction. Unemployment has risen more for the most exposed occupations."/>
                    <pic:cNvPicPr>
                      <a:picLocks noChangeAspect="1" noChangeArrowheads="1"/>
                    </pic:cNvPicPr>
                  </pic:nvPicPr>
                  <pic:blipFill>
                    <a:blip r:embed="rId38"/>
                    <a:stretch>
                      <a:fillRect/>
                    </a:stretch>
                  </pic:blipFill>
                  <pic:spPr bwMode="auto">
                    <a:xfrm>
                      <a:off x="0" y="0"/>
                      <a:ext cx="5835650" cy="2917825"/>
                    </a:xfrm>
                    <a:prstGeom prst="rect">
                      <a:avLst/>
                    </a:prstGeom>
                    <a:noFill/>
                  </pic:spPr>
                </pic:pic>
              </a:graphicData>
            </a:graphic>
          </wp:inline>
        </w:drawing>
      </w:r>
    </w:p>
    <w:p w14:paraId="518D1AAF" w14:textId="467F2C85" w:rsidR="001B7662" w:rsidRDefault="00A208A5">
      <w:pPr>
        <w:pStyle w:val="BodyText"/>
      </w:pPr>
      <w:r>
        <w:t xml:space="preserve">Figure </w:t>
      </w:r>
      <w:hyperlink w:anchor="viz-unempdiff-topbottom-quint" w:history="1">
        <w:r>
          <w:fldChar w:fldCharType="begin"/>
        </w:r>
        <w:r>
          <w:instrText xml:space="preserve"> REF viz-unempdiff-topbottom-quint \h</w:instrText>
        </w:r>
        <w:r>
          <w:fldChar w:fldCharType="separate"/>
        </w:r>
        <w:r w:rsidR="00082F4E">
          <w:rPr>
            <w:noProof/>
          </w:rPr>
          <w:t>26</w:t>
        </w:r>
        <w:r>
          <w:fldChar w:fldCharType="end"/>
        </w:r>
      </w:hyperlink>
      <w:r>
        <w:t xml:space="preserve"> shows the gap between the unemployment rates for the most- and least-exposed fifth of occupations. In the pre-COVID period, this gap was typically between -1.5 and -2 percentage points but has been moving towards zero since around the start of the pandemic and is now at a level not seen in at least the last 20 years. The gap is still negative, meaning that unemployed workers in the most exposed occupations represent a smaller share of the corresponding workforce than for the least exposed workers. The recent narrowing of this gap is more due to an increasing unemployment rate for most exposed workers, rather than a reduction among least exposed workers.</w:t>
      </w:r>
    </w:p>
    <w:p w14:paraId="518D1AB0" w14:textId="77777777" w:rsidR="001B7662" w:rsidRDefault="00A208A5">
      <w:pPr>
        <w:pStyle w:val="BodyText"/>
      </w:pPr>
      <w:r>
        <w:t>It is worth noting that the unemployment rate gap between the most- and least-exposed occupations was already shrinking prior to the introduction of ChatGPT. In November 2022, the unemployment rate gap between the top and bottom exposure quintiles was -1.2 percentage points – outside the typical pre-COVID range. It is possible the further falls in the gap are, at least in part, a continuation of pre-AI trends rather than induced by AI.</w:t>
      </w:r>
    </w:p>
    <w:p w14:paraId="518D1AB1" w14:textId="2103C1A5" w:rsidR="001B7662" w:rsidRDefault="00A208A5">
      <w:pPr>
        <w:pStyle w:val="ImageCaption"/>
      </w:pPr>
      <w:r>
        <w:lastRenderedPageBreak/>
        <w:t xml:space="preserve">Figure </w:t>
      </w:r>
      <w:bookmarkStart w:id="67" w:name="viz-unempdiff-topbottom-quint"/>
      <w:r>
        <w:fldChar w:fldCharType="begin"/>
      </w:r>
      <w:r>
        <w:instrText>SEQ fig \* Arabic</w:instrText>
      </w:r>
      <w:r>
        <w:fldChar w:fldCharType="separate"/>
      </w:r>
      <w:r w:rsidR="00082F4E">
        <w:rPr>
          <w:noProof/>
        </w:rPr>
        <w:t>26</w:t>
      </w:r>
      <w:r>
        <w:fldChar w:fldCharType="end"/>
      </w:r>
      <w:bookmarkEnd w:id="67"/>
      <w:r>
        <w:t>: The gap in unemployment rates between most and least exposed occupations has almost closed</w:t>
      </w:r>
    </w:p>
    <w:p w14:paraId="518D1AB2" w14:textId="77777777" w:rsidR="001B7662" w:rsidRDefault="00A208A5">
      <w:pPr>
        <w:pStyle w:val="CompactNormal"/>
        <w:jc w:val="center"/>
      </w:pPr>
      <w:r>
        <w:rPr>
          <w:noProof/>
        </w:rPr>
        <w:drawing>
          <wp:inline distT="0" distB="0" distL="0" distR="0" wp14:anchorId="518D1D39" wp14:editId="540C2F31">
            <wp:extent cx="5835650" cy="2917825"/>
            <wp:effectExtent l="0" t="0" r="0" b="0"/>
            <wp:docPr id="53" name="Picture 53" descr="Line graph showing difference in unemployment rate between most exposed and least exposed occupations from 2008 to 2025, with data points marked for November 2022 (-1.2) and November 2025 (-0.2). Graph includes average value of -1.7 2010-2020 and vertical line marking ChatGPT introduction, highlighting a sharp drop in difference after 2022. The gap in unemployment rates between most and least exposed occupations has almost cl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Line graph showing difference in unemployment rate between most exposed and least exposed occupations from 2008 to 2025, with data points marked for November 2022 (-1.2) and November 2025 (-0.2). Graph includes average value of -1.7 2010-2020 and vertical line marking ChatGPT introduction, highlighting a sharp drop in difference after 2022. The gap in unemployment rates between most and least exposed occupations has almost closed."/>
                    <pic:cNvPicPr>
                      <a:picLocks noChangeAspect="1" noChangeArrowheads="1"/>
                    </pic:cNvPicPr>
                  </pic:nvPicPr>
                  <pic:blipFill>
                    <a:blip r:embed="rId39"/>
                    <a:stretch>
                      <a:fillRect/>
                    </a:stretch>
                  </pic:blipFill>
                  <pic:spPr bwMode="auto">
                    <a:xfrm>
                      <a:off x="0" y="0"/>
                      <a:ext cx="5835650" cy="2917825"/>
                    </a:xfrm>
                    <a:prstGeom prst="rect">
                      <a:avLst/>
                    </a:prstGeom>
                    <a:noFill/>
                  </pic:spPr>
                </pic:pic>
              </a:graphicData>
            </a:graphic>
          </wp:inline>
        </w:drawing>
      </w:r>
    </w:p>
    <w:p w14:paraId="518D1AB3" w14:textId="3835CDC4" w:rsidR="001B7662" w:rsidRDefault="00A208A5">
      <w:pPr>
        <w:pStyle w:val="BodyText"/>
      </w:pPr>
      <w:r>
        <w:t xml:space="preserve">To better understand these trends in unemployment, we examine the ANZSCO major occupational groups to understand what may be contributing to the rising unemployment rate for the most exposed occupations in Figure </w:t>
      </w:r>
      <w:hyperlink w:anchor="viz-urbyexp" w:history="1">
        <w:r>
          <w:fldChar w:fldCharType="begin"/>
        </w:r>
        <w:r>
          <w:instrText xml:space="preserve"> REF viz-urbyexp \h</w:instrText>
        </w:r>
        <w:r>
          <w:fldChar w:fldCharType="separate"/>
        </w:r>
        <w:r w:rsidR="00082F4E">
          <w:rPr>
            <w:noProof/>
          </w:rPr>
          <w:t>25</w:t>
        </w:r>
        <w:r>
          <w:fldChar w:fldCharType="end"/>
        </w:r>
      </w:hyperlink>
      <w:r>
        <w:t>.</w:t>
      </w:r>
      <w:r>
        <w:rPr>
          <w:rStyle w:val="FootnoteReference"/>
        </w:rPr>
        <w:footnoteReference w:id="58"/>
      </w:r>
      <w:r>
        <w:t xml:space="preserve"> Two groups which include a number of highly exposed occupations are Clerical and Administrative Workers and Professionals, both of which have seen their respective unemployment rates return to pre-COVID levels (Figure </w:t>
      </w:r>
      <w:hyperlink w:anchor="viz-ur-by-occ" w:history="1">
        <w:r>
          <w:fldChar w:fldCharType="begin"/>
        </w:r>
        <w:r>
          <w:instrText xml:space="preserve"> REF viz-ur-by-occ \h</w:instrText>
        </w:r>
        <w:r>
          <w:fldChar w:fldCharType="separate"/>
        </w:r>
        <w:r w:rsidR="00082F4E">
          <w:rPr>
            <w:noProof/>
          </w:rPr>
          <w:t>27</w:t>
        </w:r>
        <w:r>
          <w:fldChar w:fldCharType="end"/>
        </w:r>
      </w:hyperlink>
      <w:r>
        <w:t>). In contrast, other occupation groups have had stable or more modest increases in unemployment rates since November 2022.</w:t>
      </w:r>
    </w:p>
    <w:p w14:paraId="518D1AB4" w14:textId="31E73B35" w:rsidR="001B7662" w:rsidRDefault="00A208A5">
      <w:pPr>
        <w:pStyle w:val="ImageCaption"/>
      </w:pPr>
      <w:r>
        <w:lastRenderedPageBreak/>
        <w:t xml:space="preserve">Figure </w:t>
      </w:r>
      <w:bookmarkStart w:id="68" w:name="viz-ur-by-occ"/>
      <w:r>
        <w:fldChar w:fldCharType="begin"/>
      </w:r>
      <w:r>
        <w:instrText>SEQ fig \* Arabic</w:instrText>
      </w:r>
      <w:r>
        <w:fldChar w:fldCharType="separate"/>
      </w:r>
      <w:r w:rsidR="00082F4E">
        <w:rPr>
          <w:noProof/>
        </w:rPr>
        <w:t>27</w:t>
      </w:r>
      <w:r>
        <w:fldChar w:fldCharType="end"/>
      </w:r>
      <w:bookmarkEnd w:id="68"/>
      <w:r>
        <w:t>: The unemployment rates for Professionals and Clerical and Administrative Workers have risen to pre-COVID levels</w:t>
      </w:r>
    </w:p>
    <w:p w14:paraId="518D1AB5" w14:textId="77777777" w:rsidR="001B7662" w:rsidRDefault="00A208A5">
      <w:pPr>
        <w:pStyle w:val="CompactNormal"/>
        <w:jc w:val="center"/>
      </w:pPr>
      <w:r>
        <w:rPr>
          <w:noProof/>
        </w:rPr>
        <w:drawing>
          <wp:inline distT="0" distB="0" distL="0" distR="0" wp14:anchorId="518D1D3B" wp14:editId="40D60C93">
            <wp:extent cx="5835650" cy="4297680"/>
            <wp:effectExtent l="0" t="0" r="0" b="0"/>
            <wp:docPr id="55" name="Picture 55" descr="A set of eight line graphs showing unemployment rates by occupation from February 2016 to February 2026, with data segmented into Clerical and Administrative Workers, Community and Personal Service Workers, Labourers, Machinery Operators and Drivers, Managers, Professionals, Sales Workers, and Technicians and Trades Workers. Each graph uses distinct colours and highlights a notable unemployment spike around COVID, followed by a gradual decline across most occupations. The unemployment rates for Professionals and Clerical and Administrative Workers have risen to pre-COVID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set of eight line graphs showing unemployment rates by occupation from February 2016 to February 2026, with data segmented into Clerical and Administrative Workers, Community and Personal Service Workers, Labourers, Machinery Operators and Drivers, Managers, Professionals, Sales Workers, and Technicians and Trades Workers. Each graph uses distinct colours and highlights a notable unemployment spike around COVID, followed by a gradual decline across most occupations. The unemployment rates for Professionals and Clerical and Administrative Workers have risen to pre-COVID levels."/>
                    <pic:cNvPicPr>
                      <a:picLocks noChangeAspect="1" noChangeArrowheads="1"/>
                    </pic:cNvPicPr>
                  </pic:nvPicPr>
                  <pic:blipFill>
                    <a:blip r:embed="rId40"/>
                    <a:stretch>
                      <a:fillRect/>
                    </a:stretch>
                  </pic:blipFill>
                  <pic:spPr bwMode="auto">
                    <a:xfrm>
                      <a:off x="0" y="0"/>
                      <a:ext cx="5835650" cy="4297680"/>
                    </a:xfrm>
                    <a:prstGeom prst="rect">
                      <a:avLst/>
                    </a:prstGeom>
                    <a:noFill/>
                  </pic:spPr>
                </pic:pic>
              </a:graphicData>
            </a:graphic>
          </wp:inline>
        </w:drawing>
      </w:r>
    </w:p>
    <w:p w14:paraId="518D1AB6" w14:textId="77777777" w:rsidR="001B7662" w:rsidRDefault="00A208A5">
      <w:pPr>
        <w:pStyle w:val="BodyText"/>
      </w:pPr>
      <w:r>
        <w:t>Taken together, the data suggests a possible weakening of conditions for the most-exposed occupations, though there was evidence of some decline beginning well before the introduction of ChatGPT. Outcomes are varied – not all highly exposed occupations have grown more slowly in recent years – but in aggregate there is some sign of relative softening in highly exposed occupations relative to others.</w:t>
      </w:r>
    </w:p>
    <w:p w14:paraId="518D1AB7" w14:textId="7CFFACB9" w:rsidR="001B7662" w:rsidRDefault="00A208A5">
      <w:pPr>
        <w:pStyle w:val="BodyText"/>
      </w:pPr>
      <w:proofErr w:type="gramStart"/>
      <w:r>
        <w:t>A number of</w:t>
      </w:r>
      <w:proofErr w:type="gramEnd"/>
      <w:r>
        <w:t xml:space="preserve"> indicators comparing most- and least-exposed occupations are summarised in Figure </w:t>
      </w:r>
      <w:hyperlink w:anchor="viz-dashboard-exposure" w:history="1">
        <w:r>
          <w:fldChar w:fldCharType="begin"/>
        </w:r>
        <w:r>
          <w:instrText xml:space="preserve"> REF viz-dashboard-exposure \h</w:instrText>
        </w:r>
        <w:r>
          <w:fldChar w:fldCharType="separate"/>
        </w:r>
        <w:r w:rsidR="00082F4E">
          <w:rPr>
            <w:noProof/>
          </w:rPr>
          <w:t>28</w:t>
        </w:r>
        <w:r>
          <w:fldChar w:fldCharType="end"/>
        </w:r>
      </w:hyperlink>
      <w:r>
        <w:t xml:space="preserve">. The most concerning signs come from the gap in share of total employment and the gap in unemployment rate being at the most extreme values since 2010. The </w:t>
      </w:r>
      <w:hyperlink w:anchor="core-model">
        <w:r>
          <w:rPr>
            <w:rStyle w:val="Hyperlink"/>
          </w:rPr>
          <w:t>statistical model</w:t>
        </w:r>
      </w:hyperlink>
      <w:r>
        <w:t xml:space="preserve"> chapter explores in more detail how employment growth varies across occupations of different exposure scores, and whether this relationship has changed since November 2022.</w:t>
      </w:r>
    </w:p>
    <w:p w14:paraId="518D1AB8" w14:textId="5C792D45" w:rsidR="001B7662" w:rsidRDefault="00A208A5">
      <w:pPr>
        <w:pStyle w:val="ImageCaption"/>
      </w:pPr>
      <w:r>
        <w:lastRenderedPageBreak/>
        <w:t xml:space="preserve">Figure </w:t>
      </w:r>
      <w:bookmarkStart w:id="69" w:name="viz-dashboard-exposure"/>
      <w:r>
        <w:fldChar w:fldCharType="begin"/>
      </w:r>
      <w:r>
        <w:instrText>SEQ fig \* Arabic</w:instrText>
      </w:r>
      <w:r>
        <w:fldChar w:fldCharType="separate"/>
      </w:r>
      <w:r w:rsidR="00082F4E">
        <w:rPr>
          <w:noProof/>
        </w:rPr>
        <w:t>28</w:t>
      </w:r>
      <w:r>
        <w:fldChar w:fldCharType="end"/>
      </w:r>
      <w:bookmarkEnd w:id="69"/>
      <w:r>
        <w:t>: More-exposed occupations are growing more slowly than less exposed occupations on some measures</w:t>
      </w:r>
    </w:p>
    <w:p w14:paraId="518D1AB9" w14:textId="77777777" w:rsidR="001B7662" w:rsidRDefault="00A208A5">
      <w:pPr>
        <w:pStyle w:val="CompactNormal"/>
        <w:jc w:val="center"/>
      </w:pPr>
      <w:r>
        <w:rPr>
          <w:noProof/>
        </w:rPr>
        <w:drawing>
          <wp:inline distT="0" distB="0" distL="0" distR="0" wp14:anchorId="518D1D3D" wp14:editId="01ABB6C2">
            <wp:extent cx="5835650" cy="2917825"/>
            <wp:effectExtent l="0" t="0" r="0" b="0"/>
            <wp:docPr id="57" name="Picture 57" descr="A plot summarise indicators for AI-exposed occupations across five metrics, showing gaps between high- and low-exposure groups in job ads growth, employment growth, hours worked growth, unemployment, and employment share. Data points include pre-COVID average, November 2022 level, and latest value. More exposed occupations are growing more slowly than less exposed occupations on some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lot summarise indicators for AI-exposed occupations across five metrics, showing gaps between high- and low-exposure groups in job ads growth, employment growth, hours worked growth, unemployment, and employment share. Data points include pre-COVID average, November 2022 level, and latest value. More exposed occupations are growing more slowly than less exposed occupations on some measures."/>
                    <pic:cNvPicPr>
                      <a:picLocks noChangeAspect="1" noChangeArrowheads="1"/>
                    </pic:cNvPicPr>
                  </pic:nvPicPr>
                  <pic:blipFill>
                    <a:blip r:embed="rId41"/>
                    <a:stretch>
                      <a:fillRect/>
                    </a:stretch>
                  </pic:blipFill>
                  <pic:spPr bwMode="auto">
                    <a:xfrm>
                      <a:off x="0" y="0"/>
                      <a:ext cx="5835650" cy="2917825"/>
                    </a:xfrm>
                    <a:prstGeom prst="rect">
                      <a:avLst/>
                    </a:prstGeom>
                    <a:noFill/>
                  </pic:spPr>
                </pic:pic>
              </a:graphicData>
            </a:graphic>
          </wp:inline>
        </w:drawing>
      </w:r>
    </w:p>
    <w:p w14:paraId="518D1ABA" w14:textId="77777777" w:rsidR="001B7662" w:rsidRDefault="00A208A5">
      <w:pPr>
        <w:pStyle w:val="Heading2"/>
      </w:pPr>
      <w:bookmarkStart w:id="70" w:name="_Toc232612081"/>
      <w:bookmarkStart w:id="71" w:name="desc-tasks-framework"/>
      <w:bookmarkEnd w:id="52"/>
      <w:bookmarkEnd w:id="65"/>
      <w:r>
        <w:t>Routine cognitive jobs were declining prior to the release of ChatGPT</w:t>
      </w:r>
      <w:bookmarkEnd w:id="70"/>
    </w:p>
    <w:p w14:paraId="518D1ABB" w14:textId="0EB4D279" w:rsidR="001B7662" w:rsidRDefault="00A208A5">
      <w:r>
        <w:t xml:space="preserve">A </w:t>
      </w:r>
      <w:r w:rsidR="00E02A16">
        <w:t>widely used</w:t>
      </w:r>
      <w:r>
        <w:t xml:space="preserve"> framework in labour economics classifies tasks and occupations according to whether they are ‘routine’ or ‘non-routine’ on one dimension, and ‘manual’ or ‘cognitive’ on another. This framework </w:t>
      </w:r>
      <w:proofErr w:type="gramStart"/>
      <w:r>
        <w:t>sorts</w:t>
      </w:r>
      <w:proofErr w:type="gramEnd"/>
      <w:r>
        <w:t xml:space="preserve"> tasks and jobs into 4 groups.</w:t>
      </w:r>
      <w:r>
        <w:rPr>
          <w:rStyle w:val="FootnoteReference"/>
        </w:rPr>
        <w:footnoteReference w:id="59"/>
      </w:r>
      <w:r>
        <w:t xml:space="preserve"> We use this ‘tasks framework’ to group occupations into 4 categories:</w:t>
      </w:r>
    </w:p>
    <w:p w14:paraId="518D1ABC" w14:textId="77777777" w:rsidR="001B7662" w:rsidRDefault="00A208A5" w:rsidP="00A208A5">
      <w:pPr>
        <w:pStyle w:val="Compact"/>
        <w:numPr>
          <w:ilvl w:val="0"/>
          <w:numId w:val="13"/>
        </w:numPr>
      </w:pPr>
      <w:r>
        <w:t>Routine cognitive (such as receptionists and keyboard operators)</w:t>
      </w:r>
    </w:p>
    <w:p w14:paraId="518D1ABD" w14:textId="77777777" w:rsidR="001B7662" w:rsidRDefault="00A208A5" w:rsidP="00A208A5">
      <w:pPr>
        <w:pStyle w:val="Compact"/>
        <w:numPr>
          <w:ilvl w:val="0"/>
          <w:numId w:val="13"/>
        </w:numPr>
      </w:pPr>
      <w:r>
        <w:t>Non-routine cognitive (such as managers and economists)</w:t>
      </w:r>
    </w:p>
    <w:p w14:paraId="518D1ABE" w14:textId="77777777" w:rsidR="001B7662" w:rsidRDefault="00A208A5" w:rsidP="00A208A5">
      <w:pPr>
        <w:pStyle w:val="Compact"/>
        <w:numPr>
          <w:ilvl w:val="0"/>
          <w:numId w:val="13"/>
        </w:numPr>
      </w:pPr>
      <w:r>
        <w:t>Routine manual (such as plumbers and forklift drivers)</w:t>
      </w:r>
    </w:p>
    <w:p w14:paraId="518D1ABF" w14:textId="77777777" w:rsidR="001B7662" w:rsidRDefault="00A208A5" w:rsidP="00A208A5">
      <w:pPr>
        <w:pStyle w:val="Compact"/>
        <w:numPr>
          <w:ilvl w:val="0"/>
          <w:numId w:val="13"/>
        </w:numPr>
      </w:pPr>
      <w:r>
        <w:t>Non-routine manual (such as cooks and sportspersons).</w:t>
      </w:r>
      <w:r>
        <w:rPr>
          <w:rStyle w:val="FootnoteReference"/>
        </w:rPr>
        <w:footnoteReference w:id="60"/>
      </w:r>
    </w:p>
    <w:p w14:paraId="518D1AC0" w14:textId="77777777" w:rsidR="001B7662" w:rsidRDefault="00A208A5">
      <w:r>
        <w:t>Routine jobs are generally thought to be more exposed to automation, as the tasks in these jobs are more predictable and codifiable. Over the last 4 decades in Australia and elsewhere, there has been a shift away from routine jobs towards non-routine jobs, with a particularly large rise in the share of non-routine cognitive jobs.</w:t>
      </w:r>
      <w:r>
        <w:rPr>
          <w:rStyle w:val="FootnoteReference"/>
        </w:rPr>
        <w:footnoteReference w:id="61"/>
      </w:r>
    </w:p>
    <w:p w14:paraId="518D1AC1" w14:textId="09BF486F" w:rsidR="001B7662" w:rsidRDefault="00A208A5">
      <w:pPr>
        <w:pStyle w:val="BodyText"/>
      </w:pPr>
      <w:r>
        <w:t xml:space="preserve">Cognitive jobs have higher AI automation exposure scores on average than manual jobs, as shown in Figure </w:t>
      </w:r>
      <w:hyperlink w:anchor="viz-exp-by-rcm" w:history="1">
        <w:r>
          <w:fldChar w:fldCharType="begin"/>
        </w:r>
        <w:r>
          <w:instrText xml:space="preserve"> REF viz-exp-by-rcm \h</w:instrText>
        </w:r>
        <w:r>
          <w:fldChar w:fldCharType="separate"/>
        </w:r>
        <w:r w:rsidR="00082F4E">
          <w:rPr>
            <w:noProof/>
          </w:rPr>
          <w:t>29</w:t>
        </w:r>
        <w:r>
          <w:fldChar w:fldCharType="end"/>
        </w:r>
      </w:hyperlink>
      <w:r>
        <w:t>. Routine cognitive jobs are more exposed than non-routine cognitive jobs.</w:t>
      </w:r>
    </w:p>
    <w:p w14:paraId="518D1AC2" w14:textId="1BEB32C4" w:rsidR="001B7662" w:rsidRDefault="00A208A5">
      <w:pPr>
        <w:pStyle w:val="ImageCaption"/>
      </w:pPr>
      <w:r>
        <w:lastRenderedPageBreak/>
        <w:t xml:space="preserve">Figure </w:t>
      </w:r>
      <w:bookmarkStart w:id="72" w:name="viz-exp-by-rcm"/>
      <w:r>
        <w:fldChar w:fldCharType="begin"/>
      </w:r>
      <w:r>
        <w:instrText>SEQ fig \* Arabic</w:instrText>
      </w:r>
      <w:r>
        <w:fldChar w:fldCharType="separate"/>
      </w:r>
      <w:r w:rsidR="00082F4E">
        <w:rPr>
          <w:noProof/>
        </w:rPr>
        <w:t>29</w:t>
      </w:r>
      <w:r>
        <w:fldChar w:fldCharType="end"/>
      </w:r>
      <w:bookmarkEnd w:id="72"/>
      <w:r>
        <w:t>: Routine cognitive jobs have the highest average exposure to AI automation</w:t>
      </w:r>
    </w:p>
    <w:p w14:paraId="518D1AC3" w14:textId="77777777" w:rsidR="001B7662" w:rsidRDefault="00A208A5">
      <w:pPr>
        <w:pStyle w:val="CompactNormal"/>
        <w:jc w:val="center"/>
      </w:pPr>
      <w:r>
        <w:rPr>
          <w:noProof/>
        </w:rPr>
        <w:drawing>
          <wp:inline distT="0" distB="0" distL="0" distR="0" wp14:anchorId="518D1D3F" wp14:editId="50E9C9FB">
            <wp:extent cx="5835650" cy="4297680"/>
            <wp:effectExtent l="0" t="0" r="0" b="0"/>
            <wp:docPr id="59" name="Picture 59" descr="Scatter plot showing JSA AI automation exposure scores across four job categories: routine cognitive, non-routine cognitive, non-routine manual, and routine manual. Each category is color-coded with average scores labelled (routine cognitive 0.56, non-routine cognitive 0.39, non-routine manual 0.26, routine manual 0.23), highlighting specific jobs like Keyboard Operators (routine cognitive) and Financial Dealers (non-routine cognitive) with higher exposure scor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Scatter plot showing JSA AI automation exposure scores across four job categories: routine cognitive, non-routine cognitive, non-routine manual, and routine manual. Each category is color-coded with average scores labelled (routine cognitive 0.56, non-routine cognitive 0.39, non-routine manual 0.26, routine manual 0.23), highlighting specific jobs like Keyboard Operators (routine cognitive) and Financial Dealers (non-routine cognitive) with higher exposure scores.&#10;"/>
                    <pic:cNvPicPr>
                      <a:picLocks noChangeAspect="1" noChangeArrowheads="1"/>
                    </pic:cNvPicPr>
                  </pic:nvPicPr>
                  <pic:blipFill>
                    <a:blip r:embed="rId42"/>
                    <a:stretch>
                      <a:fillRect/>
                    </a:stretch>
                  </pic:blipFill>
                  <pic:spPr bwMode="auto">
                    <a:xfrm>
                      <a:off x="0" y="0"/>
                      <a:ext cx="5835650" cy="4297680"/>
                    </a:xfrm>
                    <a:prstGeom prst="rect">
                      <a:avLst/>
                    </a:prstGeom>
                    <a:noFill/>
                  </pic:spPr>
                </pic:pic>
              </a:graphicData>
            </a:graphic>
          </wp:inline>
        </w:drawing>
      </w:r>
    </w:p>
    <w:p w14:paraId="518D1AC4" w14:textId="77777777" w:rsidR="001B7662" w:rsidRDefault="00A208A5">
      <w:pPr>
        <w:pStyle w:val="Heading3"/>
      </w:pPr>
      <w:bookmarkStart w:id="73" w:name="Xfc2c94add9b0400ee95c959f6adc1c63a380340"/>
      <w:r>
        <w:t>Employment growth by routine and cognitive dimensions</w:t>
      </w:r>
    </w:p>
    <w:p w14:paraId="518D1AC5" w14:textId="4BB5C7C2" w:rsidR="001B7662" w:rsidRDefault="00A208A5">
      <w:r>
        <w:t xml:space="preserve">Recent employment growth has been higher for non-routine jobs relative to routine jobs, shown in Figure </w:t>
      </w:r>
      <w:hyperlink w:anchor="viz-emp-rcm" w:history="1">
        <w:r>
          <w:fldChar w:fldCharType="begin"/>
        </w:r>
        <w:r>
          <w:instrText xml:space="preserve"> REF viz-emp-rcm \h</w:instrText>
        </w:r>
        <w:r>
          <w:fldChar w:fldCharType="separate"/>
        </w:r>
        <w:r w:rsidR="00082F4E">
          <w:rPr>
            <w:noProof/>
          </w:rPr>
          <w:t>30</w:t>
        </w:r>
        <w:r>
          <w:fldChar w:fldCharType="end"/>
        </w:r>
      </w:hyperlink>
      <w:r>
        <w:t>. To a lesser extent, recent growth has favoured manual jobs over cognitive jobs. Routine cognitive jobs have grown the least since November 2022, though employment in routine cognitive occupations remains above its late-2022 level.</w:t>
      </w:r>
    </w:p>
    <w:p w14:paraId="518D1AC6" w14:textId="446E86A5" w:rsidR="001B7662" w:rsidRDefault="00A208A5">
      <w:pPr>
        <w:pStyle w:val="ImageCaption"/>
      </w:pPr>
      <w:r>
        <w:t xml:space="preserve">Figure </w:t>
      </w:r>
      <w:bookmarkStart w:id="74" w:name="viz-emp-rcm"/>
      <w:r>
        <w:fldChar w:fldCharType="begin"/>
      </w:r>
      <w:r>
        <w:instrText>SEQ fig \* Arabic</w:instrText>
      </w:r>
      <w:r>
        <w:fldChar w:fldCharType="separate"/>
      </w:r>
      <w:r w:rsidR="00082F4E">
        <w:rPr>
          <w:noProof/>
        </w:rPr>
        <w:t>30</w:t>
      </w:r>
      <w:r>
        <w:fldChar w:fldCharType="end"/>
      </w:r>
      <w:bookmarkEnd w:id="74"/>
      <w:r>
        <w:t xml:space="preserve">: Employment growth of non-routine cognitive jobs is </w:t>
      </w:r>
      <w:proofErr w:type="gramStart"/>
      <w:r>
        <w:t>similar to</w:t>
      </w:r>
      <w:proofErr w:type="gramEnd"/>
      <w:r>
        <w:t xml:space="preserve"> pre-ChatGPT trends</w:t>
      </w:r>
    </w:p>
    <w:p w14:paraId="518D1AC7" w14:textId="77777777" w:rsidR="001B7662" w:rsidRDefault="00A208A5">
      <w:pPr>
        <w:pStyle w:val="CompactNormal"/>
        <w:jc w:val="center"/>
      </w:pPr>
      <w:r>
        <w:rPr>
          <w:noProof/>
        </w:rPr>
        <w:drawing>
          <wp:inline distT="0" distB="0" distL="0" distR="0" wp14:anchorId="518D1D41" wp14:editId="42A80F99">
            <wp:extent cx="5835650" cy="2917825"/>
            <wp:effectExtent l="0" t="0" r="0" b="0"/>
            <wp:docPr id="61" name="Picture 61" descr="Line graph showing employment trends from February 2021 to February 2026 across four categories: non-routine manual, non-routine cognitive, routine manual, and routine cognitive, indexed to November 2022 = 100. Non-routine manual employment rises sharply, surpassing others after ChatGPT introduction in November 2022, while routine manual and routine cognitive remain relatively flat, highlighting shifts toward non-routine job growth. Employment growth of non-routine cognitive jobs is similar to pre-ChatGPT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Line graph showing employment trends from February 2021 to February 2026 across four categories: non-routine manual, non-routine cognitive, routine manual, and routine cognitive, indexed to November 2022 = 100. Non-routine manual employment rises sharply, surpassing others after ChatGPT introduction in November 2022, while routine manual and routine cognitive remain relatively flat, highlighting shifts toward non-routine job growth. Employment growth of non-routine cognitive jobs is similar to pre-ChatGPT trends."/>
                    <pic:cNvPicPr>
                      <a:picLocks noChangeAspect="1" noChangeArrowheads="1"/>
                    </pic:cNvPicPr>
                  </pic:nvPicPr>
                  <pic:blipFill>
                    <a:blip r:embed="rId43"/>
                    <a:stretch>
                      <a:fillRect/>
                    </a:stretch>
                  </pic:blipFill>
                  <pic:spPr bwMode="auto">
                    <a:xfrm>
                      <a:off x="0" y="0"/>
                      <a:ext cx="5835650" cy="2917825"/>
                    </a:xfrm>
                    <a:prstGeom prst="rect">
                      <a:avLst/>
                    </a:prstGeom>
                    <a:noFill/>
                  </pic:spPr>
                </pic:pic>
              </a:graphicData>
            </a:graphic>
          </wp:inline>
        </w:drawing>
      </w:r>
    </w:p>
    <w:p w14:paraId="518D1AC8" w14:textId="7B2720E1" w:rsidR="001B7662" w:rsidRDefault="00A208A5">
      <w:pPr>
        <w:pStyle w:val="BodyText"/>
      </w:pPr>
      <w:r>
        <w:lastRenderedPageBreak/>
        <w:t xml:space="preserve">Although employment in routine cognitive jobs has lagged other job types since ChatGPT was introduced, this appears broadly consistent with long-run trends documented by Borland and Coelli (2022). Figure </w:t>
      </w:r>
      <w:hyperlink w:anchor="viz-rc-share" w:history="1">
        <w:r>
          <w:fldChar w:fldCharType="begin"/>
        </w:r>
        <w:r>
          <w:instrText xml:space="preserve"> REF viz-rc-share \h</w:instrText>
        </w:r>
        <w:r>
          <w:fldChar w:fldCharType="separate"/>
        </w:r>
        <w:r w:rsidR="00082F4E">
          <w:rPr>
            <w:noProof/>
          </w:rPr>
          <w:t>31</w:t>
        </w:r>
        <w:r>
          <w:fldChar w:fldCharType="end"/>
        </w:r>
      </w:hyperlink>
      <w:r>
        <w:t xml:space="preserve"> shows that the share of routine cognitive jobs has continued to decline broadly in line with pre-ChatGPT trends.</w:t>
      </w:r>
    </w:p>
    <w:p w14:paraId="518D1AC9" w14:textId="34F2CDAD" w:rsidR="001B7662" w:rsidRDefault="00A208A5">
      <w:pPr>
        <w:pStyle w:val="ImageCaption"/>
      </w:pPr>
      <w:r>
        <w:t xml:space="preserve">Figure </w:t>
      </w:r>
      <w:bookmarkStart w:id="75" w:name="viz-rc-share"/>
      <w:r>
        <w:fldChar w:fldCharType="begin"/>
      </w:r>
      <w:r>
        <w:instrText>SEQ fig \* Arabic</w:instrText>
      </w:r>
      <w:r>
        <w:fldChar w:fldCharType="separate"/>
      </w:r>
      <w:r w:rsidR="00082F4E">
        <w:rPr>
          <w:noProof/>
        </w:rPr>
        <w:t>31</w:t>
      </w:r>
      <w:r>
        <w:fldChar w:fldCharType="end"/>
      </w:r>
      <w:bookmarkEnd w:id="75"/>
      <w:r>
        <w:t>: Routine cognitive jobs continue to shrink as share of total employment</w:t>
      </w:r>
    </w:p>
    <w:p w14:paraId="518D1ACA" w14:textId="77777777" w:rsidR="001B7662" w:rsidRDefault="00A208A5">
      <w:pPr>
        <w:pStyle w:val="CompactNormal"/>
        <w:jc w:val="center"/>
      </w:pPr>
      <w:r>
        <w:rPr>
          <w:noProof/>
        </w:rPr>
        <w:drawing>
          <wp:inline distT="0" distB="0" distL="0" distR="0" wp14:anchorId="518D1D43" wp14:editId="16CE8862">
            <wp:extent cx="5835650" cy="2917825"/>
            <wp:effectExtent l="0" t="0" r="0" b="0"/>
            <wp:docPr id="63" name="Picture 63" descr="Line graph showing percentage of jobs in routine cognitive occupations from February 2015 to February 2026, with a steady decline from about 23.5% to around 20%. Key elements include a labelled vertical dashed line marking ChatGPT introduction in November 2022 and two lines: pre-GPT trend and data, highlighting a continued downward trend. Routine cognitive jobs continue to shrink as a share of total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Line graph showing percentage of jobs in routine cognitive occupations from February 2015 to February 2026, with a steady decline from about 23.5% to around 20%. Key elements include a labelled vertical dashed line marking ChatGPT introduction in November 2022 and two lines: pre-GPT trend and data, highlighting a continued downward trend. Routine cognitive jobs continue to shrink as a share of total employment."/>
                    <pic:cNvPicPr>
                      <a:picLocks noChangeAspect="1" noChangeArrowheads="1"/>
                    </pic:cNvPicPr>
                  </pic:nvPicPr>
                  <pic:blipFill>
                    <a:blip r:embed="rId44"/>
                    <a:stretch>
                      <a:fillRect/>
                    </a:stretch>
                  </pic:blipFill>
                  <pic:spPr bwMode="auto">
                    <a:xfrm>
                      <a:off x="0" y="0"/>
                      <a:ext cx="5835650" cy="2917825"/>
                    </a:xfrm>
                    <a:prstGeom prst="rect">
                      <a:avLst/>
                    </a:prstGeom>
                    <a:noFill/>
                  </pic:spPr>
                </pic:pic>
              </a:graphicData>
            </a:graphic>
          </wp:inline>
        </w:drawing>
      </w:r>
    </w:p>
    <w:p w14:paraId="518D1ACB" w14:textId="5BE86A1C" w:rsidR="001B7662" w:rsidRDefault="00A208A5">
      <w:pPr>
        <w:pStyle w:val="BodyText"/>
      </w:pPr>
      <w:r>
        <w:t xml:space="preserve">Routine cognitive occupations were already declining as a share of jobs prior to ChatGPT. This means the trends examined in the previous section should be interpreted cautiously – they do not provide definitive evidence of a change in the composition of employment away from more-exposed occupations. The </w:t>
      </w:r>
      <w:hyperlink w:anchor="core-model">
        <w:r>
          <w:rPr>
            <w:rStyle w:val="Hyperlink"/>
          </w:rPr>
          <w:t>statistical modelling in the next chapter</w:t>
        </w:r>
      </w:hyperlink>
      <w:r>
        <w:t xml:space="preserve"> is designed to test more directly whether the relationship between AI exposure and employment growth has changed relative to pre-ChatGPT trends.</w:t>
      </w:r>
    </w:p>
    <w:p w14:paraId="518D1ACC" w14:textId="77777777" w:rsidR="001B7662" w:rsidRDefault="00A208A5">
      <w:pPr>
        <w:pStyle w:val="Heading2"/>
      </w:pPr>
      <w:bookmarkStart w:id="76" w:name="_Toc232612082"/>
      <w:bookmarkStart w:id="77" w:name="summary-of-descriptive-indicators"/>
      <w:bookmarkEnd w:id="71"/>
      <w:bookmarkEnd w:id="73"/>
      <w:r>
        <w:t>Summary of descriptive indicators</w:t>
      </w:r>
      <w:bookmarkEnd w:id="76"/>
    </w:p>
    <w:p w14:paraId="518D1ACD" w14:textId="44929E77" w:rsidR="001B7662" w:rsidRDefault="00A208A5">
      <w:r>
        <w:t xml:space="preserve">The descriptive evidence is mixed but mostly shows ongoing labour market resilience. Aggregate labour market conditions remain relatively strong, youth outcomes have mostly held </w:t>
      </w:r>
      <w:proofErr w:type="gramStart"/>
      <w:r>
        <w:t>up</w:t>
      </w:r>
      <w:proofErr w:type="gramEnd"/>
      <w:r>
        <w:t xml:space="preserve"> and occupational reshuffling has not accelerated. However, high-exposure occupations have seen employment, hours and vacancies grow more slowly than in less-exposed occupations. Figure </w:t>
      </w:r>
      <w:hyperlink w:anchor="viz-dashboard-overall" w:history="1">
        <w:r>
          <w:fldChar w:fldCharType="begin"/>
        </w:r>
        <w:r>
          <w:instrText xml:space="preserve"> REF viz-dashboard-overall \h</w:instrText>
        </w:r>
        <w:r>
          <w:fldChar w:fldCharType="separate"/>
        </w:r>
        <w:r w:rsidR="00082F4E">
          <w:rPr>
            <w:noProof/>
          </w:rPr>
          <w:t>32</w:t>
        </w:r>
        <w:r>
          <w:fldChar w:fldCharType="end"/>
        </w:r>
      </w:hyperlink>
      <w:r>
        <w:t xml:space="preserve"> provides an overview of the descriptive indicators considered in this chapter.</w:t>
      </w:r>
    </w:p>
    <w:p w14:paraId="518D1ACE" w14:textId="38F1FCE4" w:rsidR="001B7662" w:rsidRDefault="00A208A5">
      <w:pPr>
        <w:pStyle w:val="ImageCaption"/>
      </w:pPr>
      <w:r>
        <w:lastRenderedPageBreak/>
        <w:t xml:space="preserve">Figure </w:t>
      </w:r>
      <w:bookmarkStart w:id="78" w:name="viz-dashboard-overall"/>
      <w:r>
        <w:fldChar w:fldCharType="begin"/>
      </w:r>
      <w:r>
        <w:instrText>SEQ fig \* Arabic</w:instrText>
      </w:r>
      <w:r>
        <w:fldChar w:fldCharType="separate"/>
      </w:r>
      <w:r w:rsidR="00082F4E">
        <w:rPr>
          <w:noProof/>
        </w:rPr>
        <w:t>32</w:t>
      </w:r>
      <w:r>
        <w:fldChar w:fldCharType="end"/>
      </w:r>
      <w:bookmarkEnd w:id="78"/>
      <w:r>
        <w:t>: Indicators are mixed, but mostly do not suggest major labour market upheaval</w:t>
      </w:r>
    </w:p>
    <w:p w14:paraId="518D1ACF" w14:textId="77777777" w:rsidR="001B7662" w:rsidRDefault="00A208A5">
      <w:pPr>
        <w:pStyle w:val="CompactNormal"/>
        <w:jc w:val="center"/>
      </w:pPr>
      <w:r>
        <w:rPr>
          <w:noProof/>
        </w:rPr>
        <w:drawing>
          <wp:inline distT="0" distB="0" distL="0" distR="0" wp14:anchorId="518D1D45" wp14:editId="684208A1">
            <wp:extent cx="5835650" cy="5760720"/>
            <wp:effectExtent l="0" t="0" r="0" b="0"/>
            <wp:docPr id="65" name="Picture 65" descr="A multi-panel dot plot compares labour market indicators across four categories: overall labour market, youth and graduates, compositional change, and AI-exposed occupations, using three data points—Nov 2022 level (teal), latest value (green), and pre-COVID average (purple). Each panel displays multiple indicators with horizontal bars showing ranges, highlighting trends such as employment ratios, unemployment gaps, occupational changes, and AI-related job growth and disruption consistency. Indicators are mixed, but mostly do not suggest major labour market uphea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multi-panel dot plot compares labour market indicators across four categories: overall labour market, youth and graduates, compositional change, and AI-exposed occupations, using three data points—Nov 2022 level (teal), latest value (green), and pre-COVID average (purple). Each panel displays multiple indicators with horizontal bars showing ranges, highlighting trends such as employment ratios, unemployment gaps, occupational changes, and AI-related job growth and disruption consistency. Indicators are mixed, but mostly do not suggest major labour market upheaval."/>
                    <pic:cNvPicPr>
                      <a:picLocks noChangeAspect="1" noChangeArrowheads="1"/>
                    </pic:cNvPicPr>
                  </pic:nvPicPr>
                  <pic:blipFill>
                    <a:blip r:embed="rId45"/>
                    <a:stretch>
                      <a:fillRect/>
                    </a:stretch>
                  </pic:blipFill>
                  <pic:spPr bwMode="auto">
                    <a:xfrm>
                      <a:off x="0" y="0"/>
                      <a:ext cx="5835650" cy="5760720"/>
                    </a:xfrm>
                    <a:prstGeom prst="rect">
                      <a:avLst/>
                    </a:prstGeom>
                    <a:noFill/>
                  </pic:spPr>
                </pic:pic>
              </a:graphicData>
            </a:graphic>
          </wp:inline>
        </w:drawing>
      </w:r>
    </w:p>
    <w:p w14:paraId="518D1AD0" w14:textId="77777777" w:rsidR="001B7662" w:rsidRDefault="00A208A5">
      <w:pPr>
        <w:pStyle w:val="BodyText"/>
      </w:pPr>
      <w:r>
        <w:t>The indicators we examine using the JSA automation exposure scores suggest that the labour market may have softened for the most exposed occupations. Growth in employment for more-exposed occupations has stalled since 2024 while less-exposed occupations have grown. Job vacancies for the most-exposed occupations have fallen below November 2022 levels, and the unemployment rate for most exposed workers is rising, closing the gap with the rate for less-exposed workers.</w:t>
      </w:r>
    </w:p>
    <w:p w14:paraId="518D1AD1" w14:textId="77777777" w:rsidR="001B7662" w:rsidRDefault="00A208A5">
      <w:pPr>
        <w:pStyle w:val="BodyText"/>
      </w:pPr>
      <w:r>
        <w:t xml:space="preserve">It is important to bear in mind, however, that these developments could have been influenced by a range of factors. </w:t>
      </w:r>
      <w:proofErr w:type="gramStart"/>
      <w:r>
        <w:t>In particular, comparisons</w:t>
      </w:r>
      <w:proofErr w:type="gramEnd"/>
      <w:r>
        <w:t xml:space="preserve"> between high- and low-exposure measures are just as sensitive to changes for low-exposure occupations, which may be unrelated to AI technologies, as they are to changes in high-exposure occupations. The next chapter examines more carefully the extent to which impacts have varied by level of automation exposure using statistical models designed to capture this relationship in a more complete and rigorous way.</w:t>
      </w:r>
    </w:p>
    <w:p w14:paraId="518D1AD2" w14:textId="77777777" w:rsidR="001B7662" w:rsidRDefault="00A208A5">
      <w:r>
        <w:br w:type="page"/>
      </w:r>
    </w:p>
    <w:p w14:paraId="518D1AD3" w14:textId="77777777" w:rsidR="001B7662" w:rsidRDefault="00A208A5">
      <w:pPr>
        <w:pStyle w:val="Heading1"/>
      </w:pPr>
      <w:bookmarkStart w:id="79" w:name="_Toc232612083"/>
      <w:bookmarkStart w:id="80" w:name="core-model"/>
      <w:bookmarkEnd w:id="30"/>
      <w:bookmarkEnd w:id="77"/>
      <w:r>
        <w:lastRenderedPageBreak/>
        <w:t>Core statistical model</w:t>
      </w:r>
      <w:bookmarkEnd w:id="79"/>
    </w:p>
    <w:tbl>
      <w:tblPr>
        <w:tblW w:w="0" w:type="auto"/>
        <w:jc w:val="center"/>
        <w:tblLayout w:type="fixed"/>
        <w:tblLook w:val="0420" w:firstRow="1" w:lastRow="0" w:firstColumn="0" w:lastColumn="0" w:noHBand="0" w:noVBand="1"/>
      </w:tblPr>
      <w:tblGrid>
        <w:gridCol w:w="317"/>
        <w:gridCol w:w="9043"/>
      </w:tblGrid>
      <w:tr w:rsidR="001B7662" w14:paraId="518D1AD5" w14:textId="77777777">
        <w:trPr>
          <w:jc w:val="center"/>
        </w:trPr>
        <w:tc>
          <w:tcPr>
            <w:tcW w:w="9360" w:type="dxa"/>
            <w:gridSpan w:val="2"/>
            <w:tcBorders>
              <w:top w:val="single" w:sz="10" w:space="0" w:color="5D7A38"/>
              <w:left w:val="single" w:sz="10" w:space="0" w:color="5D7A38"/>
              <w:bottom w:val="none" w:sz="0" w:space="0" w:color="F1F5ED"/>
              <w:right w:val="single" w:sz="10" w:space="0" w:color="5D7A38"/>
            </w:tcBorders>
            <w:shd w:val="clear" w:color="auto" w:fill="F1F5ED"/>
            <w:tcMar>
              <w:top w:w="0" w:type="dxa"/>
              <w:left w:w="0" w:type="dxa"/>
              <w:bottom w:w="0" w:type="dxa"/>
              <w:right w:w="0" w:type="dxa"/>
            </w:tcMar>
          </w:tcPr>
          <w:p w14:paraId="518D1AD4" w14:textId="77777777" w:rsidR="001B7662" w:rsidRDefault="00A208A5">
            <w:pPr>
              <w:keepNext/>
              <w:pBdr>
                <w:top w:val="none" w:sz="0" w:space="0" w:color="000000"/>
                <w:left w:val="none" w:sz="0" w:space="0" w:color="000000"/>
                <w:bottom w:val="none" w:sz="0" w:space="0" w:color="000000"/>
                <w:right w:val="none" w:sz="0" w:space="0" w:color="000000"/>
              </w:pBdr>
              <w:spacing w:before="80" w:after="80" w:line="276" w:lineRule="auto"/>
              <w:ind w:left="120" w:right="120"/>
              <w:rPr>
                <w:rFonts w:eastAsia="Aptos Display" w:cs="Aptos Display"/>
                <w:color w:val="000000"/>
              </w:rPr>
            </w:pPr>
            <w:r>
              <w:rPr>
                <w:rFonts w:eastAsia="Aptos Display" w:cs="Aptos Display"/>
                <w:b/>
                <w:color w:val="5D7A38"/>
                <w:sz w:val="28"/>
                <w:szCs w:val="28"/>
              </w:rPr>
              <w:t>Key points</w:t>
            </w:r>
          </w:p>
        </w:tc>
      </w:tr>
      <w:tr w:rsidR="001B7662" w14:paraId="518D1AD8"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AD6"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AD7"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Our statistical modelling suggests employment has grown more slowly in more AI-exposed occupations since the introduction of ChatGPT, but the signal is weak and the evidence is mixed.</w:t>
            </w:r>
          </w:p>
        </w:tc>
      </w:tr>
      <w:tr w:rsidR="001B7662" w14:paraId="518D1ADB"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AD9"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ADA"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Our model estimates the relationship between occupations' exposure to AI automation and employment growth, both before and after November 2022. Before ChatGPT was introduced, there was no statistically significant relationship between AI exposure and employment growth across occupations in the model.</w:t>
            </w:r>
          </w:p>
        </w:tc>
      </w:tr>
      <w:tr w:rsidR="001B7662" w14:paraId="518D1ADE"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ADC"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ADD"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Since November 2022, we find a modest negative relationship between AI exposure and employment growth. Our results suggest that occupations with AI automation exposure one standard deviation above the mean had employment about 2% lower at February 2026 than would be expected based on the pre-ChatGPT exposure–employment relationship. This does not mean that employment has fallen in high-exposure occupations - it means that employment is lower than we estimate would have been the case if pre-ChatGPT trends had continued.</w:t>
            </w:r>
          </w:p>
        </w:tc>
      </w:tr>
      <w:tr w:rsidR="001B7662" w14:paraId="518D1AE1"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ADF"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AE0"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We also estimate a version of the model that examines the exposure–employment relationship quarter-by-quarter (an 'event study'). It shows the negative relationship between AI exposure and employment is clearer in recent quarters than immediately after ChatGPT was released. This suggests negative effects may be accumulating over time, justifying ongoing monitoring.</w:t>
            </w:r>
          </w:p>
        </w:tc>
      </w:tr>
      <w:tr w:rsidR="001B7662" w14:paraId="518D1AE4" w14:textId="77777777">
        <w:trPr>
          <w:jc w:val="center"/>
        </w:trPr>
        <w:tc>
          <w:tcPr>
            <w:tcW w:w="317" w:type="dxa"/>
            <w:tcBorders>
              <w:top w:val="none" w:sz="0" w:space="0" w:color="F1F5ED"/>
              <w:left w:val="single" w:sz="10" w:space="0" w:color="5D7A38"/>
              <w:bottom w:val="single" w:sz="10" w:space="0" w:color="5D7A38"/>
              <w:right w:val="none" w:sz="0" w:space="0" w:color="F1F5ED"/>
            </w:tcBorders>
            <w:shd w:val="clear" w:color="auto" w:fill="F1F5ED"/>
            <w:tcMar>
              <w:top w:w="0" w:type="dxa"/>
              <w:left w:w="0" w:type="dxa"/>
              <w:bottom w:w="0" w:type="dxa"/>
              <w:right w:w="0" w:type="dxa"/>
            </w:tcMar>
          </w:tcPr>
          <w:p w14:paraId="518D1AE2"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single" w:sz="10" w:space="0" w:color="5D7A38"/>
              <w:right w:val="single" w:sz="10" w:space="0" w:color="5D7A38"/>
            </w:tcBorders>
            <w:shd w:val="clear" w:color="auto" w:fill="F1F5ED"/>
            <w:tcMar>
              <w:top w:w="0" w:type="dxa"/>
              <w:left w:w="0" w:type="dxa"/>
              <w:bottom w:w="0" w:type="dxa"/>
              <w:right w:w="0" w:type="dxa"/>
            </w:tcMar>
          </w:tcPr>
          <w:p w14:paraId="518D1AE3"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 model's results are tentative, not definitive. Robustness tests in the next chapter assess how much weight to place on the results.</w:t>
            </w:r>
          </w:p>
        </w:tc>
      </w:tr>
    </w:tbl>
    <w:p w14:paraId="518D1AE5" w14:textId="77777777" w:rsidR="001B7662" w:rsidRDefault="001B7662"/>
    <w:p w14:paraId="518D1AE6" w14:textId="77777777" w:rsidR="001B7662" w:rsidRDefault="00A208A5">
      <w:pPr>
        <w:pStyle w:val="BodyText"/>
      </w:pPr>
      <w:r>
        <w:t>Although the labour market has been resilient, the data shows a softening in high-exposure occupations, with employment growing more slowly than in low-exposure occupations. But the descriptive indicators examined in the previous chapter are a coarse way of looking at the data, grouping together occupations in quintiles and not controlling for other factors that might affect employment. To go beyond these descriptive indicators, we turn to statistical modelling.</w:t>
      </w:r>
    </w:p>
    <w:p w14:paraId="518D1AE7" w14:textId="7BEA5A16" w:rsidR="001B7662" w:rsidRDefault="00A208A5">
      <w:pPr>
        <w:pStyle w:val="BodyText"/>
      </w:pPr>
      <w:r>
        <w:t xml:space="preserve">We estimate the relationship between occupations’ AI exposure and employment growth in Australia, and whether the introduction of ChatGPT in November 2022 led to a change in this relationship. Our modelling results suggest that employment has grown more slowly in more AI-exposed occupations since ChatGPT was released. This is consistent with a small negative AI effect but is not conclusive causal evidence: as outlined in the </w:t>
      </w:r>
      <w:hyperlink w:anchor="robust-tests">
        <w:r>
          <w:rPr>
            <w:rStyle w:val="Hyperlink"/>
          </w:rPr>
          <w:t>following chapter</w:t>
        </w:r>
      </w:hyperlink>
      <w:r>
        <w:t>, the findings are not consistent across all model variations.</w:t>
      </w:r>
    </w:p>
    <w:p w14:paraId="518D1AE8" w14:textId="4F4AA677" w:rsidR="001B7662" w:rsidRDefault="00A208A5">
      <w:pPr>
        <w:pStyle w:val="BodyText"/>
      </w:pPr>
      <w:r>
        <w:t xml:space="preserve">This chapter presents the core statistical model, which is the central test of whether employment growth shifted away from more AI-exposed occupations after ChatGPT. It also presents an event-study version of the model, which examines whether the exposure–employment relationship changed gradually over time or only in recent quarters. The </w:t>
      </w:r>
      <w:hyperlink w:anchor="robust-tests">
        <w:r>
          <w:rPr>
            <w:rStyle w:val="Hyperlink"/>
          </w:rPr>
          <w:t>next chapter</w:t>
        </w:r>
      </w:hyperlink>
      <w:r>
        <w:t xml:space="preserve"> tests how robust the core result is to alternative assumptions, exposure measures, outcomes and model specifications.</w:t>
      </w:r>
    </w:p>
    <w:p w14:paraId="518D1AE9" w14:textId="77777777" w:rsidR="001B7662" w:rsidRDefault="00A208A5">
      <w:pPr>
        <w:pStyle w:val="Heading2"/>
      </w:pPr>
      <w:bookmarkStart w:id="81" w:name="_Toc232612084"/>
      <w:bookmarkStart w:id="82" w:name="sec-data"/>
      <w:r>
        <w:lastRenderedPageBreak/>
        <w:t>Data and scope</w:t>
      </w:r>
      <w:bookmarkEnd w:id="81"/>
    </w:p>
    <w:p w14:paraId="518D1AEA" w14:textId="77777777" w:rsidR="001B7662" w:rsidRDefault="00A208A5">
      <w:r>
        <w:t>We use quarterly data on employment by occupation from the ABS Labour Force Survey.</w:t>
      </w:r>
      <w:r>
        <w:rPr>
          <w:rStyle w:val="FootnoteReference"/>
        </w:rPr>
        <w:footnoteReference w:id="62"/>
      </w:r>
      <w:r>
        <w:t xml:space="preserve"> The model uses data from the February 2015 quarter to the February 2026 quarter. We use data covering 355 occupations for 45 quarters.</w:t>
      </w:r>
    </w:p>
    <w:p w14:paraId="518D1AEB" w14:textId="77777777" w:rsidR="001B7662" w:rsidRDefault="00A208A5">
      <w:pPr>
        <w:pStyle w:val="BodyText"/>
      </w:pPr>
      <w:r>
        <w:t>ChatGPT was released to the public on 30 November 2022. We use this as the ‘treatment date’ - data up to and including the November 2022 quarter are ‘pre-AI’, while everything from the February 2023 quarter onwards is ‘post-AI’.</w:t>
      </w:r>
      <w:r>
        <w:rPr>
          <w:rStyle w:val="FootnoteReference"/>
        </w:rPr>
        <w:footnoteReference w:id="63"/>
      </w:r>
      <w:r>
        <w:t xml:space="preserve"> There is nothing ChatGPT-specific to this analysis, other than using November 2022 to delineate the pre- and post-AI periods.</w:t>
      </w:r>
    </w:p>
    <w:p w14:paraId="518D1AEC" w14:textId="3AE39284" w:rsidR="001B7662" w:rsidRDefault="00A208A5">
      <w:pPr>
        <w:pStyle w:val="BodyText"/>
      </w:pPr>
      <w:r>
        <w:t xml:space="preserve">We use JSA’s occupation-level AI automation exposure scores (see </w:t>
      </w:r>
      <w:hyperlink w:anchor="appendix-a">
        <w:r>
          <w:rPr>
            <w:rStyle w:val="Hyperlink"/>
          </w:rPr>
          <w:t>Appendix A</w:t>
        </w:r>
      </w:hyperlink>
      <w:r>
        <w:t xml:space="preserve">). The scores are standardised to have a mean of 0 and standard deviation of 1, so above-average exposure occupations have a positive exposure </w:t>
      </w:r>
      <w:proofErr w:type="gramStart"/>
      <w:r>
        <w:t>score</w:t>
      </w:r>
      <w:proofErr w:type="gramEnd"/>
      <w:r>
        <w:t xml:space="preserve"> and below average exposure occupations have a negative score. These scores do not vary over time.</w:t>
      </w:r>
    </w:p>
    <w:p w14:paraId="518D1AED" w14:textId="77777777" w:rsidR="001B7662" w:rsidRDefault="00A208A5">
      <w:pPr>
        <w:pStyle w:val="Heading2"/>
      </w:pPr>
      <w:bookmarkStart w:id="83" w:name="_Toc232612085"/>
      <w:bookmarkStart w:id="84" w:name="the-core-model"/>
      <w:bookmarkEnd w:id="82"/>
      <w:r>
        <w:t>The core model</w:t>
      </w:r>
      <w:bookmarkEnd w:id="83"/>
    </w:p>
    <w:p w14:paraId="518D1AEE" w14:textId="77777777" w:rsidR="001B7662" w:rsidRDefault="00A208A5">
      <w:r>
        <w:t xml:space="preserve">The model compares employment growth in more- and less-AI-exposed occupations before and after ChatGPT. It uses variation in exposure across occupations while controlling for each occupation’s average size and shocks common to all occupations </w:t>
      </w:r>
      <w:proofErr w:type="gramStart"/>
      <w:r>
        <w:t>in a given</w:t>
      </w:r>
      <w:proofErr w:type="gramEnd"/>
      <w:r>
        <w:t xml:space="preserve"> quarter.</w:t>
      </w:r>
      <w:r>
        <w:rPr>
          <w:rStyle w:val="FootnoteReference"/>
        </w:rPr>
        <w:footnoteReference w:id="64"/>
      </w:r>
    </w:p>
    <w:p w14:paraId="518D1AEF" w14:textId="77777777" w:rsidR="001B7662" w:rsidRDefault="00A208A5">
      <w:pPr>
        <w:pStyle w:val="BodyText"/>
      </w:pPr>
      <w:r>
        <w:t xml:space="preserve">In practice, the model asks a simple question: </w:t>
      </w:r>
      <w:r>
        <w:rPr>
          <w:b/>
          <w:bCs/>
        </w:rPr>
        <w:t>did occupations with higher AI exposure start growing more slowly after ChatGPT than occupations with lower AI exposure, relative to their previous relationship?</w:t>
      </w:r>
      <w:r>
        <w:t xml:space="preserve"> For example, if high-exposure occupations were already growing more slowly than low-exposure occupations before the release of ChatGPT, the model does not treat that pre-existing gap as evidence of an AI effect. It looks for a change in that relationship after November 2022.</w:t>
      </w:r>
    </w:p>
    <w:p w14:paraId="518D1AF0" w14:textId="77777777" w:rsidR="001B7662" w:rsidRDefault="00A208A5">
      <w:pPr>
        <w:pStyle w:val="BodyText"/>
      </w:pPr>
      <w:r>
        <w:t>The model’s main coefficient of interest (</w:t>
      </w:r>
      <m:oMath>
        <m:r>
          <w:rPr>
            <w:rFonts w:ascii="Cambria Math" w:hAnsi="Cambria Math"/>
          </w:rPr>
          <m:t>Δβ</m:t>
        </m:r>
      </m:oMath>
      <w:r>
        <w:t>) measures whether the relationship between AI exposure and employment growth changed after November 2022. A negative estimate means employment growth shifted away from more-exposed occupations, relative to the pre-ChatGPT relationship. A positive estimate would mean growth shifted towards more-exposed occupations. An estimate close to zero would mean the relationship between AI exposure and employment growth did not materially change after ChatGPT.</w:t>
      </w:r>
    </w:p>
    <w:p w14:paraId="518D1AF1" w14:textId="77777777" w:rsidR="001B7662" w:rsidRDefault="00A208A5">
      <w:pPr>
        <w:pStyle w:val="BodyText"/>
      </w:pPr>
      <w:r>
        <w:t xml:space="preserve">The model does not compare ‘AI-affected’ and ‘not AI-affected’ jobs. AI exposure is measured on a scale. The model therefore asks whether more-exposed occupations experienced larger employment changes than less-exposed occupations. Nor does the model show whether firms </w:t>
      </w:r>
      <w:proofErr w:type="gramStart"/>
      <w:r>
        <w:t>actually adopted</w:t>
      </w:r>
      <w:proofErr w:type="gramEnd"/>
      <w:r>
        <w:t xml:space="preserve"> AI, or whether AI caused any </w:t>
      </w:r>
      <w:proofErr w:type="gramStart"/>
      <w:r>
        <w:t>particular job</w:t>
      </w:r>
      <w:proofErr w:type="gramEnd"/>
      <w:r>
        <w:t xml:space="preserve"> loss. It estimates whether employment patterns changed in a way that is correlated with occupations’ potential exposure to AI automation.</w:t>
      </w:r>
    </w:p>
    <w:p w14:paraId="518D1AF2" w14:textId="77777777" w:rsidR="001B7662" w:rsidRDefault="00A208A5">
      <w:pPr>
        <w:pStyle w:val="BodyText"/>
      </w:pPr>
      <w:r>
        <w:t>The model makes one important assumption. Apart from differences associated with AI exposure, it treats occupation growth as reflecting shocks or trends that affect all occupations equally. This assumption is unlikely to hold perfectly, so the results should be interpreted cautiously. We test the sensitivity of this assumption in the next chapter.</w:t>
      </w:r>
    </w:p>
    <w:p w14:paraId="518D1AF3" w14:textId="1FA70FC9" w:rsidR="001B7662" w:rsidRDefault="00A208A5">
      <w:pPr>
        <w:pStyle w:val="BodyText"/>
      </w:pPr>
      <w:r>
        <w:t xml:space="preserve">A more detailed and technical description of the model and estimation methodology is presented in </w:t>
      </w:r>
      <w:hyperlink w:anchor="appendix-model">
        <w:r>
          <w:rPr>
            <w:rStyle w:val="Hyperlink"/>
          </w:rPr>
          <w:t>Appendix B</w:t>
        </w:r>
      </w:hyperlink>
      <w:r>
        <w:t xml:space="preserve"> on page </w:t>
      </w:r>
      <w:r>
        <w:fldChar w:fldCharType="begin"/>
      </w:r>
      <w:r>
        <w:instrText>PAGEREF appendix-model \h</w:instrText>
      </w:r>
      <w:r>
        <w:fldChar w:fldCharType="separate"/>
      </w:r>
      <w:r w:rsidR="00082F4E">
        <w:rPr>
          <w:noProof/>
        </w:rPr>
        <w:t>67</w:t>
      </w:r>
      <w:r>
        <w:fldChar w:fldCharType="end"/>
      </w:r>
      <w:r>
        <w:t>.</w:t>
      </w:r>
    </w:p>
    <w:p w14:paraId="518D1AF4" w14:textId="77777777" w:rsidR="001B7662" w:rsidRDefault="00A208A5">
      <w:pPr>
        <w:pStyle w:val="Heading2"/>
      </w:pPr>
      <w:bookmarkStart w:id="85" w:name="_Toc232612086"/>
      <w:bookmarkStart w:id="86" w:name="X5419ccfa464a5c5296699c49fe42a4906809c05"/>
      <w:bookmarkEnd w:id="84"/>
      <w:r>
        <w:lastRenderedPageBreak/>
        <w:t>Main results: employment has grown more slowly in more AI-exposed occupations</w:t>
      </w:r>
      <w:bookmarkEnd w:id="85"/>
    </w:p>
    <w:p w14:paraId="518D1AF5" w14:textId="77777777" w:rsidR="001B7662" w:rsidRDefault="00A208A5">
      <w:r>
        <w:t>We find employment has grown more slowly in more AI-exposed occupations since the release of ChatGPT. The estimated effect is small, and the evidence is not robust to every modelling choice, so we interpret it as tentative evidence of relative softening, rather than definitive proof of job loss.</w:t>
      </w:r>
    </w:p>
    <w:p w14:paraId="518D1AF6" w14:textId="3BE7C010" w:rsidR="001B7662" w:rsidRDefault="00A208A5">
      <w:pPr>
        <w:pStyle w:val="BodyText"/>
      </w:pPr>
      <w:r>
        <w:t xml:space="preserve">The model’s main coefficient is negative and statistically significant, as shown in Figure </w:t>
      </w:r>
      <w:hyperlink w:anchor="viz-model-main" w:history="1">
        <w:r>
          <w:fldChar w:fldCharType="begin"/>
        </w:r>
        <w:r>
          <w:instrText xml:space="preserve"> REF viz-model-main \h</w:instrText>
        </w:r>
        <w:r>
          <w:fldChar w:fldCharType="separate"/>
        </w:r>
        <w:r w:rsidR="00082F4E">
          <w:rPr>
            <w:noProof/>
          </w:rPr>
          <w:t>33</w:t>
        </w:r>
        <w:r>
          <w:fldChar w:fldCharType="end"/>
        </w:r>
      </w:hyperlink>
      <w:r>
        <w:t xml:space="preserve">. In practical terms, the model finds that an occupation with one standard deviation above average AI exposure had employment about 2% lower by February 2026 than it would have had under its pre-ChatGPT trend. Detailed coefficient estimates are reported in </w:t>
      </w:r>
      <w:hyperlink w:anchor="appendix-model">
        <w:r>
          <w:rPr>
            <w:rStyle w:val="Hyperlink"/>
          </w:rPr>
          <w:t>Appendix B</w:t>
        </w:r>
      </w:hyperlink>
      <w:r>
        <w:t>.</w:t>
      </w:r>
    </w:p>
    <w:p w14:paraId="518D1AF7" w14:textId="28A316DC" w:rsidR="001B7662" w:rsidRDefault="00A208A5">
      <w:pPr>
        <w:pStyle w:val="ImageCaption"/>
      </w:pPr>
      <w:r>
        <w:t xml:space="preserve">Figure </w:t>
      </w:r>
      <w:bookmarkStart w:id="87" w:name="viz-model-main"/>
      <w:r>
        <w:fldChar w:fldCharType="begin"/>
      </w:r>
      <w:r>
        <w:instrText>SEQ fig \* Arabic</w:instrText>
      </w:r>
      <w:r>
        <w:fldChar w:fldCharType="separate"/>
      </w:r>
      <w:r w:rsidR="00082F4E">
        <w:rPr>
          <w:noProof/>
        </w:rPr>
        <w:t>33</w:t>
      </w:r>
      <w:r>
        <w:fldChar w:fldCharType="end"/>
      </w:r>
      <w:bookmarkEnd w:id="87"/>
      <w:r>
        <w:t>: The core model finds a small, statistically significant negative relationship between occupations’ AI exposure and employment growth</w:t>
      </w:r>
    </w:p>
    <w:p w14:paraId="518D1AF8" w14:textId="77777777" w:rsidR="001B7662" w:rsidRDefault="00A208A5">
      <w:pPr>
        <w:pStyle w:val="CompactNormal"/>
        <w:jc w:val="center"/>
      </w:pPr>
      <w:r>
        <w:rPr>
          <w:noProof/>
        </w:rPr>
        <w:drawing>
          <wp:inline distT="0" distB="0" distL="0" distR="0" wp14:anchorId="518D1D47" wp14:editId="7757B43C">
            <wp:extent cx="5835650" cy="1828800"/>
            <wp:effectExtent l="0" t="0" r="0" b="0"/>
            <wp:docPr id="67" name="Picture 67" descr="A plot displays the main coefficient of interest in the core model with an estimated value of -0.0014 and a 95% confidence interval bar extending from approximately -0.002 to less than 0. The plot highlights that the confidence interval does not cross zero, indicating statistical significance at the 5% level. The core model finds a small, statistically significant negative relationship between occupations' AI exposure and employment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lot displays the main coefficient of interest in the core model with an estimated value of -0.0014 and a 95% confidence interval bar extending from approximately -0.002 to less than 0. The plot highlights that the confidence interval does not cross zero, indicating statistical significance at the 5% level. The core model finds a small, statistically significant negative relationship between occupations' AI exposure and employment growth."/>
                    <pic:cNvPicPr>
                      <a:picLocks noChangeAspect="1" noChangeArrowheads="1"/>
                    </pic:cNvPicPr>
                  </pic:nvPicPr>
                  <pic:blipFill>
                    <a:blip r:embed="rId46"/>
                    <a:stretch>
                      <a:fillRect/>
                    </a:stretch>
                  </pic:blipFill>
                  <pic:spPr bwMode="auto">
                    <a:xfrm>
                      <a:off x="0" y="0"/>
                      <a:ext cx="5835650" cy="1828800"/>
                    </a:xfrm>
                    <a:prstGeom prst="rect">
                      <a:avLst/>
                    </a:prstGeom>
                    <a:noFill/>
                  </pic:spPr>
                </pic:pic>
              </a:graphicData>
            </a:graphic>
          </wp:inline>
        </w:drawing>
      </w:r>
    </w:p>
    <w:p w14:paraId="518D1AF9" w14:textId="77777777" w:rsidR="001B7662" w:rsidRDefault="00A208A5">
      <w:pPr>
        <w:pStyle w:val="BodyText"/>
      </w:pPr>
      <w:r>
        <w:t>This result does not simply reflect the fact that some high-exposure occupations may already have been growing more slowly before ChatGPT. In the pre-ChatGPT period, there was no statistically significant relationship between JSA automation exposure and employment growth. The negative result comes from a change in the exposure–employment relationship after November 2022.</w:t>
      </w:r>
    </w:p>
    <w:p w14:paraId="518D1AFA" w14:textId="77777777" w:rsidR="001B7662" w:rsidRDefault="00A208A5">
      <w:pPr>
        <w:pStyle w:val="BodyText"/>
      </w:pPr>
      <w:r>
        <w:t>The estimated effect is modest. It is much smaller than some public predictions of large AI-driven job losses, and the confidence intervals only just exclude zero. The result is therefore best read as tentative evidence of a small relative shift away from more-exposed occupations, not as evidence of large-scale labour market disruption.</w:t>
      </w:r>
    </w:p>
    <w:p w14:paraId="518D1AFB" w14:textId="1988A8E3" w:rsidR="001B7662" w:rsidRDefault="00A208A5">
      <w:pPr>
        <w:pStyle w:val="BodyText"/>
      </w:pPr>
      <w:r>
        <w:t xml:space="preserve">The </w:t>
      </w:r>
      <w:hyperlink w:anchor="event-study">
        <w:r>
          <w:rPr>
            <w:rStyle w:val="Hyperlink"/>
          </w:rPr>
          <w:t>event-study section</w:t>
        </w:r>
      </w:hyperlink>
      <w:r>
        <w:t xml:space="preserve"> below examines when this relationship appears in the data. The </w:t>
      </w:r>
      <w:hyperlink w:anchor="robust-tests">
        <w:r>
          <w:rPr>
            <w:rStyle w:val="Hyperlink"/>
          </w:rPr>
          <w:t>next chapter</w:t>
        </w:r>
      </w:hyperlink>
      <w:r>
        <w:t xml:space="preserve"> then tests how sensitive the result is to </w:t>
      </w:r>
      <w:proofErr w:type="gramStart"/>
      <w:r>
        <w:t>modelling</w:t>
      </w:r>
      <w:proofErr w:type="gramEnd"/>
      <w:r>
        <w:t xml:space="preserve"> choices and to the occupations included in the sample.</w:t>
      </w:r>
    </w:p>
    <w:p w14:paraId="518D1AFC" w14:textId="77777777" w:rsidR="001B7662" w:rsidRDefault="00A208A5">
      <w:pPr>
        <w:pStyle w:val="Heading3"/>
      </w:pPr>
      <w:bookmarkStart w:id="88" w:name="what-the-model-does-not-show"/>
      <w:r>
        <w:t>What the model does not show</w:t>
      </w:r>
    </w:p>
    <w:p w14:paraId="518D1AFD" w14:textId="77777777" w:rsidR="001B7662" w:rsidRDefault="00A208A5">
      <w:r>
        <w:t>The model does not directly observe AI adoption by firms, nor does it identify specific instances of job destruction or job creation. It estimates whether employment growth changed differently in occupations with higher measured AI exposure after ChatGPT was released. That design supports cautious inference, not definitive causal attribution.</w:t>
      </w:r>
    </w:p>
    <w:p w14:paraId="518D1AFE" w14:textId="77777777" w:rsidR="001B7662" w:rsidRDefault="00A208A5">
      <w:pPr>
        <w:pStyle w:val="BodyText"/>
      </w:pPr>
      <w:r>
        <w:t>There are 3 main reasons for caution. First, all AI exposure scores are imperfect. They measure potential exposure to automation, not actual use of AI in workplaces. If the exposure scores do not capture the occupations most affected by AI, the model may understate or misstate the relationship.</w:t>
      </w:r>
    </w:p>
    <w:p w14:paraId="518D1AFF" w14:textId="77777777" w:rsidR="001B7662" w:rsidRDefault="00A208A5">
      <w:pPr>
        <w:pStyle w:val="BodyText"/>
      </w:pPr>
      <w:r>
        <w:t>Second, the model assumes that higher exposure is associated with proportionately larger employment effects. If AI affects only a small group of very highly exposed occupations, or if it affects all occupations in similar ways, the model may not capture the effect well.</w:t>
      </w:r>
    </w:p>
    <w:p w14:paraId="518D1B00" w14:textId="77777777" w:rsidR="001B7662" w:rsidRDefault="00A208A5">
      <w:pPr>
        <w:pStyle w:val="BodyText"/>
      </w:pPr>
      <w:r>
        <w:lastRenderedPageBreak/>
        <w:t>Third, more AI-exposed occupations may have been affected by other forces around the same time. Routine cognitive work was already declining as a share of employment before ChatGPT, and the post-COVID labour market recovery affected occupations differently. The model is designed to test whether the exposure–employment relationship changed after November 2022, but it cannot rule out all occupation-specific effects other than AI.</w:t>
      </w:r>
    </w:p>
    <w:p w14:paraId="518D1B01" w14:textId="77777777" w:rsidR="001B7662" w:rsidRDefault="00A208A5">
      <w:pPr>
        <w:pStyle w:val="BodyText"/>
      </w:pPr>
      <w:r>
        <w:t xml:space="preserve">For these reasons, the result should be read as evidence of a modest exposure-related employment signal, not as proof that AI caused </w:t>
      </w:r>
      <w:proofErr w:type="gramStart"/>
      <w:r>
        <w:t>particular job</w:t>
      </w:r>
      <w:proofErr w:type="gramEnd"/>
      <w:r>
        <w:t xml:space="preserve"> losses. The next chapter tests how sensitive this signal is to alternative timing assumptions, exposure measures, outcomes and model specifications.</w:t>
      </w:r>
    </w:p>
    <w:p w14:paraId="518D1B02" w14:textId="77777777" w:rsidR="001B7662" w:rsidRDefault="00A208A5">
      <w:pPr>
        <w:pStyle w:val="BodyText"/>
      </w:pPr>
      <w:r>
        <w:t>We also cannot distinguish between several potential explanations for a weak or absent relationship between AI exposure and employment. The small relationship we observe in the data could be because of low adoption, or insufficient model capability, or because productivity and reinstatement effects are offsetting displacement.</w:t>
      </w:r>
    </w:p>
    <w:p w14:paraId="518D1B03" w14:textId="77777777" w:rsidR="001B7662" w:rsidRDefault="00A208A5">
      <w:pPr>
        <w:pStyle w:val="Heading2"/>
      </w:pPr>
      <w:bookmarkStart w:id="89" w:name="_Toc232612087"/>
      <w:bookmarkStart w:id="90" w:name="event-study"/>
      <w:bookmarkEnd w:id="86"/>
      <w:bookmarkEnd w:id="88"/>
      <w:r>
        <w:t>Event study: variable impact of AI exposure over time</w:t>
      </w:r>
      <w:bookmarkEnd w:id="89"/>
    </w:p>
    <w:tbl>
      <w:tblPr>
        <w:tblW w:w="0" w:type="auto"/>
        <w:jc w:val="center"/>
        <w:tblLayout w:type="fixed"/>
        <w:tblLook w:val="0420" w:firstRow="1" w:lastRow="0" w:firstColumn="0" w:lastColumn="0" w:noHBand="0" w:noVBand="1"/>
      </w:tblPr>
      <w:tblGrid>
        <w:gridCol w:w="317"/>
        <w:gridCol w:w="9043"/>
      </w:tblGrid>
      <w:tr w:rsidR="001B7662" w14:paraId="518D1B05" w14:textId="77777777">
        <w:trPr>
          <w:jc w:val="center"/>
        </w:trPr>
        <w:tc>
          <w:tcPr>
            <w:tcW w:w="9360" w:type="dxa"/>
            <w:gridSpan w:val="2"/>
            <w:tcBorders>
              <w:top w:val="single" w:sz="10" w:space="0" w:color="5D7A38"/>
              <w:left w:val="single" w:sz="10" w:space="0" w:color="5D7A38"/>
              <w:bottom w:val="none" w:sz="0" w:space="0" w:color="F1F5ED"/>
              <w:right w:val="single" w:sz="10" w:space="0" w:color="5D7A38"/>
            </w:tcBorders>
            <w:shd w:val="clear" w:color="auto" w:fill="F1F5ED"/>
            <w:tcMar>
              <w:top w:w="0" w:type="dxa"/>
              <w:left w:w="0" w:type="dxa"/>
              <w:bottom w:w="0" w:type="dxa"/>
              <w:right w:w="0" w:type="dxa"/>
            </w:tcMar>
          </w:tcPr>
          <w:p w14:paraId="518D1B04" w14:textId="77777777" w:rsidR="001B7662" w:rsidRDefault="00A208A5">
            <w:pPr>
              <w:keepNext/>
              <w:pBdr>
                <w:top w:val="none" w:sz="0" w:space="0" w:color="000000"/>
                <w:left w:val="none" w:sz="0" w:space="0" w:color="000000"/>
                <w:bottom w:val="none" w:sz="0" w:space="0" w:color="000000"/>
                <w:right w:val="none" w:sz="0" w:space="0" w:color="000000"/>
              </w:pBdr>
              <w:spacing w:before="80" w:after="80" w:line="276" w:lineRule="auto"/>
              <w:ind w:left="120" w:right="120"/>
              <w:rPr>
                <w:rFonts w:eastAsia="Aptos Display" w:cs="Aptos Display"/>
                <w:color w:val="000000"/>
              </w:rPr>
            </w:pPr>
            <w:r>
              <w:rPr>
                <w:rFonts w:eastAsia="Aptos Display" w:cs="Aptos Display"/>
                <w:b/>
                <w:color w:val="5D7A38"/>
                <w:sz w:val="28"/>
                <w:szCs w:val="28"/>
              </w:rPr>
              <w:t>Key points</w:t>
            </w:r>
          </w:p>
        </w:tc>
      </w:tr>
      <w:tr w:rsidR="001B7662" w14:paraId="518D1B08"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B06"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B07"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 core model averages the relationship between AI exposure and employment across the whole post-ChatGPT period. This could miss effects that took time to emerge.</w:t>
            </w:r>
          </w:p>
        </w:tc>
      </w:tr>
      <w:tr w:rsidR="001B7662" w14:paraId="518D1B0B"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B09"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B0A"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There are reasons to think that AI's effect on employment could grow over time. It takes time for businesses to adopt AI, and AI model capabilities have improved markedly over time.</w:t>
            </w:r>
          </w:p>
        </w:tc>
      </w:tr>
      <w:tr w:rsidR="001B7662" w14:paraId="518D1B0E"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B0C"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B0D"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To test whether the AI exposure–employment relationship has changed over time, we estimate our model quarter-by-quarter, in an 'event study' design using the same data and approach as the core model.</w:t>
            </w:r>
          </w:p>
        </w:tc>
      </w:tr>
      <w:tr w:rsidR="001B7662" w14:paraId="518D1B11"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B0F"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B10"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Before ChatGPT, there was no relationship between occupations' exposure to AI and their employment growth.</w:t>
            </w:r>
          </w:p>
        </w:tc>
      </w:tr>
      <w:tr w:rsidR="001B7662" w14:paraId="518D1B14" w14:textId="77777777">
        <w:trPr>
          <w:jc w:val="center"/>
        </w:trPr>
        <w:tc>
          <w:tcPr>
            <w:tcW w:w="317" w:type="dxa"/>
            <w:tcBorders>
              <w:top w:val="none" w:sz="0" w:space="0" w:color="F1F5ED"/>
              <w:left w:val="single" w:sz="10" w:space="0" w:color="5D7A38"/>
              <w:bottom w:val="single" w:sz="10" w:space="0" w:color="5D7A38"/>
              <w:right w:val="none" w:sz="0" w:space="0" w:color="F1F5ED"/>
            </w:tcBorders>
            <w:shd w:val="clear" w:color="auto" w:fill="F1F5ED"/>
            <w:tcMar>
              <w:top w:w="0" w:type="dxa"/>
              <w:left w:w="0" w:type="dxa"/>
              <w:bottom w:w="0" w:type="dxa"/>
              <w:right w:w="0" w:type="dxa"/>
            </w:tcMar>
          </w:tcPr>
          <w:p w14:paraId="518D1B12"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single" w:sz="10" w:space="0" w:color="5D7A38"/>
              <w:right w:val="single" w:sz="10" w:space="0" w:color="5D7A38"/>
            </w:tcBorders>
            <w:shd w:val="clear" w:color="auto" w:fill="F1F5ED"/>
            <w:tcMar>
              <w:top w:w="0" w:type="dxa"/>
              <w:left w:w="0" w:type="dxa"/>
              <w:bottom w:w="0" w:type="dxa"/>
              <w:right w:w="0" w:type="dxa"/>
            </w:tcMar>
          </w:tcPr>
          <w:p w14:paraId="518D1B13"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After ChatGPT, the estimates are more variable. But recent quarters are mostly negative, suggesting that the exposure-related employment signal is clearer in the latest data than it was immediately after ChatGPT was released.</w:t>
            </w:r>
          </w:p>
        </w:tc>
      </w:tr>
    </w:tbl>
    <w:p w14:paraId="518D1B15" w14:textId="77777777" w:rsidR="001B7662" w:rsidRDefault="001B7662"/>
    <w:p w14:paraId="518D1B16" w14:textId="77777777" w:rsidR="001B7662" w:rsidRDefault="00A208A5">
      <w:pPr>
        <w:pStyle w:val="Heading3"/>
      </w:pPr>
      <w:bookmarkStart w:id="91" w:name="why-estimate-an-event-study"/>
      <w:r>
        <w:t>Why estimate an event study?</w:t>
      </w:r>
    </w:p>
    <w:p w14:paraId="518D1B17" w14:textId="77777777" w:rsidR="001B7662" w:rsidRDefault="00A208A5">
      <w:r>
        <w:t>The core model provides a single summary estimate of how the relationship between AI exposure and employment growth has changed, comparing the periods before and after ChatGPT. That is useful for a central estimate, but it imposes a simple timing structure: it assumes the exposure-related relationship changes in a broadly consistent way across the post-ChatGPT period.</w:t>
      </w:r>
    </w:p>
    <w:p w14:paraId="518D1B18" w14:textId="77777777" w:rsidR="001B7662" w:rsidRDefault="00A208A5">
      <w:pPr>
        <w:pStyle w:val="BodyText"/>
      </w:pPr>
      <w:r>
        <w:t>That may be too simple. Firms may have taken time to experiment with generative AI, adopt it in production, and adjust staffing. More recent AI models have also been more capable than the tools available immediately after ChatGPT was released. If any employment effect emerged gradually, or only in recent quarters, the core model could understate or blur the timing of the change.</w:t>
      </w:r>
    </w:p>
    <w:p w14:paraId="518D1B19" w14:textId="77777777" w:rsidR="001B7662" w:rsidRDefault="00A208A5">
      <w:pPr>
        <w:pStyle w:val="BodyText"/>
      </w:pPr>
      <w:r>
        <w:t>We therefore estimate a version of the model that examines the exposure–employment relationship quarter-by-quarter (an ‘event study’). It uses the same data and exposure scores as the core model but allows the relationship between AI exposure and employment to vary quarter by quarter. Quarter-by-quarter estimates are noisier than the core estimate, so individual quarters should not be over-interpreted.</w:t>
      </w:r>
    </w:p>
    <w:p w14:paraId="518D1B1A" w14:textId="77777777" w:rsidR="001B7662" w:rsidRDefault="00A208A5">
      <w:pPr>
        <w:pStyle w:val="Heading3"/>
      </w:pPr>
      <w:bookmarkStart w:id="92" w:name="event-study-results"/>
      <w:bookmarkEnd w:id="91"/>
      <w:r>
        <w:lastRenderedPageBreak/>
        <w:t>Event study results</w:t>
      </w:r>
    </w:p>
    <w:p w14:paraId="518D1B1B" w14:textId="109253D3" w:rsidR="001B7662" w:rsidRDefault="00A208A5">
      <w:r>
        <w:t xml:space="preserve">We estimate the relationship between AI exposure and employment for each quarter. The results – the main coefficient of interest in each quarter – are shown in Figure </w:t>
      </w:r>
      <w:hyperlink w:anchor="viz-event-qtrly" w:history="1">
        <w:r>
          <w:fldChar w:fldCharType="begin"/>
        </w:r>
        <w:r>
          <w:instrText xml:space="preserve"> REF viz-event-qtrly \h</w:instrText>
        </w:r>
        <w:r>
          <w:fldChar w:fldCharType="separate"/>
        </w:r>
        <w:r w:rsidR="00082F4E">
          <w:rPr>
            <w:noProof/>
          </w:rPr>
          <w:t>34</w:t>
        </w:r>
        <w:r>
          <w:fldChar w:fldCharType="end"/>
        </w:r>
      </w:hyperlink>
      <w:r>
        <w:t xml:space="preserve">. Technical information about the event study is in </w:t>
      </w:r>
      <w:hyperlink w:anchor="appendix-event-study">
        <w:r>
          <w:rPr>
            <w:rStyle w:val="Hyperlink"/>
          </w:rPr>
          <w:t>Appendix B</w:t>
        </w:r>
      </w:hyperlink>
      <w:r>
        <w:t xml:space="preserve"> at page </w:t>
      </w:r>
      <w:r>
        <w:fldChar w:fldCharType="begin"/>
      </w:r>
      <w:r>
        <w:instrText>PAGEREF appendix-event-study \h</w:instrText>
      </w:r>
      <w:r>
        <w:fldChar w:fldCharType="separate"/>
      </w:r>
      <w:r w:rsidR="00082F4E">
        <w:rPr>
          <w:noProof/>
        </w:rPr>
        <w:t>72</w:t>
      </w:r>
      <w:r>
        <w:fldChar w:fldCharType="end"/>
      </w:r>
      <w:r>
        <w:t>.</w:t>
      </w:r>
    </w:p>
    <w:p w14:paraId="518D1B1C" w14:textId="77777777" w:rsidR="001B7662" w:rsidRDefault="00A208A5">
      <w:pPr>
        <w:pStyle w:val="BodyText"/>
      </w:pPr>
      <w:r>
        <w:t>Of the 31 quarters before the introduction of ChatGPT, only one has an exposure–employment relationship that is statistically significant at the 5% level.</w:t>
      </w:r>
      <w:r>
        <w:rPr>
          <w:rStyle w:val="FootnoteReference"/>
        </w:rPr>
        <w:footnoteReference w:id="65"/>
      </w:r>
      <w:r>
        <w:t xml:space="preserve"> This is reassuring, as it means there was no general tendency for more exposed occupations to grow more slowly (or rapidly) than less-exposed occupations before November 2022.</w:t>
      </w:r>
    </w:p>
    <w:p w14:paraId="518D1B1D" w14:textId="77777777" w:rsidR="001B7662" w:rsidRDefault="00A208A5">
      <w:pPr>
        <w:pStyle w:val="BodyText"/>
      </w:pPr>
      <w:r>
        <w:t>For the 13 quarters after the introduction of ChatGPT, the results are variable but do turn more negative. Of the 13 quarters post-ChatGPT, there are 6 with a statistically significant negative exposure–employment relationship.</w:t>
      </w:r>
    </w:p>
    <w:p w14:paraId="518D1B1E" w14:textId="77777777" w:rsidR="001B7662" w:rsidRDefault="00A208A5">
      <w:pPr>
        <w:pStyle w:val="BodyText"/>
      </w:pPr>
      <w:r>
        <w:t>The most recent quarter’s coefficient is -0.017 and is statistically significant at the 5% level. This should be read as a relative shortfall, not an absolute fall in employment: for an occupation one standard deviation above average AI exposure, employment is estimated to be about 1.7% lower than the model-implied counterfactual in which the exposure–employment relationship had not changed since the reference quarter.</w:t>
      </w:r>
    </w:p>
    <w:p w14:paraId="518D1B1F" w14:textId="73DFB858" w:rsidR="001B7662" w:rsidRDefault="00A208A5">
      <w:pPr>
        <w:pStyle w:val="ImageCaption"/>
      </w:pPr>
      <w:r>
        <w:t xml:space="preserve">Figure </w:t>
      </w:r>
      <w:bookmarkStart w:id="93" w:name="viz-event-qtrly"/>
      <w:r>
        <w:fldChar w:fldCharType="begin"/>
      </w:r>
      <w:r>
        <w:instrText>SEQ fig \* Arabic</w:instrText>
      </w:r>
      <w:r>
        <w:fldChar w:fldCharType="separate"/>
      </w:r>
      <w:r w:rsidR="00082F4E">
        <w:rPr>
          <w:noProof/>
        </w:rPr>
        <w:t>34</w:t>
      </w:r>
      <w:r>
        <w:fldChar w:fldCharType="end"/>
      </w:r>
      <w:bookmarkEnd w:id="93"/>
      <w:r>
        <w:t>: The exposure–employment relationship is more negative in recent quarters</w:t>
      </w:r>
    </w:p>
    <w:p w14:paraId="518D1B20" w14:textId="77777777" w:rsidR="001B7662" w:rsidRDefault="00A208A5">
      <w:pPr>
        <w:pStyle w:val="CompactNormal"/>
        <w:jc w:val="center"/>
      </w:pPr>
      <w:r>
        <w:rPr>
          <w:noProof/>
        </w:rPr>
        <w:drawing>
          <wp:inline distT="0" distB="0" distL="0" distR="0" wp14:anchorId="518D1D49" wp14:editId="641B44B2">
            <wp:extent cx="5835650" cy="2917825"/>
            <wp:effectExtent l="0" t="0" r="0" b="0"/>
            <wp:docPr id="69" name="Picture 69" descr="Chart showing relationship between AI automation exposure and employment from 2016 to 2026 by quarter. Green dots represent data points with vertical bars indicating 95% confidence intervals, highlighting a downward trend in employment impact after ChatGPT introduction in November 2022. The exposure-employment relationship is more negative in recent quar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hart showing relationship between AI automation exposure and employment from 2016 to 2026 by quarter. Green dots represent data points with vertical bars indicating 95% confidence intervals, highlighting a downward trend in employment impact after ChatGPT introduction in November 2022. The exposure-employment relationship is more negative in recent quarters."/>
                    <pic:cNvPicPr>
                      <a:picLocks noChangeAspect="1" noChangeArrowheads="1"/>
                    </pic:cNvPicPr>
                  </pic:nvPicPr>
                  <pic:blipFill>
                    <a:blip r:embed="rId47"/>
                    <a:stretch>
                      <a:fillRect/>
                    </a:stretch>
                  </pic:blipFill>
                  <pic:spPr bwMode="auto">
                    <a:xfrm>
                      <a:off x="0" y="0"/>
                      <a:ext cx="5835650" cy="2917825"/>
                    </a:xfrm>
                    <a:prstGeom prst="rect">
                      <a:avLst/>
                    </a:prstGeom>
                    <a:noFill/>
                  </pic:spPr>
                </pic:pic>
              </a:graphicData>
            </a:graphic>
          </wp:inline>
        </w:drawing>
      </w:r>
    </w:p>
    <w:p w14:paraId="518D1B21" w14:textId="77777777" w:rsidR="001B7662" w:rsidRDefault="00A208A5">
      <w:pPr>
        <w:pStyle w:val="BodyText"/>
      </w:pPr>
      <w:r>
        <w:t xml:space="preserve">The event study complements the core model. Its findings are </w:t>
      </w:r>
      <w:proofErr w:type="gramStart"/>
      <w:r>
        <w:t>similar to</w:t>
      </w:r>
      <w:proofErr w:type="gramEnd"/>
      <w:r>
        <w:t xml:space="preserve"> the core result, while suggesting that the negative exposure–employment relationship is clearer in recent quarters. This could be because AI model capabilities have improved, or because AI adoption has increased over time. The findings of the event study reinforce the need to treat the core estimate as a possible early signal and to continue monitoring whether it grows, fades or persists.</w:t>
      </w:r>
    </w:p>
    <w:p w14:paraId="518D1B22" w14:textId="77777777" w:rsidR="001B7662" w:rsidRDefault="00A208A5">
      <w:r>
        <w:br w:type="page"/>
      </w:r>
    </w:p>
    <w:p w14:paraId="518D1B23" w14:textId="77777777" w:rsidR="001B7662" w:rsidRDefault="00A208A5">
      <w:pPr>
        <w:pStyle w:val="Heading1"/>
      </w:pPr>
      <w:bookmarkStart w:id="94" w:name="_Toc232612088"/>
      <w:bookmarkStart w:id="95" w:name="robust-tests"/>
      <w:bookmarkEnd w:id="80"/>
      <w:bookmarkEnd w:id="90"/>
      <w:bookmarkEnd w:id="92"/>
      <w:r>
        <w:lastRenderedPageBreak/>
        <w:t>How robust are the model estimates?</w:t>
      </w:r>
      <w:bookmarkEnd w:id="94"/>
    </w:p>
    <w:tbl>
      <w:tblPr>
        <w:tblW w:w="0" w:type="auto"/>
        <w:jc w:val="center"/>
        <w:tblLayout w:type="fixed"/>
        <w:tblLook w:val="0420" w:firstRow="1" w:lastRow="0" w:firstColumn="0" w:lastColumn="0" w:noHBand="0" w:noVBand="1"/>
      </w:tblPr>
      <w:tblGrid>
        <w:gridCol w:w="317"/>
        <w:gridCol w:w="9043"/>
      </w:tblGrid>
      <w:tr w:rsidR="001B7662" w14:paraId="518D1B25" w14:textId="77777777">
        <w:trPr>
          <w:jc w:val="center"/>
        </w:trPr>
        <w:tc>
          <w:tcPr>
            <w:tcW w:w="9360" w:type="dxa"/>
            <w:gridSpan w:val="2"/>
            <w:tcBorders>
              <w:top w:val="single" w:sz="10" w:space="0" w:color="5D7A38"/>
              <w:left w:val="single" w:sz="10" w:space="0" w:color="5D7A38"/>
              <w:bottom w:val="none" w:sz="0" w:space="0" w:color="F1F5ED"/>
              <w:right w:val="single" w:sz="10" w:space="0" w:color="5D7A38"/>
            </w:tcBorders>
            <w:shd w:val="clear" w:color="auto" w:fill="F1F5ED"/>
            <w:tcMar>
              <w:top w:w="0" w:type="dxa"/>
              <w:left w:w="0" w:type="dxa"/>
              <w:bottom w:w="0" w:type="dxa"/>
              <w:right w:w="0" w:type="dxa"/>
            </w:tcMar>
          </w:tcPr>
          <w:p w14:paraId="518D1B24" w14:textId="77777777" w:rsidR="001B7662" w:rsidRDefault="00A208A5">
            <w:pPr>
              <w:keepNext/>
              <w:pBdr>
                <w:top w:val="none" w:sz="0" w:space="0" w:color="000000"/>
                <w:left w:val="none" w:sz="0" w:space="0" w:color="000000"/>
                <w:bottom w:val="none" w:sz="0" w:space="0" w:color="000000"/>
                <w:right w:val="none" w:sz="0" w:space="0" w:color="000000"/>
              </w:pBdr>
              <w:spacing w:before="80" w:after="80" w:line="276" w:lineRule="auto"/>
              <w:ind w:left="120" w:right="120"/>
              <w:rPr>
                <w:rFonts w:eastAsia="Aptos Display" w:cs="Aptos Display"/>
                <w:color w:val="000000"/>
              </w:rPr>
            </w:pPr>
            <w:r>
              <w:rPr>
                <w:rFonts w:eastAsia="Aptos Display" w:cs="Aptos Display"/>
                <w:b/>
                <w:color w:val="5D7A38"/>
                <w:sz w:val="28"/>
                <w:szCs w:val="28"/>
              </w:rPr>
              <w:t>Key points</w:t>
            </w:r>
          </w:p>
        </w:tc>
      </w:tr>
      <w:tr w:rsidR="001B7662" w14:paraId="518D1B28"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B26"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B27"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 core model finds a small negative relationship between AI exposure and employment growth after the introduction of ChatGPT. The event study suggests this relationship has turned more negative in recent quarters, although the quarter-by-quarter estimates are variable.</w:t>
            </w:r>
          </w:p>
        </w:tc>
      </w:tr>
      <w:tr w:rsidR="001B7662" w14:paraId="518D1B2B"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B29"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B2A" w14:textId="49FB30E4"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But these results are not consistent in each variation of the model. These robustness tests mean that the results of our core model should be regarded as a tentative early signal of a possible change in the exposure–employment relationship, not definitive evidence of a negative effect.</w:t>
            </w:r>
          </w:p>
        </w:tc>
      </w:tr>
      <w:tr w:rsidR="001B7662" w14:paraId="518D1B2E"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B2C"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B2D"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 strongest reason for caution is that the model result depends on how occupational AI exposure is measured. We test three exposure measures and only the JSA measure produces a statistically significant negative exposure–employment relationship. While the JSA automation exposure scores are likely to be the most appropriate for our analysis, this is still reason for caution about the result.</w:t>
            </w:r>
          </w:p>
        </w:tc>
      </w:tr>
      <w:tr w:rsidR="001B7662" w14:paraId="518D1B31"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B2F"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B30"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The results are slightly sensitive to the choice of how the pre-treatment and post-treatment periods are defined. All scenarios we examine produce a negative estimate (weakened employment for more exposed occupations), but not all are statistically significant.</w:t>
            </w:r>
          </w:p>
        </w:tc>
      </w:tr>
      <w:tr w:rsidR="001B7662" w14:paraId="518D1B34" w14:textId="77777777">
        <w:trPr>
          <w:jc w:val="center"/>
        </w:trPr>
        <w:tc>
          <w:tcPr>
            <w:tcW w:w="317" w:type="dxa"/>
            <w:tcBorders>
              <w:top w:val="none" w:sz="0" w:space="0" w:color="F1F5ED"/>
              <w:left w:val="single" w:sz="10" w:space="0" w:color="5D7A38"/>
              <w:bottom w:val="none" w:sz="0" w:space="0" w:color="F1F5ED"/>
              <w:right w:val="none" w:sz="0" w:space="0" w:color="F1F5ED"/>
            </w:tcBorders>
            <w:shd w:val="clear" w:color="auto" w:fill="F1F5ED"/>
            <w:tcMar>
              <w:top w:w="0" w:type="dxa"/>
              <w:left w:w="0" w:type="dxa"/>
              <w:bottom w:w="0" w:type="dxa"/>
              <w:right w:w="0" w:type="dxa"/>
            </w:tcMar>
          </w:tcPr>
          <w:p w14:paraId="518D1B32"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none" w:sz="0" w:space="0" w:color="F1F5ED"/>
              <w:right w:val="single" w:sz="10" w:space="0" w:color="5D7A38"/>
            </w:tcBorders>
            <w:shd w:val="clear" w:color="auto" w:fill="F1F5ED"/>
            <w:tcMar>
              <w:top w:w="0" w:type="dxa"/>
              <w:left w:w="0" w:type="dxa"/>
              <w:bottom w:w="0" w:type="dxa"/>
              <w:right w:w="0" w:type="dxa"/>
            </w:tcMar>
          </w:tcPr>
          <w:p w14:paraId="518D1B33"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Our results are not driven by a small number of occupations. Re-estimating the model many times on resampled sets of occupations produces estimates broadly consistent with the main result.</w:t>
            </w:r>
          </w:p>
        </w:tc>
      </w:tr>
      <w:tr w:rsidR="001B7662" w14:paraId="518D1B37" w14:textId="77777777">
        <w:trPr>
          <w:jc w:val="center"/>
        </w:trPr>
        <w:tc>
          <w:tcPr>
            <w:tcW w:w="317" w:type="dxa"/>
            <w:tcBorders>
              <w:top w:val="none" w:sz="0" w:space="0" w:color="F1F5ED"/>
              <w:left w:val="single" w:sz="10" w:space="0" w:color="5D7A38"/>
              <w:bottom w:val="single" w:sz="10" w:space="0" w:color="5D7A38"/>
              <w:right w:val="none" w:sz="0" w:space="0" w:color="F1F5ED"/>
            </w:tcBorders>
            <w:shd w:val="clear" w:color="auto" w:fill="F1F5ED"/>
            <w:tcMar>
              <w:top w:w="0" w:type="dxa"/>
              <w:left w:w="0" w:type="dxa"/>
              <w:bottom w:w="0" w:type="dxa"/>
              <w:right w:w="0" w:type="dxa"/>
            </w:tcMar>
          </w:tcPr>
          <w:p w14:paraId="518D1B35"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left="80"/>
              <w:rPr>
                <w:rFonts w:eastAsia="Aptos Display" w:cs="Aptos Display"/>
                <w:color w:val="000000"/>
              </w:rPr>
            </w:pPr>
            <w:r>
              <w:rPr>
                <w:rFonts w:eastAsia="Aptos Display" w:cs="Aptos Display"/>
                <w:color w:val="000000"/>
              </w:rPr>
              <w:t>•</w:t>
            </w:r>
          </w:p>
        </w:tc>
        <w:tc>
          <w:tcPr>
            <w:tcW w:w="9043" w:type="dxa"/>
            <w:tcBorders>
              <w:top w:val="none" w:sz="0" w:space="0" w:color="F1F5ED"/>
              <w:left w:val="none" w:sz="0" w:space="0" w:color="F1F5ED"/>
              <w:bottom w:val="single" w:sz="10" w:space="0" w:color="5D7A38"/>
              <w:right w:val="single" w:sz="10" w:space="0" w:color="5D7A38"/>
            </w:tcBorders>
            <w:shd w:val="clear" w:color="auto" w:fill="F1F5ED"/>
            <w:tcMar>
              <w:top w:w="0" w:type="dxa"/>
              <w:left w:w="0" w:type="dxa"/>
              <w:bottom w:w="0" w:type="dxa"/>
              <w:right w:w="0" w:type="dxa"/>
            </w:tcMar>
          </w:tcPr>
          <w:p w14:paraId="518D1B36" w14:textId="77777777" w:rsidR="001B7662" w:rsidRDefault="00A208A5">
            <w:pPr>
              <w:keepNext/>
              <w:pBdr>
                <w:top w:val="none" w:sz="0" w:space="0" w:color="000000"/>
                <w:left w:val="none" w:sz="0" w:space="0" w:color="000000"/>
                <w:bottom w:val="none" w:sz="0" w:space="0" w:color="000000"/>
                <w:right w:val="none" w:sz="0" w:space="0" w:color="000000"/>
              </w:pBdr>
              <w:spacing w:before="60" w:after="60" w:line="276" w:lineRule="auto"/>
              <w:ind w:right="120"/>
              <w:rPr>
                <w:rFonts w:ascii="Arial" w:eastAsia="Arial" w:hAnsi="Arial"/>
                <w:color w:val="000000"/>
              </w:rPr>
            </w:pPr>
            <w:r>
              <w:rPr>
                <w:rFonts w:eastAsia="Aptos Display" w:cs="Aptos Display"/>
                <w:color w:val="000000"/>
              </w:rPr>
              <w:t>Modelling choices matter. Some model variations support the core result, while others weaken it or make it statistically insignificant.</w:t>
            </w:r>
          </w:p>
        </w:tc>
      </w:tr>
    </w:tbl>
    <w:p w14:paraId="518D1B38" w14:textId="77777777" w:rsidR="001B7662" w:rsidRDefault="001B7662"/>
    <w:p w14:paraId="518D1B39" w14:textId="77777777" w:rsidR="001B7662" w:rsidRDefault="00A208A5">
      <w:pPr>
        <w:pStyle w:val="BodyText"/>
      </w:pPr>
      <w:r>
        <w:t xml:space="preserve">Our core model is subject to a range of assumptions and limitations. In this chapter, we check if our results still hold if we make various changes to the model framework. If the estimates from these alternative approaches are </w:t>
      </w:r>
      <w:proofErr w:type="gramStart"/>
      <w:r>
        <w:t>similar to</w:t>
      </w:r>
      <w:proofErr w:type="gramEnd"/>
      <w:r>
        <w:t xml:space="preserve"> the core model, this would increase confidence that the core estimate is not an artefact of one modelling choice.</w:t>
      </w:r>
    </w:p>
    <w:p w14:paraId="518D1B3A" w14:textId="77777777" w:rsidR="001B7662" w:rsidRDefault="00A208A5">
      <w:pPr>
        <w:pStyle w:val="BodyText"/>
      </w:pPr>
      <w:r>
        <w:t>In this chapter, we answer five questions about the results from our core model:</w:t>
      </w:r>
    </w:p>
    <w:p w14:paraId="518D1B3B" w14:textId="77777777" w:rsidR="001B7662" w:rsidRDefault="00A208A5" w:rsidP="00A208A5">
      <w:pPr>
        <w:numPr>
          <w:ilvl w:val="0"/>
          <w:numId w:val="14"/>
        </w:numPr>
      </w:pPr>
      <w:r>
        <w:rPr>
          <w:b/>
          <w:bCs/>
        </w:rPr>
        <w:t>Is the result driven by a few occupations?</w:t>
      </w:r>
      <w:r>
        <w:t xml:space="preserve"> No. Re-estimating the model many times on re-sampled occupations gives results broadly consistent with the core model, which is reassuring.</w:t>
      </w:r>
    </w:p>
    <w:p w14:paraId="518D1B3C" w14:textId="77777777" w:rsidR="001B7662" w:rsidRDefault="00A208A5" w:rsidP="00A208A5">
      <w:pPr>
        <w:numPr>
          <w:ilvl w:val="0"/>
          <w:numId w:val="14"/>
        </w:numPr>
      </w:pPr>
      <w:r>
        <w:rPr>
          <w:b/>
          <w:bCs/>
        </w:rPr>
        <w:t>Is it sensitive to our choices in defining time periods</w:t>
      </w:r>
      <w:r>
        <w:t>? Somewhat. All timing variants produce negative estimates, but the size and statistical significance of the estimate varies.</w:t>
      </w:r>
    </w:p>
    <w:p w14:paraId="518D1B3D" w14:textId="77777777" w:rsidR="001B7662" w:rsidRDefault="00A208A5" w:rsidP="00A208A5">
      <w:pPr>
        <w:numPr>
          <w:ilvl w:val="0"/>
          <w:numId w:val="14"/>
        </w:numPr>
      </w:pPr>
      <w:r>
        <w:rPr>
          <w:b/>
          <w:bCs/>
        </w:rPr>
        <w:t>Does the result vary when we use different measures of occupational AI exposure?</w:t>
      </w:r>
      <w:r>
        <w:t xml:space="preserve"> Yes. This is the strongest reason for caution: using two alternative exposure measures does not reproduce the statistically significant negative relationship found with the JSA measure.</w:t>
      </w:r>
    </w:p>
    <w:p w14:paraId="518D1B3E" w14:textId="77777777" w:rsidR="001B7662" w:rsidRDefault="00A208A5" w:rsidP="00A208A5">
      <w:pPr>
        <w:numPr>
          <w:ilvl w:val="0"/>
          <w:numId w:val="14"/>
        </w:numPr>
      </w:pPr>
      <w:r>
        <w:rPr>
          <w:b/>
          <w:bCs/>
        </w:rPr>
        <w:t>Do the results look different when we model hours worked or job advertisements rather than employment?</w:t>
      </w:r>
      <w:r>
        <w:t xml:space="preserve"> Yes. The hours-worked estimate is similar in direction to the employment result but is not statistically significant, while the job-advertisements model does not show the same negative relationship.</w:t>
      </w:r>
    </w:p>
    <w:p w14:paraId="518D1B3F" w14:textId="77777777" w:rsidR="001B7662" w:rsidRDefault="00A208A5" w:rsidP="00A208A5">
      <w:pPr>
        <w:numPr>
          <w:ilvl w:val="0"/>
          <w:numId w:val="14"/>
        </w:numPr>
      </w:pPr>
      <w:r>
        <w:rPr>
          <w:b/>
          <w:bCs/>
        </w:rPr>
        <w:lastRenderedPageBreak/>
        <w:t>Does the result depend on model design?</w:t>
      </w:r>
      <w:r>
        <w:t xml:space="preserve"> To some extent. Several alternatives produce results </w:t>
      </w:r>
      <w:proofErr w:type="gramStart"/>
      <w:r>
        <w:t>similar to</w:t>
      </w:r>
      <w:proofErr w:type="gramEnd"/>
      <w:r>
        <w:t xml:space="preserve"> the core model, but others weaken the result or make it statistically insignificant.</w:t>
      </w:r>
    </w:p>
    <w:p w14:paraId="518D1B40" w14:textId="77777777" w:rsidR="001B7662" w:rsidRDefault="00A208A5">
      <w:r>
        <w:t>Together, these tests suggest the core result is not an artefact of a few occupations, but nor is it robust to every reasonable alternative specification. The most important limitation is that the result depends materially on the exposure measure used.</w:t>
      </w:r>
    </w:p>
    <w:p w14:paraId="518D1B41" w14:textId="77777777" w:rsidR="001B7662" w:rsidRDefault="00A208A5">
      <w:pPr>
        <w:pStyle w:val="Heading2"/>
      </w:pPr>
      <w:bookmarkStart w:id="96" w:name="_Toc232612089"/>
      <w:bookmarkStart w:id="97" w:name="X7477b5db915247a785c3e4573644216cd2c45c5"/>
      <w:r>
        <w:t>Sensitivity to excluding some occupations</w:t>
      </w:r>
      <w:bookmarkEnd w:id="96"/>
    </w:p>
    <w:p w14:paraId="518D1B42" w14:textId="77777777" w:rsidR="001B7662" w:rsidRDefault="00A208A5">
      <w:r>
        <w:t>The core model’s main estimate combines all occupations. There is a risk that the estimated effect is driven by a small number of occupations. There is also a risk that some occupations’ AI exposure may have been mis-estimated by JSA.</w:t>
      </w:r>
      <w:r>
        <w:rPr>
          <w:rStyle w:val="FootnoteReference"/>
        </w:rPr>
        <w:footnoteReference w:id="66"/>
      </w:r>
    </w:p>
    <w:p w14:paraId="518D1B43" w14:textId="77777777" w:rsidR="001B7662" w:rsidRDefault="00A208A5">
      <w:pPr>
        <w:pStyle w:val="BodyText"/>
      </w:pPr>
      <w:r>
        <w:t>To address these concerns, we estimate the main model 1,000 times, each time re-sampling occupations, so that some occupations are omitted from a draw and others appear more than once. This is a process known as ‘bootstrapping’.</w:t>
      </w:r>
      <w:r>
        <w:rPr>
          <w:rStyle w:val="FootnoteReference"/>
        </w:rPr>
        <w:footnoteReference w:id="67"/>
      </w:r>
    </w:p>
    <w:p w14:paraId="518D1B44" w14:textId="5E1DAB4C" w:rsidR="001B7662" w:rsidRDefault="00A208A5">
      <w:pPr>
        <w:pStyle w:val="BodyText"/>
      </w:pPr>
      <w:r>
        <w:t xml:space="preserve">We do this to see how the estimated change in the exposure–employment relationship pre- and post-ChatGPT (the main coefficient of interest, </w:t>
      </w:r>
      <m:oMath>
        <m:r>
          <w:rPr>
            <w:rFonts w:ascii="Cambria Math" w:hAnsi="Cambria Math"/>
          </w:rPr>
          <m:t>Δβ</m:t>
        </m:r>
      </m:oMath>
      <w:r>
        <w:t xml:space="preserve"> ) varies when we randomly exclude some occupations. The results are shown in Figure </w:t>
      </w:r>
      <w:hyperlink w:anchor="viz-bootstrap" w:history="1">
        <w:r>
          <w:fldChar w:fldCharType="begin"/>
        </w:r>
        <w:r>
          <w:instrText xml:space="preserve"> REF viz-bootstrap \h</w:instrText>
        </w:r>
        <w:r>
          <w:fldChar w:fldCharType="separate"/>
        </w:r>
        <w:r w:rsidR="00082F4E">
          <w:rPr>
            <w:noProof/>
          </w:rPr>
          <w:t>35</w:t>
        </w:r>
        <w:r>
          <w:fldChar w:fldCharType="end"/>
        </w:r>
      </w:hyperlink>
      <w:r>
        <w:t>.</w:t>
      </w:r>
    </w:p>
    <w:p w14:paraId="518D1B45" w14:textId="79645F70" w:rsidR="001B7662" w:rsidRDefault="00A208A5">
      <w:pPr>
        <w:pStyle w:val="ImageCaption"/>
      </w:pPr>
      <w:r>
        <w:t xml:space="preserve">Figure </w:t>
      </w:r>
      <w:bookmarkStart w:id="98" w:name="viz-bootstrap"/>
      <w:r>
        <w:fldChar w:fldCharType="begin"/>
      </w:r>
      <w:r>
        <w:instrText>SEQ fig \* Arabic</w:instrText>
      </w:r>
      <w:r>
        <w:fldChar w:fldCharType="separate"/>
      </w:r>
      <w:r w:rsidR="00082F4E">
        <w:rPr>
          <w:noProof/>
        </w:rPr>
        <w:t>35</w:t>
      </w:r>
      <w:r>
        <w:fldChar w:fldCharType="end"/>
      </w:r>
      <w:bookmarkEnd w:id="98"/>
      <w:r>
        <w:t>: Most bootstrap estimates show a small negative employment signal for AI-exposed occupations</w:t>
      </w:r>
    </w:p>
    <w:p w14:paraId="518D1B46" w14:textId="77777777" w:rsidR="001B7662" w:rsidRDefault="00A208A5">
      <w:pPr>
        <w:pStyle w:val="CompactNormal"/>
        <w:jc w:val="center"/>
      </w:pPr>
      <w:r>
        <w:rPr>
          <w:noProof/>
        </w:rPr>
        <w:drawing>
          <wp:inline distT="0" distB="0" distL="0" distR="0" wp14:anchorId="518D1D4B" wp14:editId="58B71166">
            <wp:extent cx="5835650" cy="2917825"/>
            <wp:effectExtent l="0" t="0" r="0" b="0"/>
            <wp:docPr id="71" name="Picture 71" descr="Bar chart showing frequency distribution of Δβ estimates from 1,000 bootstrap draws with values ranging from approximately -0.004 to 0.001. Chart includes vertical dashed lines marking 5th and 95th percentiles in green and a purple dashed line indicating main model estimate of -0.0014, highlighting concentration of estimates around this value. Most bootstrap estimates show a small negative employment signal for AI-exposed occup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Bar chart showing frequency distribution of Δβ estimates from 1,000 bootstrap draws with values ranging from approximately -0.004 to 0.001. Chart includes vertical dashed lines marking 5th and 95th percentiles in green and a purple dashed line indicating main model estimate of -0.0014, highlighting concentration of estimates around this value. Most bootstrap estimates show a small negative employment signal for AI-exposed occupations.&#10;"/>
                    <pic:cNvPicPr>
                      <a:picLocks noChangeAspect="1" noChangeArrowheads="1"/>
                    </pic:cNvPicPr>
                  </pic:nvPicPr>
                  <pic:blipFill>
                    <a:blip r:embed="rId48"/>
                    <a:stretch>
                      <a:fillRect/>
                    </a:stretch>
                  </pic:blipFill>
                  <pic:spPr bwMode="auto">
                    <a:xfrm>
                      <a:off x="0" y="0"/>
                      <a:ext cx="5835650" cy="2917825"/>
                    </a:xfrm>
                    <a:prstGeom prst="rect">
                      <a:avLst/>
                    </a:prstGeom>
                    <a:noFill/>
                  </pic:spPr>
                </pic:pic>
              </a:graphicData>
            </a:graphic>
          </wp:inline>
        </w:drawing>
      </w:r>
    </w:p>
    <w:p w14:paraId="518D1B47" w14:textId="77777777" w:rsidR="001B7662" w:rsidRDefault="00A208A5">
      <w:pPr>
        <w:pStyle w:val="BodyText"/>
      </w:pPr>
      <w:r>
        <w:t>The size of the coefficient (</w:t>
      </w:r>
      <m:oMath>
        <m:r>
          <w:rPr>
            <w:rFonts w:ascii="Cambria Math" w:hAnsi="Cambria Math"/>
          </w:rPr>
          <m:t>Δβ</m:t>
        </m:r>
      </m:oMath>
      <w:r>
        <w:t xml:space="preserve">) varies across the random draws but is centred on the estimate from the core model. In just over 95% of bootstrap draws, the coefficient is negative. This is reassuring, as it suggests the core model result is not driven by a small number of occupations. But a little under 5% of samples produce a zero or positive estimate, so the sign is not completely stable. This supports a </w:t>
      </w:r>
      <w:r>
        <w:lastRenderedPageBreak/>
        <w:t>cautious interpretation: the bootstrap exercise strengthens confidence that the core estimate is not an outlier, but it does not make the result definitive.</w:t>
      </w:r>
    </w:p>
    <w:p w14:paraId="518D1B48" w14:textId="77777777" w:rsidR="001B7662" w:rsidRDefault="00A208A5">
      <w:pPr>
        <w:pStyle w:val="Heading2"/>
      </w:pPr>
      <w:bookmarkStart w:id="99" w:name="_Toc232612090"/>
      <w:bookmarkStart w:id="100" w:name="sensitivity-to-timing"/>
      <w:bookmarkEnd w:id="97"/>
      <w:r>
        <w:t>Sensitivity to timing</w:t>
      </w:r>
      <w:bookmarkEnd w:id="99"/>
    </w:p>
    <w:p w14:paraId="518D1B49" w14:textId="70FCB17C" w:rsidR="001B7662" w:rsidRDefault="00A208A5">
      <w:r>
        <w:t xml:space="preserve">Our </w:t>
      </w:r>
      <w:hyperlink w:anchor="event-study">
        <w:r>
          <w:rPr>
            <w:rStyle w:val="Hyperlink"/>
          </w:rPr>
          <w:t>event study</w:t>
        </w:r>
      </w:hyperlink>
      <w:r>
        <w:t xml:space="preserve"> model suggests that the relationship between AI exposure and employment has varied over time. This raises the question of whether our results may differ if we change the periods of time used to define the ‘pre’ and ‘post’ AI era.</w:t>
      </w:r>
    </w:p>
    <w:p w14:paraId="518D1B4A" w14:textId="77777777" w:rsidR="001B7662" w:rsidRDefault="00A208A5">
      <w:pPr>
        <w:pStyle w:val="BodyText"/>
      </w:pPr>
      <w:r>
        <w:t>To test this, we estimate 4 variations on the main model:</w:t>
      </w:r>
    </w:p>
    <w:p w14:paraId="518D1B4B" w14:textId="77777777" w:rsidR="001B7662" w:rsidRDefault="00A208A5" w:rsidP="00A208A5">
      <w:pPr>
        <w:numPr>
          <w:ilvl w:val="0"/>
          <w:numId w:val="15"/>
        </w:numPr>
      </w:pPr>
      <w:r>
        <w:t>One variation excludes the COVID-19 pandemic period from the ‘pre-treatment’ period</w:t>
      </w:r>
    </w:p>
    <w:p w14:paraId="518D1B4C" w14:textId="77777777" w:rsidR="001B7662" w:rsidRDefault="00A208A5" w:rsidP="00A208A5">
      <w:pPr>
        <w:numPr>
          <w:ilvl w:val="0"/>
          <w:numId w:val="15"/>
        </w:numPr>
      </w:pPr>
      <w:r>
        <w:t>One variation starts the pre-treatment period in 2010, rather than 2015 as in our core model</w:t>
      </w:r>
    </w:p>
    <w:p w14:paraId="518D1B4D" w14:textId="1B33C4FA" w:rsidR="001B7662" w:rsidRDefault="00A208A5" w:rsidP="00A208A5">
      <w:pPr>
        <w:numPr>
          <w:ilvl w:val="0"/>
          <w:numId w:val="15"/>
        </w:numPr>
      </w:pPr>
      <w:r>
        <w:t>One variation starts the post-treatment period one year after ChatGPT’s introduction, to allow for the possibility of delayed effects</w:t>
      </w:r>
    </w:p>
    <w:p w14:paraId="518D1B4E" w14:textId="77777777" w:rsidR="001B7662" w:rsidRDefault="00A208A5" w:rsidP="00A208A5">
      <w:pPr>
        <w:numPr>
          <w:ilvl w:val="0"/>
          <w:numId w:val="15"/>
        </w:numPr>
      </w:pPr>
      <w:r>
        <w:t xml:space="preserve">One variation combines two of these adaptations, both starting the post-treatment period one year after ChatGPT’s introduction </w:t>
      </w:r>
      <w:proofErr w:type="gramStart"/>
      <w:r>
        <w:t>and also</w:t>
      </w:r>
      <w:proofErr w:type="gramEnd"/>
      <w:r>
        <w:t xml:space="preserve"> excludes the COVID-19 pandemic period</w:t>
      </w:r>
    </w:p>
    <w:p w14:paraId="518D1B4F" w14:textId="421A09C4" w:rsidR="001B7662" w:rsidRDefault="00A208A5">
      <w:r>
        <w:t xml:space="preserve">Figure </w:t>
      </w:r>
      <w:hyperlink w:anchor="viz-model-delta-beta-time" w:history="1">
        <w:r>
          <w:fldChar w:fldCharType="begin"/>
        </w:r>
        <w:r>
          <w:instrText xml:space="preserve"> REF viz-model-delta-beta-time \h</w:instrText>
        </w:r>
        <w:r>
          <w:fldChar w:fldCharType="separate"/>
        </w:r>
        <w:r w:rsidR="00082F4E">
          <w:rPr>
            <w:noProof/>
          </w:rPr>
          <w:t>36</w:t>
        </w:r>
        <w:r>
          <w:fldChar w:fldCharType="end"/>
        </w:r>
      </w:hyperlink>
      <w:r>
        <w:t xml:space="preserve"> shows the estimates from these model variations, along with the main model. All variations, like the main model, produce negative estimates. The size and precision of the estimate </w:t>
      </w:r>
      <w:proofErr w:type="gramStart"/>
      <w:r>
        <w:t>varies</w:t>
      </w:r>
      <w:proofErr w:type="gramEnd"/>
      <w:r>
        <w:t xml:space="preserve"> across specifications. The variation that excludes the COVID-19 period is not statistically significant. The variation that starts the ‘post-treatment’ period a year after the introduction of ChatGPT shows a slightly more negative effect than the main model, consistent with the findings of our event study which showed effects becoming somewhat more negative over time. When combining these changes, the results are very similar to the main model.</w:t>
      </w:r>
    </w:p>
    <w:p w14:paraId="518D1B50" w14:textId="60A8767F" w:rsidR="001B7662" w:rsidRDefault="00A208A5">
      <w:pPr>
        <w:pStyle w:val="ImageCaption"/>
      </w:pPr>
      <w:r>
        <w:t xml:space="preserve">Figure </w:t>
      </w:r>
      <w:bookmarkStart w:id="101" w:name="viz-model-delta-beta-time"/>
      <w:r>
        <w:fldChar w:fldCharType="begin"/>
      </w:r>
      <w:r>
        <w:instrText>SEQ fig \* Arabic</w:instrText>
      </w:r>
      <w:r>
        <w:fldChar w:fldCharType="separate"/>
      </w:r>
      <w:r w:rsidR="00082F4E">
        <w:rPr>
          <w:noProof/>
        </w:rPr>
        <w:t>36</w:t>
      </w:r>
      <w:r>
        <w:fldChar w:fldCharType="end"/>
      </w:r>
      <w:bookmarkEnd w:id="101"/>
      <w:r>
        <w:t xml:space="preserve">: Changing </w:t>
      </w:r>
      <w:proofErr w:type="gramStart"/>
      <w:r>
        <w:t>time period</w:t>
      </w:r>
      <w:proofErr w:type="gramEnd"/>
      <w:r>
        <w:t xml:space="preserve"> definitions affects the size and significance of the coefficient of interest</w:t>
      </w:r>
    </w:p>
    <w:p w14:paraId="518D1B51" w14:textId="77777777" w:rsidR="001B7662" w:rsidRDefault="00A208A5">
      <w:pPr>
        <w:pStyle w:val="CompactNormal"/>
        <w:jc w:val="center"/>
      </w:pPr>
      <w:r>
        <w:rPr>
          <w:noProof/>
        </w:rPr>
        <w:drawing>
          <wp:inline distT="0" distB="0" distL="0" distR="0" wp14:anchorId="518D1D4D" wp14:editId="4EA3BE7E">
            <wp:extent cx="5835650" cy="2286000"/>
            <wp:effectExtent l="0" t="0" r="0" b="0"/>
            <wp:docPr id="73" name="Picture 73" descr="A horizontal dot plot displays variation in main coefficient of interest (Δβ) across five model specifications, with green dots representing coefficient estimates and light green bars showing 95% confidence intervals. Changing time period definitions affects the size and significance of the coefficient of inte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horizontal dot plot displays variation in main coefficient of interest (Δβ) across five model specifications, with green dots representing coefficient estimates and light green bars showing 95% confidence intervals. Changing time period definitions affects the size and significance of the coefficient of interest."/>
                    <pic:cNvPicPr>
                      <a:picLocks noChangeAspect="1" noChangeArrowheads="1"/>
                    </pic:cNvPicPr>
                  </pic:nvPicPr>
                  <pic:blipFill>
                    <a:blip r:embed="rId49"/>
                    <a:stretch>
                      <a:fillRect/>
                    </a:stretch>
                  </pic:blipFill>
                  <pic:spPr bwMode="auto">
                    <a:xfrm>
                      <a:off x="0" y="0"/>
                      <a:ext cx="5835650" cy="2286000"/>
                    </a:xfrm>
                    <a:prstGeom prst="rect">
                      <a:avLst/>
                    </a:prstGeom>
                    <a:noFill/>
                  </pic:spPr>
                </pic:pic>
              </a:graphicData>
            </a:graphic>
          </wp:inline>
        </w:drawing>
      </w:r>
    </w:p>
    <w:p w14:paraId="518D1B52" w14:textId="77777777" w:rsidR="001B7662" w:rsidRDefault="00A208A5">
      <w:pPr>
        <w:pStyle w:val="Heading3"/>
      </w:pPr>
      <w:bookmarkStart w:id="102" w:name="sec-robust-covid"/>
      <w:r>
        <w:t>Excluding the COVID-19 period</w:t>
      </w:r>
    </w:p>
    <w:p w14:paraId="518D1B53" w14:textId="77777777" w:rsidR="001B7662" w:rsidRDefault="00A208A5">
      <w:r>
        <w:t>Our model is based around comparing the relationship pre- and post-ChatGPT, but it is possible that the pre-ChatGPT employment-exposure relationship was affected by COVID.</w:t>
      </w:r>
    </w:p>
    <w:p w14:paraId="518D1B54" w14:textId="6430AA46" w:rsidR="001B7662" w:rsidRDefault="00A208A5">
      <w:pPr>
        <w:pStyle w:val="BodyText"/>
      </w:pPr>
      <w:r>
        <w:t>To test this, we estimate a model where the post-treatment period starts as normal from November 2022, but the pre-treatment period ends on February 2020, with data after February 2020 up to the quarter preceding November 2022 excluded from the model.</w:t>
      </w:r>
      <w:r>
        <w:rPr>
          <w:rStyle w:val="FootnoteReference"/>
        </w:rPr>
        <w:footnoteReference w:id="68"/>
      </w:r>
      <w:r>
        <w:t xml:space="preserve"> This is labelled ‘Exclude COVID-19 </w:t>
      </w:r>
      <w:r>
        <w:lastRenderedPageBreak/>
        <w:t xml:space="preserve">period’ in Figure </w:t>
      </w:r>
      <w:hyperlink w:anchor="viz-model-delta-beta-time" w:history="1">
        <w:r>
          <w:fldChar w:fldCharType="begin"/>
        </w:r>
        <w:r>
          <w:instrText xml:space="preserve"> REF viz-model-delta-beta-time \h</w:instrText>
        </w:r>
        <w:r>
          <w:fldChar w:fldCharType="separate"/>
        </w:r>
        <w:r w:rsidR="00082F4E">
          <w:rPr>
            <w:noProof/>
          </w:rPr>
          <w:t>36</w:t>
        </w:r>
        <w:r>
          <w:fldChar w:fldCharType="end"/>
        </w:r>
      </w:hyperlink>
      <w:r>
        <w:t>. The estimated coefficient of interest (</w:t>
      </w:r>
      <m:oMath>
        <m:r>
          <w:rPr>
            <w:rFonts w:ascii="Cambria Math" w:hAnsi="Cambria Math"/>
          </w:rPr>
          <m:t>Δβ</m:t>
        </m:r>
      </m:oMath>
      <w:r>
        <w:t xml:space="preserve">) in this model is still negative but is smaller in magnitude than in the main </w:t>
      </w:r>
      <w:proofErr w:type="gramStart"/>
      <w:r>
        <w:t>model, and</w:t>
      </w:r>
      <w:proofErr w:type="gramEnd"/>
      <w:r>
        <w:t xml:space="preserve"> is not statistically significant.</w:t>
      </w:r>
      <w:r>
        <w:rPr>
          <w:rStyle w:val="FootnoteReference"/>
        </w:rPr>
        <w:footnoteReference w:id="69"/>
      </w:r>
    </w:p>
    <w:p w14:paraId="518D1B55" w14:textId="77777777" w:rsidR="001B7662" w:rsidRDefault="00A208A5">
      <w:pPr>
        <w:pStyle w:val="BodyText"/>
      </w:pPr>
      <w:r>
        <w:t xml:space="preserve">This specification still shows </w:t>
      </w:r>
      <w:proofErr w:type="gramStart"/>
      <w:r>
        <w:t>no</w:t>
      </w:r>
      <w:proofErr w:type="gramEnd"/>
      <w:r>
        <w:t xml:space="preserve"> statistically significant pre-ChatGPT</w:t>
      </w:r>
      <w:r>
        <w:rPr>
          <w:rStyle w:val="FootnoteReference"/>
        </w:rPr>
        <w:footnoteReference w:id="70"/>
      </w:r>
      <w:r>
        <w:t xml:space="preserve"> exposure trend and a negative post-ChatGPT exposure trend.</w:t>
      </w:r>
      <w:r>
        <w:rPr>
          <w:rStyle w:val="FootnoteReference"/>
        </w:rPr>
        <w:footnoteReference w:id="71"/>
      </w:r>
      <w:r>
        <w:t xml:space="preserve"> But the estimated change between the two periods is not significant. We treat this variation as an important caution about the precision of the core estimate.</w:t>
      </w:r>
    </w:p>
    <w:p w14:paraId="518D1B56" w14:textId="77777777" w:rsidR="001B7662" w:rsidRDefault="00A208A5">
      <w:pPr>
        <w:pStyle w:val="Heading3"/>
      </w:pPr>
      <w:bookmarkStart w:id="103" w:name="X65b968a6e63dbfbc71e27b01ee5c7d71d0546dd"/>
      <w:bookmarkEnd w:id="102"/>
      <w:r>
        <w:t>Extending the pre-treatment period back to 2010</w:t>
      </w:r>
    </w:p>
    <w:p w14:paraId="518D1B57" w14:textId="77777777" w:rsidR="001B7662" w:rsidRDefault="00A208A5">
      <w:r>
        <w:t>In our main model, the pre-treatment period starts in 2015. The choice of where to start the pre-treatment period could impact the model results. Going back further means the pre-treatment period has more data to estimate the relationship but also means it may over-weight historic labour market trends that are less relevant today.</w:t>
      </w:r>
    </w:p>
    <w:p w14:paraId="518D1B58" w14:textId="6BDEDAA8" w:rsidR="001B7662" w:rsidRDefault="00A208A5">
      <w:pPr>
        <w:pStyle w:val="BodyText"/>
      </w:pPr>
      <w:r>
        <w:t>To test the model’s sensitivity to different start dates, we estimate a version of the model which uses the February 2010 quarter as the starting point of the pre-treatment period. The main coefficient of interest (</w:t>
      </w:r>
      <m:oMath>
        <m:r>
          <w:rPr>
            <w:rFonts w:ascii="Cambria Math" w:hAnsi="Cambria Math"/>
          </w:rPr>
          <m:t>Δβ</m:t>
        </m:r>
      </m:oMath>
      <w:r>
        <w:t xml:space="preserve">) from this model is shown in Figure </w:t>
      </w:r>
      <w:hyperlink w:anchor="viz-model-delta-beta-time" w:history="1">
        <w:r>
          <w:fldChar w:fldCharType="begin"/>
        </w:r>
        <w:r>
          <w:instrText xml:space="preserve"> REF viz-model-delta-beta-time \h</w:instrText>
        </w:r>
        <w:r>
          <w:fldChar w:fldCharType="separate"/>
        </w:r>
        <w:r w:rsidR="00082F4E">
          <w:rPr>
            <w:noProof/>
          </w:rPr>
          <w:t>36</w:t>
        </w:r>
        <w:r>
          <w:fldChar w:fldCharType="end"/>
        </w:r>
      </w:hyperlink>
      <w:r>
        <w:t>. The result is negative and statistically significant,</w:t>
      </w:r>
      <w:r>
        <w:rPr>
          <w:rStyle w:val="FootnoteReference"/>
        </w:rPr>
        <w:footnoteReference w:id="72"/>
      </w:r>
      <w:r>
        <w:t xml:space="preserve"> though the magnitude of the effect is slightly smaller than for the core model. The fact that the coefficient remains negative and statistically significant in this model variation provides some reassurance that the core result is not driven by the choice of 2015 as the start date.</w:t>
      </w:r>
    </w:p>
    <w:p w14:paraId="518D1B59" w14:textId="74F01731" w:rsidR="001B7662" w:rsidRDefault="00A208A5">
      <w:pPr>
        <w:pStyle w:val="BodyText"/>
      </w:pPr>
      <w:r>
        <w:t xml:space="preserve">More details on the choice of pre-treatment period, including the decision to use 2015 as the start of the ‘pre-treatment’ period, are presented in </w:t>
      </w:r>
      <w:hyperlink w:anchor="appendix-startdate">
        <w:r>
          <w:rPr>
            <w:rStyle w:val="Hyperlink"/>
          </w:rPr>
          <w:t>Appendix C</w:t>
        </w:r>
      </w:hyperlink>
      <w:r>
        <w:t xml:space="preserve"> on page </w:t>
      </w:r>
      <w:r>
        <w:fldChar w:fldCharType="begin"/>
      </w:r>
      <w:r>
        <w:instrText>PAGEREF appendix-startdate \h</w:instrText>
      </w:r>
      <w:r>
        <w:fldChar w:fldCharType="separate"/>
      </w:r>
      <w:r w:rsidR="00082F4E">
        <w:rPr>
          <w:noProof/>
        </w:rPr>
        <w:t>79</w:t>
      </w:r>
      <w:r>
        <w:fldChar w:fldCharType="end"/>
      </w:r>
      <w:r>
        <w:t>.</w:t>
      </w:r>
    </w:p>
    <w:p w14:paraId="518D1B5A" w14:textId="77777777" w:rsidR="001B7662" w:rsidRDefault="00A208A5">
      <w:pPr>
        <w:pStyle w:val="Heading3"/>
      </w:pPr>
      <w:bookmarkStart w:id="104" w:name="delayed-employment-response"/>
      <w:bookmarkEnd w:id="103"/>
      <w:r>
        <w:t>Delayed employment response</w:t>
      </w:r>
    </w:p>
    <w:p w14:paraId="518D1B5B" w14:textId="77777777" w:rsidR="001B7662" w:rsidRDefault="00A208A5">
      <w:r>
        <w:t>If employers take time to adopt AI, or there are frictions which slow the pace of occupational change, then the impacts of AI on employment may not show up straight away. This could also happen if later releases of generative AI tools outperform earlier releases in a way which causes employers to change their AI strategy. Our event study model suggests that there may be such a delayed response, with a more negative exposure–employment relationship apparent in more recent quarters.</w:t>
      </w:r>
    </w:p>
    <w:p w14:paraId="518D1B5C" w14:textId="2129EB0D" w:rsidR="001B7662" w:rsidRDefault="00A208A5">
      <w:pPr>
        <w:pStyle w:val="BodyText"/>
      </w:pPr>
      <w:r>
        <w:t>We estimate a version of the core model where the pre-treatment period ends on November 2022, but the post-treatment period only begins from November 2023. The year of data between these periods is not used in this model variation. The main coefficient of interest (</w:t>
      </w:r>
      <m:oMath>
        <m:r>
          <w:rPr>
            <w:rFonts w:ascii="Cambria Math" w:hAnsi="Cambria Math"/>
          </w:rPr>
          <m:t>Δβ</m:t>
        </m:r>
      </m:oMath>
      <w:r>
        <w:t xml:space="preserve">) from this variation is shown in Figure </w:t>
      </w:r>
      <w:hyperlink w:anchor="viz-model-delta-beta-time" w:history="1">
        <w:r>
          <w:fldChar w:fldCharType="begin"/>
        </w:r>
        <w:r>
          <w:instrText xml:space="preserve"> REF viz-model-delta-beta-time \h</w:instrText>
        </w:r>
        <w:r>
          <w:fldChar w:fldCharType="separate"/>
        </w:r>
        <w:r w:rsidR="00082F4E">
          <w:rPr>
            <w:noProof/>
          </w:rPr>
          <w:t>36</w:t>
        </w:r>
        <w:r>
          <w:fldChar w:fldCharType="end"/>
        </w:r>
      </w:hyperlink>
      <w:r>
        <w:t xml:space="preserve"> as ‘Response is 1 year delayed’. It is more negative than the core model and is highly statistically significant.</w:t>
      </w:r>
      <w:r>
        <w:rPr>
          <w:rStyle w:val="FootnoteReference"/>
        </w:rPr>
        <w:footnoteReference w:id="73"/>
      </w:r>
      <w:r>
        <w:t xml:space="preserve"> This is consistent with the pattern seen in the event study, where the negative exposure–employment relationship took some time to emerge.</w:t>
      </w:r>
    </w:p>
    <w:p w14:paraId="518D1B5D" w14:textId="5BB12DBC" w:rsidR="001B7662" w:rsidRDefault="00A208A5">
      <w:pPr>
        <w:pStyle w:val="BodyText"/>
      </w:pPr>
      <w:r>
        <w:t>We also estimate a version of the model where the response is delayed and the pre-treatment period ends in the February quarter of 2020, before the COVID-19 pandemic period.</w:t>
      </w:r>
      <w:r>
        <w:rPr>
          <w:rStyle w:val="FootnoteReference"/>
        </w:rPr>
        <w:footnoteReference w:id="74"/>
      </w:r>
      <w:r>
        <w:t xml:space="preserve"> This is shown in Figure </w:t>
      </w:r>
      <w:hyperlink w:anchor="viz-model-delta-beta-time" w:history="1">
        <w:r>
          <w:fldChar w:fldCharType="begin"/>
        </w:r>
        <w:r>
          <w:instrText xml:space="preserve"> REF viz-model-delta-beta-time \h</w:instrText>
        </w:r>
        <w:r>
          <w:fldChar w:fldCharType="separate"/>
        </w:r>
        <w:r w:rsidR="00082F4E">
          <w:rPr>
            <w:noProof/>
          </w:rPr>
          <w:t>36</w:t>
        </w:r>
        <w:r>
          <w:fldChar w:fldCharType="end"/>
        </w:r>
      </w:hyperlink>
      <w:r>
        <w:t xml:space="preserve"> as ‘Response delayed and exclude COVID’. The </w:t>
      </w:r>
      <m:oMath>
        <m:r>
          <w:rPr>
            <w:rFonts w:ascii="Cambria Math" w:hAnsi="Cambria Math"/>
          </w:rPr>
          <m:t>Δβ</m:t>
        </m:r>
      </m:oMath>
      <w:r>
        <w:t xml:space="preserve"> term in this model is very similar in scale as for the core model, it is statistically significant,</w:t>
      </w:r>
      <w:r>
        <w:rPr>
          <w:rStyle w:val="FootnoteReference"/>
        </w:rPr>
        <w:footnoteReference w:id="75"/>
      </w:r>
      <w:r>
        <w:t xml:space="preserve"> though less so than the core model. Excluding both the COVID-19 period and the year after ChatGPT was released results in a model which produces conclusions that are materially the same as those based on our core model.</w:t>
      </w:r>
    </w:p>
    <w:p w14:paraId="518D1B5E" w14:textId="77777777" w:rsidR="001B7662" w:rsidRDefault="00A208A5">
      <w:pPr>
        <w:pStyle w:val="Heading2"/>
      </w:pPr>
      <w:bookmarkStart w:id="105" w:name="_Toc232612091"/>
      <w:bookmarkStart w:id="106" w:name="sec-alt-exposure"/>
      <w:bookmarkEnd w:id="100"/>
      <w:bookmarkEnd w:id="104"/>
      <w:r>
        <w:lastRenderedPageBreak/>
        <w:t>Sensitivity to AI exposure measures</w:t>
      </w:r>
      <w:bookmarkEnd w:id="105"/>
    </w:p>
    <w:p w14:paraId="518D1B5F" w14:textId="77777777" w:rsidR="001B7662" w:rsidRDefault="00A208A5">
      <w:r>
        <w:t>Our core model relies on the AI exposure scores produced by JSA (JSA 2025a). JSA’s scores are derived from work of the ILO</w:t>
      </w:r>
      <w:r>
        <w:rPr>
          <w:rStyle w:val="FootnoteReference"/>
        </w:rPr>
        <w:footnoteReference w:id="76"/>
      </w:r>
      <w:r>
        <w:t xml:space="preserve"> and are the main scores produced specifically for Australia. But all estimates of potential automation exposure are imperfect, and the imperfections could affect our results.</w:t>
      </w:r>
    </w:p>
    <w:p w14:paraId="518D1B60" w14:textId="71071E4E" w:rsidR="001B7662" w:rsidRDefault="00A208A5">
      <w:pPr>
        <w:pStyle w:val="BodyText"/>
      </w:pPr>
      <w:r>
        <w:t xml:space="preserve">We test whether the results from our core model are sensitive to using two alternative measures of AI exposure. We use the same data as for the core model, except that we exclude occupations for which we do not have an alternative exposure score. </w:t>
      </w:r>
      <w:hyperlink w:anchor="appendix-a">
        <w:r>
          <w:rPr>
            <w:rStyle w:val="Hyperlink"/>
          </w:rPr>
          <w:t>Appendix A</w:t>
        </w:r>
      </w:hyperlink>
      <w:r>
        <w:t xml:space="preserve"> provides more detail on the exposure scores, including the process of converting to the Australian occupational framework.</w:t>
      </w:r>
    </w:p>
    <w:p w14:paraId="518D1B61" w14:textId="77777777" w:rsidR="001B7662" w:rsidRDefault="00A208A5">
      <w:pPr>
        <w:pStyle w:val="BodyText"/>
      </w:pPr>
      <w:r>
        <w:t xml:space="preserve">The first alternative exposure measure we use is the </w:t>
      </w:r>
      <w:r>
        <w:rPr>
          <w:b/>
          <w:bCs/>
        </w:rPr>
        <w:t>AI Occupational Exposure (AIOE)</w:t>
      </w:r>
      <w:r>
        <w:t xml:space="preserve"> scores by Felten et al. (2021).</w:t>
      </w:r>
      <w:r>
        <w:rPr>
          <w:rStyle w:val="FootnoteReference"/>
        </w:rPr>
        <w:footnoteReference w:id="77"/>
      </w:r>
      <w:r>
        <w:t xml:space="preserve"> This is a measure derived in the US, ‘using data from 10 selected AI applications’.</w:t>
      </w:r>
      <w:r>
        <w:rPr>
          <w:rStyle w:val="FootnoteReference"/>
        </w:rPr>
        <w:footnoteReference w:id="78"/>
      </w:r>
      <w:r>
        <w:t xml:space="preserve"> A key difference between the AIOE framework and the JSA framework is that AIOE does not explicitly aim to identify exposure to automation specifically, instead focusing on exposure in general, and as a result gives higher exposure scores to professional non-routine cognitive jobs.</w:t>
      </w:r>
    </w:p>
    <w:p w14:paraId="518D1B62" w14:textId="42026BF3" w:rsidR="001B7662" w:rsidRDefault="00A208A5">
      <w:pPr>
        <w:pStyle w:val="BodyText"/>
      </w:pPr>
      <w:r>
        <w:t xml:space="preserve">A second alternative exposure measure we use is </w:t>
      </w:r>
      <w:r>
        <w:rPr>
          <w:b/>
          <w:bCs/>
        </w:rPr>
        <w:t>Anthropic’s observed exposure</w:t>
      </w:r>
      <w:r>
        <w:t xml:space="preserve"> scores.</w:t>
      </w:r>
      <w:r>
        <w:rPr>
          <w:rStyle w:val="FootnoteReference"/>
        </w:rPr>
        <w:footnoteReference w:id="79"/>
      </w:r>
      <w:r>
        <w:t xml:space="preserve"> These are based on real-world usage of Anthropic’s Claude models. They classify queries into tasks, and map these to US occupations.</w:t>
      </w:r>
    </w:p>
    <w:p w14:paraId="518D1B63" w14:textId="71F41687" w:rsidR="001B7662" w:rsidRDefault="00A208A5">
      <w:pPr>
        <w:pStyle w:val="BodyText"/>
      </w:pPr>
      <w:r>
        <w:t xml:space="preserve">Figure </w:t>
      </w:r>
      <w:hyperlink w:anchor="viz-model-delta-beta-exposure" w:history="1">
        <w:r>
          <w:fldChar w:fldCharType="begin"/>
        </w:r>
        <w:r>
          <w:instrText xml:space="preserve"> REF viz-model-delta-beta-exposure \h</w:instrText>
        </w:r>
        <w:r>
          <w:fldChar w:fldCharType="separate"/>
        </w:r>
        <w:r w:rsidR="00082F4E">
          <w:rPr>
            <w:noProof/>
          </w:rPr>
          <w:t>37</w:t>
        </w:r>
        <w:r>
          <w:fldChar w:fldCharType="end"/>
        </w:r>
      </w:hyperlink>
      <w:r>
        <w:t xml:space="preserve"> shows the main coefficient of interest (</w:t>
      </w:r>
      <m:oMath>
        <m:r>
          <w:rPr>
            <w:rFonts w:ascii="Cambria Math" w:hAnsi="Cambria Math"/>
          </w:rPr>
          <m:t>Δβ</m:t>
        </m:r>
      </m:oMath>
      <w:r>
        <w:t xml:space="preserve">) when we use these alternative measures of AI exposure. When we use Felten’s </w:t>
      </w:r>
      <w:r w:rsidR="007C3512">
        <w:t>AIOE</w:t>
      </w:r>
      <w:r>
        <w:t xml:space="preserve"> measure, the coefficient is negative but smaller than the main estimate and is not statistically significant.</w:t>
      </w:r>
      <w:r>
        <w:rPr>
          <w:rStyle w:val="FootnoteReference"/>
        </w:rPr>
        <w:footnoteReference w:id="80"/>
      </w:r>
      <w:r>
        <w:t xml:space="preserve"> When we use the Anthropic observed exposure measure, our coefficient is near-zero and is again not statistically significant.</w:t>
      </w:r>
      <w:r>
        <w:rPr>
          <w:rStyle w:val="FootnoteReference"/>
        </w:rPr>
        <w:footnoteReference w:id="81"/>
      </w:r>
      <w:r>
        <w:t xml:space="preserve"> In other words, when we use exposure measures other than the JSA scores we do not find statistically significant evidence that AI exposure is associated with a decline in employment.</w:t>
      </w:r>
    </w:p>
    <w:p w14:paraId="518D1B64" w14:textId="302A12E4" w:rsidR="001B7662" w:rsidRDefault="00A208A5">
      <w:pPr>
        <w:pStyle w:val="ImageCaption"/>
      </w:pPr>
      <w:r>
        <w:t xml:space="preserve">Figure </w:t>
      </w:r>
      <w:bookmarkStart w:id="107" w:name="viz-model-delta-beta-exposure"/>
      <w:r>
        <w:fldChar w:fldCharType="begin"/>
      </w:r>
      <w:r>
        <w:instrText>SEQ fig \* Arabic</w:instrText>
      </w:r>
      <w:r>
        <w:fldChar w:fldCharType="separate"/>
      </w:r>
      <w:r w:rsidR="00082F4E">
        <w:rPr>
          <w:noProof/>
        </w:rPr>
        <w:t>37</w:t>
      </w:r>
      <w:r>
        <w:fldChar w:fldCharType="end"/>
      </w:r>
      <w:bookmarkEnd w:id="107"/>
      <w:r>
        <w:t>: The AI-employment relationship is not statistically significant if we use alternative measures of exposure</w:t>
      </w:r>
    </w:p>
    <w:p w14:paraId="518D1B65" w14:textId="77777777" w:rsidR="001B7662" w:rsidRDefault="00A208A5">
      <w:pPr>
        <w:pStyle w:val="CompactNormal"/>
        <w:jc w:val="center"/>
      </w:pPr>
      <w:r>
        <w:rPr>
          <w:noProof/>
        </w:rPr>
        <w:drawing>
          <wp:inline distT="0" distB="0" distL="0" distR="0" wp14:anchorId="518D1D4F" wp14:editId="25D4F47C">
            <wp:extent cx="5835650" cy="1799539"/>
            <wp:effectExtent l="0" t="0" r="0" b="0"/>
            <wp:docPr id="75" name="Picture 75" descr="A chart displays variation in main coefficient of interest (Δβ) across three model specifications: Anthropic observed exposure, Felten’s AI occupational exposure, and Main model. 95% confidence bars for Anthropic observed exposure and Felten's AI occupational exposure cross zero. The AI-employment relationship is not statistically significant if we use alternative measures of exp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chart displays variation in main coefficient of interest (Δβ) across three model specifications: Anthropic observed exposure, Felten’s AI occupational exposure, and Main model. 95% confidence bars for Anthropic observed exposure and Felten's AI occupational exposure cross zero. The AI-employment relationship is not statistically significant if we use alternative measures of exposure."/>
                    <pic:cNvPicPr>
                      <a:picLocks noChangeAspect="1" noChangeArrowheads="1"/>
                    </pic:cNvPicPr>
                  </pic:nvPicPr>
                  <pic:blipFill>
                    <a:blip r:embed="rId50"/>
                    <a:stretch>
                      <a:fillRect/>
                    </a:stretch>
                  </pic:blipFill>
                  <pic:spPr bwMode="auto">
                    <a:xfrm>
                      <a:off x="0" y="0"/>
                      <a:ext cx="5835650" cy="1799539"/>
                    </a:xfrm>
                    <a:prstGeom prst="rect">
                      <a:avLst/>
                    </a:prstGeom>
                    <a:noFill/>
                  </pic:spPr>
                </pic:pic>
              </a:graphicData>
            </a:graphic>
          </wp:inline>
        </w:drawing>
      </w:r>
    </w:p>
    <w:p w14:paraId="518D1B66" w14:textId="77777777" w:rsidR="001B7662" w:rsidRDefault="00A208A5">
      <w:pPr>
        <w:pStyle w:val="BodyText"/>
      </w:pPr>
      <w:r>
        <w:t xml:space="preserve">There are reasons to prefer the JSA scoring framework, including that it is based on the Australian occupation structure, focuses on automatability and is not restricted to a specific model. But the </w:t>
      </w:r>
      <w:r>
        <w:lastRenderedPageBreak/>
        <w:t>choice of exposure measure matters. Among the exposure measures we test, only the JSA measure produces a statistically significant negative employment estimate.</w:t>
      </w:r>
      <w:r>
        <w:rPr>
          <w:rStyle w:val="FootnoteReference"/>
        </w:rPr>
        <w:footnoteReference w:id="82"/>
      </w:r>
    </w:p>
    <w:p w14:paraId="518D1B67" w14:textId="7BE13C5A" w:rsidR="001B7662" w:rsidRDefault="00A208A5">
      <w:pPr>
        <w:pStyle w:val="BodyText"/>
      </w:pPr>
      <w:r>
        <w:t xml:space="preserve">This is the main reason for caution in interpreting our main results. When we replace JSA’s Australian automation exposure scores with two alternative exposure measures, the negative employment estimate is no longer statistically significant. We also examine how the event study model is sensitive to alternative exposure measures in </w:t>
      </w:r>
      <w:hyperlink w:anchor="appendix-event-study">
        <w:r>
          <w:rPr>
            <w:rStyle w:val="Hyperlink"/>
          </w:rPr>
          <w:t>Appendix B</w:t>
        </w:r>
      </w:hyperlink>
      <w:r>
        <w:t xml:space="preserve">. Neither of these alternative event study models support </w:t>
      </w:r>
      <w:r w:rsidR="007C31E8">
        <w:t xml:space="preserve">the finding </w:t>
      </w:r>
      <w:r>
        <w:t>that more exposed occupations have statistically significantly reduced employment in the most recent quarters compared to November 2022. This does not prove the main result, using the JSA scores, is wrong: the alternative measures may be less well suited to Australian occupations. But it does mean the finding depends materially on how AI exposure is measured, so the core result should be treated as tentative rather than definitive.</w:t>
      </w:r>
    </w:p>
    <w:p w14:paraId="518D1B68" w14:textId="77777777" w:rsidR="001B7662" w:rsidRDefault="00A208A5">
      <w:pPr>
        <w:pStyle w:val="Heading2"/>
      </w:pPr>
      <w:bookmarkStart w:id="108" w:name="_Toc232612092"/>
      <w:bookmarkStart w:id="109" w:name="sec-alt-outcome"/>
      <w:bookmarkEnd w:id="106"/>
      <w:r>
        <w:t>Sensitivity to outcome measure</w:t>
      </w:r>
      <w:bookmarkEnd w:id="108"/>
    </w:p>
    <w:p w14:paraId="518D1B69" w14:textId="4A53C456" w:rsidR="001B7662" w:rsidRDefault="00A208A5">
      <w:r>
        <w:t xml:space="preserve">Our core model estimates the AI exposure–employment relationship using headcount employment. But we also test whether our results are similar when we estimate the relationship between occupational AI exposure and two other indicators, namely hours worked and job vacancies. The results are shown in Figure </w:t>
      </w:r>
      <w:hyperlink w:anchor="viz-model-delta-beta-outcome" w:history="1">
        <w:r>
          <w:fldChar w:fldCharType="begin"/>
        </w:r>
        <w:r>
          <w:instrText xml:space="preserve"> REF viz-model-delta-beta-outcome \h</w:instrText>
        </w:r>
        <w:r>
          <w:fldChar w:fldCharType="separate"/>
        </w:r>
        <w:r w:rsidR="00082F4E">
          <w:rPr>
            <w:noProof/>
          </w:rPr>
          <w:t>38</w:t>
        </w:r>
        <w:r>
          <w:fldChar w:fldCharType="end"/>
        </w:r>
      </w:hyperlink>
      <w:r>
        <w:t>.</w:t>
      </w:r>
    </w:p>
    <w:p w14:paraId="518D1B6A" w14:textId="7A586EDF" w:rsidR="001B7662" w:rsidRDefault="00A208A5">
      <w:pPr>
        <w:pStyle w:val="BodyText"/>
      </w:pPr>
      <w:r>
        <w:t>AI might affect hours worked before, or instead of, reducing headcount. To test this, we run our model with total hours worked in each occupation, rather than employment, as our dependent variable.</w:t>
      </w:r>
      <w:r>
        <w:rPr>
          <w:rStyle w:val="FootnoteReference"/>
        </w:rPr>
        <w:footnoteReference w:id="83"/>
      </w:r>
      <w:r>
        <w:t xml:space="preserve"> The coefficient of interest (</w:t>
      </w:r>
      <m:oMath>
        <m:r>
          <w:rPr>
            <w:rFonts w:ascii="Cambria Math" w:hAnsi="Cambria Math"/>
          </w:rPr>
          <m:t>Δβ</m:t>
        </m:r>
      </m:oMath>
      <w:r>
        <w:t xml:space="preserve">) from this model variation (see Figure </w:t>
      </w:r>
      <w:hyperlink w:anchor="viz-model-delta-beta-outcome" w:history="1">
        <w:r>
          <w:fldChar w:fldCharType="begin"/>
        </w:r>
        <w:r>
          <w:instrText xml:space="preserve"> REF viz-model-delta-beta-outcome \h</w:instrText>
        </w:r>
        <w:r>
          <w:fldChar w:fldCharType="separate"/>
        </w:r>
        <w:r w:rsidR="00082F4E">
          <w:rPr>
            <w:noProof/>
          </w:rPr>
          <w:t>38</w:t>
        </w:r>
        <w:r>
          <w:fldChar w:fldCharType="end"/>
        </w:r>
      </w:hyperlink>
      <w:r>
        <w:t xml:space="preserve">) is </w:t>
      </w:r>
      <w:proofErr w:type="gramStart"/>
      <w:r>
        <w:t>similar to</w:t>
      </w:r>
      <w:proofErr w:type="gramEnd"/>
      <w:r>
        <w:t xml:space="preserve"> the main model estimate, but is not statistically significant at the 5% level.</w:t>
      </w:r>
      <w:r>
        <w:rPr>
          <w:rStyle w:val="FootnoteReference"/>
        </w:rPr>
        <w:footnoteReference w:id="84"/>
      </w:r>
    </w:p>
    <w:p w14:paraId="518D1B6B" w14:textId="77777777" w:rsidR="001B7662" w:rsidRDefault="00A208A5">
      <w:pPr>
        <w:pStyle w:val="BodyText"/>
      </w:pPr>
      <w:r>
        <w:t>It is plausible that the effect of AI might first become apparent in the flow of hiring rather than the stock of employed persons or hours worked. To test this, we also run a version of our model where, instead of employment, the model’s outcome is the total number of job advertisements in each occupation.</w:t>
      </w:r>
      <w:r>
        <w:rPr>
          <w:rStyle w:val="FootnoteReference"/>
        </w:rPr>
        <w:footnoteReference w:id="85"/>
      </w:r>
      <w:r>
        <w:t xml:space="preserve"> The data source for job advertisements is the monthly JSA Internet Vacancy Index (IVI) (JSA 2026b), aggregated into quarters that match the timing of the ABS Labour Force Survey.</w:t>
      </w:r>
    </w:p>
    <w:p w14:paraId="518D1B6C" w14:textId="71286DC2" w:rsidR="001B7662" w:rsidRDefault="00A208A5">
      <w:pPr>
        <w:pStyle w:val="BodyText"/>
      </w:pPr>
      <w:r>
        <w:t>In contrast to the employment and hours models, the main coefficient of interest in the job advertisements model is positive, though the estimate is not statistically significant.</w:t>
      </w:r>
      <w:r>
        <w:rPr>
          <w:rStyle w:val="FootnoteReference"/>
        </w:rPr>
        <w:footnoteReference w:id="86"/>
      </w:r>
      <w:r>
        <w:t xml:space="preserve"> High-exposure occupations had weaker job-ad</w:t>
      </w:r>
      <w:r w:rsidR="004A6A6D">
        <w:t>vertisement</w:t>
      </w:r>
      <w:r>
        <w:t xml:space="preserve"> growth before ChatGPT, but the relationship became less negative after ChatGPT.</w:t>
      </w:r>
    </w:p>
    <w:p w14:paraId="518D1B6D" w14:textId="6B6E459A" w:rsidR="001B7662" w:rsidRDefault="00A208A5">
      <w:pPr>
        <w:pStyle w:val="ImageCaption"/>
      </w:pPr>
      <w:r>
        <w:lastRenderedPageBreak/>
        <w:t xml:space="preserve">Figure </w:t>
      </w:r>
      <w:bookmarkStart w:id="110" w:name="viz-model-delta-beta-outcome"/>
      <w:r>
        <w:fldChar w:fldCharType="begin"/>
      </w:r>
      <w:r>
        <w:instrText>SEQ fig \* Arabic</w:instrText>
      </w:r>
      <w:r>
        <w:fldChar w:fldCharType="separate"/>
      </w:r>
      <w:r w:rsidR="00082F4E">
        <w:rPr>
          <w:noProof/>
        </w:rPr>
        <w:t>38</w:t>
      </w:r>
      <w:r>
        <w:fldChar w:fldCharType="end"/>
      </w:r>
      <w:bookmarkEnd w:id="110"/>
      <w:r>
        <w:t>: The results change with hours worked or job advertisements as the dependent variable</w:t>
      </w:r>
    </w:p>
    <w:p w14:paraId="518D1B6E" w14:textId="77777777" w:rsidR="001B7662" w:rsidRDefault="00A208A5">
      <w:pPr>
        <w:pStyle w:val="CompactNormal"/>
        <w:jc w:val="center"/>
      </w:pPr>
      <w:r>
        <w:rPr>
          <w:noProof/>
        </w:rPr>
        <w:drawing>
          <wp:inline distT="0" distB="0" distL="0" distR="0" wp14:anchorId="518D1D51" wp14:editId="3FF3F7BE">
            <wp:extent cx="5835650" cy="2103120"/>
            <wp:effectExtent l="0" t="0" r="0" b="0"/>
            <wp:docPr id="77" name="Picture 77" descr="Plot showing variation in main coefficient of interest (Δβ) across three model specifications with JSA IVI as outcome, main model, and worked hours as outcome. Green dots represent coefficient values with horizontal bars indicating 95% confidence intervals, highlighting statistical significance for main model but not worked hours outcomes and JSA IVI outcome. The results change with hours worked or job advertisements as the dependent vari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Plot showing variation in main coefficient of interest (Δβ) across three model specifications with JSA IVI as outcome, main model, and worked hours as outcome. Green dots represent coefficient values with horizontal bars indicating 95% confidence intervals, highlighting statistical significance for main model but not worked hours outcomes and JSA IVI outcome. The results change with hours worked or job advertisements as the dependent variable."/>
                    <pic:cNvPicPr>
                      <a:picLocks noChangeAspect="1" noChangeArrowheads="1"/>
                    </pic:cNvPicPr>
                  </pic:nvPicPr>
                  <pic:blipFill>
                    <a:blip r:embed="rId51"/>
                    <a:stretch>
                      <a:fillRect/>
                    </a:stretch>
                  </pic:blipFill>
                  <pic:spPr bwMode="auto">
                    <a:xfrm>
                      <a:off x="0" y="0"/>
                      <a:ext cx="5835650" cy="2103120"/>
                    </a:xfrm>
                    <a:prstGeom prst="rect">
                      <a:avLst/>
                    </a:prstGeom>
                    <a:noFill/>
                  </pic:spPr>
                </pic:pic>
              </a:graphicData>
            </a:graphic>
          </wp:inline>
        </w:drawing>
      </w:r>
    </w:p>
    <w:p w14:paraId="518D1B6F" w14:textId="77777777" w:rsidR="001B7662" w:rsidRDefault="00A208A5">
      <w:pPr>
        <w:pStyle w:val="Heading2"/>
      </w:pPr>
      <w:bookmarkStart w:id="111" w:name="_Toc232612093"/>
      <w:bookmarkStart w:id="112" w:name="sec-robust"/>
      <w:bookmarkEnd w:id="109"/>
      <w:r>
        <w:t>Sensitivity to model design choices</w:t>
      </w:r>
      <w:bookmarkEnd w:id="111"/>
    </w:p>
    <w:p w14:paraId="518D1B70" w14:textId="4D4D5B6A" w:rsidR="001B7662" w:rsidRDefault="00A208A5">
      <w:r>
        <w:t xml:space="preserve">The core estimate is sensitive to some methodological choices, especially the choice of AI exposure measure, and to a lesser extent the outcome variable and treatment-period definition. However, reassuringly, variations in the statistical modelling approach mostly produce similar results (Figure </w:t>
      </w:r>
      <w:hyperlink w:anchor="viz-model-delta-beta-design" w:history="1">
        <w:r>
          <w:fldChar w:fldCharType="begin"/>
        </w:r>
        <w:r>
          <w:instrText xml:space="preserve"> REF viz-model-delta-beta-design \h</w:instrText>
        </w:r>
        <w:r>
          <w:fldChar w:fldCharType="separate"/>
        </w:r>
        <w:r w:rsidR="00082F4E">
          <w:rPr>
            <w:noProof/>
          </w:rPr>
          <w:t>39</w:t>
        </w:r>
        <w:r>
          <w:fldChar w:fldCharType="end"/>
        </w:r>
      </w:hyperlink>
      <w:r>
        <w:t>).</w:t>
      </w:r>
    </w:p>
    <w:p w14:paraId="518D1B71" w14:textId="77777777" w:rsidR="001B7662" w:rsidRDefault="00A208A5">
      <w:pPr>
        <w:pStyle w:val="BodyText"/>
      </w:pPr>
      <w:r>
        <w:t>We try a range of variations to the modelling approach, including:</w:t>
      </w:r>
    </w:p>
    <w:p w14:paraId="518D1B72" w14:textId="779DC7F2" w:rsidR="001B7662" w:rsidRDefault="00046505" w:rsidP="00A208A5">
      <w:pPr>
        <w:numPr>
          <w:ilvl w:val="0"/>
          <w:numId w:val="16"/>
        </w:numPr>
      </w:pPr>
      <w:r>
        <w:t xml:space="preserve">Using </w:t>
      </w:r>
      <w:r w:rsidR="00A208A5">
        <w:t>different approaches to estimating the uncertainty around our estimates</w:t>
      </w:r>
      <w:r w:rsidR="00A208A5">
        <w:rPr>
          <w:rStyle w:val="FootnoteReference"/>
        </w:rPr>
        <w:footnoteReference w:id="87"/>
      </w:r>
    </w:p>
    <w:p w14:paraId="518D1B73" w14:textId="7B0C78DC" w:rsidR="001B7662" w:rsidRDefault="00046505" w:rsidP="00A208A5">
      <w:pPr>
        <w:numPr>
          <w:ilvl w:val="0"/>
          <w:numId w:val="16"/>
        </w:numPr>
      </w:pPr>
      <w:r>
        <w:t xml:space="preserve">Removing </w:t>
      </w:r>
      <w:r w:rsidR="00A208A5">
        <w:t>time fixed effects, which means the model no longer controls for shocks common to all occupations in a quarter</w:t>
      </w:r>
    </w:p>
    <w:p w14:paraId="518D1B74" w14:textId="28858A22" w:rsidR="001B7662" w:rsidRDefault="00046505" w:rsidP="00A208A5">
      <w:pPr>
        <w:numPr>
          <w:ilvl w:val="0"/>
          <w:numId w:val="16"/>
        </w:numPr>
      </w:pPr>
      <w:r>
        <w:t xml:space="preserve">Estimating </w:t>
      </w:r>
      <w:r w:rsidR="00A208A5">
        <w:t>the model with a different statistical method, Ordinary Least Squares (OLS)</w:t>
      </w:r>
      <w:r w:rsidR="00A208A5">
        <w:rPr>
          <w:rStyle w:val="FootnoteReference"/>
        </w:rPr>
        <w:footnoteReference w:id="88"/>
      </w:r>
    </w:p>
    <w:p w14:paraId="518D1B75" w14:textId="2610F7B8" w:rsidR="001B7662" w:rsidRDefault="00046505" w:rsidP="00A208A5">
      <w:pPr>
        <w:numPr>
          <w:ilvl w:val="0"/>
          <w:numId w:val="16"/>
        </w:numPr>
      </w:pPr>
      <w:r>
        <w:t xml:space="preserve">Weighting </w:t>
      </w:r>
      <w:r w:rsidR="00A208A5">
        <w:t>occupations by their average employment size before ChatGPT (our main model does not weight by occupation size)</w:t>
      </w:r>
    </w:p>
    <w:p w14:paraId="518D1B76" w14:textId="73FC1E9D" w:rsidR="001B7662" w:rsidRDefault="00046505" w:rsidP="00A208A5">
      <w:pPr>
        <w:numPr>
          <w:ilvl w:val="0"/>
          <w:numId w:val="16"/>
        </w:numPr>
      </w:pPr>
      <w:r>
        <w:t xml:space="preserve">Removing </w:t>
      </w:r>
      <w:r w:rsidR="00A208A5">
        <w:t>the level-shift term from our model, so the model allows only for a change in the post-ChatGPT employment growth rate</w:t>
      </w:r>
    </w:p>
    <w:p w14:paraId="518D1B77" w14:textId="2A2F65E5" w:rsidR="001B7662" w:rsidRDefault="00046505" w:rsidP="00A208A5">
      <w:pPr>
        <w:numPr>
          <w:ilvl w:val="0"/>
          <w:numId w:val="16"/>
        </w:numPr>
      </w:pPr>
      <w:r>
        <w:t xml:space="preserve">Removing </w:t>
      </w:r>
      <w:r w:rsidR="00A208A5">
        <w:t>from the model any occupations with the largest quarter-to-quarter employment changes, to reduce the influence of extreme observations</w:t>
      </w:r>
    </w:p>
    <w:p w14:paraId="518D1B78" w14:textId="7764DB94" w:rsidR="001B7662" w:rsidRDefault="00046505" w:rsidP="00A208A5">
      <w:pPr>
        <w:numPr>
          <w:ilvl w:val="0"/>
          <w:numId w:val="16"/>
        </w:numPr>
      </w:pPr>
      <w:r>
        <w:t xml:space="preserve">Adding </w:t>
      </w:r>
      <w:r w:rsidR="00A208A5">
        <w:t>a control for occupations’ historical sensitivity to the business cycle</w:t>
      </w:r>
    </w:p>
    <w:p w14:paraId="518D1B79" w14:textId="67BFBD2A" w:rsidR="001B7662" w:rsidRDefault="00A208A5">
      <w:r>
        <w:t xml:space="preserve">These model variations are discussed in more detail in </w:t>
      </w:r>
      <w:hyperlink w:anchor="appendix-robust">
        <w:r>
          <w:rPr>
            <w:rStyle w:val="Hyperlink"/>
          </w:rPr>
          <w:t>Appendix C</w:t>
        </w:r>
      </w:hyperlink>
      <w:r>
        <w:t xml:space="preserve"> on page </w:t>
      </w:r>
      <w:r>
        <w:fldChar w:fldCharType="begin"/>
      </w:r>
      <w:r>
        <w:instrText>PAGEREF appendix-robust \h</w:instrText>
      </w:r>
      <w:r>
        <w:fldChar w:fldCharType="separate"/>
      </w:r>
      <w:r w:rsidR="00082F4E">
        <w:rPr>
          <w:noProof/>
        </w:rPr>
        <w:t>77</w:t>
      </w:r>
      <w:r>
        <w:fldChar w:fldCharType="end"/>
      </w:r>
      <w:r>
        <w:t>.</w:t>
      </w:r>
    </w:p>
    <w:p w14:paraId="518D1B7A" w14:textId="49DDC868" w:rsidR="001B7662" w:rsidRDefault="00A208A5">
      <w:pPr>
        <w:pStyle w:val="ImageCaption"/>
      </w:pPr>
      <w:r>
        <w:lastRenderedPageBreak/>
        <w:t xml:space="preserve">Figure </w:t>
      </w:r>
      <w:bookmarkStart w:id="113" w:name="viz-model-delta-beta-design"/>
      <w:r>
        <w:fldChar w:fldCharType="begin"/>
      </w:r>
      <w:r>
        <w:instrText>SEQ fig \* Arabic</w:instrText>
      </w:r>
      <w:r>
        <w:fldChar w:fldCharType="separate"/>
      </w:r>
      <w:r w:rsidR="00082F4E">
        <w:rPr>
          <w:noProof/>
        </w:rPr>
        <w:t>39</w:t>
      </w:r>
      <w:r>
        <w:fldChar w:fldCharType="end"/>
      </w:r>
      <w:bookmarkEnd w:id="113"/>
      <w:r>
        <w:t>: Most changes to the model have only small impacts on the coefficient of interest</w:t>
      </w:r>
    </w:p>
    <w:p w14:paraId="518D1B7B" w14:textId="77777777" w:rsidR="001B7662" w:rsidRDefault="00A208A5">
      <w:pPr>
        <w:pStyle w:val="CompactNormal"/>
        <w:jc w:val="center"/>
      </w:pPr>
      <w:r>
        <w:rPr>
          <w:noProof/>
        </w:rPr>
        <w:drawing>
          <wp:inline distT="0" distB="0" distL="0" distR="0" wp14:anchorId="518D1D53" wp14:editId="21C6CCE0">
            <wp:extent cx="5835650" cy="2917825"/>
            <wp:effectExtent l="0" t="0" r="0" b="0"/>
            <wp:docPr id="79" name="Picture 79" descr="A horizontal dot plot showing variation in main coefficient of interest (Δβ) across different model specifications with 95% confidence intervals represented by bars. The plot highlights that most coefficients are negative and statistically significant, with the &quot;Main model&quot; labeled in bold green and &quot;Weighted by occupation share&quot; showing the largest negative effect. Most changes to the model have only small impacts on the coefficient of inte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horizontal dot plot showing variation in main coefficient of interest (Δβ) across different model specifications with 95% confidence intervals represented by bars. The plot highlights that most coefficients are negative and statistically significant, with the &quot;Main model&quot; labeled in bold green and &quot;Weighted by occupation share&quot; showing the largest negative effect. Most changes to the model have only small impacts on the coefficient of interest."/>
                    <pic:cNvPicPr>
                      <a:picLocks noChangeAspect="1" noChangeArrowheads="1"/>
                    </pic:cNvPicPr>
                  </pic:nvPicPr>
                  <pic:blipFill>
                    <a:blip r:embed="rId52"/>
                    <a:stretch>
                      <a:fillRect/>
                    </a:stretch>
                  </pic:blipFill>
                  <pic:spPr bwMode="auto">
                    <a:xfrm>
                      <a:off x="0" y="0"/>
                      <a:ext cx="5835650" cy="2917825"/>
                    </a:xfrm>
                    <a:prstGeom prst="rect">
                      <a:avLst/>
                    </a:prstGeom>
                    <a:noFill/>
                  </pic:spPr>
                </pic:pic>
              </a:graphicData>
            </a:graphic>
          </wp:inline>
        </w:drawing>
      </w:r>
    </w:p>
    <w:p w14:paraId="518D1B7C" w14:textId="3A6E6353" w:rsidR="001B7662" w:rsidRDefault="00A208A5">
      <w:pPr>
        <w:pStyle w:val="BodyText"/>
      </w:pPr>
      <w:r>
        <w:t xml:space="preserve">It is reassuring that these model variations mostly do not substantially alter our result. The main exception is the OLS model, which finds no exposure–employment relationship. We place more weight on the estimates from our main modelling approach because they are better suited to this setting, for reasons discussed in </w:t>
      </w:r>
      <w:hyperlink w:anchor="appendix-ppml">
        <w:r>
          <w:rPr>
            <w:rStyle w:val="Hyperlink"/>
          </w:rPr>
          <w:t>Appendix B</w:t>
        </w:r>
      </w:hyperlink>
      <w:r>
        <w:t xml:space="preserve"> on page </w:t>
      </w:r>
      <w:r>
        <w:fldChar w:fldCharType="begin"/>
      </w:r>
      <w:r>
        <w:instrText>PAGEREF appendix-ppml \h</w:instrText>
      </w:r>
      <w:r>
        <w:fldChar w:fldCharType="separate"/>
      </w:r>
      <w:r w:rsidR="00082F4E">
        <w:rPr>
          <w:noProof/>
        </w:rPr>
        <w:t>75</w:t>
      </w:r>
      <w:r>
        <w:fldChar w:fldCharType="end"/>
      </w:r>
      <w:r>
        <w:t>. But the OLS result remains an important caution.</w:t>
      </w:r>
    </w:p>
    <w:p w14:paraId="518D1B7D" w14:textId="77777777" w:rsidR="001B7662" w:rsidRDefault="00A208A5">
      <w:pPr>
        <w:pStyle w:val="BodyText"/>
      </w:pPr>
      <w:r>
        <w:t>Another model variation worth noting is one in which we use alternative methods of estimating the uncertainty around the exposure–employment relationship.</w:t>
      </w:r>
      <w:r>
        <w:rPr>
          <w:rStyle w:val="FootnoteReference"/>
        </w:rPr>
        <w:footnoteReference w:id="89"/>
      </w:r>
      <w:r>
        <w:t xml:space="preserve"> These variations result in an estimate that is no longer statistically significant, as does a model in which we do not include an immediate variation in the exposure–employment relationship post-ChatGPT.</w:t>
      </w:r>
      <w:r>
        <w:rPr>
          <w:rStyle w:val="FootnoteReference"/>
        </w:rPr>
        <w:footnoteReference w:id="90"/>
      </w:r>
      <w:r>
        <w:t xml:space="preserve"> These model variations produce similar estimates of the main coefficient of interest.</w:t>
      </w:r>
    </w:p>
    <w:p w14:paraId="518D1B7E" w14:textId="77777777" w:rsidR="001B7662" w:rsidRDefault="00A208A5">
      <w:pPr>
        <w:pStyle w:val="Heading2"/>
      </w:pPr>
      <w:bookmarkStart w:id="114" w:name="_Toc232612094"/>
      <w:bookmarkStart w:id="115" w:name="robustness-tests-suggest-caution-1"/>
      <w:bookmarkEnd w:id="112"/>
      <w:r>
        <w:t>Robustness tests suggest caution</w:t>
      </w:r>
      <w:bookmarkEnd w:id="114"/>
    </w:p>
    <w:p w14:paraId="518D1B7F" w14:textId="4DD4BBA8" w:rsidR="001B7662" w:rsidRDefault="00A208A5">
      <w:r>
        <w:t xml:space="preserve">Taken together, these checks support a cautious interpretation. The core result is not driven by a few occupations, survives several timing and model-design variations, and is not explained away by our business-cycle control. But it is sensitive to the measure of AI exposure and some other modelling choices. We therefore treat the core model result as suggestive rather than settled causal evidence of AI-driven job loss. Figure </w:t>
      </w:r>
      <w:hyperlink w:anchor="viz-model-delta-beta-allrobust" w:history="1">
        <w:r>
          <w:fldChar w:fldCharType="begin"/>
        </w:r>
        <w:r>
          <w:instrText xml:space="preserve"> REF viz-model-delta-beta-allrobust \h</w:instrText>
        </w:r>
        <w:r>
          <w:fldChar w:fldCharType="separate"/>
        </w:r>
        <w:r w:rsidR="00082F4E">
          <w:rPr>
            <w:noProof/>
          </w:rPr>
          <w:t>40</w:t>
        </w:r>
        <w:r>
          <w:fldChar w:fldCharType="end"/>
        </w:r>
      </w:hyperlink>
      <w:r>
        <w:t xml:space="preserve"> shows the results of all robustness tests considered in this chapter.</w:t>
      </w:r>
    </w:p>
    <w:p w14:paraId="518D1B80" w14:textId="2A98C005" w:rsidR="001B7662" w:rsidRDefault="00A208A5">
      <w:pPr>
        <w:pStyle w:val="ImageCaption"/>
      </w:pPr>
      <w:r>
        <w:lastRenderedPageBreak/>
        <w:t xml:space="preserve">Figure </w:t>
      </w:r>
      <w:bookmarkStart w:id="116" w:name="viz-model-delta-beta-allrobust"/>
      <w:r>
        <w:fldChar w:fldCharType="begin"/>
      </w:r>
      <w:r>
        <w:instrText>SEQ fig \* Arabic</w:instrText>
      </w:r>
      <w:r>
        <w:fldChar w:fldCharType="separate"/>
      </w:r>
      <w:r w:rsidR="00082F4E">
        <w:rPr>
          <w:noProof/>
        </w:rPr>
        <w:t>40</w:t>
      </w:r>
      <w:r>
        <w:fldChar w:fldCharType="end"/>
      </w:r>
      <w:bookmarkEnd w:id="116"/>
      <w:r>
        <w:t>: Our results vary with some alternative approaches, which suggests caution in interpreting the results</w:t>
      </w:r>
    </w:p>
    <w:p w14:paraId="518D1B81" w14:textId="77777777" w:rsidR="001B7662" w:rsidRDefault="00A208A5">
      <w:pPr>
        <w:pStyle w:val="CompactNormal"/>
        <w:jc w:val="center"/>
      </w:pPr>
      <w:r>
        <w:rPr>
          <w:noProof/>
        </w:rPr>
        <w:drawing>
          <wp:inline distT="0" distB="0" distL="0" distR="0" wp14:anchorId="518D1D55" wp14:editId="5C5563EC">
            <wp:extent cx="5835650" cy="3657600"/>
            <wp:effectExtent l="0" t="0" r="0" b="0"/>
            <wp:docPr id="81" name="Picture 81" descr="Plot showing variation in main coefficient of interest (Δβ) across 18 different model specifications, with each specification labeled on the vertical axis. Green dots represent coefficient estimates and horizontal gray bars indicate 95% confidence intervals, highlighting that most estimates cluster near zero with &quot;Main model&quot; emphasized in bold green text. Shows that results vary with some alternative approaches, which suggests caution in interpreting th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Plot showing variation in main coefficient of interest (Δβ) across 18 different model specifications, with each specification labeled on the vertical axis. Green dots represent coefficient estimates and horizontal gray bars indicate 95% confidence intervals, highlighting that most estimates cluster near zero with &quot;Main model&quot; emphasized in bold green text. Shows that results vary with some alternative approaches, which suggests caution in interpreting the results."/>
                    <pic:cNvPicPr>
                      <a:picLocks noChangeAspect="1" noChangeArrowheads="1"/>
                    </pic:cNvPicPr>
                  </pic:nvPicPr>
                  <pic:blipFill>
                    <a:blip r:embed="rId53"/>
                    <a:stretch>
                      <a:fillRect/>
                    </a:stretch>
                  </pic:blipFill>
                  <pic:spPr bwMode="auto">
                    <a:xfrm>
                      <a:off x="0" y="0"/>
                      <a:ext cx="5835650" cy="3657600"/>
                    </a:xfrm>
                    <a:prstGeom prst="rect">
                      <a:avLst/>
                    </a:prstGeom>
                    <a:noFill/>
                  </pic:spPr>
                </pic:pic>
              </a:graphicData>
            </a:graphic>
          </wp:inline>
        </w:drawing>
      </w:r>
    </w:p>
    <w:p w14:paraId="518D1B82" w14:textId="77777777" w:rsidR="001B7662" w:rsidRDefault="00A208A5">
      <w:r>
        <w:br w:type="page"/>
      </w:r>
    </w:p>
    <w:p w14:paraId="518D1B83" w14:textId="77777777" w:rsidR="001B7662" w:rsidRDefault="00A208A5">
      <w:pPr>
        <w:pStyle w:val="Heading1"/>
      </w:pPr>
      <w:bookmarkStart w:id="117" w:name="_Toc232612095"/>
      <w:bookmarkStart w:id="118" w:name="interpreting-the-evidence"/>
      <w:bookmarkEnd w:id="95"/>
      <w:bookmarkEnd w:id="115"/>
      <w:r>
        <w:lastRenderedPageBreak/>
        <w:t>Interpreting the evidence</w:t>
      </w:r>
      <w:bookmarkEnd w:id="117"/>
    </w:p>
    <w:p w14:paraId="518D1B84" w14:textId="77777777" w:rsidR="001B7662" w:rsidRDefault="00A208A5">
      <w:r>
        <w:t>The evidence in this report does not show broad AI-driven labour market disruption in Australia. But it does show a modest softening concentrated in more AI-exposed occupations.</w:t>
      </w:r>
    </w:p>
    <w:p w14:paraId="518D1B85" w14:textId="77777777" w:rsidR="001B7662" w:rsidRDefault="00A208A5">
      <w:pPr>
        <w:pStyle w:val="BodyText"/>
      </w:pPr>
      <w:r>
        <w:t>Overall labour market conditions remain strong by recent historical standards. Youth outcomes have mostly held up. The market for young graduates is not showing significant deterioration. And the pace of occupational reshuffling has not accelerated.</w:t>
      </w:r>
    </w:p>
    <w:p w14:paraId="518D1B86" w14:textId="77777777" w:rsidR="001B7662" w:rsidRDefault="00A208A5">
      <w:pPr>
        <w:pStyle w:val="BodyText"/>
      </w:pPr>
      <w:r>
        <w:t>At the same time, employment, hours worked and job advertisements have grown more slowly in occupations more exposed to potential automation. Our modelling suggests the estimated relationship is negative, but small, and should not be read as evidence of large-scale job loss.</w:t>
      </w:r>
    </w:p>
    <w:p w14:paraId="518D1B87" w14:textId="77777777" w:rsidR="001B7662" w:rsidRDefault="00A208A5">
      <w:pPr>
        <w:pStyle w:val="BodyText"/>
      </w:pPr>
      <w:r>
        <w:t xml:space="preserve">The evidence does not show that AI is already causing large-scale job loss in Australia. Continued monitoring will be important to spot any significant effects </w:t>
      </w:r>
      <w:proofErr w:type="gramStart"/>
      <w:r>
        <w:t>if and when</w:t>
      </w:r>
      <w:proofErr w:type="gramEnd"/>
      <w:r>
        <w:t xml:space="preserve"> they occur.</w:t>
      </w:r>
    </w:p>
    <w:p w14:paraId="518D1B88" w14:textId="7348B15A" w:rsidR="001B7662" w:rsidRDefault="00A208A5">
      <w:pPr>
        <w:pStyle w:val="BodyText"/>
      </w:pPr>
      <w:r>
        <w:t xml:space="preserve">Taken together, the evidence points to limited but non-trivial softening in more-exposed occupations. The descriptive indicators show that </w:t>
      </w:r>
      <w:r w:rsidR="003C6F85">
        <w:t xml:space="preserve">employment in </w:t>
      </w:r>
      <w:r>
        <w:t xml:space="preserve">high-exposure occupations </w:t>
      </w:r>
      <w:r w:rsidR="003C6F85">
        <w:t xml:space="preserve">has </w:t>
      </w:r>
      <w:r>
        <w:t>softened relative to other occupations. The core model suggests this is not simply a continuation of the pre-ChatGPT exposure–employment relationship. But the robustness tests show that the result is not definitive.</w:t>
      </w:r>
    </w:p>
    <w:p w14:paraId="518D1B89" w14:textId="77777777" w:rsidR="001B7662" w:rsidRDefault="00A208A5">
      <w:pPr>
        <w:pStyle w:val="Heading2"/>
      </w:pPr>
      <w:bookmarkStart w:id="119" w:name="_Toc232612096"/>
      <w:bookmarkStart w:id="120" w:name="X1ee764753c67222157ca8e4e763dad264c63272"/>
      <w:r>
        <w:t>There are other potential explanations for softness in exposed occupations</w:t>
      </w:r>
      <w:bookmarkEnd w:id="119"/>
    </w:p>
    <w:p w14:paraId="518D1B8A" w14:textId="46C8BBD0" w:rsidR="001B7662" w:rsidRDefault="00A208A5">
      <w:r>
        <w:t>The main alternative explanation is that more AI-exposed occupations were already on a different trajectory before ChatGPT. Many highly exposed occupations are routine cognitive occupations, including clerical and administrative roles. These occupations have been declining as a share of total employment for many years. Some highly exposed occupations may also have been affected by post-COVID adjustment, changes in the composition of demand and broader business-cycle conditions.</w:t>
      </w:r>
    </w:p>
    <w:p w14:paraId="518D1B8B" w14:textId="77777777" w:rsidR="001B7662" w:rsidRDefault="00A208A5">
      <w:pPr>
        <w:pStyle w:val="BodyText"/>
      </w:pPr>
      <w:r>
        <w:t>Other phenomena which emerged around November 2022 could also explain an apparent divergence in outcomes by AI exposure if such changes are correlated with exposure scores. It is possible that migration dynamics, sectoral demand shifts, global trade developments or other circumstances could be impacting occupations unequally in a way that has disadvantaged more exposed occupations. The descriptive evidence alone cannot separate AI from these other forces. Slower employment growth in high-exposure occupations could reflect AI exposure, but it could also reflect structural change.</w:t>
      </w:r>
    </w:p>
    <w:p w14:paraId="518D1B8C" w14:textId="77777777" w:rsidR="001B7662" w:rsidRDefault="00A208A5">
      <w:pPr>
        <w:pStyle w:val="BodyText"/>
      </w:pPr>
      <w:r>
        <w:t>The core statistical model is designed to test this more directly. It asks whether the relationship between AI exposure and employment growth changed after November 2022, rather than simply continuing earlier trends. The model finds a small negative post-ChatGPT shift and does not find a statistically significant pre-treatment exposure trend.</w:t>
      </w:r>
    </w:p>
    <w:p w14:paraId="518D1B8D" w14:textId="77777777" w:rsidR="001B7662" w:rsidRDefault="00A208A5">
      <w:pPr>
        <w:pStyle w:val="BodyText"/>
      </w:pPr>
      <w:r>
        <w:t>This strengthens the case that there may be something new in the post-ChatGPT period. But it does not rule out all alternative explanations: emerging trends caused by other factors but correlated with AI exposure will also be detected by the model and contribute to the core estimate of how sensitive employment is to AI exposure. The result weakens or disappears under some model variations.</w:t>
      </w:r>
    </w:p>
    <w:p w14:paraId="518D1B8E" w14:textId="77777777" w:rsidR="001B7662" w:rsidRDefault="00A208A5">
      <w:pPr>
        <w:pStyle w:val="BodyText"/>
      </w:pPr>
      <w:r>
        <w:t>For this reason, we do not interpret the evidence as a settled causal estimate.</w:t>
      </w:r>
    </w:p>
    <w:p w14:paraId="518D1B8F" w14:textId="77777777" w:rsidR="001B7662" w:rsidRDefault="00A208A5">
      <w:pPr>
        <w:pStyle w:val="Heading2"/>
      </w:pPr>
      <w:bookmarkStart w:id="121" w:name="_Toc232612097"/>
      <w:bookmarkStart w:id="122" w:name="what-we-can-and-cannot-conclude"/>
      <w:bookmarkEnd w:id="120"/>
      <w:r>
        <w:t>What we can and cannot conclude</w:t>
      </w:r>
      <w:bookmarkEnd w:id="121"/>
    </w:p>
    <w:p w14:paraId="518D1B90" w14:textId="77777777" w:rsidR="001B7662" w:rsidRDefault="00A208A5">
      <w:r>
        <w:t>The evidence supports four conclusions:</w:t>
      </w:r>
    </w:p>
    <w:p w14:paraId="518D1B91" w14:textId="77777777" w:rsidR="001B7662" w:rsidRDefault="00A208A5" w:rsidP="00A208A5">
      <w:pPr>
        <w:numPr>
          <w:ilvl w:val="0"/>
          <w:numId w:val="17"/>
        </w:numPr>
      </w:pPr>
      <w:r>
        <w:rPr>
          <w:b/>
          <w:bCs/>
        </w:rPr>
        <w:t>There is no evidence to date of broad AI-driven labour market upheaval in Australia.</w:t>
      </w:r>
      <w:r>
        <w:t xml:space="preserve"> Aggregate conditions remain strong by recent historical standards. The youth labour market </w:t>
      </w:r>
      <w:r>
        <w:lastRenderedPageBreak/>
        <w:t>has held up better than some international commentary would suggest. Occupational compositional change is not unusually rapid.</w:t>
      </w:r>
    </w:p>
    <w:p w14:paraId="518D1B92" w14:textId="77777777" w:rsidR="001B7662" w:rsidRDefault="00A208A5" w:rsidP="00A208A5">
      <w:pPr>
        <w:numPr>
          <w:ilvl w:val="0"/>
          <w:numId w:val="17"/>
        </w:numPr>
      </w:pPr>
      <w:r>
        <w:rPr>
          <w:b/>
          <w:bCs/>
        </w:rPr>
        <w:t>There is evidence of relative softening in occupations more exposed to potential automation by generative AI.</w:t>
      </w:r>
      <w:r>
        <w:t xml:space="preserve"> This is visible across several descriptive indicators, including employment, hours worked, job advertisements and unemployment.</w:t>
      </w:r>
    </w:p>
    <w:p w14:paraId="518D1B93" w14:textId="77777777" w:rsidR="001B7662" w:rsidRDefault="00A208A5" w:rsidP="00A208A5">
      <w:pPr>
        <w:numPr>
          <w:ilvl w:val="0"/>
          <w:numId w:val="17"/>
        </w:numPr>
      </w:pPr>
      <w:r>
        <w:t xml:space="preserve">The core statistical model finds a </w:t>
      </w:r>
      <w:r>
        <w:rPr>
          <w:b/>
          <w:bCs/>
        </w:rPr>
        <w:t>modest negative exposure–employment signal after the introduction of ChatGPT</w:t>
      </w:r>
      <w:r>
        <w:t>. The estimated magnitude is small. It is much smaller than public claims that AI is already producing large-scale job loss.</w:t>
      </w:r>
    </w:p>
    <w:p w14:paraId="518D1B94" w14:textId="77777777" w:rsidR="001B7662" w:rsidRDefault="00A208A5" w:rsidP="00A208A5">
      <w:pPr>
        <w:numPr>
          <w:ilvl w:val="0"/>
          <w:numId w:val="17"/>
        </w:numPr>
      </w:pPr>
      <w:r>
        <w:t xml:space="preserve">The </w:t>
      </w:r>
      <w:r>
        <w:rPr>
          <w:b/>
          <w:bCs/>
        </w:rPr>
        <w:t>model result should be interpreted cautiously.</w:t>
      </w:r>
      <w:r>
        <w:t xml:space="preserve"> The model does not observe firm-level AI adoption. It does not identify specific jobs created or destroyed by AI. It estimates whether employment patterns have changed in a way that is correlated with occupational exposure to AI automation. The result is sensitive to some modelling choices, especially the measure of AI exposure.</w:t>
      </w:r>
    </w:p>
    <w:p w14:paraId="518D1B95" w14:textId="77777777" w:rsidR="001B7662" w:rsidRDefault="00A208A5">
      <w:r>
        <w:t>The evidence does not show that AI is already causing significant job losses in Australia. But it also does not justify complacency. More AI-exposed occupations are showing enough relative softness to warrant close monitoring.</w:t>
      </w:r>
    </w:p>
    <w:p w14:paraId="518D1B96" w14:textId="77777777" w:rsidR="001B7662" w:rsidRDefault="00A208A5">
      <w:pPr>
        <w:pStyle w:val="Heading2"/>
      </w:pPr>
      <w:bookmarkStart w:id="123" w:name="_Toc232612098"/>
      <w:bookmarkStart w:id="124" w:name="potential-future-work"/>
      <w:bookmarkEnd w:id="122"/>
      <w:r>
        <w:t>Potential future work</w:t>
      </w:r>
      <w:bookmarkEnd w:id="123"/>
    </w:p>
    <w:p w14:paraId="518D1B97" w14:textId="77777777" w:rsidR="001B7662" w:rsidRDefault="00A208A5">
      <w:r>
        <w:t>The framework developed in this report provides a basis for tracking whether the tentative signs of slower growth in AI-exposed occupations grow, fade or persist.</w:t>
      </w:r>
    </w:p>
    <w:p w14:paraId="518D1B98" w14:textId="77777777" w:rsidR="001B7662" w:rsidRDefault="00A208A5">
      <w:pPr>
        <w:pStyle w:val="BodyText"/>
      </w:pPr>
      <w:r>
        <w:t>Future work could also extend the evidence base. Priorities include:</w:t>
      </w:r>
    </w:p>
    <w:p w14:paraId="518D1B99" w14:textId="4B70FCE3" w:rsidR="001B7662" w:rsidRDefault="001439F9" w:rsidP="00A208A5">
      <w:pPr>
        <w:pStyle w:val="Compact"/>
        <w:numPr>
          <w:ilvl w:val="0"/>
          <w:numId w:val="18"/>
        </w:numPr>
      </w:pPr>
      <w:r>
        <w:t xml:space="preserve">Monitoring </w:t>
      </w:r>
      <w:r w:rsidR="00A208A5">
        <w:t>workers in high-exposure occupations who may have fewer resources or fewer viable pathways to transition into other work</w:t>
      </w:r>
    </w:p>
    <w:p w14:paraId="518D1B9A" w14:textId="186AD44E" w:rsidR="001B7662" w:rsidRDefault="001439F9" w:rsidP="00A208A5">
      <w:pPr>
        <w:pStyle w:val="Compact"/>
        <w:numPr>
          <w:ilvl w:val="0"/>
          <w:numId w:val="18"/>
        </w:numPr>
      </w:pPr>
      <w:r>
        <w:t xml:space="preserve">Using </w:t>
      </w:r>
      <w:r w:rsidR="00A208A5">
        <w:t>administrative microdata, where possible, to examine worker transitions, firm behaviour and occupation-by-demographics breakdowns</w:t>
      </w:r>
    </w:p>
    <w:p w14:paraId="518D1B9B" w14:textId="555F7BE4" w:rsidR="001B7662" w:rsidRDefault="001439F9" w:rsidP="00A208A5">
      <w:pPr>
        <w:pStyle w:val="Compact"/>
        <w:numPr>
          <w:ilvl w:val="0"/>
          <w:numId w:val="18"/>
        </w:numPr>
      </w:pPr>
      <w:r>
        <w:t xml:space="preserve">Updating </w:t>
      </w:r>
      <w:r w:rsidR="00A208A5">
        <w:t>exposure measures as AI capabilities and adoption patterns change</w:t>
      </w:r>
    </w:p>
    <w:p w14:paraId="518D1B9C" w14:textId="4B20C593" w:rsidR="001B7662" w:rsidRDefault="001439F9" w:rsidP="00A208A5">
      <w:pPr>
        <w:pStyle w:val="Compact"/>
        <w:numPr>
          <w:ilvl w:val="0"/>
          <w:numId w:val="18"/>
        </w:numPr>
      </w:pPr>
      <w:r>
        <w:t xml:space="preserve">Testing </w:t>
      </w:r>
      <w:r w:rsidR="00A208A5">
        <w:t>whether results differ across industries, regions and demographic groups</w:t>
      </w:r>
    </w:p>
    <w:p w14:paraId="518D1B9D" w14:textId="434879E2" w:rsidR="001B7662" w:rsidRDefault="001439F9" w:rsidP="00A208A5">
      <w:pPr>
        <w:pStyle w:val="Compact"/>
        <w:numPr>
          <w:ilvl w:val="0"/>
          <w:numId w:val="18"/>
        </w:numPr>
      </w:pPr>
      <w:r>
        <w:t xml:space="preserve">Investigating </w:t>
      </w:r>
      <w:r w:rsidR="00A208A5">
        <w:t>the AI-wages relationship</w:t>
      </w:r>
    </w:p>
    <w:p w14:paraId="518D1B9E" w14:textId="77777777" w:rsidR="001B7662" w:rsidRDefault="00A208A5">
      <w:r>
        <w:t>Monitoring of employment could be usefully complemented by monitoring of AI capability and adoption.</w:t>
      </w:r>
    </w:p>
    <w:p w14:paraId="518D1B9F" w14:textId="77777777" w:rsidR="001B7662" w:rsidRDefault="00A208A5">
      <w:pPr>
        <w:pStyle w:val="Heading2"/>
      </w:pPr>
      <w:bookmarkStart w:id="125" w:name="_Toc232612099"/>
      <w:bookmarkStart w:id="126" w:name="conclusion"/>
      <w:bookmarkEnd w:id="124"/>
      <w:r>
        <w:t>Conclusion</w:t>
      </w:r>
      <w:bookmarkEnd w:id="125"/>
    </w:p>
    <w:p w14:paraId="518D1BA0" w14:textId="77777777" w:rsidR="001B7662" w:rsidRDefault="00A208A5">
      <w:r>
        <w:t>The Australian labour market is not showing broad AI-driven disruption. But more AI-exposed occupations have softened relative to others, and the core model finds a modest post-ChatGPT negative employment signal.</w:t>
      </w:r>
    </w:p>
    <w:p w14:paraId="518D1BA1" w14:textId="77777777" w:rsidR="001B7662" w:rsidRDefault="00A208A5">
      <w:pPr>
        <w:pStyle w:val="BodyText"/>
      </w:pPr>
      <w:r>
        <w:t>Because the result is sensitive to exposure measurement and some model choices, it should not be treated as causal proof. Ongoing monitoring of the impacts of AI on the Australian labour market is needed to provide the best foundation to advise government.</w:t>
      </w:r>
    </w:p>
    <w:p w14:paraId="518D1BA2" w14:textId="77777777" w:rsidR="001B7662" w:rsidRDefault="00A208A5">
      <w:r>
        <w:br w:type="page"/>
      </w:r>
    </w:p>
    <w:p w14:paraId="518D1BA3" w14:textId="77777777" w:rsidR="001B7662" w:rsidRDefault="00A208A5">
      <w:pPr>
        <w:pStyle w:val="Heading1"/>
      </w:pPr>
      <w:bookmarkStart w:id="127" w:name="_Toc232612100"/>
      <w:bookmarkStart w:id="128" w:name="references"/>
      <w:bookmarkEnd w:id="118"/>
      <w:bookmarkEnd w:id="126"/>
      <w:r>
        <w:lastRenderedPageBreak/>
        <w:t>References</w:t>
      </w:r>
      <w:bookmarkEnd w:id="127"/>
    </w:p>
    <w:p w14:paraId="518D1BA4" w14:textId="49ED1538" w:rsidR="001B7662" w:rsidRDefault="00A208A5">
      <w:pPr>
        <w:pStyle w:val="Bibliography"/>
      </w:pPr>
      <w:bookmarkStart w:id="129" w:name="ref-abs2022a"/>
      <w:bookmarkStart w:id="130" w:name="refs"/>
      <w:r>
        <w:t xml:space="preserve">ABS (2022a) </w:t>
      </w:r>
      <w:r>
        <w:rPr>
          <w:i/>
          <w:iCs/>
        </w:rPr>
        <w:t>The labour force framework</w:t>
      </w:r>
      <w:r>
        <w:t xml:space="preserve">, </w:t>
      </w:r>
      <w:hyperlink r:id="rId54">
        <w:r>
          <w:rPr>
            <w:rStyle w:val="Hyperlink"/>
          </w:rPr>
          <w:t>https://www.abs.gov.au/statistics/detailed-methodology-information/concepts-sources-methods/labour-statistics-concepts-sources-and-methods/2021/concepts-and-sources/labour-force-framework</w:t>
        </w:r>
      </w:hyperlink>
      <w:r>
        <w:t>.</w:t>
      </w:r>
    </w:p>
    <w:p w14:paraId="518D1BA5" w14:textId="5ABF3C0D" w:rsidR="001B7662" w:rsidRDefault="00A208A5">
      <w:pPr>
        <w:pStyle w:val="Bibliography"/>
      </w:pPr>
      <w:bookmarkStart w:id="131" w:name="ref-abs2022"/>
      <w:bookmarkEnd w:id="129"/>
      <w:r>
        <w:t xml:space="preserve">ABS (2022b) </w:t>
      </w:r>
      <w:r>
        <w:rPr>
          <w:i/>
          <w:iCs/>
        </w:rPr>
        <w:t>Conceptual basis of ANZSCO</w:t>
      </w:r>
      <w:r>
        <w:t xml:space="preserve">, </w:t>
      </w:r>
      <w:hyperlink r:id="rId55">
        <w:r>
          <w:rPr>
            <w:rStyle w:val="Hyperlink"/>
          </w:rPr>
          <w:t>https://www.abs.gov.au/statistics/classifications/anzsco-australian-and-new-zealand-standard-classification-occupations/2022/conceptual-basis-anzsco</w:t>
        </w:r>
      </w:hyperlink>
      <w:r>
        <w:t>.</w:t>
      </w:r>
    </w:p>
    <w:p w14:paraId="518D1BA6" w14:textId="5730C77B" w:rsidR="001B7662" w:rsidRDefault="00A208A5">
      <w:pPr>
        <w:pStyle w:val="Bibliography"/>
      </w:pPr>
      <w:bookmarkStart w:id="132" w:name="ref-abs2024"/>
      <w:bookmarkEnd w:id="131"/>
      <w:r>
        <w:t xml:space="preserve">ABS (2024) </w:t>
      </w:r>
      <w:r>
        <w:rPr>
          <w:i/>
          <w:iCs/>
        </w:rPr>
        <w:t>OSCA - Occupation Standard Classification for Australia</w:t>
      </w:r>
      <w:r>
        <w:t xml:space="preserve">, Canberra, </w:t>
      </w:r>
      <w:hyperlink r:id="rId56">
        <w:r>
          <w:rPr>
            <w:rStyle w:val="Hyperlink"/>
          </w:rPr>
          <w:t>https://www.abs.gov.au/statistics/classifications/osca-occupation-standard-classification-australia/latest-release</w:t>
        </w:r>
      </w:hyperlink>
      <w:r>
        <w:t>.</w:t>
      </w:r>
    </w:p>
    <w:p w14:paraId="518D1BA7" w14:textId="0D1A39B3" w:rsidR="001B7662" w:rsidRDefault="00A208A5">
      <w:pPr>
        <w:pStyle w:val="Bibliography"/>
      </w:pPr>
      <w:bookmarkStart w:id="133" w:name="ref-abs2026"/>
      <w:bookmarkEnd w:id="132"/>
      <w:r>
        <w:t xml:space="preserve">ABS (2026b) </w:t>
      </w:r>
      <w:r>
        <w:rPr>
          <w:i/>
          <w:iCs/>
        </w:rPr>
        <w:t>Labour Force, Australia</w:t>
      </w:r>
      <w:r>
        <w:t xml:space="preserve">, Australian Bureau of Statistics, Canberra, </w:t>
      </w:r>
      <w:hyperlink r:id="rId57">
        <w:r>
          <w:rPr>
            <w:rStyle w:val="Hyperlink"/>
          </w:rPr>
          <w:t>https://www.abs.gov.au/statistics/labour/employment-and-unemployment/labour-force-australia/feb-2026</w:t>
        </w:r>
      </w:hyperlink>
      <w:r>
        <w:t>.</w:t>
      </w:r>
    </w:p>
    <w:p w14:paraId="518D1BA8" w14:textId="01176C0B" w:rsidR="001B7662" w:rsidRDefault="00A208A5">
      <w:pPr>
        <w:pStyle w:val="Bibliography"/>
      </w:pPr>
      <w:bookmarkStart w:id="134" w:name="ref-abs2026lfdet"/>
      <w:bookmarkEnd w:id="133"/>
      <w:r>
        <w:t xml:space="preserve">ABS (2026a) </w:t>
      </w:r>
      <w:r>
        <w:rPr>
          <w:i/>
          <w:iCs/>
        </w:rPr>
        <w:t>Labour Force, Australia, Detailed</w:t>
      </w:r>
      <w:r>
        <w:t xml:space="preserve">, Australian Bureau of Statistics, Canberra, </w:t>
      </w:r>
      <w:hyperlink r:id="rId58">
        <w:r>
          <w:rPr>
            <w:rStyle w:val="Hyperlink"/>
          </w:rPr>
          <w:t>https://www.abs.gov.au/statistics/labour/employment-and-unemployment/labour-force-australia-detailed/feb-2026</w:t>
        </w:r>
      </w:hyperlink>
      <w:r>
        <w:t>.</w:t>
      </w:r>
    </w:p>
    <w:p w14:paraId="518D1BA9" w14:textId="48D3A9D7" w:rsidR="001B7662" w:rsidRDefault="00A208A5">
      <w:pPr>
        <w:pStyle w:val="Bibliography"/>
      </w:pPr>
      <w:bookmarkStart w:id="135" w:name="ref-abs2026modlfs"/>
      <w:bookmarkEnd w:id="134"/>
      <w:r>
        <w:t xml:space="preserve">ABS (2026c) </w:t>
      </w:r>
      <w:r>
        <w:rPr>
          <w:i/>
          <w:iCs/>
        </w:rPr>
        <w:t>Media statement: Modernising the Labour Force Survey from April 2026</w:t>
      </w:r>
      <w:r>
        <w:t xml:space="preserve">, </w:t>
      </w:r>
      <w:hyperlink r:id="rId59">
        <w:r>
          <w:rPr>
            <w:rStyle w:val="Hyperlink"/>
          </w:rPr>
          <w:t>https://www.abs.gov.au/media-centre/media-statements/modernising-labour-force-survey-april-2026</w:t>
        </w:r>
      </w:hyperlink>
      <w:r>
        <w:t>.</w:t>
      </w:r>
    </w:p>
    <w:p w14:paraId="518D1BAA" w14:textId="3380F9CB" w:rsidR="001B7662" w:rsidRDefault="00A208A5">
      <w:pPr>
        <w:pStyle w:val="Bibliography"/>
      </w:pPr>
      <w:bookmarkStart w:id="136" w:name="ref-acemoglu2025"/>
      <w:bookmarkEnd w:id="135"/>
      <w:r>
        <w:t xml:space="preserve">Acemoglu D (2025) ‘The simple macroeconomics of AI’, </w:t>
      </w:r>
      <w:r>
        <w:rPr>
          <w:i/>
          <w:iCs/>
        </w:rPr>
        <w:t>Economic Policy</w:t>
      </w:r>
      <w:r>
        <w:t>, 40(121), 13–58, doi:</w:t>
      </w:r>
      <w:hyperlink r:id="rId60">
        <w:r>
          <w:rPr>
            <w:rStyle w:val="Hyperlink"/>
          </w:rPr>
          <w:t>https://doi.org/10.1093/epolic/eiae042</w:t>
        </w:r>
      </w:hyperlink>
      <w:r>
        <w:t>.</w:t>
      </w:r>
    </w:p>
    <w:p w14:paraId="518D1BAB" w14:textId="77777777" w:rsidR="001B7662" w:rsidRDefault="00A208A5">
      <w:pPr>
        <w:pStyle w:val="Bibliography"/>
      </w:pPr>
      <w:bookmarkStart w:id="137" w:name="ref-acemoglu2011"/>
      <w:bookmarkEnd w:id="136"/>
      <w:r>
        <w:t xml:space="preserve">Acemoglu D and Autor D (2011) ‘Skills, tasks and technologies: Implications for employment and earnings’, in D Card and O Ashenfelter (eds) </w:t>
      </w:r>
      <w:r>
        <w:rPr>
          <w:i/>
          <w:iCs/>
        </w:rPr>
        <w:t>Handbook of Labor Economics</w:t>
      </w:r>
      <w:r>
        <w:t>, Elsevier.</w:t>
      </w:r>
    </w:p>
    <w:p w14:paraId="518D1BAC" w14:textId="560C5456" w:rsidR="001B7662" w:rsidRDefault="00A208A5">
      <w:pPr>
        <w:pStyle w:val="Bibliography"/>
      </w:pPr>
      <w:bookmarkStart w:id="138" w:name="ref-acemoglu2019"/>
      <w:bookmarkEnd w:id="137"/>
      <w:r>
        <w:t xml:space="preserve">Acemoglu D and Restrepo P (2019) ‘Automation and new tasks: How technology displaces and reinstates labor’, </w:t>
      </w:r>
      <w:r>
        <w:rPr>
          <w:i/>
          <w:iCs/>
        </w:rPr>
        <w:t>Journal of Economic Perspectives</w:t>
      </w:r>
      <w:r>
        <w:t>, 33(2), 3–30, doi:</w:t>
      </w:r>
      <w:hyperlink r:id="rId61">
        <w:r>
          <w:rPr>
            <w:rStyle w:val="Hyperlink"/>
          </w:rPr>
          <w:t>https://doi.org/10.1257/jep.33.2.3</w:t>
        </w:r>
      </w:hyperlink>
      <w:r>
        <w:t>.</w:t>
      </w:r>
    </w:p>
    <w:p w14:paraId="518D1BAD" w14:textId="1A2C9FAF" w:rsidR="001B7662" w:rsidRDefault="00A208A5">
      <w:pPr>
        <w:pStyle w:val="Bibliography"/>
      </w:pPr>
      <w:bookmarkStart w:id="139" w:name="ref-andrews2021"/>
      <w:bookmarkEnd w:id="138"/>
      <w:r>
        <w:t xml:space="preserve">Andrews D and Hansell D (2021) ‘Productivity-Enhancing Labour Reallocation in Australia’, </w:t>
      </w:r>
      <w:r>
        <w:rPr>
          <w:i/>
          <w:iCs/>
        </w:rPr>
        <w:t>Economic Record</w:t>
      </w:r>
      <w:r>
        <w:t>, 97(317), 157–169, doi:</w:t>
      </w:r>
      <w:hyperlink r:id="rId62">
        <w:r>
          <w:rPr>
            <w:rStyle w:val="Hyperlink"/>
          </w:rPr>
          <w:t>10.1111/1475-4932.12601</w:t>
        </w:r>
      </w:hyperlink>
      <w:r>
        <w:t>.</w:t>
      </w:r>
    </w:p>
    <w:p w14:paraId="518D1BAE" w14:textId="6156572A" w:rsidR="001B7662" w:rsidRDefault="00A208A5">
      <w:pPr>
        <w:pStyle w:val="Bibliography"/>
      </w:pPr>
      <w:bookmarkStart w:id="140" w:name="ref-autor2013"/>
      <w:bookmarkEnd w:id="139"/>
      <w:r>
        <w:t xml:space="preserve">Autor D (2013) ‘The ’task approach’ to labor markets: An overview’, </w:t>
      </w:r>
      <w:r>
        <w:rPr>
          <w:i/>
          <w:iCs/>
        </w:rPr>
        <w:t>Journal for Labour Market Research</w:t>
      </w:r>
      <w:r>
        <w:t>, 46, 185–199, doi:</w:t>
      </w:r>
      <w:hyperlink r:id="rId63">
        <w:r>
          <w:rPr>
            <w:rStyle w:val="Hyperlink"/>
          </w:rPr>
          <w:t>10.1007/s12651-013-0128-z</w:t>
        </w:r>
      </w:hyperlink>
      <w:r>
        <w:t>.</w:t>
      </w:r>
    </w:p>
    <w:p w14:paraId="518D1BAF" w14:textId="609EA1AD" w:rsidR="001B7662" w:rsidRDefault="00A208A5">
      <w:pPr>
        <w:pStyle w:val="Bibliography"/>
      </w:pPr>
      <w:bookmarkStart w:id="141" w:name="ref-autor2024"/>
      <w:bookmarkEnd w:id="140"/>
      <w:r>
        <w:t xml:space="preserve">Autor D, Chin C, Salomons A and Seegmiller B (2024) ‘New frontiers: The origins and content of new work, 1940–2018’, </w:t>
      </w:r>
      <w:r>
        <w:rPr>
          <w:i/>
          <w:iCs/>
        </w:rPr>
        <w:t>The Quarterly Journal of Economics</w:t>
      </w:r>
      <w:r>
        <w:t xml:space="preserve">, 139(3), 1399–1465, </w:t>
      </w:r>
      <w:hyperlink r:id="rId64">
        <w:r>
          <w:rPr>
            <w:rStyle w:val="Hyperlink"/>
          </w:rPr>
          <w:t>https://academic.oup.com/qje/article-abstract/139/3/1399/7630187</w:t>
        </w:r>
      </w:hyperlink>
      <w:r>
        <w:t>.</w:t>
      </w:r>
    </w:p>
    <w:p w14:paraId="518D1BB0" w14:textId="57238DE5" w:rsidR="001B7662" w:rsidRDefault="00A208A5">
      <w:pPr>
        <w:pStyle w:val="Bibliography"/>
      </w:pPr>
      <w:bookmarkStart w:id="142" w:name="ref-autor2003"/>
      <w:bookmarkEnd w:id="141"/>
      <w:r>
        <w:t xml:space="preserve">Autor D, Levy F and Murnane R (2003) ‘The skill content of recent technological change: An empirical exploration’, </w:t>
      </w:r>
      <w:r>
        <w:rPr>
          <w:i/>
          <w:iCs/>
        </w:rPr>
        <w:t>The Quarterly Journal of Economics</w:t>
      </w:r>
      <w:r>
        <w:t>, 118(4), 1279–1333, doi:</w:t>
      </w:r>
      <w:hyperlink r:id="rId65">
        <w:r>
          <w:rPr>
            <w:rStyle w:val="Hyperlink"/>
          </w:rPr>
          <w:t>https://doi.org/10.1162/003355303322552801</w:t>
        </w:r>
      </w:hyperlink>
      <w:r>
        <w:t>.</w:t>
      </w:r>
    </w:p>
    <w:p w14:paraId="518D1BB1" w14:textId="59D74A18" w:rsidR="001B7662" w:rsidRDefault="00A208A5">
      <w:pPr>
        <w:pStyle w:val="Bibliography"/>
      </w:pPr>
      <w:bookmarkStart w:id="143" w:name="ref-autor2025"/>
      <w:bookmarkEnd w:id="142"/>
      <w:r>
        <w:t xml:space="preserve">Autor D and Thompson N (2025) ‘Expertise’, </w:t>
      </w:r>
      <w:r>
        <w:rPr>
          <w:i/>
          <w:iCs/>
        </w:rPr>
        <w:t>Journal of the European Economic Association</w:t>
      </w:r>
      <w:r>
        <w:t>, 23(4), 1203–1271, doi:</w:t>
      </w:r>
      <w:hyperlink r:id="rId66">
        <w:r>
          <w:rPr>
            <w:rStyle w:val="Hyperlink"/>
          </w:rPr>
          <w:t>https://doi.org/10.1093/jeea/jvaf023</w:t>
        </w:r>
      </w:hyperlink>
      <w:r>
        <w:t>.</w:t>
      </w:r>
    </w:p>
    <w:p w14:paraId="518D1BB2" w14:textId="12738678" w:rsidR="001B7662" w:rsidRDefault="00A208A5">
      <w:pPr>
        <w:pStyle w:val="Bibliography"/>
      </w:pPr>
      <w:bookmarkStart w:id="144" w:name="ref-bergé2026"/>
      <w:bookmarkEnd w:id="143"/>
      <w:r>
        <w:t xml:space="preserve">Bergé LR, Butts K and McDermott G (2026) </w:t>
      </w:r>
      <w:r>
        <w:rPr>
          <w:i/>
          <w:iCs/>
        </w:rPr>
        <w:t>Fixest: A fast and feature-rich framework for econometric estimations in R</w:t>
      </w:r>
      <w:r>
        <w:t xml:space="preserve">, </w:t>
      </w:r>
      <w:hyperlink r:id="rId67">
        <w:r>
          <w:rPr>
            <w:rStyle w:val="Hyperlink"/>
          </w:rPr>
          <w:t>https://arxiv.org/abs/2601.21749</w:t>
        </w:r>
      </w:hyperlink>
      <w:r>
        <w:t>.</w:t>
      </w:r>
    </w:p>
    <w:p w14:paraId="518D1BB3" w14:textId="45D6B5EF" w:rsidR="001B7662" w:rsidRDefault="00A208A5">
      <w:pPr>
        <w:pStyle w:val="Bibliography"/>
      </w:pPr>
      <w:bookmarkStart w:id="145" w:name="ref-berger2026"/>
      <w:bookmarkEnd w:id="144"/>
      <w:r>
        <w:t xml:space="preserve">Berger G (2026) ‘Measuring grad unemployment properly’, </w:t>
      </w:r>
      <w:hyperlink r:id="rId68">
        <w:r>
          <w:rPr>
            <w:rStyle w:val="Hyperlink"/>
          </w:rPr>
          <w:t>https://macromostly.substack.com/p/measuring-grad-unemployment-properly</w:t>
        </w:r>
      </w:hyperlink>
      <w:r>
        <w:t>.</w:t>
      </w:r>
    </w:p>
    <w:p w14:paraId="518D1BB4" w14:textId="174B4132" w:rsidR="001B7662" w:rsidRDefault="00A208A5">
      <w:pPr>
        <w:pStyle w:val="Bibliography"/>
      </w:pPr>
      <w:bookmarkStart w:id="146" w:name="ref-bessen2018"/>
      <w:bookmarkEnd w:id="145"/>
      <w:r>
        <w:t xml:space="preserve">Bessen J (2018) </w:t>
      </w:r>
      <w:r>
        <w:rPr>
          <w:i/>
          <w:iCs/>
        </w:rPr>
        <w:t>AI &amp; jobs: The role of demand</w:t>
      </w:r>
      <w:r>
        <w:t xml:space="preserve">, </w:t>
      </w:r>
      <w:hyperlink r:id="rId69">
        <w:r>
          <w:rPr>
            <w:rStyle w:val="Hyperlink"/>
          </w:rPr>
          <w:t>https://www.nber.org/papers/w24235</w:t>
        </w:r>
      </w:hyperlink>
      <w:r>
        <w:t>.</w:t>
      </w:r>
    </w:p>
    <w:p w14:paraId="518D1BB5" w14:textId="4839023C" w:rsidR="001B7662" w:rsidRDefault="00A208A5">
      <w:pPr>
        <w:pStyle w:val="Bibliography"/>
      </w:pPr>
      <w:bookmarkStart w:id="147" w:name="ref-borland2026"/>
      <w:bookmarkEnd w:id="146"/>
      <w:r>
        <w:lastRenderedPageBreak/>
        <w:t xml:space="preserve">Borland J (2026) ‘Decline to boom to slowdown: Australia’s labour market in the COVID-19 era’, </w:t>
      </w:r>
      <w:r>
        <w:rPr>
          <w:i/>
          <w:iCs/>
        </w:rPr>
        <w:t>Australian Economic Review</w:t>
      </w:r>
      <w:r>
        <w:t xml:space="preserve">, </w:t>
      </w:r>
      <w:hyperlink r:id="rId70">
        <w:r>
          <w:rPr>
            <w:rStyle w:val="Hyperlink"/>
          </w:rPr>
          <w:t>https://doi.org/10.1111/1467-8462.70047</w:t>
        </w:r>
      </w:hyperlink>
      <w:r>
        <w:t>.</w:t>
      </w:r>
    </w:p>
    <w:p w14:paraId="518D1BB6" w14:textId="780479DA" w:rsidR="001B7662" w:rsidRDefault="00A208A5">
      <w:pPr>
        <w:pStyle w:val="Bibliography"/>
      </w:pPr>
      <w:bookmarkStart w:id="148" w:name="ref-borland2022"/>
      <w:bookmarkEnd w:id="147"/>
      <w:r>
        <w:t xml:space="preserve">Borland J and Coelli M (2022) ‘The Australian labour market and the digital economy’, in </w:t>
      </w:r>
      <w:r>
        <w:rPr>
          <w:i/>
          <w:iCs/>
        </w:rPr>
        <w:t>Proceedings of the Australian Bureau of Statistics &amp; RBA conference</w:t>
      </w:r>
      <w:r>
        <w:t xml:space="preserve">, Reserve Bank of Australia Sydney, Australia, </w:t>
      </w:r>
      <w:hyperlink r:id="rId71">
        <w:r>
          <w:rPr>
            <w:rStyle w:val="Hyperlink"/>
          </w:rPr>
          <w:t>https://www.abs.gov.au/system/files/documents/b148083d79e89d2e287eb9ddd2410f6c/Borland%2C%20Coelli%20-%20The%20Australian%20labour%20market%20and%20the%20digital%20economy.pdf</w:t>
        </w:r>
      </w:hyperlink>
      <w:r>
        <w:t>.</w:t>
      </w:r>
    </w:p>
    <w:p w14:paraId="518D1BB7" w14:textId="0F9195F7" w:rsidR="001B7662" w:rsidRDefault="00A208A5">
      <w:pPr>
        <w:pStyle w:val="Bibliography"/>
      </w:pPr>
      <w:bookmarkStart w:id="149" w:name="ref-brynjolfsson2025"/>
      <w:bookmarkEnd w:id="148"/>
      <w:r>
        <w:t xml:space="preserve">Brynjolfsson E, Chandar B and Chen R (2025) </w:t>
      </w:r>
      <w:r>
        <w:rPr>
          <w:i/>
          <w:iCs/>
        </w:rPr>
        <w:t>Canaries in the coal mine? Six facts about the recent employment effects of artificial intelligence</w:t>
      </w:r>
      <w:r>
        <w:t xml:space="preserve">, </w:t>
      </w:r>
      <w:hyperlink r:id="rId72">
        <w:r>
          <w:rPr>
            <w:rStyle w:val="Hyperlink"/>
          </w:rPr>
          <w:t>https://digitaleconomy.stanford.edu/publications/canaries-in-the-coal-mine/</w:t>
        </w:r>
      </w:hyperlink>
      <w:r>
        <w:t>.</w:t>
      </w:r>
    </w:p>
    <w:p w14:paraId="518D1BB8" w14:textId="3B0DACE7" w:rsidR="001B7662" w:rsidRDefault="00A208A5">
      <w:pPr>
        <w:pStyle w:val="Bibliography"/>
      </w:pPr>
      <w:bookmarkStart w:id="150" w:name="ref-buckley2024"/>
      <w:bookmarkEnd w:id="149"/>
      <w:r>
        <w:t xml:space="preserve">Buckley J, Rankin E and Andrews D (2024) </w:t>
      </w:r>
      <w:r>
        <w:rPr>
          <w:i/>
          <w:iCs/>
        </w:rPr>
        <w:t>Non-compete clauses, job mobility and wages in Australia</w:t>
      </w:r>
      <w:r>
        <w:t xml:space="preserve">, </w:t>
      </w:r>
      <w:hyperlink r:id="rId73">
        <w:r>
          <w:rPr>
            <w:rStyle w:val="Hyperlink"/>
          </w:rPr>
          <w:t>https://e61.in/wp-content/uploads/2024/10/Non-competes-RN-20241014.pdf</w:t>
        </w:r>
      </w:hyperlink>
      <w:r>
        <w:t>.</w:t>
      </w:r>
    </w:p>
    <w:p w14:paraId="518D1BB9" w14:textId="50545073" w:rsidR="001B7662" w:rsidRDefault="00A208A5">
      <w:pPr>
        <w:pStyle w:val="Bibliography"/>
      </w:pPr>
      <w:bookmarkStart w:id="151" w:name="ref-callaway2024difference"/>
      <w:bookmarkEnd w:id="150"/>
      <w:r>
        <w:t xml:space="preserve">Callaway B, Goodman-Bacon A and Sant’Anna PH (2024) </w:t>
      </w:r>
      <w:r>
        <w:rPr>
          <w:i/>
          <w:iCs/>
        </w:rPr>
        <w:t>Difference-in-differences with a continuous treatment</w:t>
      </w:r>
      <w:r>
        <w:t xml:space="preserve">, National Bureau of Economic Research, </w:t>
      </w:r>
      <w:hyperlink r:id="rId74">
        <w:r>
          <w:rPr>
            <w:rStyle w:val="Hyperlink"/>
          </w:rPr>
          <w:t>https://www.nber.org/system/files/working_papers/w32117/w32117.pdf</w:t>
        </w:r>
      </w:hyperlink>
      <w:r>
        <w:t>.</w:t>
      </w:r>
    </w:p>
    <w:p w14:paraId="518D1BBA" w14:textId="6FB4B613" w:rsidR="001B7662" w:rsidRDefault="00A208A5">
      <w:pPr>
        <w:pStyle w:val="Bibliography"/>
      </w:pPr>
      <w:bookmarkStart w:id="152" w:name="ref-chandar2025"/>
      <w:bookmarkEnd w:id="151"/>
      <w:r>
        <w:t xml:space="preserve">Chandar B (2025) </w:t>
      </w:r>
      <w:r>
        <w:rPr>
          <w:i/>
          <w:iCs/>
        </w:rPr>
        <w:t>Tracking employment changes in AI-exposed jobs</w:t>
      </w:r>
      <w:r>
        <w:t xml:space="preserve">, </w:t>
      </w:r>
      <w:hyperlink r:id="rId75">
        <w:r>
          <w:rPr>
            <w:rStyle w:val="Hyperlink"/>
          </w:rPr>
          <w:t>https://dx.doi.org/10.2139/ssrn.5384519</w:t>
        </w:r>
      </w:hyperlink>
      <w:r>
        <w:t>.</w:t>
      </w:r>
    </w:p>
    <w:p w14:paraId="518D1BBB" w14:textId="2FD16098" w:rsidR="001B7662" w:rsidRDefault="00A208A5">
      <w:pPr>
        <w:pStyle w:val="Bibliography"/>
      </w:pPr>
      <w:bookmarkStart w:id="153" w:name="ref-chen2024"/>
      <w:bookmarkEnd w:id="152"/>
      <w:r>
        <w:t xml:space="preserve">Chen J and Roth J (2024) ‘Logs with zeros? Some problems and solutions’, </w:t>
      </w:r>
      <w:r>
        <w:rPr>
          <w:i/>
          <w:iCs/>
        </w:rPr>
        <w:t>The Quarterly Journal of Economics</w:t>
      </w:r>
      <w:r>
        <w:t>, 139(2), 891–936, doi:</w:t>
      </w:r>
      <w:hyperlink r:id="rId76">
        <w:r>
          <w:rPr>
            <w:rStyle w:val="Hyperlink"/>
          </w:rPr>
          <w:t>https://doi.org/10.1093/qje/qjad054</w:t>
        </w:r>
      </w:hyperlink>
      <w:r>
        <w:t>.</w:t>
      </w:r>
    </w:p>
    <w:p w14:paraId="518D1BBC" w14:textId="7D8D4341" w:rsidR="001B7662" w:rsidRDefault="00A208A5">
      <w:pPr>
        <w:pStyle w:val="Bibliography"/>
      </w:pPr>
      <w:bookmarkStart w:id="154" w:name="ref-deming2025"/>
      <w:bookmarkEnd w:id="153"/>
      <w:r>
        <w:t xml:space="preserve">Deming DJ, Ong C and Summers LH (2025) </w:t>
      </w:r>
      <w:r>
        <w:rPr>
          <w:i/>
          <w:iCs/>
        </w:rPr>
        <w:t>Technological disruption in the labor market</w:t>
      </w:r>
      <w:r>
        <w:t xml:space="preserve">, </w:t>
      </w:r>
      <w:hyperlink r:id="rId77">
        <w:r>
          <w:rPr>
            <w:rStyle w:val="Hyperlink"/>
          </w:rPr>
          <w:t>https://www.nber.org/system/files/working_papers/w33323/w33323.pdf</w:t>
        </w:r>
      </w:hyperlink>
      <w:r>
        <w:t>.</w:t>
      </w:r>
    </w:p>
    <w:p w14:paraId="518D1BBD" w14:textId="2C9B7629" w:rsidR="001B7662" w:rsidRDefault="00A208A5">
      <w:pPr>
        <w:pStyle w:val="Bibliography"/>
      </w:pPr>
      <w:bookmarkStart w:id="155" w:name="ref-dhillon2018"/>
      <w:bookmarkEnd w:id="154"/>
      <w:r>
        <w:t xml:space="preserve">Dhillon Z and Cassidy N (2018) </w:t>
      </w:r>
      <w:r>
        <w:rPr>
          <w:i/>
          <w:iCs/>
        </w:rPr>
        <w:t>Labour market outcomes for younger people</w:t>
      </w:r>
      <w:r>
        <w:t xml:space="preserve">, </w:t>
      </w:r>
      <w:hyperlink r:id="rId78">
        <w:r>
          <w:rPr>
            <w:rStyle w:val="Hyperlink"/>
          </w:rPr>
          <w:t>https://www.rba.gov.au/publications/bulletin/2018/jun/labour-market-outcomes-for-younger-people.html</w:t>
        </w:r>
      </w:hyperlink>
      <w:r>
        <w:t>.</w:t>
      </w:r>
    </w:p>
    <w:p w14:paraId="518D1BBE" w14:textId="14593EDE" w:rsidR="001B7662" w:rsidRDefault="00A208A5">
      <w:pPr>
        <w:pStyle w:val="Bibliography"/>
      </w:pPr>
      <w:bookmarkStart w:id="156" w:name="ref-disr2026"/>
      <w:bookmarkEnd w:id="155"/>
      <w:r>
        <w:t xml:space="preserve">DISR (2026) </w:t>
      </w:r>
      <w:r>
        <w:rPr>
          <w:i/>
          <w:iCs/>
        </w:rPr>
        <w:t>Economic snapshot - April 2026</w:t>
      </w:r>
      <w:r>
        <w:t xml:space="preserve">, Canberra, </w:t>
      </w:r>
      <w:hyperlink r:id="rId79">
        <w:r>
          <w:rPr>
            <w:rStyle w:val="Hyperlink"/>
          </w:rPr>
          <w:t>https://comms.industry.gov.au/pub/pubType/EO/pubID/zzzz69f148bd05a4b578/interface.html</w:t>
        </w:r>
      </w:hyperlink>
      <w:r>
        <w:t>.</w:t>
      </w:r>
    </w:p>
    <w:p w14:paraId="518D1BBF" w14:textId="6BFC4857" w:rsidR="001B7662" w:rsidRDefault="00A208A5">
      <w:pPr>
        <w:pStyle w:val="Bibliography"/>
      </w:pPr>
      <w:bookmarkStart w:id="157" w:name="ref-duncan1955"/>
      <w:bookmarkEnd w:id="156"/>
      <w:r>
        <w:t xml:space="preserve">Duncan OD and Duncan B (1955) ‘A methodological analysis of segregation indexes’, </w:t>
      </w:r>
      <w:r>
        <w:rPr>
          <w:i/>
          <w:iCs/>
        </w:rPr>
        <w:t>American Sociological Review</w:t>
      </w:r>
      <w:r>
        <w:t>, 20(2), 210–17, doi:</w:t>
      </w:r>
      <w:hyperlink r:id="rId80">
        <w:r>
          <w:rPr>
            <w:rStyle w:val="Hyperlink"/>
          </w:rPr>
          <w:t>https://doi.org/10.2307/2088328</w:t>
        </w:r>
      </w:hyperlink>
      <w:r>
        <w:t>.</w:t>
      </w:r>
    </w:p>
    <w:p w14:paraId="518D1BC0" w14:textId="0E797A78" w:rsidR="001B7662" w:rsidRDefault="00A208A5">
      <w:pPr>
        <w:pStyle w:val="Bibliography"/>
      </w:pPr>
      <w:bookmarkStart w:id="158" w:name="ref-eckhardt2025"/>
      <w:bookmarkEnd w:id="157"/>
      <w:r>
        <w:t xml:space="preserve">Eckhardt S and Goldschlag N (2025) </w:t>
      </w:r>
      <w:r>
        <w:rPr>
          <w:i/>
          <w:iCs/>
        </w:rPr>
        <w:t>AI and jobs: The final word (until the next one)</w:t>
      </w:r>
      <w:r>
        <w:t xml:space="preserve">, </w:t>
      </w:r>
      <w:hyperlink r:id="rId81">
        <w:r>
          <w:rPr>
            <w:rStyle w:val="Hyperlink"/>
          </w:rPr>
          <w:t>https://eig.org/ai-and-jobs-the-final-word/</w:t>
        </w:r>
      </w:hyperlink>
      <w:r>
        <w:t>.</w:t>
      </w:r>
    </w:p>
    <w:p w14:paraId="518D1BC1" w14:textId="18F1DB10" w:rsidR="001B7662" w:rsidRDefault="00A208A5">
      <w:pPr>
        <w:pStyle w:val="Bibliography"/>
      </w:pPr>
      <w:bookmarkStart w:id="159" w:name="ref-eloundou2023"/>
      <w:bookmarkEnd w:id="158"/>
      <w:r>
        <w:t xml:space="preserve">Eloundou T, Manning S, Mishkin P and Rock D (2023) </w:t>
      </w:r>
      <w:r>
        <w:rPr>
          <w:i/>
          <w:iCs/>
        </w:rPr>
        <w:t>GPTs are GPTs: Labor market impact potential of LLMs</w:t>
      </w:r>
      <w:r>
        <w:t xml:space="preserve">, </w:t>
      </w:r>
      <w:hyperlink r:id="rId82">
        <w:r>
          <w:rPr>
            <w:rStyle w:val="Hyperlink"/>
          </w:rPr>
          <w:t>https://arxiv.org/pdf/2303.10130</w:t>
        </w:r>
      </w:hyperlink>
      <w:r>
        <w:t>.</w:t>
      </w:r>
    </w:p>
    <w:p w14:paraId="518D1BC2" w14:textId="3895BCC5" w:rsidR="001B7662" w:rsidRDefault="00A208A5">
      <w:pPr>
        <w:pStyle w:val="Bibliography"/>
      </w:pPr>
      <w:bookmarkStart w:id="160" w:name="ref-evans2026"/>
      <w:bookmarkEnd w:id="159"/>
      <w:r>
        <w:t xml:space="preserve">Evans B (2026) </w:t>
      </w:r>
      <w:r>
        <w:rPr>
          <w:i/>
          <w:iCs/>
        </w:rPr>
        <w:t>Predicting AI job exposure</w:t>
      </w:r>
      <w:r>
        <w:t xml:space="preserve">, </w:t>
      </w:r>
      <w:hyperlink r:id="rId83">
        <w:r>
          <w:rPr>
            <w:rStyle w:val="Hyperlink"/>
          </w:rPr>
          <w:t>https://www.ben-evans.com/benedictevans/2026/5/24/ai-job-exposure</w:t>
        </w:r>
      </w:hyperlink>
      <w:r>
        <w:t>.</w:t>
      </w:r>
    </w:p>
    <w:p w14:paraId="518D1BC3" w14:textId="7E654411" w:rsidR="001B7662" w:rsidRDefault="00A208A5">
      <w:pPr>
        <w:pStyle w:val="Bibliography"/>
      </w:pPr>
      <w:bookmarkStart w:id="161" w:name="ref-fahrer1993"/>
      <w:bookmarkEnd w:id="160"/>
      <w:r>
        <w:t xml:space="preserve">Fahrer J and Pease A (1993) ‘The unemployment-vacancy relationship in Australia’, </w:t>
      </w:r>
      <w:r>
        <w:rPr>
          <w:i/>
          <w:iCs/>
        </w:rPr>
        <w:t>Australian Economic Review</w:t>
      </w:r>
      <w:r>
        <w:t>, (26), 43–57, doi:</w:t>
      </w:r>
      <w:hyperlink r:id="rId84">
        <w:r>
          <w:rPr>
            <w:rStyle w:val="Hyperlink"/>
          </w:rPr>
          <w:t>https://doi.org/10.1111/j.1467-8462.1993.tb00810.x</w:t>
        </w:r>
      </w:hyperlink>
      <w:r>
        <w:t>.</w:t>
      </w:r>
    </w:p>
    <w:p w14:paraId="518D1BC4" w14:textId="78E11632" w:rsidR="001B7662" w:rsidRDefault="00A208A5">
      <w:pPr>
        <w:pStyle w:val="Bibliography"/>
      </w:pPr>
      <w:bookmarkStart w:id="162" w:name="ref-felten2021"/>
      <w:bookmarkEnd w:id="161"/>
      <w:r>
        <w:t xml:space="preserve">Felten E, Raj M and Seamans R (2021) ‘Occupation, industry, and geographic exposure to artificial intelligence: A novel dataset and its potential uses’, </w:t>
      </w:r>
      <w:r>
        <w:rPr>
          <w:i/>
          <w:iCs/>
        </w:rPr>
        <w:t>Strategic Management Journal</w:t>
      </w:r>
      <w:r>
        <w:t>, 42(12), 2195–2217, doi:</w:t>
      </w:r>
      <w:hyperlink r:id="rId85">
        <w:r>
          <w:rPr>
            <w:rStyle w:val="Hyperlink"/>
          </w:rPr>
          <w:t>https://doi.org/10.1002/smj.3286</w:t>
        </w:r>
      </w:hyperlink>
      <w:r>
        <w:t>.</w:t>
      </w:r>
    </w:p>
    <w:p w14:paraId="518D1BC5" w14:textId="7A3C2ADC" w:rsidR="001B7662" w:rsidRDefault="00A208A5">
      <w:pPr>
        <w:pStyle w:val="Bibliography"/>
      </w:pPr>
      <w:bookmarkStart w:id="163" w:name="ref-gans2026"/>
      <w:bookmarkEnd w:id="162"/>
      <w:r>
        <w:t xml:space="preserve">Gans JS and Goldfarb A (2026) </w:t>
      </w:r>
      <w:r>
        <w:rPr>
          <w:i/>
          <w:iCs/>
        </w:rPr>
        <w:t>O-ring automation</w:t>
      </w:r>
      <w:r>
        <w:t xml:space="preserve">, </w:t>
      </w:r>
      <w:hyperlink r:id="rId86">
        <w:r>
          <w:rPr>
            <w:rStyle w:val="Hyperlink"/>
          </w:rPr>
          <w:t>https://www.nber.org/system/files/working_papers/w34639/w34639.pdf</w:t>
        </w:r>
      </w:hyperlink>
      <w:r>
        <w:t>.</w:t>
      </w:r>
    </w:p>
    <w:p w14:paraId="518D1BC6" w14:textId="04305947" w:rsidR="001B7662" w:rsidRDefault="00A208A5">
      <w:pPr>
        <w:pStyle w:val="Bibliography"/>
      </w:pPr>
      <w:bookmarkStart w:id="164" w:name="ref-gimbel2026"/>
      <w:bookmarkEnd w:id="163"/>
      <w:r>
        <w:t xml:space="preserve">Gimbel M, Kendall J and Kulsakdinum R (2026) </w:t>
      </w:r>
      <w:r>
        <w:rPr>
          <w:i/>
          <w:iCs/>
        </w:rPr>
        <w:t xml:space="preserve">Labor market AI exposure: What do we </w:t>
      </w:r>
      <w:proofErr w:type="gramStart"/>
      <w:r>
        <w:rPr>
          <w:i/>
          <w:iCs/>
        </w:rPr>
        <w:t>know?</w:t>
      </w:r>
      <w:r>
        <w:t>,</w:t>
      </w:r>
      <w:proofErr w:type="gramEnd"/>
      <w:r>
        <w:t xml:space="preserve"> </w:t>
      </w:r>
      <w:hyperlink r:id="rId87">
        <w:r>
          <w:rPr>
            <w:rStyle w:val="Hyperlink"/>
          </w:rPr>
          <w:t>https://budgetlab.yale.edu/research/labor-market-ai-exposure-what-do-we-know</w:t>
        </w:r>
      </w:hyperlink>
      <w:r>
        <w:t>.</w:t>
      </w:r>
    </w:p>
    <w:p w14:paraId="518D1BC7" w14:textId="4C04264A" w:rsidR="001B7662" w:rsidRDefault="00A208A5">
      <w:pPr>
        <w:pStyle w:val="Bibliography"/>
      </w:pPr>
      <w:bookmarkStart w:id="165" w:name="ref-gimbel2025"/>
      <w:bookmarkEnd w:id="164"/>
      <w:r>
        <w:lastRenderedPageBreak/>
        <w:t xml:space="preserve">Gimbel M, Kinder M, Kendall J and Lee M (2025) </w:t>
      </w:r>
      <w:r>
        <w:rPr>
          <w:i/>
          <w:iCs/>
        </w:rPr>
        <w:t xml:space="preserve">Evaluating the impact of AI on the labor market: Current </w:t>
      </w:r>
      <w:proofErr w:type="gramStart"/>
      <w:r>
        <w:rPr>
          <w:i/>
          <w:iCs/>
        </w:rPr>
        <w:t>state of affairs</w:t>
      </w:r>
      <w:proofErr w:type="gramEnd"/>
      <w:r>
        <w:t xml:space="preserve">, </w:t>
      </w:r>
      <w:hyperlink r:id="rId88">
        <w:r>
          <w:rPr>
            <w:rStyle w:val="Hyperlink"/>
          </w:rPr>
          <w:t>https://budgetlab.yale.edu/research/evaluating-impact-ai-labor-market-current-state-affairs</w:t>
        </w:r>
      </w:hyperlink>
      <w:r>
        <w:t>.</w:t>
      </w:r>
    </w:p>
    <w:p w14:paraId="518D1BC8" w14:textId="77777777" w:rsidR="001B7662" w:rsidRDefault="00A208A5">
      <w:pPr>
        <w:pStyle w:val="Bibliography"/>
      </w:pPr>
      <w:bookmarkStart w:id="166" w:name="ref-gmyrek2023"/>
      <w:bookmarkEnd w:id="165"/>
      <w:r>
        <w:t xml:space="preserve">Gmyrek P, Berg J and Bescond D (2023) </w:t>
      </w:r>
      <w:r>
        <w:rPr>
          <w:i/>
          <w:iCs/>
        </w:rPr>
        <w:t>Generative AI and jobs: A global analysis of potential effects on job quantity and quality</w:t>
      </w:r>
      <w:r>
        <w:t>, International Labour Organization, Geneva.</w:t>
      </w:r>
    </w:p>
    <w:p w14:paraId="518D1BC9" w14:textId="1B62BE84" w:rsidR="001B7662" w:rsidRDefault="00A208A5">
      <w:pPr>
        <w:pStyle w:val="Bibliography"/>
      </w:pPr>
      <w:bookmarkStart w:id="167" w:name="ref-gross2026"/>
      <w:bookmarkEnd w:id="166"/>
      <w:r>
        <w:t xml:space="preserve">Gross I (2026) </w:t>
      </w:r>
      <w:r>
        <w:rPr>
          <w:i/>
          <w:iCs/>
        </w:rPr>
        <w:t>Kookaburras in the coal mine? Measuring AI disruption with Australian administrative data</w:t>
      </w:r>
      <w:r>
        <w:t xml:space="preserve">, </w:t>
      </w:r>
      <w:hyperlink r:id="rId89">
        <w:r>
          <w:rPr>
            <w:rStyle w:val="Hyperlink"/>
          </w:rPr>
          <w:t>https://drive.google.com/file/d/1wbDNJspPly7ZjV1oWpSSX0Ti68KGCeN_/view</w:t>
        </w:r>
      </w:hyperlink>
      <w:r>
        <w:t>.</w:t>
      </w:r>
    </w:p>
    <w:p w14:paraId="518D1BCA" w14:textId="7531FA01" w:rsidR="001B7662" w:rsidRDefault="00A208A5">
      <w:pPr>
        <w:pStyle w:val="Bibliography"/>
      </w:pPr>
      <w:bookmarkStart w:id="168" w:name="ref-humlum2026"/>
      <w:bookmarkEnd w:id="167"/>
      <w:r>
        <w:t xml:space="preserve">Humlum A and Vestergaard E (2026) </w:t>
      </w:r>
      <w:r>
        <w:rPr>
          <w:i/>
          <w:iCs/>
        </w:rPr>
        <w:t>Still waters, rapid currents: Early labor market transformation under generative AI</w:t>
      </w:r>
      <w:r>
        <w:t xml:space="preserve">, </w:t>
      </w:r>
      <w:hyperlink r:id="rId90">
        <w:r>
          <w:rPr>
            <w:rStyle w:val="Hyperlink"/>
          </w:rPr>
          <w:t>https://www.nber.org/papers/w33777</w:t>
        </w:r>
      </w:hyperlink>
      <w:r>
        <w:t>.</w:t>
      </w:r>
    </w:p>
    <w:p w14:paraId="518D1BCB" w14:textId="500C7F10" w:rsidR="001B7662" w:rsidRDefault="00A208A5">
      <w:pPr>
        <w:pStyle w:val="Bibliography"/>
      </w:pPr>
      <w:bookmarkStart w:id="169" w:name="ref-ibrahim2026"/>
      <w:bookmarkEnd w:id="168"/>
      <w:r>
        <w:t xml:space="preserve">Ibrahim T (2026) ‘Atlassian cuts 1,600 jobs from global workforce as AI slashes labour needs’, </w:t>
      </w:r>
      <w:r>
        <w:rPr>
          <w:i/>
          <w:iCs/>
        </w:rPr>
        <w:t>ABC</w:t>
      </w:r>
      <w:r>
        <w:t xml:space="preserve">, </w:t>
      </w:r>
      <w:hyperlink r:id="rId91">
        <w:r>
          <w:rPr>
            <w:rStyle w:val="Hyperlink"/>
          </w:rPr>
          <w:t>https://www.abc.net.au/news/2026-03-12/australian-tech-atlassian-cuts-1600-jobs-from-global-workforce/106445334</w:t>
        </w:r>
      </w:hyperlink>
      <w:r>
        <w:t>.</w:t>
      </w:r>
    </w:p>
    <w:p w14:paraId="518D1BCC" w14:textId="09543E8E" w:rsidR="001B7662" w:rsidRDefault="00A208A5">
      <w:pPr>
        <w:pStyle w:val="Bibliography"/>
      </w:pPr>
      <w:bookmarkStart w:id="170" w:name="ref-johnston2026ai"/>
      <w:bookmarkEnd w:id="169"/>
      <w:r>
        <w:t xml:space="preserve">Johnston A and Makridis C (2026) </w:t>
      </w:r>
      <w:r>
        <w:rPr>
          <w:i/>
          <w:iCs/>
        </w:rPr>
        <w:t>AI, output, and employment</w:t>
      </w:r>
      <w:r>
        <w:t xml:space="preserve">, CESifo Working Paper, </w:t>
      </w:r>
      <w:hyperlink r:id="rId92">
        <w:r>
          <w:rPr>
            <w:rStyle w:val="Hyperlink"/>
          </w:rPr>
          <w:t>https://dx.doi.org/10.2139/ssrn.6460358</w:t>
        </w:r>
      </w:hyperlink>
      <w:r>
        <w:t>.</w:t>
      </w:r>
    </w:p>
    <w:p w14:paraId="518D1BCD" w14:textId="4BC18FE2" w:rsidR="001B7662" w:rsidRDefault="00A208A5">
      <w:pPr>
        <w:pStyle w:val="Bibliography"/>
      </w:pPr>
      <w:bookmarkStart w:id="171" w:name="ref-jsa2025"/>
      <w:bookmarkEnd w:id="170"/>
      <w:r>
        <w:t xml:space="preserve">JSA (2025a) </w:t>
      </w:r>
      <w:r>
        <w:rPr>
          <w:i/>
          <w:iCs/>
        </w:rPr>
        <w:t>Our gen AI transition: Implications for work and skills, final release</w:t>
      </w:r>
      <w:r>
        <w:t xml:space="preserve">, Canberra, </w:t>
      </w:r>
      <w:hyperlink r:id="rId93">
        <w:r>
          <w:rPr>
            <w:rStyle w:val="Hyperlink"/>
          </w:rPr>
          <w:t>https://www.jobsandskills.gov.au/publications/our-gen-ai-transition-final-release</w:t>
        </w:r>
      </w:hyperlink>
      <w:r>
        <w:t>.</w:t>
      </w:r>
    </w:p>
    <w:p w14:paraId="518D1BCE" w14:textId="0043CA2C" w:rsidR="001B7662" w:rsidRDefault="00A208A5">
      <w:pPr>
        <w:pStyle w:val="Bibliography"/>
      </w:pPr>
      <w:bookmarkStart w:id="172" w:name="ref-jsa2025overarch"/>
      <w:bookmarkEnd w:id="171"/>
      <w:r>
        <w:t xml:space="preserve">JSA (2025b) </w:t>
      </w:r>
      <w:r>
        <w:rPr>
          <w:i/>
          <w:iCs/>
        </w:rPr>
        <w:t>Our gen AI transition: Implications for work and skills, final overarching report</w:t>
      </w:r>
      <w:r>
        <w:t xml:space="preserve">, Canberra, </w:t>
      </w:r>
      <w:hyperlink r:id="rId94">
        <w:r>
          <w:rPr>
            <w:rStyle w:val="Hyperlink"/>
          </w:rPr>
          <w:t>https://www.jobsandskills.gov.au/publications/generative-ai-capacity-study-report</w:t>
        </w:r>
      </w:hyperlink>
      <w:r>
        <w:t>.</w:t>
      </w:r>
    </w:p>
    <w:p w14:paraId="518D1BCF" w14:textId="4303778B" w:rsidR="001B7662" w:rsidRDefault="00A208A5">
      <w:pPr>
        <w:pStyle w:val="Bibliography"/>
      </w:pPr>
      <w:bookmarkStart w:id="173" w:name="ref-jsa2026"/>
      <w:bookmarkEnd w:id="172"/>
      <w:r>
        <w:t xml:space="preserve">JSA (2026a) </w:t>
      </w:r>
      <w:r>
        <w:rPr>
          <w:i/>
          <w:iCs/>
        </w:rPr>
        <w:t>Labour force trending</w:t>
      </w:r>
      <w:r>
        <w:t xml:space="preserve">, Canberra, </w:t>
      </w:r>
      <w:hyperlink r:id="rId95">
        <w:r>
          <w:rPr>
            <w:rStyle w:val="Hyperlink"/>
          </w:rPr>
          <w:t>https://www.jobsandskills.gov.au/data/labour-force-trending</w:t>
        </w:r>
      </w:hyperlink>
      <w:r>
        <w:t>.</w:t>
      </w:r>
    </w:p>
    <w:p w14:paraId="518D1BD0" w14:textId="6D610708" w:rsidR="001B7662" w:rsidRDefault="00A208A5">
      <w:pPr>
        <w:pStyle w:val="Bibliography"/>
      </w:pPr>
      <w:bookmarkStart w:id="174" w:name="ref-ivi"/>
      <w:bookmarkEnd w:id="173"/>
      <w:r>
        <w:t xml:space="preserve">JSA (2026b) ‘Internet vacancy index (IVI)’, </w:t>
      </w:r>
      <w:hyperlink r:id="rId96">
        <w:r>
          <w:rPr>
            <w:rStyle w:val="Hyperlink"/>
          </w:rPr>
          <w:t>https://www.jobsandskills.gov.au/data/internet-vacancy-index</w:t>
        </w:r>
      </w:hyperlink>
      <w:r>
        <w:t>.</w:t>
      </w:r>
    </w:p>
    <w:p w14:paraId="518D1BD1" w14:textId="4325B7F5" w:rsidR="001B7662" w:rsidRDefault="00A208A5">
      <w:pPr>
        <w:pStyle w:val="Bibliography"/>
      </w:pPr>
      <w:bookmarkStart w:id="175" w:name="ref-klein2025"/>
      <w:bookmarkEnd w:id="174"/>
      <w:r>
        <w:t xml:space="preserve">Klein Teeselink B (2025) </w:t>
      </w:r>
      <w:r>
        <w:rPr>
          <w:i/>
          <w:iCs/>
        </w:rPr>
        <w:t>Generative AI and labor market outcomes: Evidence from the United Kingdom</w:t>
      </w:r>
      <w:r>
        <w:t>, doi:</w:t>
      </w:r>
      <w:hyperlink r:id="rId97">
        <w:r>
          <w:rPr>
            <w:rStyle w:val="Hyperlink"/>
          </w:rPr>
          <w:t>https://dx.doi.org/10.2139/ssrn.5516798</w:t>
        </w:r>
      </w:hyperlink>
      <w:r>
        <w:t>.</w:t>
      </w:r>
    </w:p>
    <w:p w14:paraId="518D1BD2" w14:textId="73A4B3DA" w:rsidR="001B7662" w:rsidRDefault="00A208A5">
      <w:pPr>
        <w:pStyle w:val="Bibliography"/>
      </w:pPr>
      <w:bookmarkStart w:id="176" w:name="ref-kolko2026"/>
      <w:bookmarkEnd w:id="175"/>
      <w:r>
        <w:t xml:space="preserve">Kolko J (2026) </w:t>
      </w:r>
      <w:r>
        <w:rPr>
          <w:i/>
          <w:iCs/>
        </w:rPr>
        <w:t>Research on AI and the labor market is still in the first inning</w:t>
      </w:r>
      <w:r>
        <w:t xml:space="preserve">, </w:t>
      </w:r>
      <w:hyperlink r:id="rId98">
        <w:r>
          <w:rPr>
            <w:rStyle w:val="Hyperlink"/>
          </w:rPr>
          <w:t>https://www.brookings.edu/articles/research-on-ai-and-the-labor-market-is-still-in-the-first-inning/</w:t>
        </w:r>
      </w:hyperlink>
      <w:r>
        <w:t>.</w:t>
      </w:r>
    </w:p>
    <w:p w14:paraId="518D1BD3" w14:textId="2FA7519B" w:rsidR="001B7662" w:rsidRDefault="00A208A5">
      <w:pPr>
        <w:pStyle w:val="Bibliography"/>
      </w:pPr>
      <w:bookmarkStart w:id="177" w:name="ref-lambert2026"/>
      <w:bookmarkEnd w:id="176"/>
      <w:r>
        <w:t xml:space="preserve">Lambert PJ and Schindler Y (2026) </w:t>
      </w:r>
      <w:r>
        <w:rPr>
          <w:i/>
          <w:iCs/>
        </w:rPr>
        <w:t>The broken ladder: AI, remote work, and early-career hiring</w:t>
      </w:r>
      <w:r>
        <w:t xml:space="preserve">, </w:t>
      </w:r>
      <w:hyperlink r:id="rId99">
        <w:r>
          <w:rPr>
            <w:rStyle w:val="Hyperlink"/>
          </w:rPr>
          <w:t>https://ssrn.com/abstract=6787638</w:t>
        </w:r>
      </w:hyperlink>
      <w:r>
        <w:t>.</w:t>
      </w:r>
    </w:p>
    <w:p w14:paraId="518D1BD4" w14:textId="4E78B901" w:rsidR="001B7662" w:rsidRDefault="00A208A5">
      <w:pPr>
        <w:pStyle w:val="Bibliography"/>
      </w:pPr>
      <w:bookmarkStart w:id="178" w:name="ref-manning2026"/>
      <w:bookmarkEnd w:id="177"/>
      <w:r>
        <w:t xml:space="preserve">Manning SJ and Aguirre T (2026) </w:t>
      </w:r>
      <w:r>
        <w:rPr>
          <w:i/>
          <w:iCs/>
        </w:rPr>
        <w:t xml:space="preserve">How adaptable are American workers to AI-induced job </w:t>
      </w:r>
      <w:proofErr w:type="gramStart"/>
      <w:r>
        <w:rPr>
          <w:i/>
          <w:iCs/>
        </w:rPr>
        <w:t>displacement?</w:t>
      </w:r>
      <w:r w:rsidR="00714B94">
        <w:t>,</w:t>
      </w:r>
      <w:proofErr w:type="gramEnd"/>
      <w:r>
        <w:t xml:space="preserve"> National Bureau of Economic Research, </w:t>
      </w:r>
      <w:hyperlink r:id="rId100">
        <w:r>
          <w:rPr>
            <w:rStyle w:val="Hyperlink"/>
          </w:rPr>
          <w:t>https://www.nber.org/books-and-chapters/economics-transformative-ai/how-adaptable-are-american-workers-ai-induced-job-displacement</w:t>
        </w:r>
      </w:hyperlink>
      <w:r>
        <w:t>.</w:t>
      </w:r>
    </w:p>
    <w:p w14:paraId="518D1BD5" w14:textId="6EBF54E6" w:rsidR="001B7662" w:rsidRDefault="00A208A5">
      <w:pPr>
        <w:pStyle w:val="Bibliography"/>
      </w:pPr>
      <w:bookmarkStart w:id="179" w:name="ref-mason2026"/>
      <w:bookmarkEnd w:id="178"/>
      <w:r>
        <w:t xml:space="preserve">Mason C, Chen H and Evans D (2026) ‘AI adoption and firm demand for workers and skills: New insights from Australia’, </w:t>
      </w:r>
      <w:r>
        <w:rPr>
          <w:i/>
          <w:iCs/>
        </w:rPr>
        <w:t>The Australian Journal of Labour Economics</w:t>
      </w:r>
      <w:r>
        <w:t xml:space="preserve">, 28(1), 1–28, </w:t>
      </w:r>
      <w:hyperlink r:id="rId101">
        <w:r>
          <w:rPr>
            <w:rStyle w:val="Hyperlink"/>
          </w:rPr>
          <w:t>https://ajle.org/index.php/ajle_home/article/view/303</w:t>
        </w:r>
      </w:hyperlink>
      <w:r>
        <w:t>.</w:t>
      </w:r>
    </w:p>
    <w:p w14:paraId="518D1BD6" w14:textId="63F0E59B" w:rsidR="001B7662" w:rsidRDefault="00A208A5">
      <w:pPr>
        <w:pStyle w:val="Bibliography"/>
      </w:pPr>
      <w:bookmarkStart w:id="180" w:name="ref-massenkoffmccrory2026labor"/>
      <w:bookmarkEnd w:id="179"/>
      <w:r>
        <w:t xml:space="preserve">Massenkoff M and McCrory P (2026) </w:t>
      </w:r>
      <w:r>
        <w:rPr>
          <w:i/>
          <w:iCs/>
        </w:rPr>
        <w:t>Labor market impacts of AI: A new measure and early evidence</w:t>
      </w:r>
      <w:r>
        <w:t xml:space="preserve">, </w:t>
      </w:r>
      <w:hyperlink r:id="rId102">
        <w:r>
          <w:rPr>
            <w:rStyle w:val="Hyperlink"/>
          </w:rPr>
          <w:t>https://www.anthropic.com/research/labor-market-impacts</w:t>
        </w:r>
      </w:hyperlink>
      <w:r>
        <w:t>.</w:t>
      </w:r>
    </w:p>
    <w:p w14:paraId="518D1BD7" w14:textId="7F26AB4A" w:rsidR="001B7662" w:rsidRDefault="00A208A5">
      <w:pPr>
        <w:pStyle w:val="Bibliography"/>
      </w:pPr>
      <w:bookmarkStart w:id="181" w:name="ref-ilo2026"/>
      <w:bookmarkEnd w:id="180"/>
      <w:r>
        <w:t xml:space="preserve">Merola R, Ernst E, Samaan D, Rio-Chanona RM del and Teutloff O (2026) </w:t>
      </w:r>
      <w:r>
        <w:rPr>
          <w:i/>
          <w:iCs/>
        </w:rPr>
        <w:t>Workers’ exposure to AI: What indicators tell us - and what they don’t</w:t>
      </w:r>
      <w:r>
        <w:t>, doi:</w:t>
      </w:r>
      <w:hyperlink r:id="rId103">
        <w:r>
          <w:rPr>
            <w:rStyle w:val="Hyperlink"/>
          </w:rPr>
          <w:t>https://doi.org/10.54394/00033279</w:t>
        </w:r>
      </w:hyperlink>
      <w:r>
        <w:t>.</w:t>
      </w:r>
    </w:p>
    <w:p w14:paraId="518D1BD8" w14:textId="7EE983BC" w:rsidR="001B7662" w:rsidRDefault="00A208A5">
      <w:pPr>
        <w:pStyle w:val="Bibliography"/>
      </w:pPr>
      <w:bookmarkStart w:id="182" w:name="ref-delriochanona2025"/>
      <w:bookmarkEnd w:id="181"/>
      <w:r>
        <w:t xml:space="preserve">Rio-Chanona RM del, Ernst E, Merola R, Samaan D and Teutloff O (2025) ‘AI and jobs. A review of theory, estimates, and evidence’, </w:t>
      </w:r>
      <w:hyperlink r:id="rId104">
        <w:r>
          <w:rPr>
            <w:rStyle w:val="Hyperlink"/>
          </w:rPr>
          <w:t>https://arxiv.org/abs/2509.15265</w:t>
        </w:r>
      </w:hyperlink>
      <w:r>
        <w:t>.</w:t>
      </w:r>
    </w:p>
    <w:p w14:paraId="518D1BD9" w14:textId="5E556FB1" w:rsidR="001B7662" w:rsidRDefault="00A208A5">
      <w:pPr>
        <w:pStyle w:val="Bibliography"/>
      </w:pPr>
      <w:bookmarkStart w:id="183" w:name="ref-silva2006"/>
      <w:bookmarkEnd w:id="182"/>
      <w:r>
        <w:t xml:space="preserve">Santos Silva J and Tenreyro S (2006) ‘The log of gravity’, </w:t>
      </w:r>
      <w:r>
        <w:rPr>
          <w:i/>
          <w:iCs/>
        </w:rPr>
        <w:t>The Review of Economics and Statistics</w:t>
      </w:r>
      <w:r>
        <w:t>, 88(4), 641–658, doi:</w:t>
      </w:r>
      <w:hyperlink r:id="rId105">
        <w:r>
          <w:rPr>
            <w:rStyle w:val="Hyperlink"/>
          </w:rPr>
          <w:t>https://doi.org/10.1162/rest.88.4.641</w:t>
        </w:r>
      </w:hyperlink>
      <w:r>
        <w:t>.</w:t>
      </w:r>
    </w:p>
    <w:p w14:paraId="518D1BDA" w14:textId="45BB5CD8" w:rsidR="001B7662" w:rsidRDefault="00A208A5">
      <w:pPr>
        <w:pStyle w:val="Bibliography"/>
      </w:pPr>
      <w:bookmarkStart w:id="184" w:name="ref-seek2024"/>
      <w:bookmarkEnd w:id="183"/>
      <w:r>
        <w:lastRenderedPageBreak/>
        <w:t xml:space="preserve">SEEK (2024) </w:t>
      </w:r>
      <w:r>
        <w:rPr>
          <w:i/>
          <w:iCs/>
        </w:rPr>
        <w:t>SEEK labour market mismatch indicator</w:t>
      </w:r>
      <w:r>
        <w:t xml:space="preserve">, </w:t>
      </w:r>
      <w:hyperlink r:id="rId106">
        <w:r>
          <w:rPr>
            <w:rStyle w:val="Hyperlink"/>
          </w:rPr>
          <w:t>https://www.seek.com.au/about/news/article/labour-market-mismatch-indicator</w:t>
        </w:r>
      </w:hyperlink>
      <w:r>
        <w:t>.</w:t>
      </w:r>
    </w:p>
    <w:p w14:paraId="518D1BDB" w14:textId="69390CB8" w:rsidR="001B7662" w:rsidRDefault="00A208A5">
      <w:pPr>
        <w:pStyle w:val="Bibliography"/>
      </w:pPr>
      <w:bookmarkStart w:id="185" w:name="ref-vanderhei2025"/>
      <w:bookmarkEnd w:id="184"/>
      <w:r>
        <w:t xml:space="preserve">VandeHei J and Allen M (2025) ‘Behind the curtain: A white-collar bloodbath’, </w:t>
      </w:r>
      <w:r>
        <w:rPr>
          <w:i/>
          <w:iCs/>
        </w:rPr>
        <w:t>Axios</w:t>
      </w:r>
      <w:r>
        <w:t xml:space="preserve">, </w:t>
      </w:r>
      <w:hyperlink r:id="rId107">
        <w:r>
          <w:rPr>
            <w:rStyle w:val="Hyperlink"/>
          </w:rPr>
          <w:t>https://www.axios.com/2025/05/28/ai-jobs-white-collar-unemployment-anthropic</w:t>
        </w:r>
      </w:hyperlink>
      <w:r>
        <w:t>.</w:t>
      </w:r>
    </w:p>
    <w:p w14:paraId="518D1BDC" w14:textId="2E3611AE" w:rsidR="001B7662" w:rsidRDefault="00A208A5">
      <w:pPr>
        <w:pStyle w:val="Bibliography"/>
      </w:pPr>
      <w:bookmarkStart w:id="186" w:name="ref-wittenstein2024"/>
      <w:bookmarkEnd w:id="185"/>
      <w:r>
        <w:t xml:space="preserve">Wittenstein J (2024) ‘AI can only do 5% of jobs says MIT economist who fears crash’, </w:t>
      </w:r>
      <w:r>
        <w:rPr>
          <w:i/>
          <w:iCs/>
        </w:rPr>
        <w:t>Bloomberg</w:t>
      </w:r>
      <w:r>
        <w:t xml:space="preserve">, </w:t>
      </w:r>
      <w:hyperlink r:id="rId108">
        <w:r>
          <w:rPr>
            <w:rStyle w:val="Hyperlink"/>
          </w:rPr>
          <w:t>https://www.bloomberg.com/news/articles/2024-10-02/ai-can-only-do-5-of-jobs-says-mit-economist-who-fears-crash</w:t>
        </w:r>
      </w:hyperlink>
      <w:r>
        <w:t>.</w:t>
      </w:r>
    </w:p>
    <w:p w14:paraId="518D1BDD" w14:textId="77777777" w:rsidR="001B7662" w:rsidRDefault="00A208A5">
      <w:pPr>
        <w:pStyle w:val="Bibliography"/>
      </w:pPr>
      <w:bookmarkStart w:id="187" w:name="ref-wooldridge2002"/>
      <w:bookmarkEnd w:id="186"/>
      <w:r>
        <w:t xml:space="preserve">Wooldridge JM (2002) </w:t>
      </w:r>
      <w:r>
        <w:rPr>
          <w:i/>
          <w:iCs/>
        </w:rPr>
        <w:t>Econometric analysis of cross section and panel data</w:t>
      </w:r>
      <w:r>
        <w:t>, The MIT press, Cambridge, MA; London, England.</w:t>
      </w:r>
    </w:p>
    <w:bookmarkEnd w:id="130"/>
    <w:bookmarkEnd w:id="187"/>
    <w:p w14:paraId="518D1BDE" w14:textId="77777777" w:rsidR="001B7662" w:rsidRDefault="00A208A5">
      <w:r>
        <w:br w:type="page"/>
      </w:r>
    </w:p>
    <w:p w14:paraId="518D1BDF" w14:textId="77777777" w:rsidR="001B7662" w:rsidRDefault="00A208A5">
      <w:pPr>
        <w:pStyle w:val="Heading1"/>
      </w:pPr>
      <w:bookmarkStart w:id="188" w:name="_Toc232612101"/>
      <w:bookmarkStart w:id="189" w:name="appendix-a"/>
      <w:bookmarkEnd w:id="128"/>
      <w:r>
        <w:lastRenderedPageBreak/>
        <w:t>Appendix A: Measuring AI exposure</w:t>
      </w:r>
      <w:bookmarkEnd w:id="188"/>
    </w:p>
    <w:p w14:paraId="518D1BE0" w14:textId="77777777" w:rsidR="001B7662" w:rsidRDefault="00A208A5">
      <w:r>
        <w:t>This appendix sets out further information about the measures of AI exposure used in this report.</w:t>
      </w:r>
    </w:p>
    <w:p w14:paraId="518D1BE1" w14:textId="77777777" w:rsidR="001B7662" w:rsidRDefault="00A208A5">
      <w:pPr>
        <w:pStyle w:val="BodyText"/>
      </w:pPr>
      <w:r>
        <w:t>It is important to note that exposure measures, in themselves, ‘do not offer a prediction about which jobs will be displaced.’</w:t>
      </w:r>
      <w:r>
        <w:rPr>
          <w:rStyle w:val="FootnoteReference"/>
        </w:rPr>
        <w:footnoteReference w:id="91"/>
      </w:r>
    </w:p>
    <w:p w14:paraId="518D1BE2" w14:textId="77777777" w:rsidR="001B7662" w:rsidRDefault="00A208A5">
      <w:pPr>
        <w:pStyle w:val="Heading2"/>
      </w:pPr>
      <w:bookmarkStart w:id="190" w:name="_Toc232612102"/>
      <w:bookmarkStart w:id="191" w:name="the-jsa-approach"/>
      <w:r>
        <w:t>The JSA approach</w:t>
      </w:r>
      <w:bookmarkEnd w:id="190"/>
    </w:p>
    <w:p w14:paraId="518D1BE3" w14:textId="53912C01" w:rsidR="001B7662" w:rsidRDefault="00A208A5">
      <w:r>
        <w:t xml:space="preserve">This </w:t>
      </w:r>
      <w:r w:rsidR="00FA4A3A">
        <w:t xml:space="preserve">report </w:t>
      </w:r>
      <w:r>
        <w:t xml:space="preserve">builds on JSA’s report </w:t>
      </w:r>
      <w:r>
        <w:rPr>
          <w:i/>
          <w:iCs/>
        </w:rPr>
        <w:t>Our Gen AI Transition</w:t>
      </w:r>
      <w:r>
        <w:t>.</w:t>
      </w:r>
      <w:r>
        <w:rPr>
          <w:rStyle w:val="FootnoteReference"/>
        </w:rPr>
        <w:footnoteReference w:id="92"/>
      </w:r>
      <w:r>
        <w:t xml:space="preserve"> We use JSA’s scores that measure each occupation’s potential exposure to automation by generative AI tools. JSA’s exposure scores are based on work by researchers at the International Labour Organisation (ILO).</w:t>
      </w:r>
      <w:r>
        <w:rPr>
          <w:rStyle w:val="FootnoteReference"/>
        </w:rPr>
        <w:footnoteReference w:id="93"/>
      </w:r>
      <w:r>
        <w:t xml:space="preserve"> Like the ILO researchers, JSA scored occupations’ exposure by asking a Large Language Model (LLM) to provide a judgement about the level of LLM-automatability of each task associated with the occupation. See page </w:t>
      </w:r>
      <w:r>
        <w:fldChar w:fldCharType="begin"/>
      </w:r>
      <w:r>
        <w:instrText>PAGEREF measuring-ai-exposure \h</w:instrText>
      </w:r>
      <w:r>
        <w:fldChar w:fldCharType="separate"/>
      </w:r>
      <w:r w:rsidR="00082F4E">
        <w:rPr>
          <w:noProof/>
        </w:rPr>
        <w:t>11</w:t>
      </w:r>
      <w:r>
        <w:fldChar w:fldCharType="end"/>
      </w:r>
      <w:r>
        <w:t xml:space="preserve"> for further information about the JSA scores.</w:t>
      </w:r>
    </w:p>
    <w:p w14:paraId="518D1BE4" w14:textId="77777777" w:rsidR="001B7662" w:rsidRDefault="00A208A5">
      <w:pPr>
        <w:pStyle w:val="BodyText"/>
      </w:pPr>
      <w:r>
        <w:t>The JSA AI automation exposure scores have limitations, as do all measures of AI exposure.</w:t>
      </w:r>
      <w:r>
        <w:rPr>
          <w:rStyle w:val="FootnoteReference"/>
        </w:rPr>
        <w:footnoteReference w:id="94"/>
      </w:r>
      <w:r>
        <w:t xml:space="preserve"> They were produced based on the capabilities of an earlier generation of LLMs, which no longer represents the frontier of performance.</w:t>
      </w:r>
      <w:r>
        <w:rPr>
          <w:rStyle w:val="FootnoteReference"/>
        </w:rPr>
        <w:footnoteReference w:id="95"/>
      </w:r>
      <w:r>
        <w:t xml:space="preserve"> The exposure scores measure the </w:t>
      </w:r>
      <w:r>
        <w:rPr>
          <w:i/>
          <w:iCs/>
        </w:rPr>
        <w:t>potential</w:t>
      </w:r>
      <w:r>
        <w:t xml:space="preserve"> exposure of particular occupations to automation by generative AI, which may differ from actual exposure if adoption of AI is uneven across occupations or regulations impact certain applications more than others. They are based on the tasks currently undertaken by workers in different occupations, which could change over time in response to AI technologies, and do not consider the relative importance of tasks or their substitutability within occupations. Automation measures produced by LLM responses will depend on the specific prompting and version of LLM used and may reflect biases of the LLM model arising from training data or model tailoring.</w:t>
      </w:r>
    </w:p>
    <w:p w14:paraId="518D1BE5" w14:textId="77777777" w:rsidR="001B7662" w:rsidRDefault="00A208A5">
      <w:pPr>
        <w:pStyle w:val="Heading2"/>
      </w:pPr>
      <w:bookmarkStart w:id="192" w:name="_Toc232612103"/>
      <w:bookmarkStart w:id="193" w:name="selected-alternative-approaches"/>
      <w:bookmarkEnd w:id="191"/>
      <w:r>
        <w:t>Selected alternative approaches</w:t>
      </w:r>
      <w:bookmarkEnd w:id="192"/>
    </w:p>
    <w:p w14:paraId="518D1BE6" w14:textId="057AF47A" w:rsidR="001B7662" w:rsidRDefault="00A208A5">
      <w:r>
        <w:t xml:space="preserve">To address some of these limitations, we also compare the results of our statistical model using the JSA exposure scores with versions using </w:t>
      </w:r>
      <w:hyperlink w:anchor="sec-alt-exposure">
        <w:r>
          <w:rPr>
            <w:rStyle w:val="Hyperlink"/>
          </w:rPr>
          <w:t>alternative measures of exposure scores</w:t>
        </w:r>
      </w:hyperlink>
      <w:r>
        <w:t xml:space="preserve">. These are </w:t>
      </w:r>
      <w:r w:rsidR="001439F9">
        <w:t>‘</w:t>
      </w:r>
      <w:r w:rsidRPr="005E2159">
        <w:t>AI Occupational Exposure</w:t>
      </w:r>
      <w:r w:rsidR="001439F9">
        <w:t>’</w:t>
      </w:r>
      <w:r w:rsidRPr="001439F9">
        <w:t xml:space="preserve"> (AIOE) drawn from Felten et al. (2021) and </w:t>
      </w:r>
      <w:r w:rsidR="001439F9">
        <w:t>‘</w:t>
      </w:r>
      <w:r w:rsidRPr="005E2159">
        <w:t>Anthropic observed exposure</w:t>
      </w:r>
      <w:r w:rsidR="001439F9">
        <w:t>’</w:t>
      </w:r>
      <w:r>
        <w:t xml:space="preserve"> drawn from the Anthropic Economic Index Report (Massenkoff and McCrory 2026).</w:t>
      </w:r>
      <w:r>
        <w:rPr>
          <w:rStyle w:val="FootnoteReference"/>
        </w:rPr>
        <w:footnoteReference w:id="96"/>
      </w:r>
    </w:p>
    <w:p w14:paraId="518D1BE7" w14:textId="77777777" w:rsidR="001B7662" w:rsidRDefault="00A208A5">
      <w:pPr>
        <w:pStyle w:val="BodyText"/>
      </w:pPr>
      <w:r>
        <w:t>The AIOE scores treat occupations as comprising abilities rather than tasks and consider the relatedness of a broad range of AI technologies (beyond language models) to each work ability. The AIOE scores are based on older iterations of AI models, and do not clearly distinguish between augmentation and automation exposure. The Anthropic observed exposure scores break occupations into tasks, and real-world usage data of Claude is categorised into tasks, with extra weighting placed on usage which is automated. While Anthropic observed exposure scores are the most recent and data-driven, they are limited to a specific AI tool and may understate automation risk coming from other AI applications.</w:t>
      </w:r>
    </w:p>
    <w:p w14:paraId="518D1BE8" w14:textId="77777777" w:rsidR="001B7662" w:rsidRDefault="00A208A5">
      <w:pPr>
        <w:pStyle w:val="Heading2"/>
      </w:pPr>
      <w:bookmarkStart w:id="194" w:name="_Toc232612104"/>
      <w:bookmarkStart w:id="195" w:name="converting-us-measures-to-anzsco"/>
      <w:bookmarkEnd w:id="193"/>
      <w:r>
        <w:lastRenderedPageBreak/>
        <w:t>Converting US measures to ANZSCO</w:t>
      </w:r>
      <w:bookmarkEnd w:id="194"/>
    </w:p>
    <w:p w14:paraId="518D1BE9" w14:textId="77777777" w:rsidR="001B7662" w:rsidRDefault="00A208A5">
      <w:r>
        <w:t>A limitation of these alternative measures for our purposes is that they are based on US occupation structures and the broader US context. We convert the scores from these US frameworks to Australian occupation structures. As each of these scoring frameworks uses different scales, we standardise each score to have a mean of zero and standard deviation of one.</w:t>
      </w:r>
      <w:r>
        <w:rPr>
          <w:rStyle w:val="FootnoteReference"/>
        </w:rPr>
        <w:footnoteReference w:id="97"/>
      </w:r>
    </w:p>
    <w:p w14:paraId="518D1BEA" w14:textId="4CED65D5" w:rsidR="001B7662" w:rsidRDefault="00A208A5">
      <w:pPr>
        <w:pStyle w:val="BodyText"/>
      </w:pPr>
      <w:r>
        <w:t xml:space="preserve">Not all ANZSCO occupations can be matched to US occupation structures, as the correspondence tables are not perfect one-to-one maps. Further, the US measures do not provide scores for all occupation codes, and there are some ANZSCO occupations that are scored by JSA but only correspond to occupations that were not scored in the US studies. Where ANZSCO occupations are matched to multiple scored US occupations, we average those scores. Figure </w:t>
      </w:r>
      <w:hyperlink w:anchor="viz-aioe-matching" w:history="1">
        <w:r>
          <w:fldChar w:fldCharType="begin"/>
        </w:r>
        <w:r>
          <w:instrText xml:space="preserve"> REF viz-aioe-matching \h</w:instrText>
        </w:r>
        <w:r>
          <w:fldChar w:fldCharType="separate"/>
        </w:r>
        <w:r w:rsidR="00082F4E">
          <w:rPr>
            <w:noProof/>
          </w:rPr>
          <w:t>41</w:t>
        </w:r>
        <w:r>
          <w:fldChar w:fldCharType="end"/>
        </w:r>
      </w:hyperlink>
      <w:r>
        <w:t xml:space="preserve"> shows that mapping AIOE scores onto ANZSCO occupations misses 88 occupations that are scored by JSA, and these occupations are reasonably balanced between more and less exposed occupations, only marginally less exposed on average.</w:t>
      </w:r>
    </w:p>
    <w:p w14:paraId="518D1BEB" w14:textId="5AECD2EC" w:rsidR="001B7662" w:rsidRDefault="00A208A5">
      <w:pPr>
        <w:pStyle w:val="ImageCaption"/>
      </w:pPr>
      <w:r>
        <w:t xml:space="preserve">Figure </w:t>
      </w:r>
      <w:bookmarkStart w:id="196" w:name="viz-aioe-matching"/>
      <w:r>
        <w:fldChar w:fldCharType="begin"/>
      </w:r>
      <w:r>
        <w:instrText>SEQ fig \* Arabic</w:instrText>
      </w:r>
      <w:r>
        <w:fldChar w:fldCharType="separate"/>
      </w:r>
      <w:r w:rsidR="00082F4E">
        <w:rPr>
          <w:noProof/>
        </w:rPr>
        <w:t>41</w:t>
      </w:r>
      <w:r>
        <w:fldChar w:fldCharType="end"/>
      </w:r>
      <w:bookmarkEnd w:id="196"/>
      <w:r>
        <w:t>: Occupations with no AIOE score are marginally less exposed in the JSA framework</w:t>
      </w:r>
    </w:p>
    <w:p w14:paraId="518D1BEC" w14:textId="77777777" w:rsidR="001B7662" w:rsidRDefault="00A208A5">
      <w:pPr>
        <w:pStyle w:val="CompactNormal"/>
        <w:jc w:val="center"/>
      </w:pPr>
      <w:r>
        <w:rPr>
          <w:noProof/>
        </w:rPr>
        <w:drawing>
          <wp:inline distT="0" distB="0" distL="0" distR="0" wp14:anchorId="518D1D57" wp14:editId="3C64CEC1">
            <wp:extent cx="5835650" cy="2917825"/>
            <wp:effectExtent l="0" t="0" r="0" b="0"/>
            <wp:docPr id="83" name="Picture 83" descr="A pair of bar charts comparing JSA scores for occupations with unmatched AI/OE scores on the left and matched AI/OE scores on the right. The left chart highlights 88 unmatched occupations averaging -0.032, while the right chart shows 267 matched occupations averaging 0.018, with bars labelled along a horizontal axis ranging from -2 to 2 and vertical percentages up to 7.5%. Occupations with no AIOE score are marginally less exposed in the JSA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pair of bar charts comparing JSA scores for occupations with unmatched AI/OE scores on the left and matched AI/OE scores on the right. The left chart highlights 88 unmatched occupations averaging -0.032, while the right chart shows 267 matched occupations averaging 0.018, with bars labelled along a horizontal axis ranging from -2 to 2 and vertical percentages up to 7.5%. Occupations with no AIOE score are marginally less exposed in the JSA framework."/>
                    <pic:cNvPicPr>
                      <a:picLocks noChangeAspect="1" noChangeArrowheads="1"/>
                    </pic:cNvPicPr>
                  </pic:nvPicPr>
                  <pic:blipFill>
                    <a:blip r:embed="rId109"/>
                    <a:stretch>
                      <a:fillRect/>
                    </a:stretch>
                  </pic:blipFill>
                  <pic:spPr bwMode="auto">
                    <a:xfrm>
                      <a:off x="0" y="0"/>
                      <a:ext cx="5835650" cy="2917825"/>
                    </a:xfrm>
                    <a:prstGeom prst="rect">
                      <a:avLst/>
                    </a:prstGeom>
                    <a:noFill/>
                  </pic:spPr>
                </pic:pic>
              </a:graphicData>
            </a:graphic>
          </wp:inline>
        </w:drawing>
      </w:r>
    </w:p>
    <w:p w14:paraId="518D1BED" w14:textId="10CE3BB3" w:rsidR="001B7662" w:rsidRDefault="00A208A5">
      <w:pPr>
        <w:pStyle w:val="BodyText"/>
      </w:pPr>
      <w:r>
        <w:t xml:space="preserve">Slightly fewer ANZSCO occupations </w:t>
      </w:r>
      <w:proofErr w:type="gramStart"/>
      <w:r>
        <w:t>are able to</w:t>
      </w:r>
      <w:proofErr w:type="gramEnd"/>
      <w:r>
        <w:t xml:space="preserve"> be assigned an Anthropic observed exposure score. The Anthropic observed exposure scores are published using an updated 2018 O*NET </w:t>
      </w:r>
      <w:r w:rsidR="003C69B7">
        <w:t>Standard Occupational Classification (</w:t>
      </w:r>
      <w:r>
        <w:t>SOC</w:t>
      </w:r>
      <w:r w:rsidR="003C69B7">
        <w:t>)</w:t>
      </w:r>
      <w:r>
        <w:t xml:space="preserve"> coding framework, which needs to be first mapped to the 2010 O*NET SOC framework for use with the ANZSCO correspondence table. 91 ANZSCO occupations scored by JSA were not matched to Anthropic observed exposure scores, with these occupations having a roughly equal balance between more and less exposed occupations in the JSA scoring framework, only marginally more exposed on average (Figure </w:t>
      </w:r>
      <w:hyperlink w:anchor="viz-anthro-matching" w:history="1">
        <w:r>
          <w:fldChar w:fldCharType="begin"/>
        </w:r>
        <w:r>
          <w:instrText xml:space="preserve"> REF viz-anthro-matching \h</w:instrText>
        </w:r>
        <w:r>
          <w:fldChar w:fldCharType="separate"/>
        </w:r>
        <w:r w:rsidR="00082F4E">
          <w:rPr>
            <w:noProof/>
          </w:rPr>
          <w:t>42</w:t>
        </w:r>
        <w:r>
          <w:fldChar w:fldCharType="end"/>
        </w:r>
      </w:hyperlink>
      <w:r>
        <w:t>).</w:t>
      </w:r>
    </w:p>
    <w:p w14:paraId="518D1BEE" w14:textId="6FEC3B41" w:rsidR="001B7662" w:rsidRDefault="00A208A5">
      <w:pPr>
        <w:pStyle w:val="ImageCaption"/>
      </w:pPr>
      <w:r>
        <w:lastRenderedPageBreak/>
        <w:t xml:space="preserve">Figure </w:t>
      </w:r>
      <w:bookmarkStart w:id="197" w:name="viz-anthro-matching"/>
      <w:r>
        <w:fldChar w:fldCharType="begin"/>
      </w:r>
      <w:r>
        <w:instrText>SEQ fig \* Arabic</w:instrText>
      </w:r>
      <w:r>
        <w:fldChar w:fldCharType="separate"/>
      </w:r>
      <w:r w:rsidR="00082F4E">
        <w:rPr>
          <w:noProof/>
        </w:rPr>
        <w:t>42</w:t>
      </w:r>
      <w:r>
        <w:fldChar w:fldCharType="end"/>
      </w:r>
      <w:bookmarkEnd w:id="197"/>
      <w:r>
        <w:t>: Occupations with no Anthropic observed exposure score are only marginally more exposed in the JSA framework</w:t>
      </w:r>
    </w:p>
    <w:p w14:paraId="518D1BEF" w14:textId="77777777" w:rsidR="001B7662" w:rsidRDefault="00A208A5">
      <w:pPr>
        <w:pStyle w:val="CompactNormal"/>
        <w:jc w:val="center"/>
      </w:pPr>
      <w:r>
        <w:rPr>
          <w:noProof/>
        </w:rPr>
        <w:drawing>
          <wp:inline distT="0" distB="0" distL="0" distR="0" wp14:anchorId="518D1D59" wp14:editId="0F415BC3">
            <wp:extent cx="5835650" cy="2917825"/>
            <wp:effectExtent l="0" t="0" r="0" b="0"/>
            <wp:docPr id="85" name="Picture 85" descr="Two side-by-side bar charts compare JSA scores for unmatched (with Anthropic score) and matched occupations. The left chart indicates 91 unmatched occupations with an average score of 0.071, while the right chart shows 264 matched occupations with an average score of -0.017. Occupations with no Anthropic observed exposure score are only marginally more exposed in the JSA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Two side-by-side bar charts compare JSA scores for unmatched (with Anthropic score) and matched occupations. The left chart indicates 91 unmatched occupations with an average score of 0.071, while the right chart shows 264 matched occupations with an average score of -0.017. Occupations with no Anthropic observed exposure score are only marginally more exposed in the JSA framework."/>
                    <pic:cNvPicPr>
                      <a:picLocks noChangeAspect="1" noChangeArrowheads="1"/>
                    </pic:cNvPicPr>
                  </pic:nvPicPr>
                  <pic:blipFill>
                    <a:blip r:embed="rId110"/>
                    <a:stretch>
                      <a:fillRect/>
                    </a:stretch>
                  </pic:blipFill>
                  <pic:spPr bwMode="auto">
                    <a:xfrm>
                      <a:off x="0" y="0"/>
                      <a:ext cx="5835650" cy="2917825"/>
                    </a:xfrm>
                    <a:prstGeom prst="rect">
                      <a:avLst/>
                    </a:prstGeom>
                    <a:noFill/>
                  </pic:spPr>
                </pic:pic>
              </a:graphicData>
            </a:graphic>
          </wp:inline>
        </w:drawing>
      </w:r>
    </w:p>
    <w:p w14:paraId="518D1BF0" w14:textId="77777777" w:rsidR="001B7662" w:rsidRDefault="00A208A5">
      <w:pPr>
        <w:pStyle w:val="Heading2"/>
      </w:pPr>
      <w:bookmarkStart w:id="198" w:name="_Toc232612105"/>
      <w:bookmarkStart w:id="199" w:name="comparing-scores-across-measures"/>
      <w:bookmarkEnd w:id="195"/>
      <w:r>
        <w:t>Comparing scores across measures</w:t>
      </w:r>
      <w:bookmarkEnd w:id="198"/>
    </w:p>
    <w:p w14:paraId="518D1BF1" w14:textId="522243B5" w:rsidR="001B7662" w:rsidRDefault="00A208A5">
      <w:r>
        <w:t xml:space="preserve">Each of these approaches uses a different approach to defining ‘exposure’, leading to substantial differences in which occupations are most exposed. Looking at the most exposed occupations under each framework (Table </w:t>
      </w:r>
      <w:hyperlink w:anchor="most-exposed" w:history="1">
        <w:r>
          <w:fldChar w:fldCharType="begin"/>
        </w:r>
        <w:r>
          <w:instrText xml:space="preserve"> REF most-exposed \h</w:instrText>
        </w:r>
        <w:r>
          <w:fldChar w:fldCharType="separate"/>
        </w:r>
        <w:r w:rsidR="00082F4E">
          <w:rPr>
            <w:noProof/>
          </w:rPr>
          <w:t>3</w:t>
        </w:r>
        <w:r>
          <w:fldChar w:fldCharType="end"/>
        </w:r>
      </w:hyperlink>
      <w:r>
        <w:t>), the JSA and Anthropic observed exposure measures appear more similar, with clerical work ranked among the most exposed. In contrast, the AIOE measure includes highly qualified cognitive roles such as psychologists. These differences may be due to the AIOE measure not emphasising automatability.</w:t>
      </w:r>
    </w:p>
    <w:p w14:paraId="518D1BF2" w14:textId="0F4654F5" w:rsidR="001B7662" w:rsidRDefault="00A208A5">
      <w:pPr>
        <w:pStyle w:val="TableCaption"/>
      </w:pPr>
      <w:r>
        <w:t xml:space="preserve">Table </w:t>
      </w:r>
      <w:bookmarkStart w:id="200" w:name="most-exposed"/>
      <w:r>
        <w:fldChar w:fldCharType="begin"/>
      </w:r>
      <w:r>
        <w:instrText>SEQ tab \* Arabic</w:instrText>
      </w:r>
      <w:r>
        <w:fldChar w:fldCharType="separate"/>
      </w:r>
      <w:r w:rsidR="00082F4E">
        <w:rPr>
          <w:noProof/>
        </w:rPr>
        <w:t>3</w:t>
      </w:r>
      <w:r>
        <w:fldChar w:fldCharType="end"/>
      </w:r>
      <w:bookmarkEnd w:id="200"/>
      <w:r>
        <w:t>: The most-exposed occupations differ across the exposure measures</w:t>
      </w:r>
    </w:p>
    <w:tbl>
      <w:tblPr>
        <w:tblStyle w:val="DESE"/>
        <w:tblW w:w="5000" w:type="pct"/>
        <w:jc w:val="center"/>
        <w:tblLook w:val="0420" w:firstRow="1" w:lastRow="0" w:firstColumn="0" w:lastColumn="0" w:noHBand="0" w:noVBand="1"/>
      </w:tblPr>
      <w:tblGrid>
        <w:gridCol w:w="1280"/>
        <w:gridCol w:w="2112"/>
        <w:gridCol w:w="3137"/>
        <w:gridCol w:w="2533"/>
      </w:tblGrid>
      <w:tr w:rsidR="001B7662" w14:paraId="518D1BF7" w14:textId="77777777" w:rsidTr="001B7662">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518D1BF3" w14:textId="77777777" w:rsidR="001B7662" w:rsidRDefault="00A208A5">
            <w:r>
              <w:t>Exposure rank</w:t>
            </w:r>
          </w:p>
        </w:tc>
        <w:tc>
          <w:tcPr>
            <w:tcW w:w="0" w:type="auto"/>
          </w:tcPr>
          <w:p w14:paraId="518D1BF4" w14:textId="77777777" w:rsidR="001B7662" w:rsidRDefault="00A208A5">
            <w:r>
              <w:t>JSA automation exposure</w:t>
            </w:r>
          </w:p>
        </w:tc>
        <w:tc>
          <w:tcPr>
            <w:tcW w:w="0" w:type="auto"/>
          </w:tcPr>
          <w:p w14:paraId="518D1BF5" w14:textId="77777777" w:rsidR="001B7662" w:rsidRDefault="00A208A5">
            <w:r>
              <w:t>AIOE</w:t>
            </w:r>
          </w:p>
        </w:tc>
        <w:tc>
          <w:tcPr>
            <w:tcW w:w="0" w:type="auto"/>
          </w:tcPr>
          <w:p w14:paraId="518D1BF6" w14:textId="77777777" w:rsidR="001B7662" w:rsidRDefault="00A208A5">
            <w:r>
              <w:t>Anthropic observed exposure</w:t>
            </w:r>
          </w:p>
        </w:tc>
      </w:tr>
      <w:tr w:rsidR="001B7662" w14:paraId="518D1BFC" w14:textId="77777777">
        <w:trPr>
          <w:jc w:val="center"/>
        </w:trPr>
        <w:tc>
          <w:tcPr>
            <w:tcW w:w="0" w:type="auto"/>
          </w:tcPr>
          <w:p w14:paraId="518D1BF8" w14:textId="77777777" w:rsidR="001B7662" w:rsidRDefault="00A208A5">
            <w:r>
              <w:t>1</w:t>
            </w:r>
          </w:p>
        </w:tc>
        <w:tc>
          <w:tcPr>
            <w:tcW w:w="0" w:type="auto"/>
          </w:tcPr>
          <w:p w14:paraId="518D1BF9" w14:textId="77777777" w:rsidR="001B7662" w:rsidRDefault="00A208A5">
            <w:r>
              <w:t>Keyboard Operators</w:t>
            </w:r>
          </w:p>
        </w:tc>
        <w:tc>
          <w:tcPr>
            <w:tcW w:w="0" w:type="auto"/>
          </w:tcPr>
          <w:p w14:paraId="518D1BFA" w14:textId="77777777" w:rsidR="001B7662" w:rsidRDefault="00A208A5">
            <w:r>
              <w:t>Actuaries, Mathematicians and Statisticians</w:t>
            </w:r>
          </w:p>
        </w:tc>
        <w:tc>
          <w:tcPr>
            <w:tcW w:w="0" w:type="auto"/>
          </w:tcPr>
          <w:p w14:paraId="518D1BFB" w14:textId="77777777" w:rsidR="001B7662" w:rsidRDefault="00A208A5">
            <w:r>
              <w:t>Call or Contact Centre Workers</w:t>
            </w:r>
          </w:p>
        </w:tc>
      </w:tr>
      <w:tr w:rsidR="001B7662" w14:paraId="518D1C01" w14:textId="77777777">
        <w:trPr>
          <w:jc w:val="center"/>
        </w:trPr>
        <w:tc>
          <w:tcPr>
            <w:tcW w:w="0" w:type="auto"/>
          </w:tcPr>
          <w:p w14:paraId="518D1BFD" w14:textId="77777777" w:rsidR="001B7662" w:rsidRDefault="00A208A5">
            <w:r>
              <w:t>2</w:t>
            </w:r>
          </w:p>
        </w:tc>
        <w:tc>
          <w:tcPr>
            <w:tcW w:w="0" w:type="auto"/>
          </w:tcPr>
          <w:p w14:paraId="518D1BFE" w14:textId="77777777" w:rsidR="001B7662" w:rsidRDefault="00A208A5">
            <w:r>
              <w:t>Telemarketers</w:t>
            </w:r>
          </w:p>
        </w:tc>
        <w:tc>
          <w:tcPr>
            <w:tcW w:w="0" w:type="auto"/>
          </w:tcPr>
          <w:p w14:paraId="518D1BFF" w14:textId="77777777" w:rsidR="001B7662" w:rsidRDefault="00A208A5">
            <w:r>
              <w:t>Purchasing and Supply Logistics Clerks</w:t>
            </w:r>
          </w:p>
        </w:tc>
        <w:tc>
          <w:tcPr>
            <w:tcW w:w="0" w:type="auto"/>
          </w:tcPr>
          <w:p w14:paraId="518D1C00" w14:textId="77777777" w:rsidR="001B7662" w:rsidRDefault="00A208A5">
            <w:r>
              <w:t>Keyboard Operators</w:t>
            </w:r>
          </w:p>
        </w:tc>
      </w:tr>
      <w:tr w:rsidR="001B7662" w14:paraId="518D1C06" w14:textId="77777777">
        <w:trPr>
          <w:jc w:val="center"/>
        </w:trPr>
        <w:tc>
          <w:tcPr>
            <w:tcW w:w="0" w:type="auto"/>
          </w:tcPr>
          <w:p w14:paraId="518D1C02" w14:textId="77777777" w:rsidR="001B7662" w:rsidRDefault="00A208A5">
            <w:r>
              <w:t>3</w:t>
            </w:r>
          </w:p>
        </w:tc>
        <w:tc>
          <w:tcPr>
            <w:tcW w:w="0" w:type="auto"/>
          </w:tcPr>
          <w:p w14:paraId="518D1C03" w14:textId="77777777" w:rsidR="001B7662" w:rsidRDefault="00A208A5">
            <w:r>
              <w:t>Filing and Registry Clerks</w:t>
            </w:r>
          </w:p>
        </w:tc>
        <w:tc>
          <w:tcPr>
            <w:tcW w:w="0" w:type="auto"/>
          </w:tcPr>
          <w:p w14:paraId="518D1C04" w14:textId="77777777" w:rsidR="001B7662" w:rsidRDefault="00A208A5">
            <w:r>
              <w:t>Accountants</w:t>
            </w:r>
          </w:p>
        </w:tc>
        <w:tc>
          <w:tcPr>
            <w:tcW w:w="0" w:type="auto"/>
          </w:tcPr>
          <w:p w14:paraId="518D1C05" w14:textId="77777777" w:rsidR="001B7662" w:rsidRDefault="00A208A5">
            <w:r>
              <w:t>Sales Representatives</w:t>
            </w:r>
          </w:p>
        </w:tc>
      </w:tr>
      <w:tr w:rsidR="001B7662" w14:paraId="518D1C0B" w14:textId="77777777">
        <w:trPr>
          <w:jc w:val="center"/>
        </w:trPr>
        <w:tc>
          <w:tcPr>
            <w:tcW w:w="0" w:type="auto"/>
          </w:tcPr>
          <w:p w14:paraId="518D1C07" w14:textId="77777777" w:rsidR="001B7662" w:rsidRDefault="00A208A5">
            <w:r>
              <w:t>4</w:t>
            </w:r>
          </w:p>
        </w:tc>
        <w:tc>
          <w:tcPr>
            <w:tcW w:w="0" w:type="auto"/>
          </w:tcPr>
          <w:p w14:paraId="518D1C08" w14:textId="77777777" w:rsidR="001B7662" w:rsidRDefault="00A208A5">
            <w:r>
              <w:t>Human Resource Clerks</w:t>
            </w:r>
          </w:p>
        </w:tc>
        <w:tc>
          <w:tcPr>
            <w:tcW w:w="0" w:type="auto"/>
          </w:tcPr>
          <w:p w14:paraId="518D1C09" w14:textId="77777777" w:rsidR="001B7662" w:rsidRDefault="00A208A5">
            <w:r>
              <w:t>Auditors, Company Secretaries and Corporate Treasurers</w:t>
            </w:r>
          </w:p>
        </w:tc>
        <w:tc>
          <w:tcPr>
            <w:tcW w:w="0" w:type="auto"/>
          </w:tcPr>
          <w:p w14:paraId="518D1C0A" w14:textId="77777777" w:rsidR="001B7662" w:rsidRDefault="00A208A5">
            <w:r>
              <w:t>Software and Applications Programmers</w:t>
            </w:r>
          </w:p>
        </w:tc>
      </w:tr>
      <w:tr w:rsidR="001B7662" w14:paraId="518D1C10" w14:textId="77777777">
        <w:trPr>
          <w:jc w:val="center"/>
        </w:trPr>
        <w:tc>
          <w:tcPr>
            <w:tcW w:w="0" w:type="auto"/>
          </w:tcPr>
          <w:p w14:paraId="518D1C0C" w14:textId="77777777" w:rsidR="001B7662" w:rsidRDefault="00A208A5">
            <w:r>
              <w:t>5</w:t>
            </w:r>
          </w:p>
        </w:tc>
        <w:tc>
          <w:tcPr>
            <w:tcW w:w="0" w:type="auto"/>
          </w:tcPr>
          <w:p w14:paraId="518D1C0D" w14:textId="77777777" w:rsidR="001B7662" w:rsidRDefault="00A208A5">
            <w:r>
              <w:t>Call or Contact Centre Workers</w:t>
            </w:r>
          </w:p>
        </w:tc>
        <w:tc>
          <w:tcPr>
            <w:tcW w:w="0" w:type="auto"/>
          </w:tcPr>
          <w:p w14:paraId="518D1C0E" w14:textId="77777777" w:rsidR="001B7662" w:rsidRDefault="00A208A5">
            <w:r>
              <w:t>Psychologists</w:t>
            </w:r>
          </w:p>
        </w:tc>
        <w:tc>
          <w:tcPr>
            <w:tcW w:w="0" w:type="auto"/>
          </w:tcPr>
          <w:p w14:paraId="518D1C0F" w14:textId="77777777" w:rsidR="001B7662" w:rsidRDefault="00A208A5">
            <w:r>
              <w:t>ICT Support Technicians</w:t>
            </w:r>
          </w:p>
        </w:tc>
      </w:tr>
    </w:tbl>
    <w:p w14:paraId="518D1C11" w14:textId="1835E8DD" w:rsidR="001B7662" w:rsidRDefault="00A208A5">
      <w:pPr>
        <w:pStyle w:val="BodyText"/>
      </w:pPr>
      <w:r>
        <w:rPr>
          <w:rFonts w:eastAsia="Aptos Display" w:cs="Aptos Display"/>
          <w:i/>
          <w:color w:val="000000"/>
          <w:sz w:val="16"/>
          <w:szCs w:val="16"/>
        </w:rPr>
        <w:t xml:space="preserve">Sources: JSA </w:t>
      </w:r>
      <w:r w:rsidR="00760B8C">
        <w:rPr>
          <w:rFonts w:eastAsia="Aptos Display" w:cs="Aptos Display"/>
          <w:i/>
          <w:color w:val="000000"/>
          <w:sz w:val="16"/>
          <w:szCs w:val="16"/>
        </w:rPr>
        <w:t>2025(a)</w:t>
      </w:r>
      <w:r>
        <w:rPr>
          <w:rFonts w:eastAsia="Aptos Display" w:cs="Aptos Display"/>
          <w:i/>
          <w:color w:val="000000"/>
          <w:sz w:val="16"/>
          <w:szCs w:val="16"/>
        </w:rPr>
        <w:t>, Felten et al. (2021) and Massenkoff and McCrory (2026).</w:t>
      </w:r>
    </w:p>
    <w:p w14:paraId="518D1C13" w14:textId="3675E635" w:rsidR="001B7662" w:rsidRDefault="00A208A5">
      <w:pPr>
        <w:pStyle w:val="BodyText"/>
      </w:pPr>
      <w:r>
        <w:t xml:space="preserve">While looking at the top 5 gives some insights, there are hundreds of occupation categories, and we use the </w:t>
      </w:r>
      <w:r>
        <w:rPr>
          <w:i/>
          <w:iCs/>
        </w:rPr>
        <w:t>tasks framework</w:t>
      </w:r>
      <w:r>
        <w:t xml:space="preserve"> (see page </w:t>
      </w:r>
      <w:r>
        <w:fldChar w:fldCharType="begin"/>
      </w:r>
      <w:r>
        <w:instrText>PAGEREF desc-tasks-framework \h</w:instrText>
      </w:r>
      <w:r>
        <w:fldChar w:fldCharType="separate"/>
      </w:r>
      <w:r w:rsidR="00082F4E">
        <w:rPr>
          <w:noProof/>
        </w:rPr>
        <w:t>39</w:t>
      </w:r>
      <w:r>
        <w:fldChar w:fldCharType="end"/>
      </w:r>
      <w:r>
        <w:t xml:space="preserve">) to explore the variation in exposure scores across measures in more detail. Figure </w:t>
      </w:r>
      <w:hyperlink w:anchor="viz-ai-ridgeline" w:history="1">
        <w:r>
          <w:fldChar w:fldCharType="begin"/>
        </w:r>
        <w:r>
          <w:instrText xml:space="preserve"> REF viz-ai-ridgeline \h</w:instrText>
        </w:r>
        <w:r>
          <w:fldChar w:fldCharType="separate"/>
        </w:r>
        <w:r w:rsidR="00082F4E">
          <w:rPr>
            <w:noProof/>
          </w:rPr>
          <w:t>43</w:t>
        </w:r>
        <w:r>
          <w:fldChar w:fldCharType="end"/>
        </w:r>
      </w:hyperlink>
      <w:r>
        <w:t xml:space="preserve"> shows the distribution of exposure scores across the three AI exposure </w:t>
      </w:r>
      <w:r>
        <w:lastRenderedPageBreak/>
        <w:t>measurement frameworks we consider. Compared to JSA, AIOE assesses routine cognitive jobs as a little less exposed, on average, while non-routine cognitive jobs are marked as more highly exposed. While the average scores are similar between the JSA and Anthropic measures, the distribution of those scores is quite different.</w:t>
      </w:r>
    </w:p>
    <w:p w14:paraId="518D1C14" w14:textId="3F23232C" w:rsidR="001B7662" w:rsidRDefault="00A208A5">
      <w:pPr>
        <w:pStyle w:val="ImageCaption"/>
      </w:pPr>
      <w:r>
        <w:t xml:space="preserve">Figure </w:t>
      </w:r>
      <w:bookmarkStart w:id="201" w:name="viz-ai-ridgeline"/>
      <w:r>
        <w:fldChar w:fldCharType="begin"/>
      </w:r>
      <w:r>
        <w:instrText>SEQ fig \* Arabic</w:instrText>
      </w:r>
      <w:r>
        <w:fldChar w:fldCharType="separate"/>
      </w:r>
      <w:r w:rsidR="00082F4E">
        <w:rPr>
          <w:noProof/>
        </w:rPr>
        <w:t>43</w:t>
      </w:r>
      <w:r>
        <w:fldChar w:fldCharType="end"/>
      </w:r>
      <w:bookmarkEnd w:id="201"/>
      <w:r>
        <w:t>: The alternative exposure scores differ from JSA and from each other</w:t>
      </w:r>
    </w:p>
    <w:p w14:paraId="518D1C15" w14:textId="77777777" w:rsidR="001B7662" w:rsidRDefault="00A208A5">
      <w:pPr>
        <w:pStyle w:val="CompactNormal"/>
        <w:jc w:val="center"/>
      </w:pPr>
      <w:r>
        <w:rPr>
          <w:noProof/>
        </w:rPr>
        <w:drawing>
          <wp:inline distT="0" distB="0" distL="0" distR="0" wp14:anchorId="518D1D5B" wp14:editId="5B7A5CAF">
            <wp:extent cx="5835650" cy="5212080"/>
            <wp:effectExtent l="0" t="0" r="0" b="0"/>
            <wp:docPr id="87" name="Picture 87" descr="Density plots display distribution of AI exposure scores across three frameworks (JSA, AIOE, Anthropic) for four job categories: routine cognitive, non-routine cognitive, non-routine manual, and routine manual. Each plot uses distinct colours (green for JSA, purple for AIOE, blue for Anthropic) with average scores labelled, showing higher AI exposure in cognitive tasks and lower in manual tasks across frameworks. The alternative exposure scores differ from JSA and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Density plots display distribution of AI exposure scores across three frameworks (JSA, AIOE, Anthropic) for four job categories: routine cognitive, non-routine cognitive, non-routine manual, and routine manual. Each plot uses distinct colours (green for JSA, purple for AIOE, blue for Anthropic) with average scores labelled, showing higher AI exposure in cognitive tasks and lower in manual tasks across frameworks. The alternative exposure scores differ from JSA and each other."/>
                    <pic:cNvPicPr>
                      <a:picLocks noChangeAspect="1" noChangeArrowheads="1"/>
                    </pic:cNvPicPr>
                  </pic:nvPicPr>
                  <pic:blipFill>
                    <a:blip r:embed="rId111"/>
                    <a:stretch>
                      <a:fillRect/>
                    </a:stretch>
                  </pic:blipFill>
                  <pic:spPr bwMode="auto">
                    <a:xfrm>
                      <a:off x="0" y="0"/>
                      <a:ext cx="5835650" cy="5212080"/>
                    </a:xfrm>
                    <a:prstGeom prst="rect">
                      <a:avLst/>
                    </a:prstGeom>
                    <a:noFill/>
                  </pic:spPr>
                </pic:pic>
              </a:graphicData>
            </a:graphic>
          </wp:inline>
        </w:drawing>
      </w:r>
    </w:p>
    <w:p w14:paraId="518D1C16" w14:textId="77777777" w:rsidR="001B7662" w:rsidRDefault="00A208A5">
      <w:pPr>
        <w:pStyle w:val="BodyText"/>
      </w:pPr>
      <w:r>
        <w:t>These differences reflect different methodological approaches to defining AI exposure. For example, AIOE considers routine cognitive jobs relatively less exposed than does JSA. This may reflect that the JSA score we focus on is explicitly concerning AI automation, rather than AI augmentation.</w:t>
      </w:r>
    </w:p>
    <w:p w14:paraId="518D1C17" w14:textId="77777777" w:rsidR="001B7662" w:rsidRDefault="00A208A5">
      <w:pPr>
        <w:pStyle w:val="BodyText"/>
      </w:pPr>
      <w:r>
        <w:t>The JSA measure and Anthropic observed exposure scores differ more in their assessment for manual jobs. Since the observed measure is specifically based on Anthropic’s Claude application, which is primarily a language model, almost all manual occupations are given an exposure score of zero, which after standardisation is a slightly negative value reflecting relatively less AI exposure. The JSA measure has more variation among manual jobs, and while most are relatively low exposure, some such as delivery drivers have above average automation exposure in the JSA framework.</w:t>
      </w:r>
    </w:p>
    <w:p w14:paraId="518D1C18" w14:textId="77777777" w:rsidR="001B7662" w:rsidRDefault="00A208A5">
      <w:r>
        <w:br w:type="page"/>
      </w:r>
    </w:p>
    <w:p w14:paraId="518D1C19" w14:textId="77777777" w:rsidR="001B7662" w:rsidRDefault="00A208A5">
      <w:pPr>
        <w:pStyle w:val="Heading1"/>
      </w:pPr>
      <w:bookmarkStart w:id="202" w:name="_Toc232612106"/>
      <w:bookmarkStart w:id="203" w:name="appendix-model"/>
      <w:bookmarkEnd w:id="189"/>
      <w:bookmarkEnd w:id="199"/>
      <w:r>
        <w:lastRenderedPageBreak/>
        <w:t>Appendix B: Additional details for core statistical model</w:t>
      </w:r>
      <w:bookmarkEnd w:id="202"/>
    </w:p>
    <w:p w14:paraId="518D1C1A" w14:textId="6D3CD51D" w:rsidR="001B7662" w:rsidRDefault="00A208A5">
      <w:r>
        <w:t xml:space="preserve">This appendix provides additional details on the approach used for our core statistical model, as well as the event study model, both originally presented in the </w:t>
      </w:r>
      <w:hyperlink w:anchor="core-model">
        <w:r>
          <w:rPr>
            <w:rStyle w:val="Hyperlink"/>
          </w:rPr>
          <w:t>core statistical model</w:t>
        </w:r>
      </w:hyperlink>
      <w:r>
        <w:t xml:space="preserve"> chapter. We describe the data used, the full specification of the model equations, the Poisson Pseudo-Maximum Likelihood (PPML) estimation method, and present a table of the estimated coefficients reporting the pre-trend and post-trend terms as well as </w:t>
      </w:r>
      <m:oMath>
        <m:r>
          <w:rPr>
            <w:rFonts w:ascii="Cambria Math" w:hAnsi="Cambria Math"/>
          </w:rPr>
          <m:t>Δβ</m:t>
        </m:r>
      </m:oMath>
      <w:r>
        <w:t>. We also present additional versions of the event study model where alternative measures of AI exposure are used.</w:t>
      </w:r>
    </w:p>
    <w:p w14:paraId="518D1C1B" w14:textId="1CBE1715" w:rsidR="001B7662" w:rsidRDefault="00A208A5">
      <w:pPr>
        <w:pStyle w:val="BodyText"/>
      </w:pPr>
      <w:r>
        <w:t xml:space="preserve">Later, in </w:t>
      </w:r>
      <w:hyperlink w:anchor="appendix-robust">
        <w:r>
          <w:rPr>
            <w:rStyle w:val="Hyperlink"/>
          </w:rPr>
          <w:t>Appendix C</w:t>
        </w:r>
      </w:hyperlink>
      <w:r>
        <w:t xml:space="preserve"> we also provide further details on the alternative model specifications used in sensitivity and robustness tests.</w:t>
      </w:r>
    </w:p>
    <w:p w14:paraId="518D1C1C" w14:textId="77777777" w:rsidR="001B7662" w:rsidRDefault="00A208A5">
      <w:pPr>
        <w:pStyle w:val="Heading2"/>
      </w:pPr>
      <w:bookmarkStart w:id="204" w:name="_Toc232612107"/>
      <w:bookmarkStart w:id="205" w:name="data"/>
      <w:r>
        <w:t>Data</w:t>
      </w:r>
      <w:bookmarkEnd w:id="204"/>
    </w:p>
    <w:p w14:paraId="518D1C1D" w14:textId="77777777" w:rsidR="001B7662" w:rsidRDefault="00A208A5">
      <w:r>
        <w:t>We use data on employment by occupation from the ABS Labour Force Survey.</w:t>
      </w:r>
      <w:r>
        <w:rPr>
          <w:rStyle w:val="FootnoteReference"/>
        </w:rPr>
        <w:footnoteReference w:id="98"/>
      </w:r>
      <w:r>
        <w:t xml:space="preserve"> Our core model uses the 4-digit ANZSCO unit group classification of occupations, sourced from Table EQ08 of the Labour Force Detailed publication.</w:t>
      </w:r>
      <w:r>
        <w:rPr>
          <w:rStyle w:val="FootnoteReference"/>
        </w:rPr>
        <w:footnoteReference w:id="99"/>
      </w:r>
      <w:r>
        <w:t xml:space="preserve"> This is quarterly data, not seasonally adjusted.</w:t>
      </w:r>
      <w:r>
        <w:rPr>
          <w:rStyle w:val="FootnoteReference"/>
        </w:rPr>
        <w:footnoteReference w:id="100"/>
      </w:r>
      <w:r>
        <w:t xml:space="preserve"> The model uses data from the February 2015 quarter to the February 2026 quarter.</w:t>
      </w:r>
      <w:r>
        <w:rPr>
          <w:rStyle w:val="FootnoteReference"/>
        </w:rPr>
        <w:footnoteReference w:id="101"/>
      </w:r>
    </w:p>
    <w:p w14:paraId="518D1C1E" w14:textId="77777777" w:rsidR="001B7662" w:rsidRDefault="00A208A5">
      <w:pPr>
        <w:pStyle w:val="BodyText"/>
      </w:pPr>
      <w:r>
        <w:t>We use 30 November 2022 as the ‘treatment date’ – data up to and including the November 2022 quarter is included in the ‘pre-treatment’ period, while everything from the February 2023 quarter onwards is ‘post-treatment’.</w:t>
      </w:r>
      <w:r>
        <w:rPr>
          <w:rStyle w:val="FootnoteReference"/>
        </w:rPr>
        <w:footnoteReference w:id="102"/>
      </w:r>
      <w:r>
        <w:t xml:space="preserve"> We have 32 pre-treatment quarters and 13 post-treatment quarters of data in our sample.</w:t>
      </w:r>
    </w:p>
    <w:p w14:paraId="518D1C1F" w14:textId="5C9F91D5" w:rsidR="001B7662" w:rsidRDefault="00A208A5">
      <w:pPr>
        <w:pStyle w:val="BodyText"/>
      </w:pPr>
      <w:r>
        <w:t>We use JSA’s occupation-level AI automation exposure scores (</w:t>
      </w:r>
      <w:hyperlink w:anchor="appendix-a">
        <w:r>
          <w:rPr>
            <w:rStyle w:val="Hyperlink"/>
          </w:rPr>
          <w:t>Appendix A</w:t>
        </w:r>
      </w:hyperlink>
      <w:r>
        <w:t>). These time-invariant scores are standardised to have a mean of 0 and standard deviation of 1.</w:t>
      </w:r>
    </w:p>
    <w:p w14:paraId="518D1C20" w14:textId="77777777" w:rsidR="001B7662" w:rsidRDefault="00A208A5">
      <w:pPr>
        <w:pStyle w:val="BodyText"/>
      </w:pPr>
      <w:r>
        <w:t>The ABS Labour Force Survey does not include non-civilians, such as defence force personnel.</w:t>
      </w:r>
      <w:r>
        <w:rPr>
          <w:rStyle w:val="FootnoteReference"/>
        </w:rPr>
        <w:footnoteReference w:id="103"/>
      </w:r>
      <w:r>
        <w:t xml:space="preserve"> For this reason, we exclude defence force occupations. We also exclude the small number of occupations which were not assigned a score in the JSA study. Occupations that have zero employment in some quarters are retained in our main model. This leaves us with 355 in-scope 4-digit ANZSCO occupations over 45 quarters, for a total of 15,975 occupation-quarter observations in our sample.</w:t>
      </w:r>
    </w:p>
    <w:p w14:paraId="518D1C21" w14:textId="77777777" w:rsidR="001B7662" w:rsidRDefault="00A208A5">
      <w:pPr>
        <w:pStyle w:val="Heading2"/>
      </w:pPr>
      <w:bookmarkStart w:id="206" w:name="_Toc232612108"/>
      <w:bookmarkStart w:id="207" w:name="the-core-model-specification"/>
      <w:bookmarkEnd w:id="205"/>
      <w:r>
        <w:t>The core model specification</w:t>
      </w:r>
      <w:bookmarkEnd w:id="206"/>
    </w:p>
    <w:p w14:paraId="518D1C22" w14:textId="77777777" w:rsidR="001B7662" w:rsidRDefault="00A208A5">
      <w:r>
        <w:t>The model is summarised in the equation below. It is a Poisson Pseudo-Maximum Likelihood (PPML) panel model with time and occupation fixed effects.</w:t>
      </w:r>
    </w:p>
    <w:p w14:paraId="518D1C23" w14:textId="77777777" w:rsidR="001B7662" w:rsidRDefault="00A208A5">
      <w:pPr>
        <w:pStyle w:val="CompactNormal"/>
        <w:jc w:val="center"/>
      </w:pPr>
      <w:r>
        <w:rPr>
          <w:noProof/>
        </w:rPr>
        <w:lastRenderedPageBreak/>
        <w:drawing>
          <wp:inline distT="0" distB="0" distL="0" distR="0" wp14:anchorId="518D1D5D" wp14:editId="5495B5E7">
            <wp:extent cx="5760000" cy="1018800"/>
            <wp:effectExtent l="0" t="0" r="0" b="0"/>
            <wp:docPr id="89" name="Picture 89" descr="Equation relating employment in occupation i at time to occupation and time fixed effects, exposure and growth pre-ChatGPT, exposure and growth post-ChatGPT and immediate effect of ChatGPT on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Equation relating employment in occupation i at time to occupation and time fixed effects, exposure and growth pre-ChatGPT, exposure and growth post-ChatGPT and immediate effect of ChatGPT on employment. "/>
                    <pic:cNvPicPr>
                      <a:picLocks noChangeAspect="1" noChangeArrowheads="1"/>
                    </pic:cNvPicPr>
                  </pic:nvPicPr>
                  <pic:blipFill>
                    <a:blip r:embed="rId112"/>
                    <a:stretch>
                      <a:fillRect/>
                    </a:stretch>
                  </pic:blipFill>
                  <pic:spPr bwMode="auto">
                    <a:xfrm>
                      <a:off x="0" y="0"/>
                      <a:ext cx="5760000" cy="1018800"/>
                    </a:xfrm>
                    <a:prstGeom prst="rect">
                      <a:avLst/>
                    </a:prstGeom>
                    <a:noFill/>
                  </pic:spPr>
                </pic:pic>
              </a:graphicData>
            </a:graphic>
          </wp:inline>
        </w:drawing>
      </w:r>
    </w:p>
    <w:p w14:paraId="518D1C24" w14:textId="77777777" w:rsidR="001B7662" w:rsidRDefault="00A208A5">
      <w:pPr>
        <w:pStyle w:val="BodyText"/>
      </w:pPr>
      <w:r>
        <w:t xml:space="preserve">Each of the terms in the model, as well as our derived estimate </w:t>
      </w:r>
      <m:oMath>
        <m:r>
          <w:rPr>
            <w:rFonts w:ascii="Cambria Math" w:hAnsi="Cambria Math"/>
          </w:rPr>
          <m:t>Δβ</m:t>
        </m:r>
      </m:oMath>
      <w:r>
        <w:t>, are described in the table below.</w:t>
      </w:r>
    </w:p>
    <w:tbl>
      <w:tblPr>
        <w:tblStyle w:val="Table"/>
        <w:tblW w:w="5000" w:type="pct"/>
        <w:tblLayout w:type="fixed"/>
        <w:tblLook w:val="0020" w:firstRow="1" w:lastRow="0" w:firstColumn="0" w:lastColumn="0" w:noHBand="0" w:noVBand="0"/>
      </w:tblPr>
      <w:tblGrid>
        <w:gridCol w:w="1701"/>
        <w:gridCol w:w="2127"/>
        <w:gridCol w:w="5244"/>
      </w:tblGrid>
      <w:tr w:rsidR="001B7662" w14:paraId="518D1C28" w14:textId="77777777" w:rsidTr="00194AC6">
        <w:trPr>
          <w:cnfStyle w:val="100000000000" w:firstRow="1" w:lastRow="0" w:firstColumn="0" w:lastColumn="0" w:oddVBand="0" w:evenVBand="0" w:oddHBand="0" w:evenHBand="0" w:firstRowFirstColumn="0" w:firstRowLastColumn="0" w:lastRowFirstColumn="0" w:lastRowLastColumn="0"/>
          <w:tblHeader/>
        </w:trPr>
        <w:tc>
          <w:tcPr>
            <w:tcW w:w="1701" w:type="dxa"/>
          </w:tcPr>
          <w:p w14:paraId="518D1C25" w14:textId="77777777" w:rsidR="001B7662" w:rsidRDefault="00A208A5">
            <w:pPr>
              <w:pStyle w:val="Compact"/>
              <w:jc w:val="center"/>
            </w:pPr>
            <w:r>
              <w:t>Variable</w:t>
            </w:r>
          </w:p>
        </w:tc>
        <w:tc>
          <w:tcPr>
            <w:tcW w:w="2127" w:type="dxa"/>
          </w:tcPr>
          <w:p w14:paraId="518D1C26" w14:textId="77777777" w:rsidR="001B7662" w:rsidRDefault="00A208A5">
            <w:pPr>
              <w:pStyle w:val="Compact"/>
            </w:pPr>
            <w:r>
              <w:t>Description</w:t>
            </w:r>
          </w:p>
        </w:tc>
        <w:tc>
          <w:tcPr>
            <w:tcW w:w="5244" w:type="dxa"/>
          </w:tcPr>
          <w:p w14:paraId="518D1C27" w14:textId="77777777" w:rsidR="001B7662" w:rsidRDefault="00A208A5">
            <w:pPr>
              <w:pStyle w:val="Compact"/>
            </w:pPr>
            <w:r>
              <w:t>Interpretation</w:t>
            </w:r>
          </w:p>
        </w:tc>
      </w:tr>
      <w:tr w:rsidR="001B7662" w14:paraId="518D1C2C" w14:textId="77777777" w:rsidTr="00194AC6">
        <w:tblPrEx>
          <w:jc w:val="left"/>
        </w:tblPrEx>
        <w:trPr>
          <w:cnfStyle w:val="000000100000" w:firstRow="0" w:lastRow="0" w:firstColumn="0" w:lastColumn="0" w:oddVBand="0" w:evenVBand="0" w:oddHBand="1" w:evenHBand="0" w:firstRowFirstColumn="0" w:firstRowLastColumn="0" w:lastRowFirstColumn="0" w:lastRowLastColumn="0"/>
        </w:trPr>
        <w:tc>
          <w:tcPr>
            <w:tcW w:w="1701" w:type="dxa"/>
            <w:tcBorders>
              <w:top w:val="single" w:sz="4" w:space="0" w:color="000000" w:themeColor="text1"/>
              <w:bottom w:val="single" w:sz="4" w:space="0" w:color="auto"/>
            </w:tcBorders>
            <w:shd w:val="clear" w:color="auto" w:fill="auto"/>
          </w:tcPr>
          <w:p w14:paraId="518D1C29" w14:textId="77777777" w:rsidR="001B7662" w:rsidRPr="00194AC6" w:rsidRDefault="00A208A5" w:rsidP="00194AC6">
            <w:pPr>
              <w:pStyle w:val="Compact"/>
              <w:spacing w:before="20" w:after="20" w:line="240" w:lineRule="auto"/>
              <w:jc w:val="center"/>
              <w:rPr>
                <w:color w:val="719F4C"/>
              </w:rPr>
            </w:pPr>
            <m:oMathPara>
              <m:oMath>
                <m:r>
                  <w:rPr>
                    <w:rFonts w:ascii="Cambria Math" w:hAnsi="Cambria Math"/>
                    <w:color w:val="719F4C"/>
                  </w:rPr>
                  <m:t>Em</m:t>
                </m:r>
                <m:sSub>
                  <m:sSubPr>
                    <m:ctrlPr>
                      <w:rPr>
                        <w:rFonts w:ascii="Cambria Math" w:hAnsi="Cambria Math"/>
                        <w:color w:val="719F4C"/>
                      </w:rPr>
                    </m:ctrlPr>
                  </m:sSubPr>
                  <m:e>
                    <m:r>
                      <w:rPr>
                        <w:rFonts w:ascii="Cambria Math" w:hAnsi="Cambria Math"/>
                        <w:color w:val="719F4C"/>
                      </w:rPr>
                      <m:t>p</m:t>
                    </m:r>
                  </m:e>
                  <m:sub>
                    <m:r>
                      <w:rPr>
                        <w:rFonts w:ascii="Cambria Math" w:hAnsi="Cambria Math"/>
                        <w:color w:val="719F4C"/>
                      </w:rPr>
                      <m:t>i</m:t>
                    </m:r>
                    <m:r>
                      <m:rPr>
                        <m:sty m:val="p"/>
                      </m:rPr>
                      <w:rPr>
                        <w:rFonts w:ascii="Cambria Math" w:hAnsi="Cambria Math"/>
                        <w:color w:val="719F4C"/>
                      </w:rPr>
                      <m:t>,</m:t>
                    </m:r>
                    <m:r>
                      <w:rPr>
                        <w:rFonts w:ascii="Cambria Math" w:hAnsi="Cambria Math"/>
                        <w:color w:val="719F4C"/>
                      </w:rPr>
                      <m:t>t</m:t>
                    </m:r>
                  </m:sub>
                </m:sSub>
              </m:oMath>
            </m:oMathPara>
          </w:p>
        </w:tc>
        <w:tc>
          <w:tcPr>
            <w:tcW w:w="2127" w:type="dxa"/>
            <w:tcBorders>
              <w:top w:val="single" w:sz="4" w:space="0" w:color="000000" w:themeColor="text1"/>
              <w:bottom w:val="single" w:sz="4" w:space="0" w:color="auto"/>
            </w:tcBorders>
            <w:shd w:val="clear" w:color="auto" w:fill="auto"/>
          </w:tcPr>
          <w:p w14:paraId="518D1C2A" w14:textId="77777777" w:rsidR="001B7662" w:rsidRDefault="00A208A5" w:rsidP="00194AC6">
            <w:pPr>
              <w:pStyle w:val="Compact"/>
              <w:spacing w:before="20" w:after="20" w:line="240" w:lineRule="auto"/>
            </w:pPr>
            <w:r w:rsidRPr="00194AC6">
              <w:rPr>
                <w:color w:val="719F4C"/>
              </w:rPr>
              <w:t>Level of employment</w:t>
            </w:r>
          </w:p>
        </w:tc>
        <w:tc>
          <w:tcPr>
            <w:tcW w:w="5244" w:type="dxa"/>
            <w:tcBorders>
              <w:top w:val="single" w:sz="4" w:space="0" w:color="000000" w:themeColor="text1"/>
              <w:bottom w:val="single" w:sz="4" w:space="0" w:color="auto"/>
            </w:tcBorders>
            <w:shd w:val="clear" w:color="auto" w:fill="auto"/>
          </w:tcPr>
          <w:p w14:paraId="518D1C2B" w14:textId="77777777" w:rsidR="001B7662" w:rsidRDefault="00A208A5" w:rsidP="00194AC6">
            <w:pPr>
              <w:pStyle w:val="Compact"/>
              <w:spacing w:before="20" w:after="20" w:line="240" w:lineRule="auto"/>
            </w:pPr>
            <w:r>
              <w:t xml:space="preserve">Number of employed persons in occupation </w:t>
            </w:r>
            <m:oMath>
              <m:r>
                <w:rPr>
                  <w:rFonts w:ascii="Cambria Math" w:hAnsi="Cambria Math"/>
                </w:rPr>
                <m:t>i</m:t>
              </m:r>
            </m:oMath>
            <w:r>
              <w:t xml:space="preserve"> at time </w:t>
            </w:r>
            <m:oMath>
              <m:r>
                <w:rPr>
                  <w:rFonts w:ascii="Cambria Math" w:hAnsi="Cambria Math"/>
                </w:rPr>
                <m:t>t</m:t>
              </m:r>
            </m:oMath>
            <w:r>
              <w:t>.</w:t>
            </w:r>
          </w:p>
        </w:tc>
      </w:tr>
      <w:tr w:rsidR="001B7662" w14:paraId="518D1C30" w14:textId="77777777" w:rsidTr="00194AC6">
        <w:tblPrEx>
          <w:jc w:val="left"/>
        </w:tblPrEx>
        <w:tc>
          <w:tcPr>
            <w:tcW w:w="1701" w:type="dxa"/>
            <w:tcBorders>
              <w:top w:val="single" w:sz="4" w:space="0" w:color="auto"/>
              <w:bottom w:val="single" w:sz="4" w:space="0" w:color="auto"/>
            </w:tcBorders>
          </w:tcPr>
          <w:p w14:paraId="518D1C2D" w14:textId="77777777" w:rsidR="001B7662" w:rsidRPr="00194AC6" w:rsidRDefault="00000000" w:rsidP="00194AC6">
            <w:pPr>
              <w:pStyle w:val="Compact"/>
              <w:spacing w:before="20" w:after="20" w:line="240" w:lineRule="auto"/>
              <w:jc w:val="center"/>
              <w:rPr>
                <w:color w:val="91040D"/>
              </w:rPr>
            </w:pPr>
            <m:oMathPara>
              <m:oMath>
                <m:sSub>
                  <m:sSubPr>
                    <m:ctrlPr>
                      <w:rPr>
                        <w:rFonts w:ascii="Cambria Math" w:hAnsi="Cambria Math"/>
                        <w:color w:val="91040D"/>
                      </w:rPr>
                    </m:ctrlPr>
                  </m:sSubPr>
                  <m:e>
                    <m:r>
                      <w:rPr>
                        <w:rFonts w:ascii="Cambria Math" w:hAnsi="Cambria Math"/>
                        <w:color w:val="91040D"/>
                      </w:rPr>
                      <m:t>α</m:t>
                    </m:r>
                  </m:e>
                  <m:sub>
                    <m:r>
                      <w:rPr>
                        <w:rFonts w:ascii="Cambria Math" w:hAnsi="Cambria Math"/>
                        <w:color w:val="91040D"/>
                      </w:rPr>
                      <m:t>i</m:t>
                    </m:r>
                  </m:sub>
                </m:sSub>
              </m:oMath>
            </m:oMathPara>
          </w:p>
        </w:tc>
        <w:tc>
          <w:tcPr>
            <w:tcW w:w="2127" w:type="dxa"/>
            <w:tcBorders>
              <w:top w:val="single" w:sz="4" w:space="0" w:color="auto"/>
              <w:bottom w:val="single" w:sz="4" w:space="0" w:color="auto"/>
            </w:tcBorders>
          </w:tcPr>
          <w:p w14:paraId="518D1C2E" w14:textId="77777777" w:rsidR="001B7662" w:rsidRPr="00194AC6" w:rsidRDefault="00A208A5" w:rsidP="00194AC6">
            <w:pPr>
              <w:pStyle w:val="Compact"/>
              <w:spacing w:before="20" w:after="20" w:line="240" w:lineRule="auto"/>
              <w:rPr>
                <w:color w:val="91040D"/>
              </w:rPr>
            </w:pPr>
            <w:r w:rsidRPr="00194AC6">
              <w:rPr>
                <w:color w:val="91040D"/>
              </w:rPr>
              <w:t>Occupation fixed effects</w:t>
            </w:r>
          </w:p>
        </w:tc>
        <w:tc>
          <w:tcPr>
            <w:tcW w:w="5244" w:type="dxa"/>
            <w:tcBorders>
              <w:top w:val="single" w:sz="4" w:space="0" w:color="auto"/>
              <w:bottom w:val="single" w:sz="4" w:space="0" w:color="auto"/>
            </w:tcBorders>
          </w:tcPr>
          <w:p w14:paraId="518D1C2F" w14:textId="77777777" w:rsidR="001B7662" w:rsidRDefault="00A208A5" w:rsidP="00194AC6">
            <w:pPr>
              <w:pStyle w:val="Compact"/>
              <w:spacing w:before="20" w:after="20" w:line="240" w:lineRule="auto"/>
            </w:pPr>
            <w:r>
              <w:t xml:space="preserve">Controls for time-invariant differences across occupations. Captures the scale effect of occupation </w:t>
            </w:r>
            <m:oMath>
              <m:r>
                <w:rPr>
                  <w:rFonts w:ascii="Cambria Math" w:hAnsi="Cambria Math"/>
                </w:rPr>
                <m:t>i</m:t>
              </m:r>
            </m:oMath>
            <w:r>
              <w:t>, reflecting that on average some occupation groups are much larger or smaller than others.</w:t>
            </w:r>
          </w:p>
        </w:tc>
      </w:tr>
      <w:tr w:rsidR="001B7662" w14:paraId="518D1C34" w14:textId="77777777" w:rsidTr="00194AC6">
        <w:tblPrEx>
          <w:jc w:val="left"/>
        </w:tblPrEx>
        <w:trPr>
          <w:cnfStyle w:val="000000100000" w:firstRow="0" w:lastRow="0" w:firstColumn="0" w:lastColumn="0" w:oddVBand="0" w:evenVBand="0" w:oddHBand="1" w:evenHBand="0" w:firstRowFirstColumn="0" w:firstRowLastColumn="0" w:lastRowFirstColumn="0" w:lastRowLastColumn="0"/>
        </w:trPr>
        <w:tc>
          <w:tcPr>
            <w:tcW w:w="1701" w:type="dxa"/>
            <w:tcBorders>
              <w:top w:val="single" w:sz="4" w:space="0" w:color="auto"/>
              <w:bottom w:val="single" w:sz="4" w:space="0" w:color="auto"/>
            </w:tcBorders>
            <w:shd w:val="clear" w:color="auto" w:fill="auto"/>
          </w:tcPr>
          <w:p w14:paraId="518D1C31" w14:textId="77777777" w:rsidR="001B7662" w:rsidRPr="00194AC6" w:rsidRDefault="00000000" w:rsidP="00194AC6">
            <w:pPr>
              <w:pStyle w:val="Compact"/>
              <w:spacing w:before="20" w:after="20" w:line="240" w:lineRule="auto"/>
              <w:jc w:val="center"/>
              <w:rPr>
                <w:color w:val="91040D"/>
              </w:rPr>
            </w:pPr>
            <m:oMathPara>
              <m:oMath>
                <m:sSub>
                  <m:sSubPr>
                    <m:ctrlPr>
                      <w:rPr>
                        <w:rFonts w:ascii="Cambria Math" w:hAnsi="Cambria Math"/>
                        <w:color w:val="91040D"/>
                      </w:rPr>
                    </m:ctrlPr>
                  </m:sSubPr>
                  <m:e>
                    <m:r>
                      <w:rPr>
                        <w:rFonts w:ascii="Cambria Math" w:hAnsi="Cambria Math"/>
                        <w:color w:val="91040D"/>
                      </w:rPr>
                      <m:t>γ</m:t>
                    </m:r>
                  </m:e>
                  <m:sub>
                    <m:r>
                      <w:rPr>
                        <w:rFonts w:ascii="Cambria Math" w:hAnsi="Cambria Math"/>
                        <w:color w:val="91040D"/>
                      </w:rPr>
                      <m:t>t</m:t>
                    </m:r>
                  </m:sub>
                </m:sSub>
              </m:oMath>
            </m:oMathPara>
          </w:p>
        </w:tc>
        <w:tc>
          <w:tcPr>
            <w:tcW w:w="2127" w:type="dxa"/>
            <w:tcBorders>
              <w:top w:val="single" w:sz="4" w:space="0" w:color="auto"/>
              <w:bottom w:val="single" w:sz="4" w:space="0" w:color="auto"/>
            </w:tcBorders>
            <w:shd w:val="clear" w:color="auto" w:fill="auto"/>
          </w:tcPr>
          <w:p w14:paraId="518D1C32" w14:textId="77777777" w:rsidR="001B7662" w:rsidRPr="00194AC6" w:rsidRDefault="00A208A5" w:rsidP="00194AC6">
            <w:pPr>
              <w:pStyle w:val="Compact"/>
              <w:spacing w:before="20" w:after="20" w:line="240" w:lineRule="auto"/>
              <w:rPr>
                <w:color w:val="91040D"/>
              </w:rPr>
            </w:pPr>
            <w:r w:rsidRPr="00194AC6">
              <w:rPr>
                <w:color w:val="91040D"/>
              </w:rPr>
              <w:t>Time fixed effects</w:t>
            </w:r>
          </w:p>
        </w:tc>
        <w:tc>
          <w:tcPr>
            <w:tcW w:w="5244" w:type="dxa"/>
            <w:tcBorders>
              <w:top w:val="single" w:sz="4" w:space="0" w:color="auto"/>
              <w:bottom w:val="single" w:sz="4" w:space="0" w:color="auto"/>
            </w:tcBorders>
            <w:shd w:val="clear" w:color="auto" w:fill="auto"/>
          </w:tcPr>
          <w:p w14:paraId="518D1C33" w14:textId="77777777" w:rsidR="001B7662" w:rsidRDefault="00A208A5" w:rsidP="00194AC6">
            <w:pPr>
              <w:pStyle w:val="Compact"/>
              <w:spacing w:before="20" w:after="20" w:line="240" w:lineRule="auto"/>
            </w:pPr>
            <w:r>
              <w:t xml:space="preserve">Captures the uniform occupation growth at time </w:t>
            </w:r>
            <m:oMath>
              <m:r>
                <w:rPr>
                  <w:rFonts w:ascii="Cambria Math" w:hAnsi="Cambria Math"/>
                </w:rPr>
                <m:t>t</m:t>
              </m:r>
            </m:oMath>
            <w:r>
              <w:t xml:space="preserve"> which affects all occupations equally regardless of AI exposure. Controls for common shocks affecting all occupations.</w:t>
            </w:r>
          </w:p>
        </w:tc>
      </w:tr>
      <w:tr w:rsidR="001B7662" w14:paraId="518D1C38" w14:textId="77777777" w:rsidTr="00194AC6">
        <w:tblPrEx>
          <w:jc w:val="left"/>
        </w:tblPrEx>
        <w:tc>
          <w:tcPr>
            <w:tcW w:w="1701" w:type="dxa"/>
            <w:tcBorders>
              <w:top w:val="single" w:sz="4" w:space="0" w:color="auto"/>
              <w:bottom w:val="single" w:sz="4" w:space="0" w:color="auto"/>
            </w:tcBorders>
          </w:tcPr>
          <w:p w14:paraId="518D1C35" w14:textId="77777777" w:rsidR="001B7662" w:rsidRDefault="00000000" w:rsidP="00194AC6">
            <w:pPr>
              <w:pStyle w:val="Compact"/>
              <w:spacing w:before="20" w:after="20" w:line="240" w:lineRule="auto"/>
              <w:jc w:val="center"/>
            </w:pPr>
            <m:oMathPara>
              <m:oMath>
                <m:sSub>
                  <m:sSubPr>
                    <m:ctrlPr>
                      <w:rPr>
                        <w:rFonts w:ascii="Cambria Math" w:hAnsi="Cambria Math"/>
                      </w:rPr>
                    </m:ctrlPr>
                  </m:sSubPr>
                  <m:e>
                    <m:r>
                      <w:rPr>
                        <w:rFonts w:ascii="Cambria Math" w:hAnsi="Cambria Math"/>
                      </w:rPr>
                      <m:t>s</m:t>
                    </m:r>
                  </m:e>
                  <m:sub>
                    <m:r>
                      <w:rPr>
                        <w:rFonts w:ascii="Cambria Math" w:hAnsi="Cambria Math"/>
                      </w:rPr>
                      <m:t>i</m:t>
                    </m:r>
                  </m:sub>
                </m:sSub>
              </m:oMath>
            </m:oMathPara>
          </w:p>
        </w:tc>
        <w:tc>
          <w:tcPr>
            <w:tcW w:w="2127" w:type="dxa"/>
            <w:tcBorders>
              <w:top w:val="single" w:sz="4" w:space="0" w:color="auto"/>
              <w:bottom w:val="single" w:sz="4" w:space="0" w:color="auto"/>
            </w:tcBorders>
          </w:tcPr>
          <w:p w14:paraId="518D1C36" w14:textId="77777777" w:rsidR="001B7662" w:rsidRDefault="00A208A5" w:rsidP="00194AC6">
            <w:pPr>
              <w:pStyle w:val="Compact"/>
              <w:spacing w:before="20" w:after="20" w:line="240" w:lineRule="auto"/>
            </w:pPr>
            <w:r>
              <w:t>Normalised AI exposure score</w:t>
            </w:r>
          </w:p>
        </w:tc>
        <w:tc>
          <w:tcPr>
            <w:tcW w:w="5244" w:type="dxa"/>
            <w:tcBorders>
              <w:top w:val="single" w:sz="4" w:space="0" w:color="auto"/>
              <w:bottom w:val="single" w:sz="4" w:space="0" w:color="auto"/>
            </w:tcBorders>
          </w:tcPr>
          <w:p w14:paraId="518D1C37" w14:textId="77777777" w:rsidR="001B7662" w:rsidRDefault="00A208A5" w:rsidP="00194AC6">
            <w:pPr>
              <w:pStyle w:val="Compact"/>
              <w:spacing w:before="20" w:after="20" w:line="240" w:lineRule="auto"/>
            </w:pPr>
            <w:r>
              <w:t xml:space="preserve">Each occupation </w:t>
            </w:r>
            <m:oMath>
              <m:r>
                <w:rPr>
                  <w:rFonts w:ascii="Cambria Math" w:hAnsi="Cambria Math"/>
                </w:rPr>
                <m:t>i</m:t>
              </m:r>
            </m:oMath>
            <w:r>
              <w:t xml:space="preserve">’s JSA AI automation exposure score, standardised so that the average is 0 and the standard deviation is 1. More-exposed occupations have positive </w:t>
            </w:r>
            <m:oMath>
              <m:sSub>
                <m:sSubPr>
                  <m:ctrlPr>
                    <w:rPr>
                      <w:rFonts w:ascii="Cambria Math" w:hAnsi="Cambria Math"/>
                    </w:rPr>
                  </m:ctrlPr>
                </m:sSubPr>
                <m:e>
                  <m:r>
                    <w:rPr>
                      <w:rFonts w:ascii="Cambria Math" w:hAnsi="Cambria Math"/>
                    </w:rPr>
                    <m:t>s</m:t>
                  </m:r>
                </m:e>
                <m:sub>
                  <m:r>
                    <w:rPr>
                      <w:rFonts w:ascii="Cambria Math" w:hAnsi="Cambria Math"/>
                    </w:rPr>
                    <m:t>i</m:t>
                  </m:r>
                </m:sub>
              </m:sSub>
            </m:oMath>
            <w:r>
              <w:t xml:space="preserve"> scores while less-exposed occupations have negative </w:t>
            </w:r>
            <m:oMath>
              <m:sSub>
                <m:sSubPr>
                  <m:ctrlPr>
                    <w:rPr>
                      <w:rFonts w:ascii="Cambria Math" w:hAnsi="Cambria Math"/>
                    </w:rPr>
                  </m:ctrlPr>
                </m:sSubPr>
                <m:e>
                  <m:r>
                    <w:rPr>
                      <w:rFonts w:ascii="Cambria Math" w:hAnsi="Cambria Math"/>
                    </w:rPr>
                    <m:t>s</m:t>
                  </m:r>
                </m:e>
                <m:sub>
                  <m:r>
                    <w:rPr>
                      <w:rFonts w:ascii="Cambria Math" w:hAnsi="Cambria Math"/>
                    </w:rPr>
                    <m:t>i</m:t>
                  </m:r>
                </m:sub>
              </m:sSub>
            </m:oMath>
            <w:r>
              <w:t xml:space="preserve"> scores. Exposure does not change over time.</w:t>
            </w:r>
          </w:p>
        </w:tc>
      </w:tr>
      <w:tr w:rsidR="001B7662" w14:paraId="518D1C3C" w14:textId="77777777" w:rsidTr="00194AC6">
        <w:tblPrEx>
          <w:jc w:val="left"/>
        </w:tblPrEx>
        <w:trPr>
          <w:cnfStyle w:val="000000100000" w:firstRow="0" w:lastRow="0" w:firstColumn="0" w:lastColumn="0" w:oddVBand="0" w:evenVBand="0" w:oddHBand="1" w:evenHBand="0" w:firstRowFirstColumn="0" w:firstRowLastColumn="0" w:lastRowFirstColumn="0" w:lastRowLastColumn="0"/>
        </w:trPr>
        <w:tc>
          <w:tcPr>
            <w:tcW w:w="1701" w:type="dxa"/>
            <w:tcBorders>
              <w:top w:val="single" w:sz="4" w:space="0" w:color="auto"/>
              <w:bottom w:val="single" w:sz="4" w:space="0" w:color="auto"/>
            </w:tcBorders>
            <w:shd w:val="clear" w:color="auto" w:fill="auto"/>
          </w:tcPr>
          <w:p w14:paraId="518D1C39" w14:textId="77777777" w:rsidR="001B7662" w:rsidRPr="00194AC6" w:rsidRDefault="00000000" w:rsidP="00194AC6">
            <w:pPr>
              <w:pStyle w:val="Compact"/>
              <w:spacing w:before="20" w:after="20" w:line="240" w:lineRule="auto"/>
              <w:jc w:val="center"/>
              <w:rPr>
                <w:color w:val="009B9F"/>
              </w:rPr>
            </w:pPr>
            <m:oMathPara>
              <m:oMath>
                <m:sSub>
                  <m:sSubPr>
                    <m:ctrlPr>
                      <w:rPr>
                        <w:rFonts w:ascii="Cambria Math" w:hAnsi="Cambria Math"/>
                        <w:color w:val="009B9F"/>
                      </w:rPr>
                    </m:ctrlPr>
                  </m:sSubPr>
                  <m:e>
                    <m:r>
                      <w:rPr>
                        <w:rFonts w:ascii="Cambria Math" w:hAnsi="Cambria Math"/>
                        <w:color w:val="009B9F"/>
                      </w:rPr>
                      <m:t>t</m:t>
                    </m:r>
                  </m:e>
                  <m:sub>
                    <m:r>
                      <w:rPr>
                        <w:rFonts w:ascii="Cambria Math" w:hAnsi="Cambria Math"/>
                        <w:color w:val="009B9F"/>
                      </w:rPr>
                      <m:t>pre</m:t>
                    </m:r>
                  </m:sub>
                </m:sSub>
              </m:oMath>
            </m:oMathPara>
          </w:p>
        </w:tc>
        <w:tc>
          <w:tcPr>
            <w:tcW w:w="2127" w:type="dxa"/>
            <w:tcBorders>
              <w:top w:val="single" w:sz="4" w:space="0" w:color="auto"/>
              <w:bottom w:val="single" w:sz="4" w:space="0" w:color="auto"/>
            </w:tcBorders>
            <w:shd w:val="clear" w:color="auto" w:fill="auto"/>
          </w:tcPr>
          <w:p w14:paraId="518D1C3A" w14:textId="77777777" w:rsidR="001B7662" w:rsidRPr="00194AC6" w:rsidRDefault="00A208A5" w:rsidP="00194AC6">
            <w:pPr>
              <w:pStyle w:val="Compact"/>
              <w:spacing w:before="20" w:after="20" w:line="240" w:lineRule="auto"/>
              <w:rPr>
                <w:color w:val="009B9F"/>
              </w:rPr>
            </w:pPr>
            <w:r w:rsidRPr="00194AC6">
              <w:rPr>
                <w:color w:val="009B9F"/>
              </w:rPr>
              <w:t>Pre-ChatGPT time index</w:t>
            </w:r>
          </w:p>
        </w:tc>
        <w:tc>
          <w:tcPr>
            <w:tcW w:w="5244" w:type="dxa"/>
            <w:tcBorders>
              <w:top w:val="single" w:sz="4" w:space="0" w:color="auto"/>
              <w:bottom w:val="single" w:sz="4" w:space="0" w:color="auto"/>
            </w:tcBorders>
            <w:shd w:val="clear" w:color="auto" w:fill="auto"/>
          </w:tcPr>
          <w:p w14:paraId="518D1C3B" w14:textId="77777777" w:rsidR="001B7662" w:rsidRDefault="00A208A5" w:rsidP="00194AC6">
            <w:pPr>
              <w:pStyle w:val="Compact"/>
              <w:spacing w:before="20" w:after="20" w:line="240" w:lineRule="auto"/>
            </w:pPr>
            <w:r>
              <w:t>The negative number of quarters before the end of the pre-treatment period. It is zero in the post-treatment period.</w:t>
            </w:r>
          </w:p>
        </w:tc>
      </w:tr>
      <w:tr w:rsidR="001B7662" w14:paraId="518D1C40" w14:textId="77777777" w:rsidTr="00194AC6">
        <w:tblPrEx>
          <w:jc w:val="left"/>
        </w:tblPrEx>
        <w:tc>
          <w:tcPr>
            <w:tcW w:w="1701" w:type="dxa"/>
            <w:tcBorders>
              <w:top w:val="single" w:sz="4" w:space="0" w:color="auto"/>
              <w:bottom w:val="single" w:sz="4" w:space="0" w:color="auto"/>
            </w:tcBorders>
          </w:tcPr>
          <w:p w14:paraId="518D1C3D" w14:textId="77777777" w:rsidR="001B7662" w:rsidRPr="00194AC6" w:rsidRDefault="00000000" w:rsidP="00194AC6">
            <w:pPr>
              <w:pStyle w:val="Compact"/>
              <w:spacing w:before="20" w:after="20" w:line="240" w:lineRule="auto"/>
              <w:jc w:val="center"/>
              <w:rPr>
                <w:color w:val="287DB2"/>
              </w:rPr>
            </w:pPr>
            <m:oMathPara>
              <m:oMath>
                <m:sSub>
                  <m:sSubPr>
                    <m:ctrlPr>
                      <w:rPr>
                        <w:rFonts w:ascii="Cambria Math" w:hAnsi="Cambria Math"/>
                        <w:color w:val="287DB2"/>
                      </w:rPr>
                    </m:ctrlPr>
                  </m:sSubPr>
                  <m:e>
                    <m:r>
                      <w:rPr>
                        <w:rFonts w:ascii="Cambria Math" w:hAnsi="Cambria Math"/>
                        <w:color w:val="287DB2"/>
                      </w:rPr>
                      <m:t>t</m:t>
                    </m:r>
                  </m:e>
                  <m:sub>
                    <m:r>
                      <w:rPr>
                        <w:rFonts w:ascii="Cambria Math" w:hAnsi="Cambria Math"/>
                        <w:color w:val="287DB2"/>
                      </w:rPr>
                      <m:t>post</m:t>
                    </m:r>
                  </m:sub>
                </m:sSub>
              </m:oMath>
            </m:oMathPara>
          </w:p>
        </w:tc>
        <w:tc>
          <w:tcPr>
            <w:tcW w:w="2127" w:type="dxa"/>
            <w:tcBorders>
              <w:top w:val="single" w:sz="4" w:space="0" w:color="auto"/>
              <w:bottom w:val="single" w:sz="4" w:space="0" w:color="auto"/>
            </w:tcBorders>
          </w:tcPr>
          <w:p w14:paraId="518D1C3E" w14:textId="77777777" w:rsidR="001B7662" w:rsidRPr="00194AC6" w:rsidRDefault="00A208A5" w:rsidP="00194AC6">
            <w:pPr>
              <w:pStyle w:val="Compact"/>
              <w:spacing w:before="20" w:after="20" w:line="240" w:lineRule="auto"/>
              <w:rPr>
                <w:color w:val="287DB2"/>
              </w:rPr>
            </w:pPr>
            <w:r w:rsidRPr="00194AC6">
              <w:rPr>
                <w:color w:val="287DB2"/>
              </w:rPr>
              <w:t>Post-ChatGPT time index</w:t>
            </w:r>
          </w:p>
        </w:tc>
        <w:tc>
          <w:tcPr>
            <w:tcW w:w="5244" w:type="dxa"/>
            <w:tcBorders>
              <w:top w:val="single" w:sz="4" w:space="0" w:color="auto"/>
              <w:bottom w:val="single" w:sz="4" w:space="0" w:color="auto"/>
            </w:tcBorders>
          </w:tcPr>
          <w:p w14:paraId="518D1C3F" w14:textId="77777777" w:rsidR="001B7662" w:rsidRDefault="00A208A5" w:rsidP="00194AC6">
            <w:pPr>
              <w:pStyle w:val="Compact"/>
              <w:spacing w:before="20" w:after="20" w:line="240" w:lineRule="auto"/>
            </w:pPr>
            <w:r>
              <w:t>The positive number of quarters since the start of the post-treatment period. It is zero in the pre-treatment period.</w:t>
            </w:r>
          </w:p>
        </w:tc>
      </w:tr>
      <w:tr w:rsidR="001B7662" w14:paraId="518D1C44" w14:textId="77777777" w:rsidTr="00194AC6">
        <w:tblPrEx>
          <w:jc w:val="left"/>
        </w:tblPrEx>
        <w:trPr>
          <w:cnfStyle w:val="000000100000" w:firstRow="0" w:lastRow="0" w:firstColumn="0" w:lastColumn="0" w:oddVBand="0" w:evenVBand="0" w:oddHBand="1" w:evenHBand="0" w:firstRowFirstColumn="0" w:firstRowLastColumn="0" w:lastRowFirstColumn="0" w:lastRowLastColumn="0"/>
        </w:trPr>
        <w:tc>
          <w:tcPr>
            <w:tcW w:w="1701" w:type="dxa"/>
            <w:tcBorders>
              <w:top w:val="single" w:sz="4" w:space="0" w:color="auto"/>
              <w:bottom w:val="single" w:sz="4" w:space="0" w:color="auto"/>
            </w:tcBorders>
            <w:shd w:val="clear" w:color="auto" w:fill="auto"/>
          </w:tcPr>
          <w:p w14:paraId="518D1C41" w14:textId="77777777" w:rsidR="001B7662" w:rsidRPr="00194AC6" w:rsidRDefault="00A208A5" w:rsidP="00194AC6">
            <w:pPr>
              <w:pStyle w:val="Compact"/>
              <w:spacing w:before="20" w:after="20" w:line="240" w:lineRule="auto"/>
              <w:jc w:val="center"/>
              <w:rPr>
                <w:color w:val="62165C"/>
              </w:rPr>
            </w:pPr>
            <m:oMathPara>
              <m:oMath>
                <m:r>
                  <w:rPr>
                    <w:rFonts w:ascii="Cambria Math" w:hAnsi="Cambria Math"/>
                    <w:color w:val="62165C"/>
                  </w:rPr>
                  <m:t>Pos</m:t>
                </m:r>
                <m:sSub>
                  <m:sSubPr>
                    <m:ctrlPr>
                      <w:rPr>
                        <w:rFonts w:ascii="Cambria Math" w:hAnsi="Cambria Math"/>
                        <w:color w:val="62165C"/>
                      </w:rPr>
                    </m:ctrlPr>
                  </m:sSubPr>
                  <m:e>
                    <m:r>
                      <w:rPr>
                        <w:rFonts w:ascii="Cambria Math" w:hAnsi="Cambria Math"/>
                        <w:color w:val="62165C"/>
                      </w:rPr>
                      <m:t>t</m:t>
                    </m:r>
                  </m:e>
                  <m:sub>
                    <m:r>
                      <w:rPr>
                        <w:rFonts w:ascii="Cambria Math" w:hAnsi="Cambria Math"/>
                        <w:color w:val="62165C"/>
                      </w:rPr>
                      <m:t>t</m:t>
                    </m:r>
                  </m:sub>
                </m:sSub>
              </m:oMath>
            </m:oMathPara>
          </w:p>
        </w:tc>
        <w:tc>
          <w:tcPr>
            <w:tcW w:w="2127" w:type="dxa"/>
            <w:tcBorders>
              <w:top w:val="single" w:sz="4" w:space="0" w:color="auto"/>
              <w:bottom w:val="single" w:sz="4" w:space="0" w:color="auto"/>
            </w:tcBorders>
            <w:shd w:val="clear" w:color="auto" w:fill="auto"/>
          </w:tcPr>
          <w:p w14:paraId="518D1C42" w14:textId="77777777" w:rsidR="001B7662" w:rsidRPr="00194AC6" w:rsidRDefault="00A208A5" w:rsidP="00194AC6">
            <w:pPr>
              <w:pStyle w:val="Compact"/>
              <w:spacing w:before="20" w:after="20" w:line="240" w:lineRule="auto"/>
              <w:rPr>
                <w:color w:val="62165C"/>
              </w:rPr>
            </w:pPr>
            <w:r w:rsidRPr="00194AC6">
              <w:rPr>
                <w:color w:val="62165C"/>
              </w:rPr>
              <w:t>Treatment period dummy</w:t>
            </w:r>
          </w:p>
        </w:tc>
        <w:tc>
          <w:tcPr>
            <w:tcW w:w="5244" w:type="dxa"/>
            <w:tcBorders>
              <w:top w:val="single" w:sz="4" w:space="0" w:color="auto"/>
              <w:bottom w:val="single" w:sz="4" w:space="0" w:color="auto"/>
            </w:tcBorders>
            <w:shd w:val="clear" w:color="auto" w:fill="auto"/>
          </w:tcPr>
          <w:p w14:paraId="518D1C43" w14:textId="77777777" w:rsidR="001B7662" w:rsidRDefault="00A208A5" w:rsidP="00194AC6">
            <w:pPr>
              <w:pStyle w:val="Compact"/>
              <w:spacing w:before="20" w:after="20" w:line="240" w:lineRule="auto"/>
            </w:pPr>
            <w:r>
              <w:t>A dummy variable which is 1 in the post-treatment period and 0 in the pre-treatment period.</w:t>
            </w:r>
          </w:p>
        </w:tc>
      </w:tr>
      <w:tr w:rsidR="001B7662" w14:paraId="518D1C48" w14:textId="77777777" w:rsidTr="00194AC6">
        <w:tblPrEx>
          <w:jc w:val="left"/>
        </w:tblPrEx>
        <w:tc>
          <w:tcPr>
            <w:tcW w:w="1701" w:type="dxa"/>
            <w:tcBorders>
              <w:top w:val="single" w:sz="4" w:space="0" w:color="auto"/>
              <w:bottom w:val="single" w:sz="4" w:space="0" w:color="auto"/>
            </w:tcBorders>
          </w:tcPr>
          <w:p w14:paraId="518D1C45" w14:textId="77777777" w:rsidR="001B7662" w:rsidRPr="00194AC6" w:rsidRDefault="00000000" w:rsidP="00194AC6">
            <w:pPr>
              <w:pStyle w:val="Compact"/>
              <w:spacing w:before="20" w:after="20" w:line="240" w:lineRule="auto"/>
              <w:jc w:val="center"/>
              <w:rPr>
                <w:color w:val="009B9F"/>
              </w:rPr>
            </w:pPr>
            <m:oMathPara>
              <m:oMath>
                <m:sSub>
                  <m:sSubPr>
                    <m:ctrlPr>
                      <w:rPr>
                        <w:rFonts w:ascii="Cambria Math" w:hAnsi="Cambria Math"/>
                        <w:color w:val="009B9F"/>
                      </w:rPr>
                    </m:ctrlPr>
                  </m:sSubPr>
                  <m:e>
                    <m:r>
                      <w:rPr>
                        <w:rFonts w:ascii="Cambria Math" w:hAnsi="Cambria Math"/>
                        <w:color w:val="009B9F"/>
                      </w:rPr>
                      <m:t>β</m:t>
                    </m:r>
                  </m:e>
                  <m:sub>
                    <m:r>
                      <w:rPr>
                        <w:rFonts w:ascii="Cambria Math" w:hAnsi="Cambria Math"/>
                        <w:color w:val="009B9F"/>
                      </w:rPr>
                      <m:t>pre</m:t>
                    </m:r>
                  </m:sub>
                </m:sSub>
              </m:oMath>
            </m:oMathPara>
          </w:p>
        </w:tc>
        <w:tc>
          <w:tcPr>
            <w:tcW w:w="2127" w:type="dxa"/>
            <w:tcBorders>
              <w:top w:val="single" w:sz="4" w:space="0" w:color="auto"/>
              <w:bottom w:val="single" w:sz="4" w:space="0" w:color="auto"/>
            </w:tcBorders>
          </w:tcPr>
          <w:p w14:paraId="518D1C46" w14:textId="77777777" w:rsidR="001B7662" w:rsidRPr="00194AC6" w:rsidRDefault="00A208A5" w:rsidP="00194AC6">
            <w:pPr>
              <w:pStyle w:val="Compact"/>
              <w:spacing w:before="20" w:after="20" w:line="240" w:lineRule="auto"/>
              <w:rPr>
                <w:color w:val="009B9F"/>
              </w:rPr>
            </w:pPr>
            <w:r w:rsidRPr="00194AC6">
              <w:rPr>
                <w:color w:val="009B9F"/>
              </w:rPr>
              <w:t>Pre-treatment coefficient</w:t>
            </w:r>
          </w:p>
        </w:tc>
        <w:tc>
          <w:tcPr>
            <w:tcW w:w="5244" w:type="dxa"/>
            <w:tcBorders>
              <w:top w:val="single" w:sz="4" w:space="0" w:color="auto"/>
              <w:bottom w:val="single" w:sz="4" w:space="0" w:color="auto"/>
            </w:tcBorders>
          </w:tcPr>
          <w:p w14:paraId="518D1C47" w14:textId="77777777" w:rsidR="001B7662" w:rsidRDefault="00A208A5" w:rsidP="00194AC6">
            <w:pPr>
              <w:pStyle w:val="Compact"/>
              <w:spacing w:before="20" w:after="20" w:line="240" w:lineRule="auto"/>
            </w:pPr>
            <w:r>
              <w:t>Estimated per-quarter relationship between AI exposure and employment in the pre-treatment period. This captures whether employment growth was correlated with AI exposure before ChatGPT was introduced.</w:t>
            </w:r>
          </w:p>
        </w:tc>
      </w:tr>
      <w:tr w:rsidR="001B7662" w14:paraId="518D1C4C" w14:textId="77777777" w:rsidTr="00194AC6">
        <w:tblPrEx>
          <w:jc w:val="left"/>
        </w:tblPrEx>
        <w:trPr>
          <w:cnfStyle w:val="000000100000" w:firstRow="0" w:lastRow="0" w:firstColumn="0" w:lastColumn="0" w:oddVBand="0" w:evenVBand="0" w:oddHBand="1" w:evenHBand="0" w:firstRowFirstColumn="0" w:firstRowLastColumn="0" w:lastRowFirstColumn="0" w:lastRowLastColumn="0"/>
        </w:trPr>
        <w:tc>
          <w:tcPr>
            <w:tcW w:w="1701" w:type="dxa"/>
            <w:tcBorders>
              <w:top w:val="single" w:sz="4" w:space="0" w:color="auto"/>
              <w:bottom w:val="single" w:sz="4" w:space="0" w:color="auto"/>
            </w:tcBorders>
            <w:shd w:val="clear" w:color="auto" w:fill="auto"/>
          </w:tcPr>
          <w:p w14:paraId="518D1C49" w14:textId="77777777" w:rsidR="001B7662" w:rsidRPr="00194AC6" w:rsidRDefault="00000000" w:rsidP="00194AC6">
            <w:pPr>
              <w:pStyle w:val="Compact"/>
              <w:spacing w:before="20" w:after="20" w:line="240" w:lineRule="auto"/>
              <w:jc w:val="center"/>
              <w:rPr>
                <w:color w:val="287DB2"/>
              </w:rPr>
            </w:pPr>
            <m:oMathPara>
              <m:oMath>
                <m:sSub>
                  <m:sSubPr>
                    <m:ctrlPr>
                      <w:rPr>
                        <w:rFonts w:ascii="Cambria Math" w:hAnsi="Cambria Math"/>
                        <w:color w:val="287DB2"/>
                      </w:rPr>
                    </m:ctrlPr>
                  </m:sSubPr>
                  <m:e>
                    <m:r>
                      <w:rPr>
                        <w:rFonts w:ascii="Cambria Math" w:hAnsi="Cambria Math"/>
                        <w:color w:val="287DB2"/>
                      </w:rPr>
                      <m:t>β</m:t>
                    </m:r>
                  </m:e>
                  <m:sub>
                    <m:r>
                      <w:rPr>
                        <w:rFonts w:ascii="Cambria Math" w:hAnsi="Cambria Math"/>
                        <w:color w:val="287DB2"/>
                      </w:rPr>
                      <m:t>post</m:t>
                    </m:r>
                  </m:sub>
                </m:sSub>
              </m:oMath>
            </m:oMathPara>
          </w:p>
        </w:tc>
        <w:tc>
          <w:tcPr>
            <w:tcW w:w="2127" w:type="dxa"/>
            <w:tcBorders>
              <w:top w:val="single" w:sz="4" w:space="0" w:color="auto"/>
              <w:bottom w:val="single" w:sz="4" w:space="0" w:color="auto"/>
            </w:tcBorders>
            <w:shd w:val="clear" w:color="auto" w:fill="auto"/>
          </w:tcPr>
          <w:p w14:paraId="518D1C4A" w14:textId="77777777" w:rsidR="001B7662" w:rsidRPr="00194AC6" w:rsidRDefault="00A208A5" w:rsidP="00194AC6">
            <w:pPr>
              <w:pStyle w:val="Compact"/>
              <w:spacing w:before="20" w:after="20" w:line="240" w:lineRule="auto"/>
              <w:rPr>
                <w:color w:val="287DB2"/>
              </w:rPr>
            </w:pPr>
            <w:r w:rsidRPr="00194AC6">
              <w:rPr>
                <w:color w:val="287DB2"/>
              </w:rPr>
              <w:t>Post-treatment coefficient</w:t>
            </w:r>
          </w:p>
        </w:tc>
        <w:tc>
          <w:tcPr>
            <w:tcW w:w="5244" w:type="dxa"/>
            <w:tcBorders>
              <w:top w:val="single" w:sz="4" w:space="0" w:color="auto"/>
              <w:bottom w:val="single" w:sz="4" w:space="0" w:color="auto"/>
            </w:tcBorders>
            <w:shd w:val="clear" w:color="auto" w:fill="auto"/>
          </w:tcPr>
          <w:p w14:paraId="518D1C4B" w14:textId="77777777" w:rsidR="001B7662" w:rsidRDefault="00A208A5" w:rsidP="00194AC6">
            <w:pPr>
              <w:pStyle w:val="Compact"/>
              <w:spacing w:before="20" w:after="20" w:line="240" w:lineRule="auto"/>
            </w:pPr>
            <w:r>
              <w:t>Estimated per-quarter relationship between AI exposure and employment in the post-treatment period. This captures the extent to which employment growth has been correlated with AI exposure since ChatGPT was introduced.</w:t>
            </w:r>
          </w:p>
        </w:tc>
      </w:tr>
      <w:tr w:rsidR="001B7662" w14:paraId="518D1C50" w14:textId="77777777" w:rsidTr="00194AC6">
        <w:tblPrEx>
          <w:jc w:val="left"/>
        </w:tblPrEx>
        <w:tc>
          <w:tcPr>
            <w:tcW w:w="1701" w:type="dxa"/>
            <w:tcBorders>
              <w:top w:val="single" w:sz="4" w:space="0" w:color="auto"/>
              <w:bottom w:val="single" w:sz="4" w:space="0" w:color="auto"/>
            </w:tcBorders>
          </w:tcPr>
          <w:p w14:paraId="518D1C4D" w14:textId="77777777" w:rsidR="001B7662" w:rsidRPr="00194AC6" w:rsidRDefault="00000000" w:rsidP="00194AC6">
            <w:pPr>
              <w:pStyle w:val="Compact"/>
              <w:spacing w:before="20" w:after="20" w:line="240" w:lineRule="auto"/>
              <w:jc w:val="center"/>
              <w:rPr>
                <w:color w:val="62165C"/>
              </w:rPr>
            </w:pPr>
            <m:oMathPara>
              <m:oMath>
                <m:sSub>
                  <m:sSubPr>
                    <m:ctrlPr>
                      <w:rPr>
                        <w:rFonts w:ascii="Cambria Math" w:hAnsi="Cambria Math"/>
                        <w:color w:val="62165C"/>
                      </w:rPr>
                    </m:ctrlPr>
                  </m:sSubPr>
                  <m:e>
                    <m:r>
                      <w:rPr>
                        <w:rFonts w:ascii="Cambria Math" w:hAnsi="Cambria Math"/>
                        <w:color w:val="62165C"/>
                      </w:rPr>
                      <m:t>β</m:t>
                    </m:r>
                  </m:e>
                  <m:sub>
                    <m:r>
                      <w:rPr>
                        <w:rFonts w:ascii="Cambria Math" w:hAnsi="Cambria Math"/>
                        <w:color w:val="62165C"/>
                      </w:rPr>
                      <m:t>shift</m:t>
                    </m:r>
                  </m:sub>
                </m:sSub>
              </m:oMath>
            </m:oMathPara>
          </w:p>
        </w:tc>
        <w:tc>
          <w:tcPr>
            <w:tcW w:w="2127" w:type="dxa"/>
            <w:tcBorders>
              <w:top w:val="single" w:sz="4" w:space="0" w:color="auto"/>
              <w:bottom w:val="single" w:sz="4" w:space="0" w:color="auto"/>
            </w:tcBorders>
          </w:tcPr>
          <w:p w14:paraId="518D1C4E" w14:textId="77777777" w:rsidR="001B7662" w:rsidRPr="00194AC6" w:rsidRDefault="00A208A5" w:rsidP="00194AC6">
            <w:pPr>
              <w:pStyle w:val="Compact"/>
              <w:spacing w:before="20" w:after="20" w:line="240" w:lineRule="auto"/>
              <w:rPr>
                <w:color w:val="62165C"/>
              </w:rPr>
            </w:pPr>
            <w:r w:rsidRPr="00194AC6">
              <w:rPr>
                <w:color w:val="62165C"/>
              </w:rPr>
              <w:t>Level shift coefficient</w:t>
            </w:r>
          </w:p>
        </w:tc>
        <w:tc>
          <w:tcPr>
            <w:tcW w:w="5244" w:type="dxa"/>
            <w:tcBorders>
              <w:top w:val="single" w:sz="4" w:space="0" w:color="auto"/>
              <w:bottom w:val="single" w:sz="4" w:space="0" w:color="auto"/>
            </w:tcBorders>
          </w:tcPr>
          <w:p w14:paraId="518D1C4F" w14:textId="77777777" w:rsidR="001B7662" w:rsidRDefault="00A208A5" w:rsidP="00194AC6">
            <w:pPr>
              <w:pStyle w:val="Compact"/>
              <w:spacing w:before="20" w:after="20" w:line="240" w:lineRule="auto"/>
            </w:pPr>
            <w:r>
              <w:t>Estimated shift in the constant in the relationship between AI exposure and employment in the post-treatment period.</w:t>
            </w:r>
          </w:p>
        </w:tc>
      </w:tr>
      <w:tr w:rsidR="001B7662" w14:paraId="518D1C54" w14:textId="77777777" w:rsidTr="00194AC6">
        <w:tblPrEx>
          <w:jc w:val="left"/>
        </w:tblPrEx>
        <w:trPr>
          <w:cnfStyle w:val="000000100000" w:firstRow="0" w:lastRow="0" w:firstColumn="0" w:lastColumn="0" w:oddVBand="0" w:evenVBand="0" w:oddHBand="1" w:evenHBand="0" w:firstRowFirstColumn="0" w:firstRowLastColumn="0" w:lastRowFirstColumn="0" w:lastRowLastColumn="0"/>
        </w:trPr>
        <w:tc>
          <w:tcPr>
            <w:tcW w:w="1701" w:type="dxa"/>
            <w:tcBorders>
              <w:top w:val="single" w:sz="4" w:space="0" w:color="auto"/>
              <w:bottom w:val="single" w:sz="4" w:space="0" w:color="000000" w:themeColor="text1"/>
            </w:tcBorders>
            <w:shd w:val="clear" w:color="auto" w:fill="auto"/>
          </w:tcPr>
          <w:p w14:paraId="518D1C51" w14:textId="77777777" w:rsidR="001B7662" w:rsidRDefault="00A208A5" w:rsidP="00194AC6">
            <w:pPr>
              <w:pStyle w:val="Compact"/>
              <w:spacing w:before="20" w:after="20" w:line="240" w:lineRule="auto"/>
              <w:jc w:val="center"/>
            </w:pPr>
            <m:oMathPara>
              <m:oMath>
                <m:r>
                  <w:rPr>
                    <w:rFonts w:ascii="Cambria Math" w:hAnsi="Cambria Math"/>
                  </w:rPr>
                  <m:t>Δβ</m:t>
                </m:r>
              </m:oMath>
            </m:oMathPara>
          </w:p>
        </w:tc>
        <w:tc>
          <w:tcPr>
            <w:tcW w:w="2127" w:type="dxa"/>
            <w:tcBorders>
              <w:top w:val="single" w:sz="4" w:space="0" w:color="auto"/>
              <w:bottom w:val="single" w:sz="4" w:space="0" w:color="000000" w:themeColor="text1"/>
            </w:tcBorders>
            <w:shd w:val="clear" w:color="auto" w:fill="auto"/>
          </w:tcPr>
          <w:p w14:paraId="518D1C52" w14:textId="77777777" w:rsidR="001B7662" w:rsidRDefault="00A208A5" w:rsidP="00194AC6">
            <w:pPr>
              <w:pStyle w:val="Compact"/>
              <w:spacing w:before="20" w:after="20" w:line="240" w:lineRule="auto"/>
            </w:pPr>
            <w:r>
              <w:rPr>
                <w:b/>
                <w:bCs/>
              </w:rPr>
              <w:t>Key statistic of interest</w:t>
            </w:r>
          </w:p>
        </w:tc>
        <w:tc>
          <w:tcPr>
            <w:tcW w:w="5244" w:type="dxa"/>
            <w:tcBorders>
              <w:top w:val="single" w:sz="4" w:space="0" w:color="auto"/>
              <w:bottom w:val="single" w:sz="4" w:space="0" w:color="000000" w:themeColor="text1"/>
            </w:tcBorders>
            <w:shd w:val="clear" w:color="auto" w:fill="auto"/>
          </w:tcPr>
          <w:p w14:paraId="518D1C53" w14:textId="77777777" w:rsidR="001B7662" w:rsidRDefault="00A208A5" w:rsidP="00194AC6">
            <w:pPr>
              <w:pStyle w:val="Compact"/>
              <w:spacing w:before="20" w:after="20" w:line="240" w:lineRule="auto"/>
            </w:pPr>
            <w:r>
              <w:t xml:space="preserve">Calculated as </w:t>
            </w:r>
            <m:oMath>
              <m:sSub>
                <m:sSubPr>
                  <m:ctrlPr>
                    <w:rPr>
                      <w:rFonts w:ascii="Cambria Math" w:hAnsi="Cambria Math"/>
                    </w:rPr>
                  </m:ctrlPr>
                </m:sSubPr>
                <m:e>
                  <m:r>
                    <w:rPr>
                      <w:rFonts w:ascii="Cambria Math" w:hAnsi="Cambria Math"/>
                    </w:rPr>
                    <m:t>β</m:t>
                  </m:r>
                </m:e>
                <m:sub>
                  <m:r>
                    <w:rPr>
                      <w:rFonts w:ascii="Cambria Math" w:hAnsi="Cambria Math"/>
                    </w:rPr>
                    <m:t>post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pre</m:t>
                  </m:r>
                </m:sub>
              </m:sSub>
            </m:oMath>
            <w:r>
              <w:t xml:space="preserve">, it captures the </w:t>
            </w:r>
            <w:r>
              <w:rPr>
                <w:b/>
                <w:bCs/>
              </w:rPr>
              <w:t>change in the per-quarter relationship between AI exposure and employment</w:t>
            </w:r>
            <w:r>
              <w:t>, after controlling for fixed effects.</w:t>
            </w:r>
          </w:p>
        </w:tc>
      </w:tr>
    </w:tbl>
    <w:p w14:paraId="518D1C55" w14:textId="77777777" w:rsidR="001B7662" w:rsidRDefault="00A208A5">
      <w:pPr>
        <w:pStyle w:val="Heading2"/>
      </w:pPr>
      <w:bookmarkStart w:id="208" w:name="_Toc232612109"/>
      <w:bookmarkStart w:id="209" w:name="what-the-model-measures"/>
      <w:bookmarkEnd w:id="207"/>
      <w:r>
        <w:lastRenderedPageBreak/>
        <w:t>What the model measures</w:t>
      </w:r>
      <w:bookmarkEnd w:id="208"/>
    </w:p>
    <w:p w14:paraId="518D1C56" w14:textId="4F1C8E8D" w:rsidR="001B7662" w:rsidRDefault="00A208A5">
      <w:r>
        <w:t xml:space="preserve">The gradient terms </w:t>
      </w:r>
      <m:oMath>
        <m:sSub>
          <m:sSubPr>
            <m:ctrlPr>
              <w:rPr>
                <w:rFonts w:ascii="Cambria Math" w:hAnsi="Cambria Math"/>
              </w:rPr>
            </m:ctrlPr>
          </m:sSubPr>
          <m:e>
            <m:r>
              <w:rPr>
                <w:rFonts w:ascii="Cambria Math" w:hAnsi="Cambria Math"/>
              </w:rPr>
              <m:t>β</m:t>
            </m:r>
          </m:e>
          <m:sub>
            <m:r>
              <w:rPr>
                <w:rFonts w:ascii="Cambria Math" w:hAnsi="Cambria Math"/>
              </w:rPr>
              <m:t>pre</m:t>
            </m:r>
          </m:sub>
        </m:sSub>
      </m:oMath>
      <w:r>
        <w:t xml:space="preserve"> and </w:t>
      </w:r>
      <m:oMath>
        <m:sSub>
          <m:sSubPr>
            <m:ctrlPr>
              <w:rPr>
                <w:rFonts w:ascii="Cambria Math" w:hAnsi="Cambria Math"/>
              </w:rPr>
            </m:ctrlPr>
          </m:sSubPr>
          <m:e>
            <m:r>
              <w:rPr>
                <w:rFonts w:ascii="Cambria Math" w:hAnsi="Cambria Math"/>
              </w:rPr>
              <m:t>β</m:t>
            </m:r>
          </m:e>
          <m:sub>
            <m:r>
              <w:rPr>
                <w:rFonts w:ascii="Cambria Math" w:hAnsi="Cambria Math"/>
              </w:rPr>
              <m:t>post</m:t>
            </m:r>
          </m:sub>
        </m:sSub>
      </m:oMath>
      <w:r>
        <w:t xml:space="preserve"> capture the relationship between AI exposure and </w:t>
      </w:r>
      <w:r w:rsidR="007F1BE8">
        <w:t>quarterly</w:t>
      </w:r>
      <w:r>
        <w:t xml:space="preserve"> employment growth in the pre-ChatGPT and post-ChatGPT periods respectively. As time passes, </w:t>
      </w:r>
      <m:oMath>
        <m:sSub>
          <m:sSubPr>
            <m:ctrlPr>
              <w:rPr>
                <w:rFonts w:ascii="Cambria Math" w:hAnsi="Cambria Math"/>
              </w:rPr>
            </m:ctrlPr>
          </m:sSubPr>
          <m:e>
            <m:r>
              <w:rPr>
                <w:rFonts w:ascii="Cambria Math" w:hAnsi="Cambria Math"/>
              </w:rPr>
              <m:t>t</m:t>
            </m:r>
          </m:e>
          <m:sub>
            <m:r>
              <w:rPr>
                <w:rFonts w:ascii="Cambria Math" w:hAnsi="Cambria Math"/>
              </w:rPr>
              <m:t>pre</m:t>
            </m:r>
          </m:sub>
        </m:sSub>
      </m:oMath>
      <w:r>
        <w:t xml:space="preserve"> (or </w:t>
      </w:r>
      <m:oMath>
        <m:sSub>
          <m:sSubPr>
            <m:ctrlPr>
              <w:rPr>
                <w:rFonts w:ascii="Cambria Math" w:hAnsi="Cambria Math"/>
              </w:rPr>
            </m:ctrlPr>
          </m:sSubPr>
          <m:e>
            <m:r>
              <w:rPr>
                <w:rFonts w:ascii="Cambria Math" w:hAnsi="Cambria Math"/>
              </w:rPr>
              <m:t>t</m:t>
            </m:r>
          </m:e>
          <m:sub>
            <m:r>
              <w:rPr>
                <w:rFonts w:ascii="Cambria Math" w:hAnsi="Cambria Math"/>
              </w:rPr>
              <m:t>post</m:t>
            </m:r>
          </m:sub>
        </m:sSub>
      </m:oMath>
      <w:r>
        <w:t xml:space="preserve">) increases each quarter, and the amount of time before (or after) the introduction of ChatGPT is interacted with the exposure score </w:t>
      </w:r>
      <m:oMath>
        <m:sSub>
          <m:sSubPr>
            <m:ctrlPr>
              <w:rPr>
                <w:rFonts w:ascii="Cambria Math" w:hAnsi="Cambria Math"/>
              </w:rPr>
            </m:ctrlPr>
          </m:sSubPr>
          <m:e>
            <m:r>
              <w:rPr>
                <w:rFonts w:ascii="Cambria Math" w:hAnsi="Cambria Math"/>
              </w:rPr>
              <m:t>s</m:t>
            </m:r>
          </m:e>
          <m:sub>
            <m:r>
              <w:rPr>
                <w:rFonts w:ascii="Cambria Math" w:hAnsi="Cambria Math"/>
              </w:rPr>
              <m:t>i</m:t>
            </m:r>
          </m:sub>
        </m:sSub>
      </m:oMath>
      <w:r>
        <w:t xml:space="preserve"> of each occupation so that the effect captured by </w:t>
      </w:r>
      <m:oMath>
        <m:sSub>
          <m:sSubPr>
            <m:ctrlPr>
              <w:rPr>
                <w:rFonts w:ascii="Cambria Math" w:hAnsi="Cambria Math"/>
              </w:rPr>
            </m:ctrlPr>
          </m:sSubPr>
          <m:e>
            <m:r>
              <w:rPr>
                <w:rFonts w:ascii="Cambria Math" w:hAnsi="Cambria Math"/>
              </w:rPr>
              <m:t>β</m:t>
            </m:r>
          </m:e>
          <m:sub>
            <m:r>
              <w:rPr>
                <w:rFonts w:ascii="Cambria Math" w:hAnsi="Cambria Math"/>
              </w:rPr>
              <m:t>pre</m:t>
            </m:r>
          </m:sub>
        </m:sSub>
      </m:oMath>
      <w:r>
        <w:t xml:space="preserve"> (or </w:t>
      </w:r>
      <m:oMath>
        <m:sSub>
          <m:sSubPr>
            <m:ctrlPr>
              <w:rPr>
                <w:rFonts w:ascii="Cambria Math" w:hAnsi="Cambria Math"/>
              </w:rPr>
            </m:ctrlPr>
          </m:sSubPr>
          <m:e>
            <m:r>
              <w:rPr>
                <w:rFonts w:ascii="Cambria Math" w:hAnsi="Cambria Math"/>
              </w:rPr>
              <m:t>β</m:t>
            </m:r>
          </m:e>
          <m:sub>
            <m:r>
              <w:rPr>
                <w:rFonts w:ascii="Cambria Math" w:hAnsi="Cambria Math"/>
              </w:rPr>
              <m:t>post</m:t>
            </m:r>
          </m:sub>
        </m:sSub>
      </m:oMath>
      <w:r>
        <w:t xml:space="preserve"> respectively) increases with both exposure and with the passage of time. Whereas </w:t>
      </w:r>
      <m:oMath>
        <m:sSub>
          <m:sSubPr>
            <m:ctrlPr>
              <w:rPr>
                <w:rFonts w:ascii="Cambria Math" w:hAnsi="Cambria Math"/>
              </w:rPr>
            </m:ctrlPr>
          </m:sSubPr>
          <m:e>
            <m:r>
              <w:rPr>
                <w:rFonts w:ascii="Cambria Math" w:hAnsi="Cambria Math"/>
              </w:rPr>
              <m:t>γ</m:t>
            </m:r>
          </m:e>
          <m:sub>
            <m:r>
              <w:rPr>
                <w:rFonts w:ascii="Cambria Math" w:hAnsi="Cambria Math"/>
              </w:rPr>
              <m:t>t</m:t>
            </m:r>
          </m:sub>
        </m:sSub>
      </m:oMath>
      <w:r>
        <w:t xml:space="preserve"> captures overall growth in employment across all occupations, the </w:t>
      </w:r>
      <m:oMath>
        <m:r>
          <w:rPr>
            <w:rFonts w:ascii="Cambria Math" w:hAnsi="Cambria Math"/>
          </w:rPr>
          <m:t>β</m:t>
        </m:r>
      </m:oMath>
      <w:r>
        <w:t xml:space="preserve"> terms interact time with AI automation exposure scores to capture the extent to which differences in exposure across occupations explains varying employment growth in each of these periods.</w:t>
      </w:r>
    </w:p>
    <w:p w14:paraId="518D1C57" w14:textId="77777777" w:rsidR="001B7662" w:rsidRDefault="00A208A5">
      <w:pPr>
        <w:pStyle w:val="BodyText"/>
      </w:pPr>
      <w:r>
        <w:t xml:space="preserve">The </w:t>
      </w:r>
      <m:oMath>
        <m:sSub>
          <m:sSubPr>
            <m:ctrlPr>
              <w:rPr>
                <w:rFonts w:ascii="Cambria Math" w:hAnsi="Cambria Math"/>
              </w:rPr>
            </m:ctrlPr>
          </m:sSubPr>
          <m:e>
            <m:r>
              <w:rPr>
                <w:rFonts w:ascii="Cambria Math" w:hAnsi="Cambria Math"/>
              </w:rPr>
              <m:t>β</m:t>
            </m:r>
          </m:e>
          <m:sub>
            <m:r>
              <w:rPr>
                <w:rFonts w:ascii="Cambria Math" w:hAnsi="Cambria Math"/>
              </w:rPr>
              <m:t>shift</m:t>
            </m:r>
          </m:sub>
        </m:sSub>
      </m:oMath>
      <w:r>
        <w:t xml:space="preserve"> term captures any step-change in employment levels correlated to AI exposure that occurred at the introduction of ChatGPT and persisted. This represents any immediate and persistent deviation related to AI exposure, something which may not occur if the employment response is more gradual due to AI capabilities changing over time or employers taking time to adopt AI and adjust staffing. This differs from the gradual per-quarter effects of </w:t>
      </w:r>
      <m:oMath>
        <m:sSub>
          <m:sSubPr>
            <m:ctrlPr>
              <w:rPr>
                <w:rFonts w:ascii="Cambria Math" w:hAnsi="Cambria Math"/>
              </w:rPr>
            </m:ctrlPr>
          </m:sSubPr>
          <m:e>
            <m:r>
              <w:rPr>
                <w:rFonts w:ascii="Cambria Math" w:hAnsi="Cambria Math"/>
              </w:rPr>
              <m:t>β</m:t>
            </m:r>
          </m:e>
          <m:sub>
            <m:r>
              <w:rPr>
                <w:rFonts w:ascii="Cambria Math" w:hAnsi="Cambria Math"/>
              </w:rPr>
              <m:t>pre</m:t>
            </m:r>
          </m:sub>
        </m:sSub>
      </m:oMath>
      <w:r>
        <w:t xml:space="preserve"> and </w:t>
      </w:r>
      <m:oMath>
        <m:sSub>
          <m:sSubPr>
            <m:ctrlPr>
              <w:rPr>
                <w:rFonts w:ascii="Cambria Math" w:hAnsi="Cambria Math"/>
              </w:rPr>
            </m:ctrlPr>
          </m:sSubPr>
          <m:e>
            <m:r>
              <w:rPr>
                <w:rFonts w:ascii="Cambria Math" w:hAnsi="Cambria Math"/>
              </w:rPr>
              <m:t>β</m:t>
            </m:r>
          </m:e>
          <m:sub>
            <m:r>
              <w:rPr>
                <w:rFonts w:ascii="Cambria Math" w:hAnsi="Cambria Math"/>
              </w:rPr>
              <m:t>post</m:t>
            </m:r>
          </m:sub>
        </m:sSub>
      </m:oMath>
      <w:r>
        <w:t xml:space="preserve"> which interact through duration of time from the exposure event at November 2022.</w:t>
      </w:r>
    </w:p>
    <w:p w14:paraId="518D1C58" w14:textId="77777777" w:rsidR="001B7662" w:rsidRDefault="00A208A5">
      <w:pPr>
        <w:pStyle w:val="BodyText"/>
      </w:pPr>
      <w:r>
        <w:t xml:space="preserve">While it does not appear directly in the core model equation, our </w:t>
      </w:r>
      <w:r>
        <w:rPr>
          <w:b/>
          <w:bCs/>
        </w:rPr>
        <w:t>key parameter of interest</w:t>
      </w:r>
      <w:r>
        <w:t xml:space="preserve"> is</w:t>
      </w:r>
    </w:p>
    <w:p w14:paraId="518D1C59" w14:textId="77777777" w:rsidR="001B7662" w:rsidRDefault="00A208A5">
      <w:pPr>
        <w:pStyle w:val="BodyText"/>
      </w:pPr>
      <m:oMathPara>
        <m:oMathParaPr>
          <m:jc m:val="center"/>
        </m:oMathParaPr>
        <m:oMath>
          <m:r>
            <w:rPr>
              <w:rFonts w:ascii="Cambria Math" w:hAnsi="Cambria Math"/>
            </w:rPr>
            <m:t>Δβ</m:t>
          </m:r>
          <m:box>
            <m:boxPr>
              <m:opEmu m:val="1"/>
              <m:ctrlPr>
                <w:rPr>
                  <w:rFonts w:ascii="Cambria Math" w:hAnsi="Cambria Math"/>
                </w:rPr>
              </m:ctrlPr>
            </m:boxPr>
            <m:e>
              <m:r>
                <m:rPr>
                  <m:sty m:val="p"/>
                </m:rPr>
                <w:rPr>
                  <w:rFonts w:ascii="Cambria Math" w:hAnsi="Cambria Math"/>
                </w:rPr>
                <m:t>:=</m:t>
              </m:r>
            </m:e>
          </m:box>
          <m:sSub>
            <m:sSubPr>
              <m:ctrlPr>
                <w:rPr>
                  <w:rFonts w:ascii="Cambria Math" w:hAnsi="Cambria Math"/>
                </w:rPr>
              </m:ctrlPr>
            </m:sSubPr>
            <m:e>
              <m:r>
                <w:rPr>
                  <w:rFonts w:ascii="Cambria Math" w:hAnsi="Cambria Math"/>
                </w:rPr>
                <m:t>β</m:t>
              </m:r>
            </m:e>
            <m:sub>
              <m:r>
                <w:rPr>
                  <w:rFonts w:ascii="Cambria Math" w:hAnsi="Cambria Math"/>
                </w:rPr>
                <m:t>post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pre</m:t>
              </m:r>
            </m:sub>
          </m:sSub>
        </m:oMath>
      </m:oMathPara>
    </w:p>
    <w:p w14:paraId="518D1C5A" w14:textId="77777777" w:rsidR="001B7662" w:rsidRDefault="00A208A5">
      <m:oMath>
        <m:r>
          <w:rPr>
            <w:rFonts w:ascii="Cambria Math" w:hAnsi="Cambria Math"/>
          </w:rPr>
          <m:t>Δβ</m:t>
        </m:r>
      </m:oMath>
      <w:r>
        <w:t xml:space="preserve"> tells us whether the relationship between AI exposure and employment changed after November 2022. It is designed to answer the question: </w:t>
      </w:r>
      <w:r>
        <w:rPr>
          <w:b/>
          <w:bCs/>
        </w:rPr>
        <w:t>did occupations with higher AI exposure start growing more slowly after ChatGPT than occupations with lower AI exposure, relative to their previous relationship?</w:t>
      </w:r>
    </w:p>
    <w:p w14:paraId="518D1C5B" w14:textId="77777777" w:rsidR="001B7662" w:rsidRDefault="00A208A5">
      <w:pPr>
        <w:pStyle w:val="BodyText"/>
      </w:pPr>
      <w:r>
        <w:t>The model assumes that, without ChatGPT, the earlier relationship between occupations’ exposure and employment growth would have continued.</w:t>
      </w:r>
      <w:r>
        <w:rPr>
          <w:rStyle w:val="FootnoteReference"/>
        </w:rPr>
        <w:footnoteReference w:id="104"/>
      </w:r>
      <w:r>
        <w:t xml:space="preserve"> Under that assumption, </w:t>
      </w:r>
      <m:oMath>
        <m:r>
          <w:rPr>
            <w:rFonts w:ascii="Cambria Math" w:hAnsi="Cambria Math"/>
          </w:rPr>
          <m:t>Δβ</m:t>
        </m:r>
      </m:oMath>
      <w:r>
        <w:t xml:space="preserve"> measures the post-ChatGPT shift in employment growth associated with AI exposure.</w:t>
      </w:r>
    </w:p>
    <w:p w14:paraId="518D1C5C" w14:textId="77777777" w:rsidR="001B7662" w:rsidRDefault="00A208A5">
      <w:pPr>
        <w:pStyle w:val="BodyText"/>
      </w:pPr>
      <w:r>
        <w:t xml:space="preserve">If </w:t>
      </w:r>
      <m:oMath>
        <m:r>
          <w:rPr>
            <w:rFonts w:ascii="Cambria Math" w:hAnsi="Cambria Math"/>
          </w:rPr>
          <m:t>Δβ</m:t>
        </m:r>
      </m:oMath>
      <w:r>
        <w:t xml:space="preserve"> is positive, employment growth since November 2022 has favoured higher exposure occupations more than in the past. If </w:t>
      </w:r>
      <m:oMath>
        <m:r>
          <w:rPr>
            <w:rFonts w:ascii="Cambria Math" w:hAnsi="Cambria Math"/>
          </w:rPr>
          <m:t>Δβ</m:t>
        </m:r>
      </m:oMath>
      <w:r>
        <w:t xml:space="preserve"> is negative, employment growth since November 2022 has favoured lower exposure occupations more than in the past. If </w:t>
      </w:r>
      <m:oMath>
        <m:r>
          <w:rPr>
            <w:rFonts w:ascii="Cambria Math" w:hAnsi="Cambria Math"/>
          </w:rPr>
          <m:t>Δβ</m:t>
        </m:r>
      </m:oMath>
      <w:r>
        <w:t xml:space="preserve"> is not statistically significant, then the relationship between AI exposure and employment growth since November 2022 is unchanged from the pre-ChatGPT trend.</w:t>
      </w:r>
    </w:p>
    <w:p w14:paraId="518D1C5D" w14:textId="77777777" w:rsidR="001B7662" w:rsidRDefault="00A208A5">
      <w:pPr>
        <w:pStyle w:val="BodyText"/>
      </w:pPr>
      <w:r>
        <w:t xml:space="preserve">As the exposure scores </w:t>
      </w:r>
      <m:oMath>
        <m:sSub>
          <m:sSubPr>
            <m:ctrlPr>
              <w:rPr>
                <w:rFonts w:ascii="Cambria Math" w:hAnsi="Cambria Math"/>
              </w:rPr>
            </m:ctrlPr>
          </m:sSubPr>
          <m:e>
            <m:r>
              <w:rPr>
                <w:rFonts w:ascii="Cambria Math" w:hAnsi="Cambria Math"/>
              </w:rPr>
              <m:t>s</m:t>
            </m:r>
          </m:e>
          <m:sub>
            <m:r>
              <w:rPr>
                <w:rFonts w:ascii="Cambria Math" w:hAnsi="Cambria Math"/>
              </w:rPr>
              <m:t>i</m:t>
            </m:r>
          </m:sub>
        </m:sSub>
      </m:oMath>
      <w:r>
        <w:t xml:space="preserve"> are standardised with mean 0 and standard deviation 1, these estimated coefficients should be interpreted as dose-response effects rather than a binary treatment effect. That is, a more highly exposed occupation is expected in the model to have an amplified employment effect compared to a moderately exposed occupation. A negative </w:t>
      </w:r>
      <m:oMath>
        <m:r>
          <w:rPr>
            <w:rFonts w:ascii="Cambria Math" w:hAnsi="Cambria Math"/>
          </w:rPr>
          <m:t>Δβ</m:t>
        </m:r>
      </m:oMath>
      <w:r>
        <w:t xml:space="preserve"> could arise if higher exposure occupations had declining employment growth, if lower exposure occupations had increasing employment growth, or a combination of these outcomes.</w:t>
      </w:r>
    </w:p>
    <w:p w14:paraId="518D1C5E" w14:textId="77777777" w:rsidR="001B7662" w:rsidRDefault="00A208A5">
      <w:pPr>
        <w:pStyle w:val="Heading3"/>
      </w:pPr>
      <w:bookmarkStart w:id="210" w:name="relation-to-causal-frameworks"/>
      <w:r>
        <w:t>Relation to causal frameworks</w:t>
      </w:r>
    </w:p>
    <w:p w14:paraId="518D1C5F" w14:textId="77777777" w:rsidR="001B7662" w:rsidRDefault="00A208A5">
      <w:r>
        <w:t xml:space="preserve">The </w:t>
      </w:r>
      <w:r>
        <w:rPr>
          <w:b/>
          <w:bCs/>
        </w:rPr>
        <w:t>core model equation</w:t>
      </w:r>
      <w:r>
        <w:t xml:space="preserve"> is not a standard causal framework, but it is closely related to two established frameworks in the literature: ‘difference-in-difference with continuous treatment’, and ‘interrupted time-series’.</w:t>
      </w:r>
    </w:p>
    <w:p w14:paraId="518D1C60" w14:textId="77777777" w:rsidR="001B7662" w:rsidRDefault="00A208A5">
      <w:pPr>
        <w:pStyle w:val="BodyText"/>
      </w:pPr>
      <w:r>
        <w:t xml:space="preserve">A two-way fixed effects difference-in-difference (DiD) with continuous treatment design typically includes group fixed effects, time fixed effects and a continuous treatment (exposure) variable </w:t>
      </w:r>
      <w:r>
        <w:lastRenderedPageBreak/>
        <w:t xml:space="preserve">interacted with a treatment dummy (in our case </w:t>
      </w:r>
      <m:oMath>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Pos</m:t>
        </m:r>
        <m:sSub>
          <m:sSubPr>
            <m:ctrlPr>
              <w:rPr>
                <w:rFonts w:ascii="Cambria Math" w:hAnsi="Cambria Math"/>
              </w:rPr>
            </m:ctrlPr>
          </m:sSubPr>
          <m:e>
            <m:r>
              <w:rPr>
                <w:rFonts w:ascii="Cambria Math" w:hAnsi="Cambria Math"/>
              </w:rPr>
              <m:t>t</m:t>
            </m:r>
          </m:e>
          <m:sub>
            <m:r>
              <w:rPr>
                <w:rFonts w:ascii="Cambria Math" w:hAnsi="Cambria Math"/>
              </w:rPr>
              <m:t>t</m:t>
            </m:r>
          </m:sub>
        </m:sSub>
      </m:oMath>
      <w:r>
        <w:t xml:space="preserve"> and the related coefficient </w:t>
      </w:r>
      <m:oMath>
        <m:sSub>
          <m:sSubPr>
            <m:ctrlPr>
              <w:rPr>
                <w:rFonts w:ascii="Cambria Math" w:hAnsi="Cambria Math"/>
              </w:rPr>
            </m:ctrlPr>
          </m:sSubPr>
          <m:e>
            <m:r>
              <w:rPr>
                <w:rFonts w:ascii="Cambria Math" w:hAnsi="Cambria Math"/>
              </w:rPr>
              <m:t>β</m:t>
            </m:r>
          </m:e>
          <m:sub>
            <m:r>
              <w:rPr>
                <w:rFonts w:ascii="Cambria Math" w:hAnsi="Cambria Math"/>
              </w:rPr>
              <m:t>shift</m:t>
            </m:r>
          </m:sub>
        </m:sSub>
      </m:oMath>
      <w:r>
        <w:t>). It is designed to identify the effect per unit of treatment across the whole treatment period, relative to pre-treatment.</w:t>
      </w:r>
      <w:r>
        <w:rPr>
          <w:rStyle w:val="FootnoteReference"/>
        </w:rPr>
        <w:footnoteReference w:id="105"/>
      </w:r>
      <w:r>
        <w:t xml:space="preserve"> Dropping the </w:t>
      </w:r>
      <m:oMath>
        <m:sSub>
          <m:sSubPr>
            <m:ctrlPr>
              <w:rPr>
                <w:rFonts w:ascii="Cambria Math" w:hAnsi="Cambria Math"/>
              </w:rPr>
            </m:ctrlPr>
          </m:sSubPr>
          <m:e>
            <m:r>
              <w:rPr>
                <w:rFonts w:ascii="Cambria Math" w:hAnsi="Cambria Math"/>
              </w:rPr>
              <m:t>β</m:t>
            </m:r>
          </m:e>
          <m:sub>
            <m:r>
              <w:rPr>
                <w:rFonts w:ascii="Cambria Math" w:hAnsi="Cambria Math"/>
              </w:rPr>
              <m:t>pre</m:t>
            </m:r>
          </m:sub>
        </m:sSub>
      </m:oMath>
      <w:r>
        <w:t xml:space="preserve"> and </w:t>
      </w:r>
      <m:oMath>
        <m:sSub>
          <m:sSubPr>
            <m:ctrlPr>
              <w:rPr>
                <w:rFonts w:ascii="Cambria Math" w:hAnsi="Cambria Math"/>
              </w:rPr>
            </m:ctrlPr>
          </m:sSubPr>
          <m:e>
            <m:r>
              <w:rPr>
                <w:rFonts w:ascii="Cambria Math" w:hAnsi="Cambria Math"/>
              </w:rPr>
              <m:t>β</m:t>
            </m:r>
          </m:e>
          <m:sub>
            <m:r>
              <w:rPr>
                <w:rFonts w:ascii="Cambria Math" w:hAnsi="Cambria Math"/>
              </w:rPr>
              <m:t>post</m:t>
            </m:r>
          </m:sub>
        </m:sSub>
      </m:oMath>
      <w:r>
        <w:t xml:space="preserve"> terms from our core model equation would reduce to this framework, and would be appropriate if we thought that AI exposure was likely to impact exposed occupations uniformly over time after the introduction of ChatGPT.</w:t>
      </w:r>
    </w:p>
    <w:p w14:paraId="518D1C61" w14:textId="77777777" w:rsidR="001B7662" w:rsidRDefault="00A208A5">
      <w:pPr>
        <w:pStyle w:val="BodyText"/>
      </w:pPr>
      <w:r>
        <w:t xml:space="preserve">However, technological change can impact labour markets more gradually. Our </w:t>
      </w:r>
      <w:r>
        <w:rPr>
          <w:b/>
          <w:bCs/>
        </w:rPr>
        <w:t>core question</w:t>
      </w:r>
      <w:r>
        <w:t xml:space="preserve"> asks about the change in rate of growth, rather than the absolute level of employment. So </w:t>
      </w:r>
      <w:proofErr w:type="gramStart"/>
      <w:r>
        <w:t>similar to</w:t>
      </w:r>
      <w:proofErr w:type="gramEnd"/>
      <w:r>
        <w:t xml:space="preserve"> the interrupted time series framework we allow for not only a level shift (</w:t>
      </w:r>
      <m:oMath>
        <m:sSub>
          <m:sSubPr>
            <m:ctrlPr>
              <w:rPr>
                <w:rFonts w:ascii="Cambria Math" w:hAnsi="Cambria Math"/>
              </w:rPr>
            </m:ctrlPr>
          </m:sSubPr>
          <m:e>
            <m:r>
              <w:rPr>
                <w:rFonts w:ascii="Cambria Math" w:hAnsi="Cambria Math"/>
              </w:rPr>
              <m:t>β</m:t>
            </m:r>
          </m:e>
          <m:sub>
            <m:r>
              <w:rPr>
                <w:rFonts w:ascii="Cambria Math" w:hAnsi="Cambria Math"/>
              </w:rPr>
              <m:t>shift</m:t>
            </m:r>
          </m:sub>
        </m:sSub>
      </m:oMath>
      <w:r>
        <w:t>) but also estimate pre-trend (</w:t>
      </w:r>
      <m:oMath>
        <m:sSub>
          <m:sSubPr>
            <m:ctrlPr>
              <w:rPr>
                <w:rFonts w:ascii="Cambria Math" w:hAnsi="Cambria Math"/>
              </w:rPr>
            </m:ctrlPr>
          </m:sSubPr>
          <m:e>
            <m:r>
              <w:rPr>
                <w:rFonts w:ascii="Cambria Math" w:hAnsi="Cambria Math"/>
              </w:rPr>
              <m:t>β</m:t>
            </m:r>
          </m:e>
          <m:sub>
            <m:r>
              <w:rPr>
                <w:rFonts w:ascii="Cambria Math" w:hAnsi="Cambria Math"/>
              </w:rPr>
              <m:t>pre</m:t>
            </m:r>
          </m:sub>
        </m:sSub>
      </m:oMath>
      <w:r>
        <w:t>) and post-trend (</w:t>
      </w:r>
      <m:oMath>
        <m:sSub>
          <m:sSubPr>
            <m:ctrlPr>
              <w:rPr>
                <w:rFonts w:ascii="Cambria Math" w:hAnsi="Cambria Math"/>
              </w:rPr>
            </m:ctrlPr>
          </m:sSubPr>
          <m:e>
            <m:r>
              <w:rPr>
                <w:rFonts w:ascii="Cambria Math" w:hAnsi="Cambria Math"/>
              </w:rPr>
              <m:t>β</m:t>
            </m:r>
          </m:e>
          <m:sub>
            <m:r>
              <w:rPr>
                <w:rFonts w:ascii="Cambria Math" w:hAnsi="Cambria Math"/>
              </w:rPr>
              <m:t>post</m:t>
            </m:r>
          </m:sub>
        </m:sSub>
      </m:oMath>
      <w:r>
        <w:t xml:space="preserve">) terms and consider how these trends have changed. Whereas interrupted time series methods typically look at the disruption for just one or two time series, we have a time-series for each occupation. The identification using these trend terms comes from how the cross-occupation relationship between employment and the time-invariant exposure score </w:t>
      </w:r>
      <m:oMath>
        <m:sSub>
          <m:sSubPr>
            <m:ctrlPr>
              <w:rPr>
                <w:rFonts w:ascii="Cambria Math" w:hAnsi="Cambria Math"/>
              </w:rPr>
            </m:ctrlPr>
          </m:sSubPr>
          <m:e>
            <m:r>
              <w:rPr>
                <w:rFonts w:ascii="Cambria Math" w:hAnsi="Cambria Math"/>
              </w:rPr>
              <m:t>s</m:t>
            </m:r>
          </m:e>
          <m:sub>
            <m:r>
              <w:rPr>
                <w:rFonts w:ascii="Cambria Math" w:hAnsi="Cambria Math"/>
              </w:rPr>
              <m:t>i</m:t>
            </m:r>
          </m:sub>
        </m:sSub>
      </m:oMath>
      <w:r>
        <w:t xml:space="preserve">. The difference in trends </w:t>
      </w:r>
      <m:oMath>
        <m:r>
          <w:rPr>
            <w:rFonts w:ascii="Cambria Math" w:hAnsi="Cambria Math"/>
          </w:rPr>
          <m:t>Δβ</m:t>
        </m:r>
      </m:oMath>
      <w:r>
        <w:t xml:space="preserve"> is our key coefficient of interest.</w:t>
      </w:r>
    </w:p>
    <w:p w14:paraId="518D1C62" w14:textId="77777777" w:rsidR="001B7662" w:rsidRDefault="00A208A5">
      <w:pPr>
        <w:pStyle w:val="BodyText"/>
      </w:pPr>
      <w:r>
        <w:t xml:space="preserve">Our specification is therefore best understood as a </w:t>
      </w:r>
      <w:r>
        <w:rPr>
          <w:b/>
          <w:bCs/>
        </w:rPr>
        <w:t>structural break in the exposure–employment growth gradient</w:t>
      </w:r>
      <w:r>
        <w:t xml:space="preserve"> rather than a canonical treated/untreated DiD, or even as a continuous treatment DiD. While it is not strictly a DiD identification, the identifying assumptions from these frameworks are informative.</w:t>
      </w:r>
    </w:p>
    <w:p w14:paraId="518D1C63" w14:textId="666A858C" w:rsidR="001B7662" w:rsidRDefault="00A208A5">
      <w:pPr>
        <w:pStyle w:val="BodyText"/>
      </w:pPr>
      <w:r>
        <w:t xml:space="preserve">In the presence of continuous variation in treatment exposure, the standard DiD parallel trends assumption needs to be modified to account for varying treatment intensities. We call this assumption parallel trends conditional upon exposure. In essence, the requirement is that if occupations with some exposure level </w:t>
      </w:r>
      <m:oMath>
        <m:r>
          <w:rPr>
            <w:rFonts w:ascii="Cambria Math" w:hAnsi="Cambria Math"/>
          </w:rPr>
          <m:t>s</m:t>
        </m:r>
      </m:oMath>
      <w:r>
        <w:t xml:space="preserve"> were instead exposed with intensity </w:t>
      </w:r>
      <m:oMath>
        <m:sSup>
          <m:sSupPr>
            <m:ctrlPr>
              <w:rPr>
                <w:rFonts w:ascii="Cambria Math" w:hAnsi="Cambria Math"/>
              </w:rPr>
            </m:ctrlPr>
          </m:sSupPr>
          <m:e>
            <m:r>
              <w:rPr>
                <w:rFonts w:ascii="Cambria Math" w:hAnsi="Cambria Math"/>
              </w:rPr>
              <m:t>s</m:t>
            </m:r>
          </m:e>
          <m:sup>
            <m:r>
              <m:rPr>
                <m:sty m:val="p"/>
              </m:rPr>
              <w:rPr>
                <w:rFonts w:ascii="Cambria Math" w:hAnsi="Cambria Math"/>
              </w:rPr>
              <m:t>'</m:t>
            </m:r>
          </m:sup>
        </m:sSup>
      </m:oMath>
      <w:r>
        <w:t xml:space="preserve"> then the change in outcome should be expected to be the same as the change which </w:t>
      </w:r>
      <w:proofErr w:type="gramStart"/>
      <w:r>
        <w:t>actually occurred</w:t>
      </w:r>
      <w:proofErr w:type="gramEnd"/>
      <w:r>
        <w:t xml:space="preserve"> for occupations exposed with intensity </w:t>
      </w:r>
      <m:oMath>
        <m:sSup>
          <m:sSupPr>
            <m:ctrlPr>
              <w:rPr>
                <w:rFonts w:ascii="Cambria Math" w:hAnsi="Cambria Math"/>
              </w:rPr>
            </m:ctrlPr>
          </m:sSupPr>
          <m:e>
            <m:r>
              <w:rPr>
                <w:rFonts w:ascii="Cambria Math" w:hAnsi="Cambria Math"/>
              </w:rPr>
              <m:t>s</m:t>
            </m:r>
          </m:e>
          <m:sup>
            <m:r>
              <m:rPr>
                <m:sty m:val="p"/>
              </m:rPr>
              <w:rPr>
                <w:rFonts w:ascii="Cambria Math" w:hAnsi="Cambria Math"/>
              </w:rPr>
              <m:t>'</m:t>
            </m:r>
          </m:sup>
        </m:sSup>
      </m:oMath>
      <w:r>
        <w:t xml:space="preserve">. This is a strong assumption and means that there are no confounding trends unrelated to AI exposure which differentially impact employment levels and that effect sizes depend on the treatment exposure. While not an exhaustive list of possible confounders, two potential confounding trends are the impacts of </w:t>
      </w:r>
      <w:hyperlink w:anchor="sec-robust-covid">
        <w:r>
          <w:rPr>
            <w:rStyle w:val="Hyperlink"/>
          </w:rPr>
          <w:t>COVID</w:t>
        </w:r>
      </w:hyperlink>
      <w:r>
        <w:t xml:space="preserve"> and the </w:t>
      </w:r>
      <w:hyperlink w:anchor="sec-robust-buscycle">
        <w:r>
          <w:rPr>
            <w:rStyle w:val="Hyperlink"/>
          </w:rPr>
          <w:t>business cycle</w:t>
        </w:r>
      </w:hyperlink>
      <w:r>
        <w:t>, each of which we do robustness testing for.</w:t>
      </w:r>
    </w:p>
    <w:p w14:paraId="518D1C64" w14:textId="77777777" w:rsidR="001B7662" w:rsidRDefault="00A208A5">
      <w:pPr>
        <w:pStyle w:val="Heading2"/>
      </w:pPr>
      <w:bookmarkStart w:id="211" w:name="_Toc232612110"/>
      <w:bookmarkStart w:id="212" w:name="what-the-core-model-finds"/>
      <w:bookmarkEnd w:id="209"/>
      <w:bookmarkEnd w:id="210"/>
      <w:r>
        <w:t>What the core model finds</w:t>
      </w:r>
      <w:bookmarkEnd w:id="211"/>
    </w:p>
    <w:p w14:paraId="518D1C65" w14:textId="22B77721" w:rsidR="001B7662" w:rsidRDefault="00A208A5">
      <w:r>
        <w:t xml:space="preserve">Our core model shows that </w:t>
      </w:r>
      <w:r>
        <w:rPr>
          <w:b/>
          <w:bCs/>
        </w:rPr>
        <w:t>since the introduction of ChatGPT employment growth has favoured less-exposed occupations more than in the past</w:t>
      </w:r>
      <w:r>
        <w:t xml:space="preserve">. The key coefficient of interest </w:t>
      </w:r>
      <m:oMath>
        <m:r>
          <w:rPr>
            <w:rFonts w:ascii="Cambria Math" w:hAnsi="Cambria Math"/>
          </w:rPr>
          <m:t>Δβ</m:t>
        </m:r>
      </m:oMath>
      <w:r>
        <w:t xml:space="preserve"> as estimated in the core model is negative and statistically significant at the 5% level (Table </w:t>
      </w:r>
      <w:hyperlink w:anchor="core-mod-table" w:history="1">
        <w:r>
          <w:fldChar w:fldCharType="begin"/>
        </w:r>
        <w:r>
          <w:instrText xml:space="preserve"> REF core-mod-table \h</w:instrText>
        </w:r>
        <w:r>
          <w:fldChar w:fldCharType="separate"/>
        </w:r>
        <w:r w:rsidR="00082F4E">
          <w:rPr>
            <w:noProof/>
          </w:rPr>
          <w:t>4</w:t>
        </w:r>
        <w:r>
          <w:fldChar w:fldCharType="end"/>
        </w:r>
      </w:hyperlink>
      <w:r>
        <w:t>). However, the estimated effect is small in magnitude and is sensitive to some modelling choices and the choice of exposure measure.</w:t>
      </w:r>
    </w:p>
    <w:p w14:paraId="518D1C66" w14:textId="77777777" w:rsidR="001B7662" w:rsidRDefault="00A208A5">
      <w:pPr>
        <w:pStyle w:val="BodyText"/>
      </w:pPr>
      <w:r>
        <w:t>Our model framework focuses on the difference between the pre-treatment effect and the post-treatment effect. We find that the pre-treatment coefficient (</w:t>
      </w:r>
      <m:oMath>
        <m:sSub>
          <m:sSubPr>
            <m:ctrlPr>
              <w:rPr>
                <w:rFonts w:ascii="Cambria Math" w:hAnsi="Cambria Math"/>
              </w:rPr>
            </m:ctrlPr>
          </m:sSubPr>
          <m:e>
            <m:r>
              <w:rPr>
                <w:rFonts w:ascii="Cambria Math" w:hAnsi="Cambria Math"/>
              </w:rPr>
              <m:t>β</m:t>
            </m:r>
          </m:e>
          <m:sub>
            <m:r>
              <w:rPr>
                <w:rFonts w:ascii="Cambria Math" w:hAnsi="Cambria Math"/>
              </w:rPr>
              <m:t>pre</m:t>
            </m:r>
          </m:sub>
        </m:sSub>
      </m:oMath>
      <w:r>
        <w:t>) is statistically insignificant, suggesting no detectable pre-existing relationship between JSA automation exposure and employment growth in the pre-treatment period. This provides some reassurance that the post-treatment result (</w:t>
      </w:r>
      <m:oMath>
        <m:sSub>
          <m:sSubPr>
            <m:ctrlPr>
              <w:rPr>
                <w:rFonts w:ascii="Cambria Math" w:hAnsi="Cambria Math"/>
              </w:rPr>
            </m:ctrlPr>
          </m:sSubPr>
          <m:e>
            <m:r>
              <w:rPr>
                <w:rFonts w:ascii="Cambria Math" w:hAnsi="Cambria Math"/>
              </w:rPr>
              <m:t>β</m:t>
            </m:r>
          </m:e>
          <m:sub>
            <m:r>
              <w:rPr>
                <w:rFonts w:ascii="Cambria Math" w:hAnsi="Cambria Math"/>
              </w:rPr>
              <m:t>post</m:t>
            </m:r>
          </m:sub>
        </m:sSub>
      </m:oMath>
      <w:r>
        <w:t xml:space="preserve">) is not simply continuing an obvious pre-existing exposure-related employment trend. The difference captured by </w:t>
      </w:r>
      <m:oMath>
        <m:r>
          <w:rPr>
            <w:rFonts w:ascii="Cambria Math" w:hAnsi="Cambria Math"/>
          </w:rPr>
          <m:t>Δβ</m:t>
        </m:r>
      </m:oMath>
      <w:r>
        <w:t xml:space="preserve"> is therefore almost entirely due to the emergence of a negative and statistically significant post-treatment per-quarter effect of exposure dosage on employment (</w:t>
      </w:r>
      <m:oMath>
        <m:sSub>
          <m:sSubPr>
            <m:ctrlPr>
              <w:rPr>
                <w:rFonts w:ascii="Cambria Math" w:hAnsi="Cambria Math"/>
              </w:rPr>
            </m:ctrlPr>
          </m:sSubPr>
          <m:e>
            <m:r>
              <w:rPr>
                <w:rFonts w:ascii="Cambria Math" w:hAnsi="Cambria Math"/>
              </w:rPr>
              <m:t>β</m:t>
            </m:r>
          </m:e>
          <m:sub>
            <m:r>
              <w:rPr>
                <w:rFonts w:ascii="Cambria Math" w:hAnsi="Cambria Math"/>
              </w:rPr>
              <m:t>post</m:t>
            </m:r>
          </m:sub>
        </m:sSub>
      </m:oMath>
      <w:r>
        <w:t>).</w:t>
      </w:r>
    </w:p>
    <w:p w14:paraId="518D1C67" w14:textId="15959004" w:rsidR="001B7662" w:rsidRDefault="00A208A5">
      <w:pPr>
        <w:pStyle w:val="TableCaption"/>
      </w:pPr>
      <w:r>
        <w:t xml:space="preserve">Table  </w:t>
      </w:r>
      <w:bookmarkStart w:id="213" w:name="core-mod-table"/>
      <w:r>
        <w:fldChar w:fldCharType="begin"/>
      </w:r>
      <w:r>
        <w:instrText>SEQ tab \* Arabic</w:instrText>
      </w:r>
      <w:r>
        <w:fldChar w:fldCharType="separate"/>
      </w:r>
      <w:r w:rsidR="00082F4E">
        <w:rPr>
          <w:noProof/>
        </w:rPr>
        <w:t>4</w:t>
      </w:r>
      <w:r>
        <w:fldChar w:fldCharType="end"/>
      </w:r>
      <w:bookmarkEnd w:id="213"/>
      <w:r>
        <w:t>: Core model coefficients</w:t>
      </w:r>
    </w:p>
    <w:tbl>
      <w:tblPr>
        <w:tblStyle w:val="DESE"/>
        <w:tblW w:w="5000" w:type="pct"/>
        <w:jc w:val="center"/>
        <w:tblLook w:val="0420" w:firstRow="1" w:lastRow="0" w:firstColumn="0" w:lastColumn="0" w:noHBand="0" w:noVBand="1"/>
      </w:tblPr>
      <w:tblGrid>
        <w:gridCol w:w="1462"/>
        <w:gridCol w:w="1401"/>
        <w:gridCol w:w="1732"/>
        <w:gridCol w:w="1729"/>
        <w:gridCol w:w="1088"/>
        <w:gridCol w:w="1650"/>
      </w:tblGrid>
      <w:tr w:rsidR="001B7662" w14:paraId="518D1C6E" w14:textId="77777777" w:rsidTr="001B7662">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518D1C68" w14:textId="77777777" w:rsidR="001B7662" w:rsidRDefault="00A208A5">
            <w:r>
              <w:t>Parameter</w:t>
            </w:r>
          </w:p>
        </w:tc>
        <w:tc>
          <w:tcPr>
            <w:tcW w:w="0" w:type="auto"/>
          </w:tcPr>
          <w:p w14:paraId="518D1C69" w14:textId="77777777" w:rsidR="001B7662" w:rsidRDefault="00A208A5">
            <w:r>
              <w:t>Estimate</w:t>
            </w:r>
          </w:p>
        </w:tc>
        <w:tc>
          <w:tcPr>
            <w:tcW w:w="0" w:type="auto"/>
          </w:tcPr>
          <w:p w14:paraId="518D1C6A" w14:textId="77777777" w:rsidR="001B7662" w:rsidRDefault="00A208A5">
            <w:r>
              <w:t>Lower bound</w:t>
            </w:r>
          </w:p>
        </w:tc>
        <w:tc>
          <w:tcPr>
            <w:tcW w:w="0" w:type="auto"/>
          </w:tcPr>
          <w:p w14:paraId="518D1C6B" w14:textId="77777777" w:rsidR="001B7662" w:rsidRDefault="00A208A5">
            <w:r>
              <w:t>Upper bound</w:t>
            </w:r>
          </w:p>
        </w:tc>
        <w:tc>
          <w:tcPr>
            <w:tcW w:w="0" w:type="auto"/>
          </w:tcPr>
          <w:p w14:paraId="518D1C6C" w14:textId="77777777" w:rsidR="001B7662" w:rsidRDefault="00A208A5">
            <w:r>
              <w:t>P value</w:t>
            </w:r>
          </w:p>
        </w:tc>
        <w:tc>
          <w:tcPr>
            <w:tcW w:w="0" w:type="auto"/>
          </w:tcPr>
          <w:p w14:paraId="518D1C6D" w14:textId="77777777" w:rsidR="001B7662" w:rsidRDefault="00A208A5">
            <w:r>
              <w:t>Significance</w:t>
            </w:r>
          </w:p>
        </w:tc>
      </w:tr>
      <w:tr w:rsidR="001B7662" w14:paraId="518D1C75" w14:textId="77777777">
        <w:trPr>
          <w:jc w:val="center"/>
        </w:trPr>
        <w:tc>
          <w:tcPr>
            <w:tcW w:w="0" w:type="auto"/>
          </w:tcPr>
          <w:p w14:paraId="518D1C6F" w14:textId="77777777" w:rsidR="001B7662" w:rsidRDefault="00A208A5">
            <w:r>
              <w:t>βpost</w:t>
            </w:r>
          </w:p>
        </w:tc>
        <w:tc>
          <w:tcPr>
            <w:tcW w:w="0" w:type="auto"/>
          </w:tcPr>
          <w:p w14:paraId="518D1C70" w14:textId="77777777" w:rsidR="001B7662" w:rsidRDefault="00A208A5">
            <w:r>
              <w:t>-0.001381</w:t>
            </w:r>
          </w:p>
        </w:tc>
        <w:tc>
          <w:tcPr>
            <w:tcW w:w="0" w:type="auto"/>
          </w:tcPr>
          <w:p w14:paraId="518D1C71" w14:textId="77777777" w:rsidR="001B7662" w:rsidRDefault="00A208A5">
            <w:r>
              <w:t>-0.0027</w:t>
            </w:r>
          </w:p>
        </w:tc>
        <w:tc>
          <w:tcPr>
            <w:tcW w:w="0" w:type="auto"/>
          </w:tcPr>
          <w:p w14:paraId="518D1C72" w14:textId="77777777" w:rsidR="001B7662" w:rsidRDefault="00A208A5">
            <w:r>
              <w:t>-0.000046</w:t>
            </w:r>
          </w:p>
        </w:tc>
        <w:tc>
          <w:tcPr>
            <w:tcW w:w="0" w:type="auto"/>
          </w:tcPr>
          <w:p w14:paraId="518D1C73" w14:textId="77777777" w:rsidR="001B7662" w:rsidRDefault="00A208A5">
            <w:r>
              <w:t>0.043</w:t>
            </w:r>
          </w:p>
        </w:tc>
        <w:tc>
          <w:tcPr>
            <w:tcW w:w="0" w:type="auto"/>
          </w:tcPr>
          <w:p w14:paraId="518D1C74" w14:textId="77777777" w:rsidR="001B7662" w:rsidRDefault="00A208A5">
            <w:r>
              <w:t>*</w:t>
            </w:r>
          </w:p>
        </w:tc>
      </w:tr>
      <w:tr w:rsidR="001B7662" w14:paraId="518D1C7C" w14:textId="77777777">
        <w:trPr>
          <w:jc w:val="center"/>
        </w:trPr>
        <w:tc>
          <w:tcPr>
            <w:tcW w:w="0" w:type="auto"/>
          </w:tcPr>
          <w:p w14:paraId="518D1C76" w14:textId="77777777" w:rsidR="001B7662" w:rsidRDefault="00A208A5">
            <w:r>
              <w:lastRenderedPageBreak/>
              <w:t>βpre</w:t>
            </w:r>
          </w:p>
        </w:tc>
        <w:tc>
          <w:tcPr>
            <w:tcW w:w="0" w:type="auto"/>
          </w:tcPr>
          <w:p w14:paraId="518D1C77" w14:textId="77777777" w:rsidR="001B7662" w:rsidRDefault="00A208A5">
            <w:r>
              <w:t>0.000037</w:t>
            </w:r>
          </w:p>
        </w:tc>
        <w:tc>
          <w:tcPr>
            <w:tcW w:w="0" w:type="auto"/>
          </w:tcPr>
          <w:p w14:paraId="518D1C78" w14:textId="77777777" w:rsidR="001B7662" w:rsidRDefault="00A208A5">
            <w:r>
              <w:t>-0.0011</w:t>
            </w:r>
          </w:p>
        </w:tc>
        <w:tc>
          <w:tcPr>
            <w:tcW w:w="0" w:type="auto"/>
          </w:tcPr>
          <w:p w14:paraId="518D1C79" w14:textId="77777777" w:rsidR="001B7662" w:rsidRDefault="00A208A5">
            <w:r>
              <w:t>0.001198</w:t>
            </w:r>
          </w:p>
        </w:tc>
        <w:tc>
          <w:tcPr>
            <w:tcW w:w="0" w:type="auto"/>
          </w:tcPr>
          <w:p w14:paraId="518D1C7A" w14:textId="77777777" w:rsidR="001B7662" w:rsidRDefault="00A208A5">
            <w:r>
              <w:t>0.951</w:t>
            </w:r>
          </w:p>
        </w:tc>
        <w:tc>
          <w:tcPr>
            <w:tcW w:w="0" w:type="auto"/>
          </w:tcPr>
          <w:p w14:paraId="518D1C7B" w14:textId="77777777" w:rsidR="001B7662" w:rsidRDefault="001B7662"/>
        </w:tc>
      </w:tr>
      <w:tr w:rsidR="001B7662" w14:paraId="518D1C83" w14:textId="77777777">
        <w:trPr>
          <w:jc w:val="center"/>
        </w:trPr>
        <w:tc>
          <w:tcPr>
            <w:tcW w:w="0" w:type="auto"/>
          </w:tcPr>
          <w:p w14:paraId="518D1C7D" w14:textId="77777777" w:rsidR="001B7662" w:rsidRDefault="00A208A5">
            <w:r>
              <w:t>βshift</w:t>
            </w:r>
          </w:p>
        </w:tc>
        <w:tc>
          <w:tcPr>
            <w:tcW w:w="0" w:type="auto"/>
          </w:tcPr>
          <w:p w14:paraId="518D1C7E" w14:textId="77777777" w:rsidR="001B7662" w:rsidRDefault="00A208A5">
            <w:r>
              <w:t>-0.001191</w:t>
            </w:r>
          </w:p>
        </w:tc>
        <w:tc>
          <w:tcPr>
            <w:tcW w:w="0" w:type="auto"/>
          </w:tcPr>
          <w:p w14:paraId="518D1C7F" w14:textId="77777777" w:rsidR="001B7662" w:rsidRDefault="00A208A5">
            <w:r>
              <w:t>-0.0176</w:t>
            </w:r>
          </w:p>
        </w:tc>
        <w:tc>
          <w:tcPr>
            <w:tcW w:w="0" w:type="auto"/>
          </w:tcPr>
          <w:p w14:paraId="518D1C80" w14:textId="77777777" w:rsidR="001B7662" w:rsidRDefault="00A208A5">
            <w:r>
              <w:t>0.015211</w:t>
            </w:r>
          </w:p>
        </w:tc>
        <w:tc>
          <w:tcPr>
            <w:tcW w:w="0" w:type="auto"/>
          </w:tcPr>
          <w:p w14:paraId="518D1C81" w14:textId="77777777" w:rsidR="001B7662" w:rsidRDefault="00A208A5">
            <w:r>
              <w:t>0.887</w:t>
            </w:r>
          </w:p>
        </w:tc>
        <w:tc>
          <w:tcPr>
            <w:tcW w:w="0" w:type="auto"/>
          </w:tcPr>
          <w:p w14:paraId="518D1C82" w14:textId="77777777" w:rsidR="001B7662" w:rsidRDefault="001B7662"/>
        </w:tc>
      </w:tr>
      <w:tr w:rsidR="001B7662" w14:paraId="518D1C8A" w14:textId="77777777">
        <w:trPr>
          <w:jc w:val="center"/>
        </w:trPr>
        <w:tc>
          <w:tcPr>
            <w:tcW w:w="0" w:type="auto"/>
          </w:tcPr>
          <w:p w14:paraId="518D1C84" w14:textId="77777777" w:rsidR="001B7662" w:rsidRDefault="00A208A5">
            <w:r>
              <w:t>∆β</w:t>
            </w:r>
          </w:p>
        </w:tc>
        <w:tc>
          <w:tcPr>
            <w:tcW w:w="0" w:type="auto"/>
          </w:tcPr>
          <w:p w14:paraId="518D1C85" w14:textId="77777777" w:rsidR="001B7662" w:rsidRDefault="00A208A5">
            <w:r>
              <w:t>-0.001418</w:t>
            </w:r>
          </w:p>
        </w:tc>
        <w:tc>
          <w:tcPr>
            <w:tcW w:w="0" w:type="auto"/>
          </w:tcPr>
          <w:p w14:paraId="518D1C86" w14:textId="77777777" w:rsidR="001B7662" w:rsidRDefault="00A208A5">
            <w:r>
              <w:t>-0.0026</w:t>
            </w:r>
          </w:p>
        </w:tc>
        <w:tc>
          <w:tcPr>
            <w:tcW w:w="0" w:type="auto"/>
          </w:tcPr>
          <w:p w14:paraId="518D1C87" w14:textId="77777777" w:rsidR="001B7662" w:rsidRDefault="00A208A5">
            <w:r>
              <w:t>-0.000239</w:t>
            </w:r>
          </w:p>
        </w:tc>
        <w:tc>
          <w:tcPr>
            <w:tcW w:w="0" w:type="auto"/>
          </w:tcPr>
          <w:p w14:paraId="518D1C88" w14:textId="77777777" w:rsidR="001B7662" w:rsidRDefault="00A208A5">
            <w:r>
              <w:t>0.018</w:t>
            </w:r>
          </w:p>
        </w:tc>
        <w:tc>
          <w:tcPr>
            <w:tcW w:w="0" w:type="auto"/>
          </w:tcPr>
          <w:p w14:paraId="518D1C89" w14:textId="77777777" w:rsidR="001B7662" w:rsidRDefault="00A208A5">
            <w:r>
              <w:t>*</w:t>
            </w:r>
          </w:p>
        </w:tc>
      </w:tr>
    </w:tbl>
    <w:p w14:paraId="518D1C8B" w14:textId="77777777" w:rsidR="001B7662" w:rsidRDefault="00A208A5" w:rsidP="005E2159">
      <w:pPr>
        <w:pStyle w:val="BodyText"/>
        <w:spacing w:after="0"/>
      </w:pPr>
      <w:r>
        <w:rPr>
          <w:rFonts w:eastAsia="Aptos Display" w:cs="Aptos Display"/>
          <w:i/>
          <w:color w:val="000000"/>
          <w:sz w:val="16"/>
          <w:szCs w:val="16"/>
        </w:rPr>
        <w:t>Note: Lower and upper bounds are 95% confidence intervals using the model’s clustered standard errors.</w:t>
      </w:r>
    </w:p>
    <w:p w14:paraId="518D1C8C" w14:textId="77777777" w:rsidR="001B7662" w:rsidRDefault="00A208A5">
      <w:pPr>
        <w:pStyle w:val="BodyText"/>
      </w:pPr>
      <w:r>
        <w:rPr>
          <w:rFonts w:eastAsia="Aptos Display" w:cs="Aptos Display"/>
          <w:i/>
          <w:color w:val="000000"/>
          <w:sz w:val="16"/>
          <w:szCs w:val="16"/>
        </w:rPr>
        <w:t>Sources: ABS Labour Force (Detailed), JSA (2025a) and DEWR calculations.</w:t>
      </w:r>
    </w:p>
    <w:p w14:paraId="518D1C8D" w14:textId="0CC789C0" w:rsidR="001B7662" w:rsidRDefault="00A208A5">
      <w:pPr>
        <w:pStyle w:val="BodyText"/>
      </w:pPr>
      <w:r>
        <w:t xml:space="preserve">Recall that the </w:t>
      </w:r>
      <m:oMath>
        <m:sSub>
          <m:sSubPr>
            <m:ctrlPr>
              <w:rPr>
                <w:rFonts w:ascii="Cambria Math" w:hAnsi="Cambria Math"/>
              </w:rPr>
            </m:ctrlPr>
          </m:sSubPr>
          <m:e>
            <m:r>
              <w:rPr>
                <w:rFonts w:ascii="Cambria Math" w:hAnsi="Cambria Math"/>
              </w:rPr>
              <m:t>β</m:t>
            </m:r>
          </m:e>
          <m:sub>
            <m:r>
              <w:rPr>
                <w:rFonts w:ascii="Cambria Math" w:hAnsi="Cambria Math"/>
              </w:rPr>
              <m:t>shift</m:t>
            </m:r>
          </m:sub>
        </m:sSub>
      </m:oMath>
      <w:r>
        <w:t xml:space="preserve"> parameter captured the instant and persistent impact of AI exposure on employment from the introduction of ChatGPT. Our model estimate of </w:t>
      </w:r>
      <m:oMath>
        <m:sSub>
          <m:sSubPr>
            <m:ctrlPr>
              <w:rPr>
                <w:rFonts w:ascii="Cambria Math" w:hAnsi="Cambria Math"/>
              </w:rPr>
            </m:ctrlPr>
          </m:sSubPr>
          <m:e>
            <m:r>
              <w:rPr>
                <w:rFonts w:ascii="Cambria Math" w:hAnsi="Cambria Math"/>
              </w:rPr>
              <m:t>β</m:t>
            </m:r>
          </m:e>
          <m:sub>
            <m:r>
              <w:rPr>
                <w:rFonts w:ascii="Cambria Math" w:hAnsi="Cambria Math"/>
              </w:rPr>
              <m:t>shift</m:t>
            </m:r>
          </m:sub>
        </m:sSub>
      </m:oMath>
      <w:r>
        <w:t xml:space="preserve"> is small and not statistically significant, consistent with an employment response that is gradual over time rather than a sudden and persistent deviation in headcount. It may appear to be of a similar magnitude as </w:t>
      </w:r>
      <m:oMath>
        <m:r>
          <w:rPr>
            <w:rFonts w:ascii="Cambria Math" w:hAnsi="Cambria Math"/>
          </w:rPr>
          <m:t>Δβ</m:t>
        </m:r>
      </m:oMath>
      <w:r>
        <w:t xml:space="preserve"> and </w:t>
      </w:r>
      <m:oMath>
        <m:sSub>
          <m:sSubPr>
            <m:ctrlPr>
              <w:rPr>
                <w:rFonts w:ascii="Cambria Math" w:hAnsi="Cambria Math"/>
              </w:rPr>
            </m:ctrlPr>
          </m:sSubPr>
          <m:e>
            <m:r>
              <w:rPr>
                <w:rFonts w:ascii="Cambria Math" w:hAnsi="Cambria Math"/>
              </w:rPr>
              <m:t>β</m:t>
            </m:r>
          </m:e>
          <m:sub>
            <m:r>
              <w:rPr>
                <w:rFonts w:ascii="Cambria Math" w:hAnsi="Cambria Math"/>
              </w:rPr>
              <m:t>post</m:t>
            </m:r>
          </m:sub>
        </m:sSub>
      </m:oMath>
      <w:r>
        <w:t xml:space="preserve"> in Table </w:t>
      </w:r>
      <w:hyperlink w:anchor="core-mod-table" w:history="1">
        <w:r>
          <w:fldChar w:fldCharType="begin"/>
        </w:r>
        <w:r>
          <w:instrText xml:space="preserve"> REF core-mod-table \h</w:instrText>
        </w:r>
        <w:r>
          <w:fldChar w:fldCharType="separate"/>
        </w:r>
        <w:r w:rsidR="00082F4E">
          <w:rPr>
            <w:noProof/>
          </w:rPr>
          <w:t>4</w:t>
        </w:r>
        <w:r>
          <w:fldChar w:fldCharType="end"/>
        </w:r>
      </w:hyperlink>
      <w:r>
        <w:t xml:space="preserve">, but these other terms are gradient effects which accumulate every quarter. With 13 post-treatment quarters, the total impact of </w:t>
      </w:r>
      <m:oMath>
        <m:sSub>
          <m:sSubPr>
            <m:ctrlPr>
              <w:rPr>
                <w:rFonts w:ascii="Cambria Math" w:hAnsi="Cambria Math"/>
              </w:rPr>
            </m:ctrlPr>
          </m:sSubPr>
          <m:e>
            <m:r>
              <w:rPr>
                <w:rFonts w:ascii="Cambria Math" w:hAnsi="Cambria Math"/>
              </w:rPr>
              <m:t>β</m:t>
            </m:r>
          </m:e>
          <m:sub>
            <m:r>
              <w:rPr>
                <w:rFonts w:ascii="Cambria Math" w:hAnsi="Cambria Math"/>
              </w:rPr>
              <m:t>post</m:t>
            </m:r>
          </m:sub>
        </m:sSub>
      </m:oMath>
      <w:r>
        <w:t xml:space="preserve"> that would apply in the final quarter is considerably larger.</w:t>
      </w:r>
    </w:p>
    <w:p w14:paraId="518D1C8E" w14:textId="77777777" w:rsidR="001B7662" w:rsidRDefault="00A208A5">
      <w:pPr>
        <w:pStyle w:val="Heading2"/>
      </w:pPr>
      <w:bookmarkStart w:id="214" w:name="_Toc232612111"/>
      <w:bookmarkStart w:id="215" w:name="model-limitations"/>
      <w:bookmarkEnd w:id="212"/>
      <w:r>
        <w:t>Model limitations</w:t>
      </w:r>
      <w:bookmarkEnd w:id="214"/>
    </w:p>
    <w:p w14:paraId="518D1C8F" w14:textId="77777777" w:rsidR="001B7662" w:rsidRDefault="00A208A5">
      <w:r>
        <w:t>Like any model, this approach relies on certain assumptions. If these do not hold, the model may give misleading results.</w:t>
      </w:r>
    </w:p>
    <w:p w14:paraId="518D1C90" w14:textId="77777777" w:rsidR="001B7662" w:rsidRDefault="00A208A5">
      <w:pPr>
        <w:pStyle w:val="Heading4"/>
      </w:pPr>
      <w:bookmarkStart w:id="216" w:name="validity-of-exposure-scores"/>
      <w:r>
        <w:t>Validity of exposure scores</w:t>
      </w:r>
    </w:p>
    <w:p w14:paraId="518D1C91" w14:textId="127B6537" w:rsidR="001B7662" w:rsidRDefault="00A208A5">
      <w:r>
        <w:t xml:space="preserve">The main model relies on AI automation exposure scores, which are an LLM-based assessment of automatability of occupations (JSA 2025a). If this measure of AI automatability is not valid, then our identification strategy would be unsuitable. The limitations of JSA’s approach to assigning exposure scores are discussed more in </w:t>
      </w:r>
      <w:hyperlink w:anchor="appendix-a">
        <w:r>
          <w:rPr>
            <w:rStyle w:val="Hyperlink"/>
          </w:rPr>
          <w:t>Appendix A</w:t>
        </w:r>
      </w:hyperlink>
      <w:r>
        <w:t xml:space="preserve"> on page </w:t>
      </w:r>
      <w:r>
        <w:fldChar w:fldCharType="begin"/>
      </w:r>
      <w:r>
        <w:instrText>PAGEREF appendix-a \h</w:instrText>
      </w:r>
      <w:r>
        <w:fldChar w:fldCharType="separate"/>
      </w:r>
      <w:r w:rsidR="00082F4E">
        <w:rPr>
          <w:noProof/>
        </w:rPr>
        <w:t>63</w:t>
      </w:r>
      <w:r>
        <w:fldChar w:fldCharType="end"/>
      </w:r>
      <w:r>
        <w:t xml:space="preserve">, but importantly they capture potential exposure rather than focusing on implemented usage in automation. To partially assess the sensitivity to the scores assigned by JSA we include some robustness tests which instead use </w:t>
      </w:r>
      <w:hyperlink w:anchor="sec-alt-exposure">
        <w:r>
          <w:rPr>
            <w:rStyle w:val="Hyperlink"/>
          </w:rPr>
          <w:t>alternative measures of occupational exposure</w:t>
        </w:r>
      </w:hyperlink>
      <w:r>
        <w:t xml:space="preserve"> to AI automation.</w:t>
      </w:r>
    </w:p>
    <w:p w14:paraId="518D1C92" w14:textId="77777777" w:rsidR="001B7662" w:rsidRDefault="00A208A5">
      <w:pPr>
        <w:pStyle w:val="Heading4"/>
      </w:pPr>
      <w:bookmarkStart w:id="217" w:name="linear-response-with-increasing-exposure"/>
      <w:bookmarkEnd w:id="216"/>
      <w:r>
        <w:t>Linear response with increasing exposure</w:t>
      </w:r>
    </w:p>
    <w:p w14:paraId="518D1C93" w14:textId="77777777" w:rsidR="001B7662" w:rsidRDefault="00A208A5">
      <w:r>
        <w:t xml:space="preserve">The </w:t>
      </w:r>
      <m:oMath>
        <m:sSub>
          <m:sSubPr>
            <m:ctrlPr>
              <w:rPr>
                <w:rFonts w:ascii="Cambria Math" w:hAnsi="Cambria Math"/>
              </w:rPr>
            </m:ctrlPr>
          </m:sSubPr>
          <m:e>
            <m:r>
              <w:rPr>
                <w:rFonts w:ascii="Cambria Math" w:hAnsi="Cambria Math"/>
              </w:rPr>
              <m:t>β</m:t>
            </m:r>
          </m:e>
          <m:sub>
            <m:r>
              <w:rPr>
                <w:rFonts w:ascii="Cambria Math" w:hAnsi="Cambria Math"/>
              </w:rPr>
              <m:t>pre</m:t>
            </m:r>
          </m:sub>
        </m:sSub>
      </m:oMath>
      <w:r>
        <w:t xml:space="preserve"> and </w:t>
      </w:r>
      <m:oMath>
        <m:sSub>
          <m:sSubPr>
            <m:ctrlPr>
              <w:rPr>
                <w:rFonts w:ascii="Cambria Math" w:hAnsi="Cambria Math"/>
              </w:rPr>
            </m:ctrlPr>
          </m:sSubPr>
          <m:e>
            <m:r>
              <w:rPr>
                <w:rFonts w:ascii="Cambria Math" w:hAnsi="Cambria Math"/>
              </w:rPr>
              <m:t>β</m:t>
            </m:r>
          </m:e>
          <m:sub>
            <m:r>
              <w:rPr>
                <w:rFonts w:ascii="Cambria Math" w:hAnsi="Cambria Math"/>
              </w:rPr>
              <m:t>post</m:t>
            </m:r>
          </m:sub>
        </m:sSub>
      </m:oMath>
      <w:r>
        <w:t xml:space="preserve"> terms in our model interact linearly with continuous exposure scores </w:t>
      </w:r>
      <m:oMath>
        <m:sSub>
          <m:sSubPr>
            <m:ctrlPr>
              <w:rPr>
                <w:rFonts w:ascii="Cambria Math" w:hAnsi="Cambria Math"/>
              </w:rPr>
            </m:ctrlPr>
          </m:sSubPr>
          <m:e>
            <m:r>
              <w:rPr>
                <w:rFonts w:ascii="Cambria Math" w:hAnsi="Cambria Math"/>
              </w:rPr>
              <m:t>s</m:t>
            </m:r>
          </m:e>
          <m:sub>
            <m:r>
              <w:rPr>
                <w:rFonts w:ascii="Cambria Math" w:hAnsi="Cambria Math"/>
              </w:rPr>
              <m:t>i</m:t>
            </m:r>
          </m:sub>
        </m:sSub>
      </m:oMath>
      <w:r>
        <w:t>, reflecting an expectation that more exposed occupations may be more affected, an approach which is common in the literature.</w:t>
      </w:r>
      <w:r>
        <w:rPr>
          <w:rStyle w:val="FootnoteReference"/>
        </w:rPr>
        <w:footnoteReference w:id="106"/>
      </w:r>
      <w:r>
        <w:t xml:space="preserve"> The model treats AI exposure as a scale, not a binary yes/no categorisation. It asks whether occupations with higher exposure scores experienced larger employment change.</w:t>
      </w:r>
    </w:p>
    <w:p w14:paraId="518D1C94" w14:textId="4641131C" w:rsidR="001B7662" w:rsidRDefault="00A208A5">
      <w:pPr>
        <w:pStyle w:val="BodyText"/>
      </w:pPr>
      <w:r>
        <w:t xml:space="preserve">This dose-response setup of the model exploits continuous variation in exposure scores, but also means there is no binary assignment of treated and untreated occupations. In the case that only very highly exposed occupations have their employment impacted, this would contribute to the estimated dosage-response effect, but without identifying the relevant dosage threshold. The model estimates the change in the </w:t>
      </w:r>
      <w:r>
        <w:rPr>
          <w:i/>
          <w:iCs/>
        </w:rPr>
        <w:t>relative</w:t>
      </w:r>
      <w:r>
        <w:t xml:space="preserve"> employment across occupations with different levels of exposure. If the introduction of generative AI tools has had a uniform effect across occupations, the model approach will not detect this. While not part of our modelling approach, our descriptive indicators track some potential impacts of AI that might affect jobs in the ANZSCO classification equally, such as </w:t>
      </w:r>
      <w:hyperlink w:anchor="sec-youth">
        <w:r>
          <w:rPr>
            <w:rStyle w:val="Hyperlink"/>
          </w:rPr>
          <w:t>youth labour market outcomes</w:t>
        </w:r>
      </w:hyperlink>
      <w:r>
        <w:t xml:space="preserve"> on page </w:t>
      </w:r>
      <w:r>
        <w:fldChar w:fldCharType="begin"/>
      </w:r>
      <w:r>
        <w:instrText>PAGEREF sec-youth \h</w:instrText>
      </w:r>
      <w:r>
        <w:fldChar w:fldCharType="separate"/>
      </w:r>
      <w:r w:rsidR="00082F4E">
        <w:rPr>
          <w:noProof/>
        </w:rPr>
        <w:t>20</w:t>
      </w:r>
      <w:r>
        <w:fldChar w:fldCharType="end"/>
      </w:r>
      <w:r>
        <w:t>.</w:t>
      </w:r>
    </w:p>
    <w:p w14:paraId="518D1C95" w14:textId="77777777" w:rsidR="001B7662" w:rsidRDefault="00A208A5">
      <w:pPr>
        <w:pStyle w:val="Heading4"/>
      </w:pPr>
      <w:bookmarkStart w:id="218" w:name="risk-of-confounding-trends"/>
      <w:bookmarkEnd w:id="217"/>
      <w:r>
        <w:lastRenderedPageBreak/>
        <w:t>Risk of confounding trends</w:t>
      </w:r>
    </w:p>
    <w:p w14:paraId="518D1C96" w14:textId="61A20DD9" w:rsidR="001B7662" w:rsidRDefault="00A208A5">
      <w:r>
        <w:t xml:space="preserve">We assume parallel trends conditional upon exposure. In other words, we assume that the relationship between AI exposure and employment growth across occupations would have remained unchanged if AI tools had not been introduced. This requires that there are no confounding trends unrelated to AI exposure. This is a strong assumption and could easily be violated by trends that existed before the introduction of ChatGPT and persisted, or trends that emerged after ChatGPT. If there are confounding trends which are correlated with AI exposure, they will be detected by the model and misattributed to the </w:t>
      </w:r>
      <w:proofErr w:type="gramStart"/>
      <w:r>
        <w:t>terms</w:t>
      </w:r>
      <w:proofErr w:type="gramEnd"/>
      <w:r>
        <w:t xml:space="preserve"> sensitive to AI exposure. While not an exhaustive list, compositional change favouring non-routine tasks, changes in migration, sectoral demand, business cycle effects and working from home adoption are potential confounding factors. With the data we have available, we design robustness tests to assess for potential confounding by </w:t>
      </w:r>
      <w:hyperlink w:anchor="sec-robust-%20buscycle">
        <w:r>
          <w:rPr>
            <w:rStyle w:val="Hyperlink"/>
          </w:rPr>
          <w:t>business cycle effects</w:t>
        </w:r>
      </w:hyperlink>
      <w:r>
        <w:t xml:space="preserve"> and </w:t>
      </w:r>
      <w:hyperlink w:anchor="sec-robust-covid">
        <w:r>
          <w:rPr>
            <w:rStyle w:val="Hyperlink"/>
          </w:rPr>
          <w:t>COVID-19</w:t>
        </w:r>
      </w:hyperlink>
      <w:r>
        <w:t>.</w:t>
      </w:r>
    </w:p>
    <w:p w14:paraId="518D1C97" w14:textId="77777777" w:rsidR="001B7662" w:rsidRDefault="00A208A5">
      <w:pPr>
        <w:pStyle w:val="Heading2"/>
      </w:pPr>
      <w:bookmarkStart w:id="219" w:name="_Toc232612112"/>
      <w:bookmarkStart w:id="220" w:name="appendix-event-study"/>
      <w:bookmarkEnd w:id="215"/>
      <w:bookmarkEnd w:id="218"/>
      <w:r>
        <w:t>The event study model</w:t>
      </w:r>
      <w:bookmarkEnd w:id="219"/>
    </w:p>
    <w:p w14:paraId="518D1C98" w14:textId="77777777" w:rsidR="001B7662" w:rsidRDefault="00A208A5">
      <w:r>
        <w:t>Our core model assumes that the relationship between employment and AI exposure has a consistent relationship over time in the pre-treatment period (</w:t>
      </w:r>
      <m:oMath>
        <m:sSub>
          <m:sSubPr>
            <m:ctrlPr>
              <w:rPr>
                <w:rFonts w:ascii="Cambria Math" w:hAnsi="Cambria Math"/>
              </w:rPr>
            </m:ctrlPr>
          </m:sSubPr>
          <m:e>
            <m:r>
              <w:rPr>
                <w:rFonts w:ascii="Cambria Math" w:hAnsi="Cambria Math"/>
              </w:rPr>
              <m:t>β</m:t>
            </m:r>
          </m:e>
          <m:sub>
            <m:r>
              <w:rPr>
                <w:rFonts w:ascii="Cambria Math" w:hAnsi="Cambria Math"/>
              </w:rPr>
              <m:t>pre</m:t>
            </m:r>
          </m:sub>
        </m:sSub>
      </m:oMath>
      <w:r>
        <w:t>), and a consistent relationship over time in the post-treatment period (</w:t>
      </w:r>
      <m:oMath>
        <m:sSub>
          <m:sSubPr>
            <m:ctrlPr>
              <w:rPr>
                <w:rFonts w:ascii="Cambria Math" w:hAnsi="Cambria Math"/>
              </w:rPr>
            </m:ctrlPr>
          </m:sSubPr>
          <m:e>
            <m:r>
              <w:rPr>
                <w:rFonts w:ascii="Cambria Math" w:hAnsi="Cambria Math"/>
              </w:rPr>
              <m:t>β</m:t>
            </m:r>
          </m:e>
          <m:sub>
            <m:r>
              <w:rPr>
                <w:rFonts w:ascii="Cambria Math" w:hAnsi="Cambria Math"/>
              </w:rPr>
              <m:t>post</m:t>
            </m:r>
          </m:sub>
        </m:sSub>
      </m:oMath>
      <w:r>
        <w:t>), as well as a discontinuity (</w:t>
      </w:r>
      <m:oMath>
        <m:sSub>
          <m:sSubPr>
            <m:ctrlPr>
              <w:rPr>
                <w:rFonts w:ascii="Cambria Math" w:hAnsi="Cambria Math"/>
              </w:rPr>
            </m:ctrlPr>
          </m:sSubPr>
          <m:e>
            <m:r>
              <w:rPr>
                <w:rFonts w:ascii="Cambria Math" w:hAnsi="Cambria Math"/>
              </w:rPr>
              <m:t>β</m:t>
            </m:r>
          </m:e>
          <m:sub>
            <m:r>
              <w:rPr>
                <w:rFonts w:ascii="Cambria Math" w:hAnsi="Cambria Math"/>
              </w:rPr>
              <m:t>shift</m:t>
            </m:r>
          </m:sub>
        </m:sSub>
      </m:oMath>
      <w:r>
        <w:t xml:space="preserve">). An advantage of this approach is that change associated with the introduction of ChatGPT can be summarised by just two terms: </w:t>
      </w:r>
      <m:oMath>
        <m:r>
          <w:rPr>
            <w:rFonts w:ascii="Cambria Math" w:hAnsi="Cambria Math"/>
          </w:rPr>
          <m:t>Δβ</m:t>
        </m:r>
      </m:oMath>
      <w:r>
        <w:t xml:space="preserve"> and </w:t>
      </w:r>
      <m:oMath>
        <m:sSub>
          <m:sSubPr>
            <m:ctrlPr>
              <w:rPr>
                <w:rFonts w:ascii="Cambria Math" w:hAnsi="Cambria Math"/>
              </w:rPr>
            </m:ctrlPr>
          </m:sSubPr>
          <m:e>
            <m:r>
              <w:rPr>
                <w:rFonts w:ascii="Cambria Math" w:hAnsi="Cambria Math"/>
              </w:rPr>
              <m:t>β</m:t>
            </m:r>
          </m:e>
          <m:sub>
            <m:r>
              <w:rPr>
                <w:rFonts w:ascii="Cambria Math" w:hAnsi="Cambria Math"/>
              </w:rPr>
              <m:t>shift</m:t>
            </m:r>
          </m:sub>
        </m:sSub>
      </m:oMath>
      <w:r>
        <w:t>.</w:t>
      </w:r>
    </w:p>
    <w:p w14:paraId="518D1C99" w14:textId="77777777" w:rsidR="001B7662" w:rsidRDefault="00A208A5">
      <w:pPr>
        <w:pStyle w:val="BodyText"/>
      </w:pPr>
      <w:r>
        <w:t>A downside is that this assumption may be incorrect, such as if employers anticipated the development of ChatGPT, or had a delayed response. The time-path of response could be complicated, such as an initial response to increase hiring of more automatable roles for the purpose of training AI models, followed by later replacement of automatable roles. Averaging the impacts in the post-treatment period could mask employment reductions if they only arise after some delay.</w:t>
      </w:r>
    </w:p>
    <w:p w14:paraId="518D1C9A" w14:textId="77777777" w:rsidR="001B7662" w:rsidRDefault="00A208A5">
      <w:pPr>
        <w:pStyle w:val="BodyText"/>
      </w:pPr>
      <w:r>
        <w:t>We present an alternative model that allows for the impact of AI exposure to vary over time, before and after the introduction of ChatGPT. It suggests that any negative association between higher AI automation exposure and employment may be concentrated in the more recent data.</w:t>
      </w:r>
    </w:p>
    <w:p w14:paraId="518D1C9B" w14:textId="77777777" w:rsidR="001B7662" w:rsidRDefault="00A208A5">
      <w:pPr>
        <w:pStyle w:val="Heading3"/>
      </w:pPr>
      <w:bookmarkStart w:id="221" w:name="event-study-rationale"/>
      <w:r>
        <w:t>Event study rationale</w:t>
      </w:r>
    </w:p>
    <w:p w14:paraId="518D1C9C" w14:textId="77777777" w:rsidR="001B7662" w:rsidRDefault="00A208A5">
      <w:r>
        <w:t>Allowing the relationship between employment and AI automation exposure to vary will allow us to identify when impacts arise and when they change in magnitude at a finer grain. This may be particularly useful for ongoing monitoring and understanding how the latest data contributes to our overall measured effect. It also allows us to assess the appropriateness of our assumptions around the timing of treatment, parallel trends, and the constant response magnitude.</w:t>
      </w:r>
    </w:p>
    <w:p w14:paraId="518D1C9D" w14:textId="77777777" w:rsidR="001B7662" w:rsidRDefault="00A208A5">
      <w:pPr>
        <w:pStyle w:val="BodyText"/>
      </w:pPr>
      <w:r>
        <w:t xml:space="preserve">There are also some downsides to this approach that should be kept in mind. The impacts in each </w:t>
      </w:r>
      <w:proofErr w:type="gramStart"/>
      <w:r>
        <w:t>time period</w:t>
      </w:r>
      <w:proofErr w:type="gramEnd"/>
      <w:r>
        <w:t xml:space="preserve"> are measured based on the deviation from the </w:t>
      </w:r>
      <w:proofErr w:type="gramStart"/>
      <w:r>
        <w:t>time period</w:t>
      </w:r>
      <w:proofErr w:type="gramEnd"/>
      <w:r>
        <w:t xml:space="preserve"> when ChatGPT was introduced, meaning the reference period is small and results will be sensitive to this choice. We are producing estimates for each time-step, but dividing the data up into many time-periods means each time-step contains only a fraction of the data, so the estimates may be less precise. Because the event study estimates many coefficients, some significant results may occur by chance. We should therefore look for a persistent pattern, not isolated significant quarters.</w:t>
      </w:r>
    </w:p>
    <w:p w14:paraId="518D1C9E" w14:textId="77777777" w:rsidR="001B7662" w:rsidRDefault="00A208A5">
      <w:pPr>
        <w:pStyle w:val="Heading3"/>
      </w:pPr>
      <w:bookmarkStart w:id="222" w:name="event-study-specification"/>
      <w:bookmarkEnd w:id="221"/>
      <w:r>
        <w:t>Event study specification</w:t>
      </w:r>
    </w:p>
    <w:p w14:paraId="518D1C9F" w14:textId="77777777" w:rsidR="001B7662" w:rsidRDefault="00A208A5">
      <w:r>
        <w:t>Our event study uses the same PPML panel model framework as the main model, in which employment levels in each occupation are partially explained by AI automation exposure, as well as time-based effects that are uniform across occupations and occupation-specific factors. The data used is identical to the core model.</w:t>
      </w:r>
    </w:p>
    <w:p w14:paraId="518D1CA0" w14:textId="77777777" w:rsidR="001B7662" w:rsidRDefault="00A208A5">
      <w:pPr>
        <w:pStyle w:val="BodyText"/>
      </w:pPr>
      <w:r>
        <w:lastRenderedPageBreak/>
        <w:t>Where the core model interacts the AI automation exposure score with the amount of time (quarters) before or after the introduction of ChatGPT, the event study model instead interacts exposure with a series of quarter dummies. The quarter which includes the introduction of ChatGPT is considered the reference time-period, with the estimate for other quarters reflecting the deviation from that baseline.</w:t>
      </w:r>
    </w:p>
    <w:p w14:paraId="518D1CA1" w14:textId="77777777" w:rsidR="001B7662" w:rsidRDefault="00A208A5">
      <w:pPr>
        <w:pStyle w:val="BodyText"/>
      </w:pPr>
      <w:r>
        <w:t xml:space="preserve">This setup is summarised in the </w:t>
      </w:r>
      <w:r>
        <w:rPr>
          <w:b/>
          <w:bCs/>
        </w:rPr>
        <w:t>event study equation</w:t>
      </w:r>
      <w:r>
        <w:t xml:space="preserve"> below, where </w:t>
      </w:r>
      <m:oMath>
        <m:r>
          <w:rPr>
            <w:rFonts w:ascii="Cambria Math" w:hAnsi="Cambria Math"/>
          </w:rPr>
          <m:t>T</m:t>
        </m:r>
        <m:r>
          <m:rPr>
            <m:sty m:val="p"/>
          </m:rPr>
          <w:rPr>
            <w:rFonts w:ascii="Cambria Math" w:hAnsi="Cambria Math"/>
          </w:rPr>
          <m:t>∖{</m:t>
        </m:r>
        <m:r>
          <w:rPr>
            <w:rFonts w:ascii="Cambria Math" w:hAnsi="Cambria Math"/>
          </w:rPr>
          <m:t>0</m:t>
        </m:r>
        <m:r>
          <m:rPr>
            <m:sty m:val="p"/>
          </m:rPr>
          <w:rPr>
            <w:rFonts w:ascii="Cambria Math" w:hAnsi="Cambria Math"/>
          </w:rPr>
          <m:t>}</m:t>
        </m:r>
      </m:oMath>
      <w:r>
        <w:t xml:space="preserve"> is the set of all quarters except November 2022 (</w:t>
      </w:r>
      <m:oMath>
        <m:r>
          <w:rPr>
            <w:rFonts w:ascii="Cambria Math" w:hAnsi="Cambria Math"/>
          </w:rPr>
          <m:t>t</m:t>
        </m:r>
        <m:r>
          <m:rPr>
            <m:sty m:val="p"/>
          </m:rPr>
          <w:rPr>
            <w:rFonts w:ascii="Cambria Math" w:hAnsi="Cambria Math"/>
          </w:rPr>
          <m:t>=</m:t>
        </m:r>
        <m:r>
          <w:rPr>
            <w:rFonts w:ascii="Cambria Math" w:hAnsi="Cambria Math"/>
          </w:rPr>
          <m:t>0</m:t>
        </m:r>
      </m:oMath>
      <w:r>
        <w:t>) when ChatGPT was introduced:</w:t>
      </w:r>
    </w:p>
    <w:p w14:paraId="518D1CA2" w14:textId="77777777" w:rsidR="001B7662" w:rsidRDefault="00A208A5">
      <w:pPr>
        <w:pStyle w:val="BodyText"/>
      </w:pPr>
      <m:oMathPara>
        <m:oMathParaPr>
          <m:jc m:val="center"/>
        </m:oMathParaPr>
        <m:oMath>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=exp</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t</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q</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0</m:t>
                  </m:r>
                  <m:r>
                    <m:rPr>
                      <m:sty m:val="p"/>
                    </m:rPr>
                    <w:rPr>
                      <w:rFonts w:ascii="Cambria Math" w:hAnsi="Cambria Math"/>
                    </w:rPr>
                    <m:t>}</m:t>
                  </m:r>
                </m:sub>
                <m:sup>
                  <m:r>
                    <w:rPr>
                      <w:rFonts w:ascii="Cambria Math" w:hAnsi="Cambria Math"/>
                    </w:rPr>
                    <m:t>​</m:t>
                  </m:r>
                </m:sup>
                <m:e>
                  <m:sSub>
                    <m:sSubPr>
                      <m:ctrlPr>
                        <w:rPr>
                          <w:rFonts w:ascii="Cambria Math" w:hAnsi="Cambria Math"/>
                        </w:rPr>
                      </m:ctrlPr>
                    </m:sSubPr>
                    <m:e>
                      <m:r>
                        <w:rPr>
                          <w:rFonts w:ascii="Cambria Math" w:hAnsi="Cambria Math"/>
                        </w:rPr>
                        <m:t>β</m:t>
                      </m:r>
                    </m:e>
                    <m:sub>
                      <m:r>
                        <w:rPr>
                          <w:rFonts w:ascii="Cambria Math" w:hAnsi="Cambria Math"/>
                        </w:rPr>
                        <m:t>q</m:t>
                      </m:r>
                    </m:sub>
                  </m:sSub>
                </m:e>
              </m:nary>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d>
                <m:dPr>
                  <m:begChr m:val="["/>
                  <m:endChr m:val="]"/>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q</m:t>
                  </m:r>
                </m:e>
              </m:d>
            </m:e>
          </m:d>
        </m:oMath>
      </m:oMathPara>
    </w:p>
    <w:p w14:paraId="518D1CA3" w14:textId="77777777" w:rsidR="001B7662" w:rsidRDefault="00A208A5">
      <w:r>
        <w:t xml:space="preserve">This is very similar to the </w:t>
      </w:r>
      <w:r>
        <w:rPr>
          <w:b/>
          <w:bCs/>
        </w:rPr>
        <w:t>core model equation</w:t>
      </w:r>
      <w:r>
        <w:t>, with employment levels (</w:t>
      </w:r>
      <m:oMath>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oMath>
      <w:r>
        <w:t>), occupation fixed effects (</w:t>
      </w:r>
      <m:oMath>
        <m:sSub>
          <m:sSubPr>
            <m:ctrlPr>
              <w:rPr>
                <w:rFonts w:ascii="Cambria Math" w:hAnsi="Cambria Math"/>
              </w:rPr>
            </m:ctrlPr>
          </m:sSubPr>
          <m:e>
            <m:r>
              <w:rPr>
                <w:rFonts w:ascii="Cambria Math" w:hAnsi="Cambria Math"/>
              </w:rPr>
              <m:t>α</m:t>
            </m:r>
          </m:e>
          <m:sub>
            <m:r>
              <w:rPr>
                <w:rFonts w:ascii="Cambria Math" w:hAnsi="Cambria Math"/>
              </w:rPr>
              <m:t>i</m:t>
            </m:r>
          </m:sub>
        </m:sSub>
      </m:oMath>
      <w:r>
        <w:t>) and time fixed effects (</w:t>
      </w:r>
      <m:oMath>
        <m:sSub>
          <m:sSubPr>
            <m:ctrlPr>
              <w:rPr>
                <w:rFonts w:ascii="Cambria Math" w:hAnsi="Cambria Math"/>
              </w:rPr>
            </m:ctrlPr>
          </m:sSubPr>
          <m:e>
            <m:r>
              <w:rPr>
                <w:rFonts w:ascii="Cambria Math" w:hAnsi="Cambria Math"/>
              </w:rPr>
              <m:t>γ</m:t>
            </m:r>
          </m:e>
          <m:sub>
            <m:r>
              <w:rPr>
                <w:rFonts w:ascii="Cambria Math" w:hAnsi="Cambria Math"/>
              </w:rPr>
              <m:t>t</m:t>
            </m:r>
          </m:sub>
        </m:sSub>
      </m:oMath>
      <w:r>
        <w:t xml:space="preserve">) having the same interpretation as before. The quarter dummy for quarter </w:t>
      </w:r>
      <m:oMath>
        <m:r>
          <w:rPr>
            <w:rFonts w:ascii="Cambria Math" w:hAnsi="Cambria Math"/>
          </w:rPr>
          <m:t>q</m:t>
        </m:r>
      </m:oMath>
      <w:r>
        <w:t xml:space="preserve"> is represented with the Iverson bracket notation </w:t>
      </w:r>
      <m:oMath>
        <m:d>
          <m:dPr>
            <m:begChr m:val="["/>
            <m:endChr m:val="]"/>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q</m:t>
            </m:r>
          </m:e>
        </m:d>
      </m:oMath>
      <w:r>
        <w:t xml:space="preserve">, so that </w:t>
      </w:r>
      <m:oMath>
        <m:sSub>
          <m:sSubPr>
            <m:ctrlPr>
              <w:rPr>
                <w:rFonts w:ascii="Cambria Math" w:hAnsi="Cambria Math"/>
              </w:rPr>
            </m:ctrlPr>
          </m:sSubPr>
          <m:e>
            <m:r>
              <w:rPr>
                <w:rFonts w:ascii="Cambria Math" w:hAnsi="Cambria Math"/>
              </w:rPr>
              <m:t>β</m:t>
            </m:r>
          </m:e>
          <m:sub>
            <m:r>
              <w:rPr>
                <w:rFonts w:ascii="Cambria Math" w:hAnsi="Cambria Math"/>
              </w:rPr>
              <m:t>q</m:t>
            </m:r>
          </m:sub>
        </m:sSub>
      </m:oMath>
      <w:r>
        <w:t xml:space="preserve"> captures the employment-exposure interaction only for that quarter. In fact, the sum for a specific quarter reduces to the simplified equation:</w:t>
      </w:r>
    </w:p>
    <w:p w14:paraId="518D1CA4" w14:textId="77777777" w:rsidR="001B7662" w:rsidRDefault="00A208A5">
      <w:pPr>
        <w:pStyle w:val="BodyText"/>
      </w:pPr>
      <m:oMathPara>
        <m:oMathParaPr>
          <m:jc m:val="center"/>
        </m:oMathParaPr>
        <m:oMath>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q</m:t>
              </m:r>
            </m:sub>
          </m:sSub>
          <m:r>
            <m:rPr>
              <m:sty m:val="p"/>
            </m:rPr>
            <w:rPr>
              <w:rFonts w:ascii="Cambria Math" w:hAnsi="Cambria Math"/>
            </w:rPr>
            <m:t>=exp</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q</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q</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e>
          </m:d>
        </m:oMath>
      </m:oMathPara>
    </w:p>
    <w:p w14:paraId="518D1CA5" w14:textId="3B106571" w:rsidR="001B7662" w:rsidRDefault="00A208A5">
      <w:r>
        <w:t xml:space="preserve">Our event study specification is </w:t>
      </w:r>
      <w:proofErr w:type="gramStart"/>
      <w:r>
        <w:t>similar to</w:t>
      </w:r>
      <w:proofErr w:type="gramEnd"/>
      <w:r>
        <w:t xml:space="preserve"> some models used in the international literature concerning the labour market impacts of AI. Klein Teeselink (2025), using UK data, includes an event study model of monthly exposure-related employment effects that is essentially equivalent to our event study equation, however </w:t>
      </w:r>
      <w:r w:rsidR="00420FCD">
        <w:t xml:space="preserve">he </w:t>
      </w:r>
      <w:r>
        <w:t>express</w:t>
      </w:r>
      <w:r w:rsidR="00420FCD">
        <w:t>es</w:t>
      </w:r>
      <w:r>
        <w:t xml:space="preserve"> it in a log-linear form and estimate</w:t>
      </w:r>
      <w:r w:rsidR="00420FCD">
        <w:t>s his</w:t>
      </w:r>
      <w:r>
        <w:t xml:space="preserve"> model using ordinary least squares with fixed effects. Brynjolfsson et al. (2025) also includes a range of similar event study models which they estimate using Poisson panel regressions with fixed effects, though their models are split by age group and use exposure quintiles rather than a continuous measure of exposure.</w:t>
      </w:r>
    </w:p>
    <w:p w14:paraId="518D1CA6" w14:textId="77777777" w:rsidR="001B7662" w:rsidRDefault="00A208A5">
      <w:pPr>
        <w:pStyle w:val="Heading3"/>
      </w:pPr>
      <w:bookmarkStart w:id="223" w:name="event-study-interpretation"/>
      <w:bookmarkEnd w:id="222"/>
      <w:r>
        <w:t>Event study interpretation</w:t>
      </w:r>
    </w:p>
    <w:p w14:paraId="518D1CA7" w14:textId="77777777" w:rsidR="001B7662" w:rsidRDefault="00A208A5">
      <w:r>
        <w:t xml:space="preserve">The key parameters are the </w:t>
      </w:r>
      <m:oMath>
        <m:sSub>
          <m:sSubPr>
            <m:ctrlPr>
              <w:rPr>
                <w:rFonts w:ascii="Cambria Math" w:hAnsi="Cambria Math"/>
              </w:rPr>
            </m:ctrlPr>
          </m:sSubPr>
          <m:e>
            <m:r>
              <w:rPr>
                <w:rFonts w:ascii="Cambria Math" w:hAnsi="Cambria Math"/>
              </w:rPr>
              <m:t>β</m:t>
            </m:r>
          </m:e>
          <m:sub>
            <m:r>
              <w:rPr>
                <w:rFonts w:ascii="Cambria Math" w:hAnsi="Cambria Math"/>
              </w:rPr>
              <m:t>q</m:t>
            </m:r>
          </m:sub>
        </m:sSub>
      </m:oMath>
      <w:r>
        <w:t xml:space="preserve"> coefficients of the score-quarter interactions. These capture the relationship between AI automation exposure and employment levels </w:t>
      </w:r>
      <w:proofErr w:type="gramStart"/>
      <w:r>
        <w:t>in a given</w:t>
      </w:r>
      <w:proofErr w:type="gramEnd"/>
      <w:r>
        <w:t xml:space="preserve"> quarter. A positive and statistically significant coefficient means that, for that quarter, employment levels increased as exposure scores increased, relative to the period when ChatGPT was introduced. A negative and statistically significant coefficient means that, in that quarter, employment levels decreased as exposure scores increased.</w:t>
      </w:r>
    </w:p>
    <w:p w14:paraId="518D1CA8" w14:textId="77777777" w:rsidR="001B7662" w:rsidRDefault="00A208A5">
      <w:pPr>
        <w:pStyle w:val="BodyText"/>
      </w:pPr>
      <w:r>
        <w:t>We find a pattern of pre-November 2022 coefficients that are small, statistically insignificant and not systematically trending. This supports the assumption that the relationship between AI exposure and employment growth was roughly zero and broadly stable before the introduction of ChatGPT. As these coefficients are measured relative to when ChatGPT was introduced, this does not mean that there was no relationship between AI exposure and employment, only that it was not changing.</w:t>
      </w:r>
    </w:p>
    <w:p w14:paraId="518D1CA9" w14:textId="77777777" w:rsidR="001B7662" w:rsidRDefault="00A208A5">
      <w:pPr>
        <w:pStyle w:val="BodyText"/>
      </w:pPr>
      <w:r>
        <w:t>The coefficients after November 2022 reveal the time-varying response of employment to the introduction of ChatGPT. The estimates have become more negative in recent quarters.</w:t>
      </w:r>
    </w:p>
    <w:p w14:paraId="518D1CAA" w14:textId="77777777" w:rsidR="001B7662" w:rsidRDefault="00A208A5">
      <w:pPr>
        <w:pStyle w:val="BodyText"/>
      </w:pPr>
      <w:r>
        <w:t>As with the core model, occupation fixed effects capture the difference in typical size of different ANZSCO occupation codes and the time fixed effects are interpreted as employment shocks which impact all occupations equally.</w:t>
      </w:r>
    </w:p>
    <w:p w14:paraId="518D1CAB" w14:textId="15E1C328" w:rsidR="001B7662" w:rsidRDefault="00A208A5">
      <w:pPr>
        <w:pStyle w:val="BodyText"/>
      </w:pPr>
      <w:r>
        <w:t xml:space="preserve">The results of the </w:t>
      </w:r>
      <w:hyperlink w:anchor="event-study">
        <w:r>
          <w:rPr>
            <w:rStyle w:val="Hyperlink"/>
          </w:rPr>
          <w:t>event study</w:t>
        </w:r>
      </w:hyperlink>
      <w:r>
        <w:t xml:space="preserve"> were presented in Figure </w:t>
      </w:r>
      <w:hyperlink w:anchor="viz-event-qtrly" w:history="1">
        <w:r>
          <w:fldChar w:fldCharType="begin"/>
        </w:r>
        <w:r>
          <w:instrText xml:space="preserve"> REF viz-event-qtrly \h</w:instrText>
        </w:r>
        <w:r>
          <w:fldChar w:fldCharType="separate"/>
        </w:r>
        <w:r w:rsidR="00082F4E">
          <w:rPr>
            <w:noProof/>
          </w:rPr>
          <w:t>34</w:t>
        </w:r>
        <w:r>
          <w:fldChar w:fldCharType="end"/>
        </w:r>
      </w:hyperlink>
      <w:r>
        <w:t>. The event study complements our understanding from the core model. Whereas the core model showed that there was no statistically significant relationship between exposure and employment for the pre-treatment period (</w:t>
      </w:r>
      <m:oMath>
        <m:sSub>
          <m:sSubPr>
            <m:ctrlPr>
              <w:rPr>
                <w:rFonts w:ascii="Cambria Math" w:hAnsi="Cambria Math"/>
              </w:rPr>
            </m:ctrlPr>
          </m:sSubPr>
          <m:e>
            <m:r>
              <w:rPr>
                <w:rFonts w:ascii="Cambria Math" w:hAnsi="Cambria Math"/>
              </w:rPr>
              <m:t>β</m:t>
            </m:r>
          </m:e>
          <m:sub>
            <m:r>
              <w:rPr>
                <w:rFonts w:ascii="Cambria Math" w:hAnsi="Cambria Math"/>
              </w:rPr>
              <m:t>pre</m:t>
            </m:r>
          </m:sub>
        </m:sSub>
      </m:oMath>
      <w:r>
        <w:t xml:space="preserve"> insignificant), the event study provides evidence that this was stable across pre-treatment quarters. The quarterly estimates vary substantially, and there is no single point that stands out as when negative </w:t>
      </w:r>
      <w:r>
        <w:lastRenderedPageBreak/>
        <w:t>effects began or accelerated, but for at least the last year the data appears consistently negative. The final estimate of -0.017 is consistent the claim based on the core model that employment for an occupation with exposure score 1 standard deviation above the mean would be expected to have declined by roughly 2% since the introduction of ChatGPT.</w:t>
      </w:r>
    </w:p>
    <w:p w14:paraId="518D1CAC" w14:textId="77777777" w:rsidR="001B7662" w:rsidRDefault="00A208A5">
      <w:pPr>
        <w:pStyle w:val="Heading3"/>
      </w:pPr>
      <w:bookmarkStart w:id="224" w:name="X0740d542f7386fd4f2071cf36a2db1e732b4794"/>
      <w:bookmarkEnd w:id="223"/>
      <w:r>
        <w:t>Event study with alternative measures of AI exposure</w:t>
      </w:r>
    </w:p>
    <w:p w14:paraId="518D1CAD" w14:textId="77777777" w:rsidR="001B7662" w:rsidRDefault="00A208A5">
      <w:r>
        <w:t xml:space="preserve">Similarly to the main model </w:t>
      </w:r>
      <m:oMath>
        <m:r>
          <w:rPr>
            <w:rFonts w:ascii="Cambria Math" w:hAnsi="Cambria Math"/>
          </w:rPr>
          <m:t>Δβ</m:t>
        </m:r>
      </m:oMath>
      <w:r>
        <w:t xml:space="preserve"> estimate, we test whether our conclusions from the event study model using JSA’s automation exposure scores are sensitive to using alternative measures. We again use Felten’s AIOE scores and Anthropic observed exposure scores as our comparative measures. The results using these alternatives do not agree with our main results, so this provides further reason for caution in interpreting our main estimates as definitive.</w:t>
      </w:r>
    </w:p>
    <w:p w14:paraId="518D1CAE" w14:textId="2D3B4410" w:rsidR="001B7662" w:rsidRDefault="00A208A5">
      <w:pPr>
        <w:pStyle w:val="BodyText"/>
      </w:pPr>
      <w:r>
        <w:t xml:space="preserve">An equivalent event study using Felten’s </w:t>
      </w:r>
      <w:r>
        <w:rPr>
          <w:b/>
          <w:bCs/>
        </w:rPr>
        <w:t>AIOE scores</w:t>
      </w:r>
      <w:r>
        <w:t xml:space="preserve"> as a measure of AI exposure shows a break between February and May 2020 (Figure </w:t>
      </w:r>
      <w:hyperlink w:anchor="viz-event-aioe" w:history="1">
        <w:r>
          <w:fldChar w:fldCharType="begin"/>
        </w:r>
        <w:r>
          <w:instrText xml:space="preserve"> REF viz-event-aioe \h</w:instrText>
        </w:r>
        <w:r>
          <w:fldChar w:fldCharType="separate"/>
        </w:r>
        <w:r w:rsidR="00082F4E">
          <w:rPr>
            <w:noProof/>
          </w:rPr>
          <w:t>44</w:t>
        </w:r>
        <w:r>
          <w:fldChar w:fldCharType="end"/>
        </w:r>
      </w:hyperlink>
      <w:r>
        <w:t xml:space="preserve">). The relationship between exposure and employment appears relatively stable either side of this break, though there are some small and significant positive estimates in the most recent quarters. This is not consistent with the </w:t>
      </w:r>
      <w:hyperlink w:anchor="event-study">
        <w:r>
          <w:rPr>
            <w:rStyle w:val="Hyperlink"/>
          </w:rPr>
          <w:t>main event study using JSA measures</w:t>
        </w:r>
      </w:hyperlink>
      <w:r>
        <w:t xml:space="preserve"> which showed negative estimates in the most recent quarters. The negative but insignificant </w:t>
      </w:r>
      <m:oMath>
        <m:r>
          <w:rPr>
            <w:rFonts w:ascii="Cambria Math" w:hAnsi="Cambria Math"/>
          </w:rPr>
          <m:t>Δβ</m:t>
        </m:r>
      </m:oMath>
      <w:r>
        <w:t xml:space="preserve"> estimated using AIOE scores (Figure </w:t>
      </w:r>
      <w:hyperlink w:anchor="viz-model-delta-beta-exposure" w:history="1">
        <w:r>
          <w:fldChar w:fldCharType="begin"/>
        </w:r>
        <w:r>
          <w:instrText xml:space="preserve"> REF viz-model-delta-beta-exposure \h</w:instrText>
        </w:r>
        <w:r>
          <w:fldChar w:fldCharType="separate"/>
        </w:r>
        <w:r w:rsidR="00082F4E">
          <w:rPr>
            <w:noProof/>
          </w:rPr>
          <w:t>37</w:t>
        </w:r>
        <w:r>
          <w:fldChar w:fldCharType="end"/>
        </w:r>
      </w:hyperlink>
      <w:r>
        <w:t>) is consistent with what we see in the AIOE event study: a simple linear slope in the pre-treatment period would be steeper than in the post-treatment period, suggestive that the change in the relationship has disadvantaged more exposed occupations, but simple slopes do not fit the data well.</w:t>
      </w:r>
    </w:p>
    <w:p w14:paraId="518D1CAF" w14:textId="685E427D" w:rsidR="001B7662" w:rsidRDefault="00A208A5">
      <w:pPr>
        <w:pStyle w:val="ImageCaption"/>
      </w:pPr>
      <w:r>
        <w:t xml:space="preserve">Figure </w:t>
      </w:r>
      <w:bookmarkStart w:id="225" w:name="viz-event-aioe"/>
      <w:r>
        <w:fldChar w:fldCharType="begin"/>
      </w:r>
      <w:r>
        <w:instrText>SEQ fig \* Arabic</w:instrText>
      </w:r>
      <w:r>
        <w:fldChar w:fldCharType="separate"/>
      </w:r>
      <w:r w:rsidR="00082F4E">
        <w:rPr>
          <w:noProof/>
        </w:rPr>
        <w:t>44</w:t>
      </w:r>
      <w:r>
        <w:fldChar w:fldCharType="end"/>
      </w:r>
      <w:bookmarkEnd w:id="225"/>
      <w:r>
        <w:t>: Using Felten’s AIOE exposure measure suggests that a break favouring more exposed occupations started in May 2020</w:t>
      </w:r>
    </w:p>
    <w:p w14:paraId="518D1CB0" w14:textId="77777777" w:rsidR="001B7662" w:rsidRDefault="00A208A5">
      <w:pPr>
        <w:pStyle w:val="CompactNormal"/>
        <w:jc w:val="center"/>
      </w:pPr>
      <w:r>
        <w:rPr>
          <w:noProof/>
        </w:rPr>
        <w:drawing>
          <wp:inline distT="0" distB="0" distL="0" distR="0" wp14:anchorId="518D1D5F" wp14:editId="26E6C946">
            <wp:extent cx="5835650" cy="2917825"/>
            <wp:effectExtent l="0" t="0" r="0" b="0"/>
            <wp:docPr id="91" name="Picture 91" descr="Chart showing relationship between AI automation exposure and employment from 2016 to 2026, with quarterly data points and 95% confidence interval bars. Employment impact trends upward after ChatGPT introduction in late 2022, shifting from negative to slightly positive values. Using Felten's AIOE exposure measure suggests that a break favouring more exposed occupations started in Ma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Chart showing relationship between AI automation exposure and employment from 2016 to 2026, with quarterly data points and 95% confidence interval bars. Employment impact trends upward after ChatGPT introduction in late 2022, shifting from negative to slightly positive values. Using Felten's AIOE exposure measure suggests that a break favouring more exposed occupations started in May 2020."/>
                    <pic:cNvPicPr>
                      <a:picLocks noChangeAspect="1" noChangeArrowheads="1"/>
                    </pic:cNvPicPr>
                  </pic:nvPicPr>
                  <pic:blipFill>
                    <a:blip r:embed="rId113"/>
                    <a:stretch>
                      <a:fillRect/>
                    </a:stretch>
                  </pic:blipFill>
                  <pic:spPr bwMode="auto">
                    <a:xfrm>
                      <a:off x="0" y="0"/>
                      <a:ext cx="5835650" cy="2917825"/>
                    </a:xfrm>
                    <a:prstGeom prst="rect">
                      <a:avLst/>
                    </a:prstGeom>
                    <a:noFill/>
                  </pic:spPr>
                </pic:pic>
              </a:graphicData>
            </a:graphic>
          </wp:inline>
        </w:drawing>
      </w:r>
    </w:p>
    <w:p w14:paraId="518D1CB1" w14:textId="45C67CAF" w:rsidR="001B7662" w:rsidRDefault="00A208A5">
      <w:pPr>
        <w:pStyle w:val="BodyText"/>
      </w:pPr>
      <w:r>
        <w:t xml:space="preserve">An equivalent event study using </w:t>
      </w:r>
      <w:r>
        <w:rPr>
          <w:b/>
          <w:bCs/>
        </w:rPr>
        <w:t>Anthropic observed exposure</w:t>
      </w:r>
      <w:r>
        <w:t xml:space="preserve"> as a measure of AI exposure shows almost all quarters both before and after ChatGPT was introduced have an insignificant relationship between AI exposure and employment, relative to the reference period of November 2022 (Figure </w:t>
      </w:r>
      <w:hyperlink w:anchor="viz-event-anthro" w:history="1">
        <w:r>
          <w:fldChar w:fldCharType="begin"/>
        </w:r>
        <w:r>
          <w:instrText xml:space="preserve"> REF viz-event-anthro \h</w:instrText>
        </w:r>
        <w:r>
          <w:fldChar w:fldCharType="separate"/>
        </w:r>
        <w:r w:rsidR="00082F4E">
          <w:rPr>
            <w:noProof/>
          </w:rPr>
          <w:t>45</w:t>
        </w:r>
        <w:r>
          <w:fldChar w:fldCharType="end"/>
        </w:r>
      </w:hyperlink>
      <w:r>
        <w:t xml:space="preserve">). This aligns with the insignificant estimate of </w:t>
      </w:r>
      <m:oMath>
        <m:r>
          <w:rPr>
            <w:rFonts w:ascii="Cambria Math" w:hAnsi="Cambria Math"/>
          </w:rPr>
          <m:t>Δβ</m:t>
        </m:r>
      </m:oMath>
      <w:r>
        <w:t xml:space="preserve"> when using Anthropic observed exposure scores (Figure </w:t>
      </w:r>
      <w:hyperlink w:anchor="viz-model-delta-beta-exposure" w:history="1">
        <w:r>
          <w:fldChar w:fldCharType="begin"/>
        </w:r>
        <w:r>
          <w:instrText xml:space="preserve"> REF viz-model-delta-beta-exposure \h</w:instrText>
        </w:r>
        <w:r>
          <w:fldChar w:fldCharType="separate"/>
        </w:r>
        <w:r w:rsidR="00082F4E">
          <w:rPr>
            <w:noProof/>
          </w:rPr>
          <w:t>37</w:t>
        </w:r>
        <w:r>
          <w:fldChar w:fldCharType="end"/>
        </w:r>
      </w:hyperlink>
      <w:r>
        <w:t>). This is a different outcome to the main event study, but also different from the AIOE event study.</w:t>
      </w:r>
    </w:p>
    <w:p w14:paraId="518D1CB2" w14:textId="41424C5C" w:rsidR="001B7662" w:rsidRDefault="00A208A5">
      <w:pPr>
        <w:pStyle w:val="ImageCaption"/>
      </w:pPr>
      <w:r>
        <w:lastRenderedPageBreak/>
        <w:t xml:space="preserve">Figure </w:t>
      </w:r>
      <w:bookmarkStart w:id="226" w:name="viz-event-anthro"/>
      <w:r>
        <w:fldChar w:fldCharType="begin"/>
      </w:r>
      <w:r>
        <w:instrText>SEQ fig \* Arabic</w:instrText>
      </w:r>
      <w:r>
        <w:fldChar w:fldCharType="separate"/>
      </w:r>
      <w:r w:rsidR="00082F4E">
        <w:rPr>
          <w:noProof/>
        </w:rPr>
        <w:t>45</w:t>
      </w:r>
      <w:r>
        <w:fldChar w:fldCharType="end"/>
      </w:r>
      <w:bookmarkEnd w:id="226"/>
      <w:r>
        <w:t>: Using Anthropic observed exposure scores suggests no significant changes over the study period</w:t>
      </w:r>
    </w:p>
    <w:p w14:paraId="518D1CB3" w14:textId="77777777" w:rsidR="001B7662" w:rsidRDefault="00A208A5">
      <w:pPr>
        <w:pStyle w:val="CompactNormal"/>
        <w:jc w:val="center"/>
      </w:pPr>
      <w:r>
        <w:rPr>
          <w:noProof/>
        </w:rPr>
        <w:drawing>
          <wp:inline distT="0" distB="0" distL="0" distR="0" wp14:anchorId="518D1D61" wp14:editId="19313A8E">
            <wp:extent cx="5835650" cy="2917825"/>
            <wp:effectExtent l="0" t="0" r="0" b="0"/>
            <wp:docPr id="93" name="Picture 93" descr="Chart showing relationship between AI automation exposure and employment by quarter from 2016 to 2026. Green dots represent data points with vertical bars indicating 95% confidence intervals. Using Anthropic observed exposure scores suggest no significant changes over the study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Chart showing relationship between AI automation exposure and employment by quarter from 2016 to 2026. Green dots represent data points with vertical bars indicating 95% confidence intervals. Using Anthropic observed exposure scores suggest no significant changes over the study period."/>
                    <pic:cNvPicPr>
                      <a:picLocks noChangeAspect="1" noChangeArrowheads="1"/>
                    </pic:cNvPicPr>
                  </pic:nvPicPr>
                  <pic:blipFill>
                    <a:blip r:embed="rId114"/>
                    <a:stretch>
                      <a:fillRect/>
                    </a:stretch>
                  </pic:blipFill>
                  <pic:spPr bwMode="auto">
                    <a:xfrm>
                      <a:off x="0" y="0"/>
                      <a:ext cx="5835650" cy="2917825"/>
                    </a:xfrm>
                    <a:prstGeom prst="rect">
                      <a:avLst/>
                    </a:prstGeom>
                    <a:noFill/>
                  </pic:spPr>
                </pic:pic>
              </a:graphicData>
            </a:graphic>
          </wp:inline>
        </w:drawing>
      </w:r>
    </w:p>
    <w:p w14:paraId="518D1CB4" w14:textId="77777777" w:rsidR="001B7662" w:rsidRDefault="00A208A5">
      <w:pPr>
        <w:pStyle w:val="Heading2"/>
      </w:pPr>
      <w:bookmarkStart w:id="227" w:name="_Toc232612113"/>
      <w:bookmarkStart w:id="228" w:name="appendix-ppml"/>
      <w:bookmarkEnd w:id="220"/>
      <w:bookmarkEnd w:id="224"/>
      <w:r>
        <w:t>Why we use a PPML fixed effects model</w:t>
      </w:r>
      <w:bookmarkEnd w:id="227"/>
    </w:p>
    <w:p w14:paraId="518D1CB5" w14:textId="77777777" w:rsidR="001B7662" w:rsidRDefault="00A208A5">
      <w:r>
        <w:t>Our core model, event study model and almost all robustness tests are implemented as Poisson Pseudo-Maximum Likelihood (PPML) panel models with fixed effects. Here we will explain more about what the PPML approach and why we use it.</w:t>
      </w:r>
    </w:p>
    <w:p w14:paraId="518D1CB6" w14:textId="77777777" w:rsidR="001B7662" w:rsidRDefault="00A208A5">
      <w:pPr>
        <w:pStyle w:val="BodyText"/>
      </w:pPr>
      <w:proofErr w:type="gramStart"/>
      <w:r>
        <w:t>All of</w:t>
      </w:r>
      <w:proofErr w:type="gramEnd"/>
      <w:r>
        <w:t xml:space="preserve"> the PPML models we use involve treating employment in occupations over time as depending on an occupation effect and an exponential-linear component:</w:t>
      </w:r>
    </w:p>
    <w:p w14:paraId="518D1CB7" w14:textId="77777777" w:rsidR="001B7662" w:rsidRDefault="00A208A5">
      <w:pPr>
        <w:pStyle w:val="BodyText"/>
      </w:pPr>
      <m:oMathPara>
        <m:oMathParaPr>
          <m:jc m:val="center"/>
        </m:oMathParaPr>
        <m:oMath>
          <m:r>
            <w:rPr>
              <w:rFonts w:ascii="Cambria Math" w:hAnsi="Cambria Math"/>
            </w:rPr>
            <m:t>E</m:t>
          </m:r>
          <m:d>
            <m:dPr>
              <m:begChr m:val="["/>
              <m:endChr m:val="]"/>
              <m:ctrlPr>
                <w:rPr>
                  <w:rFonts w:ascii="Cambria Math" w:hAnsi="Cambria Math"/>
                </w:rPr>
              </m:ctrlPr>
            </m:dPr>
            <m:e>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i</m:t>
                  </m:r>
                </m:sub>
              </m:sSub>
            </m:e>
          </m:d>
          <m:r>
            <m:rPr>
              <m:sty m:val="p"/>
            </m:rPr>
            <w:rPr>
              <w:rFonts w:ascii="Cambria Math" w:hAnsi="Cambria Math"/>
            </w:rPr>
            <m:t>=exp</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m:t>
              </m:r>
              <m:r>
                <w:rPr>
                  <w:rFonts w:ascii="Cambria Math" w:hAnsi="Cambria Math"/>
                </w:rPr>
                <m:t>β</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m:t>
                  </m:r>
                  <m:r>
                    <w:rPr>
                      <w:rFonts w:ascii="Cambria Math" w:hAnsi="Cambria Math"/>
                    </w:rPr>
                    <m:t>t</m:t>
                  </m:r>
                </m:sub>
              </m:sSub>
            </m:e>
          </m:d>
          <m:r>
            <m:rPr>
              <m:sty m:val="p"/>
            </m:rPr>
            <w:rPr>
              <w:rFonts w:ascii="Cambria Math" w:hAnsi="Cambria Math"/>
            </w:rPr>
            <m:t>=exp</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i</m:t>
                  </m:r>
                </m:sub>
              </m:sSub>
            </m:e>
          </m:d>
          <m:r>
            <m:rPr>
              <m:sty m:val="p"/>
            </m:rPr>
            <w:rPr>
              <w:rFonts w:ascii="Cambria Math" w:hAnsi="Cambria Math"/>
            </w:rPr>
            <m:t>⋅exp</m:t>
          </m:r>
          <m:d>
            <m:dPr>
              <m:ctrlPr>
                <w:rPr>
                  <w:rFonts w:ascii="Cambria Math" w:hAnsi="Cambria Math"/>
                </w:rPr>
              </m:ctrlPr>
            </m:dPr>
            <m:e>
              <m:r>
                <w:rPr>
                  <w:rFonts w:ascii="Cambria Math" w:hAnsi="Cambria Math"/>
                </w:rPr>
                <m:t>β</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m:t>
                  </m:r>
                  <m:r>
                    <w:rPr>
                      <w:rFonts w:ascii="Cambria Math" w:hAnsi="Cambria Math"/>
                    </w:rPr>
                    <m:t>t</m:t>
                  </m:r>
                </m:sub>
              </m:sSub>
            </m:e>
          </m:d>
        </m:oMath>
      </m:oMathPara>
    </w:p>
    <w:p w14:paraId="518D1CB8" w14:textId="77777777" w:rsidR="001B7662" w:rsidRDefault="00A208A5">
      <w:r>
        <w:t xml:space="preserve">Here </w:t>
      </w:r>
      <m:oMath>
        <m:sSub>
          <m:sSubPr>
            <m:ctrlPr>
              <w:rPr>
                <w:rFonts w:ascii="Cambria Math" w:hAnsi="Cambria Math"/>
              </w:rPr>
            </m:ctrlPr>
          </m:sSubPr>
          <m:e>
            <m:r>
              <w:rPr>
                <w:rFonts w:ascii="Cambria Math" w:hAnsi="Cambria Math"/>
              </w:rPr>
              <m:t>α</m:t>
            </m:r>
          </m:e>
          <m:sub>
            <m:r>
              <w:rPr>
                <w:rFonts w:ascii="Cambria Math" w:hAnsi="Cambria Math"/>
              </w:rPr>
              <m:t>i</m:t>
            </m:r>
          </m:sub>
        </m:sSub>
      </m:oMath>
      <w:r>
        <w:t xml:space="preserve"> is the unobserved time-constant occupation effect for occupation </w:t>
      </w:r>
      <m:oMath>
        <m:r>
          <w:rPr>
            <w:rFonts w:ascii="Cambria Math" w:hAnsi="Cambria Math"/>
          </w:rPr>
          <m:t>i</m:t>
        </m:r>
      </m:oMath>
      <w:r>
        <w:t xml:space="preserve">, </w:t>
      </w:r>
      <m:oMath>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m:t>
            </m:r>
            <m:r>
              <w:rPr>
                <w:rFonts w:ascii="Cambria Math" w:hAnsi="Cambria Math"/>
              </w:rPr>
              <m:t>t</m:t>
            </m:r>
          </m:sub>
        </m:sSub>
      </m:oMath>
      <w:r>
        <w:t xml:space="preserve"> is a vector of observed characteristics which may vary across both time and occupation (such as time dummies, exposure scores or the unemployment rate) and </w:t>
      </w:r>
      <m:oMath>
        <m:r>
          <w:rPr>
            <w:rFonts w:ascii="Cambria Math" w:hAnsi="Cambria Math"/>
          </w:rPr>
          <m:t>β</m:t>
        </m:r>
      </m:oMath>
      <w:r>
        <w:t xml:space="preserve"> is a vector of the corresponding coefficients to be estimated. We select independent variables </w:t>
      </w:r>
      <m:oMath>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m:t>
            </m:r>
            <m:r>
              <w:rPr>
                <w:rFonts w:ascii="Cambria Math" w:hAnsi="Cambria Math"/>
              </w:rPr>
              <m:t>t</m:t>
            </m:r>
          </m:sub>
        </m:sSub>
      </m:oMath>
      <w:r>
        <w:t xml:space="preserve"> which we believe may explain the variation in employment </w:t>
      </w:r>
      <m:oMath>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it</m:t>
            </m:r>
            <m:r>
              <m:rPr>
                <m:sty m:val="p"/>
              </m:rPr>
              <w:rPr>
                <w:rFonts w:ascii="Cambria Math" w:hAnsi="Cambria Math"/>
              </w:rPr>
              <m:t>,</m:t>
            </m:r>
            <m:r>
              <w:rPr>
                <w:rFonts w:ascii="Cambria Math" w:hAnsi="Cambria Math"/>
              </w:rPr>
              <m:t>t</m:t>
            </m:r>
          </m:sub>
        </m:sSub>
      </m:oMath>
      <w:r>
        <w:t xml:space="preserve">, and estimate a </w:t>
      </w:r>
      <m:oMath>
        <m:r>
          <w:rPr>
            <w:rFonts w:ascii="Cambria Math" w:hAnsi="Cambria Math"/>
          </w:rPr>
          <m:t>β</m:t>
        </m:r>
      </m:oMath>
      <w:r>
        <w:t xml:space="preserve"> that is most likely to produce the observed distribution of </w:t>
      </w:r>
      <m:oMath>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oMath>
      <w:r>
        <w:t xml:space="preserve"> given the observed distribution of </w:t>
      </w:r>
      <m:oMath>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m:t>
            </m:r>
            <m:r>
              <w:rPr>
                <w:rFonts w:ascii="Cambria Math" w:hAnsi="Cambria Math"/>
              </w:rPr>
              <m:t>t</m:t>
            </m:r>
          </m:sub>
        </m:sSub>
      </m:oMath>
      <w:r>
        <w:t>.</w:t>
      </w:r>
    </w:p>
    <w:p w14:paraId="518D1CB9" w14:textId="77777777" w:rsidR="001B7662" w:rsidRDefault="00A208A5">
      <w:pPr>
        <w:pStyle w:val="BodyText"/>
      </w:pPr>
      <w:r>
        <w:t>The conditional expectation for each cluster (</w:t>
      </w:r>
      <m:oMath>
        <m:r>
          <w:rPr>
            <w:rFonts w:ascii="Cambria Math" w:hAnsi="Cambria Math"/>
          </w:rPr>
          <m:t>E</m:t>
        </m:r>
        <m:d>
          <m:dPr>
            <m:begChr m:val="["/>
            <m:endChr m:val="]"/>
            <m:ctrlPr>
              <w:rPr>
                <w:rFonts w:ascii="Cambria Math" w:hAnsi="Cambria Math"/>
              </w:rPr>
            </m:ctrlPr>
          </m:dPr>
          <m:e>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i</m:t>
                </m:r>
              </m:sub>
            </m:sSub>
          </m:e>
        </m:d>
      </m:oMath>
      <w:r>
        <w:t xml:space="preserve">) depends on a multiplicative unobservable cluster effect </w:t>
      </w:r>
      <m:oMath>
        <m:sSub>
          <m:sSubPr>
            <m:ctrlPr>
              <w:rPr>
                <w:rFonts w:ascii="Cambria Math" w:hAnsi="Cambria Math"/>
              </w:rPr>
            </m:ctrlPr>
          </m:sSubPr>
          <m:e>
            <m:r>
              <w:rPr>
                <w:rFonts w:ascii="Cambria Math" w:hAnsi="Cambria Math"/>
              </w:rPr>
              <m:t>α</m:t>
            </m:r>
          </m:e>
          <m:sub>
            <m:r>
              <w:rPr>
                <w:rFonts w:ascii="Cambria Math" w:hAnsi="Cambria Math"/>
              </w:rPr>
              <m:t>i</m:t>
            </m:r>
          </m:sub>
        </m:sSub>
      </m:oMath>
      <w:r>
        <w:t xml:space="preserve"> and a parametric linear term (</w:t>
      </w:r>
      <m:oMath>
        <m:r>
          <m:rPr>
            <m:sty m:val="p"/>
          </m:rPr>
          <w:rPr>
            <w:rFonts w:ascii="Cambria Math" w:hAnsi="Cambria Math"/>
          </w:rPr>
          <m:t>exp</m:t>
        </m:r>
        <m:d>
          <m:dPr>
            <m:ctrlPr>
              <w:rPr>
                <w:rFonts w:ascii="Cambria Math" w:hAnsi="Cambria Math"/>
              </w:rPr>
            </m:ctrlPr>
          </m:dPr>
          <m:e>
            <m:r>
              <w:rPr>
                <w:rFonts w:ascii="Cambria Math" w:hAnsi="Cambria Math"/>
              </w:rPr>
              <m:t>β</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m:t>
                </m:r>
                <m:r>
                  <w:rPr>
                    <w:rFonts w:ascii="Cambria Math" w:hAnsi="Cambria Math"/>
                  </w:rPr>
                  <m:t>t</m:t>
                </m:r>
              </m:sub>
            </m:sSub>
          </m:e>
        </m:d>
      </m:oMath>
      <w:r>
        <w:t xml:space="preserve">). This is the </w:t>
      </w:r>
      <w:r>
        <w:rPr>
          <w:b/>
          <w:bCs/>
        </w:rPr>
        <w:t>conditional mean assumption</w:t>
      </w:r>
      <w:r>
        <w:t xml:space="preserve"> in the Poisson panel model setup. This is necessary for consistent estimation of </w:t>
      </w:r>
      <m:oMath>
        <m:r>
          <w:rPr>
            <w:rFonts w:ascii="Cambria Math" w:hAnsi="Cambria Math"/>
          </w:rPr>
          <m:t>β</m:t>
        </m:r>
      </m:oMath>
      <w:r>
        <w:t xml:space="preserve"> using the standard fixed effects Poisson estimator. Details of the log-likelihood functions conditional on </w:t>
      </w:r>
      <m:oMath>
        <m:r>
          <w:rPr>
            <w:rFonts w:ascii="Cambria Math" w:hAnsi="Cambria Math"/>
          </w:rPr>
          <m:t>β</m:t>
        </m:r>
      </m:oMath>
      <w:r>
        <w:t xml:space="preserve"> to be maximised and the form of this estimator can be found in Wooldridge (2002).</w:t>
      </w:r>
      <w:r>
        <w:rPr>
          <w:rStyle w:val="FootnoteReference"/>
        </w:rPr>
        <w:footnoteReference w:id="107"/>
      </w:r>
    </w:p>
    <w:p w14:paraId="518D1CBA" w14:textId="77777777" w:rsidR="001B7662" w:rsidRDefault="00A208A5">
      <w:pPr>
        <w:pStyle w:val="BodyText"/>
      </w:pPr>
      <w:r>
        <w:t>Crucially, while the Poisson modelling framework was initially developed for non-negative integer count data, the fixed effects Poisson estimator is consistent whenever the conditional mean assumption holds. It extends to continuous non-negative variables. It is still a consistent estimator when the data does not follow a Poisson distribution, permitting both under-dispersion and over-dispersion which violate variance-mean equality (Wooldridge 2002).</w:t>
      </w:r>
    </w:p>
    <w:p w14:paraId="518D1CBB" w14:textId="77777777" w:rsidR="001B7662" w:rsidRDefault="00A208A5">
      <w:pPr>
        <w:pStyle w:val="BodyText"/>
      </w:pPr>
      <w:r>
        <w:t xml:space="preserve">PPML fixed effects models are not the only option to estimate coefficients for equations </w:t>
      </w:r>
      <w:proofErr w:type="gramStart"/>
      <w:r>
        <w:t>similar to</w:t>
      </w:r>
      <w:proofErr w:type="gramEnd"/>
      <w:r>
        <w:t xml:space="preserve"> the conditional mean assumption. Taking logarithms of both sides produces a log-linear equation that </w:t>
      </w:r>
      <w:r>
        <w:lastRenderedPageBreak/>
        <w:t xml:space="preserve">looks like a typical linear regression model. While logarithms are invalid for </w:t>
      </w:r>
      <m:oMath>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r>
          <w:rPr>
            <w:rFonts w:ascii="Cambria Math" w:hAnsi="Cambria Math"/>
          </w:rPr>
          <m:t>0</m:t>
        </m:r>
      </m:oMath>
      <w:r>
        <w:t xml:space="preserve">, techniques using approximating transformations such as </w:t>
      </w:r>
      <m:oMath>
        <m:r>
          <w:rPr>
            <w:rFonts w:ascii="Cambria Math" w:hAnsi="Cambria Math"/>
          </w:rPr>
          <m:t>log</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y</m:t>
            </m:r>
          </m:e>
        </m:d>
      </m:oMath>
      <w:r>
        <w:t xml:space="preserve"> have been used to deal with non-negative data with log-linear relationships.</w:t>
      </w:r>
    </w:p>
    <w:p w14:paraId="518D1CBC" w14:textId="7F1076E4" w:rsidR="001B7662" w:rsidRDefault="00A208A5">
      <w:pPr>
        <w:pStyle w:val="BodyText"/>
      </w:pPr>
      <w:proofErr w:type="gramStart"/>
      <w:r>
        <w:t>A number of</w:t>
      </w:r>
      <w:proofErr w:type="gramEnd"/>
      <w:r>
        <w:t xml:space="preserve"> papers have argued in favour of PPML fixed effects models with non-negative continuous outcome variables, even when the data is not Poisson distributed. Santos Silva and Tenreyro (2006) use simulation evidence to show that ordinary least squares (OLS) regression using log-linearisation with </w:t>
      </w:r>
      <m:oMath>
        <m:r>
          <w:rPr>
            <w:rFonts w:ascii="Cambria Math" w:hAnsi="Cambria Math"/>
          </w:rPr>
          <m:t>log</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y</m:t>
            </m:r>
          </m:e>
        </m:d>
      </m:oMath>
      <w:r>
        <w:t xml:space="preserve"> can produce misleading estimates of </w:t>
      </w:r>
      <m:oMath>
        <m:r>
          <w:rPr>
            <w:rFonts w:ascii="Cambria Math" w:hAnsi="Cambria Math"/>
          </w:rPr>
          <m:t>β</m:t>
        </m:r>
      </m:oMath>
      <w:r>
        <w:t xml:space="preserve"> coefficients in the presence of significant heteroscedasticity</w:t>
      </w:r>
      <w:r w:rsidR="00161BA3">
        <w:t>,</w:t>
      </w:r>
      <w:r>
        <w:rPr>
          <w:rStyle w:val="FootnoteReference"/>
        </w:rPr>
        <w:footnoteReference w:id="108"/>
      </w:r>
      <w:r w:rsidR="00161BA3">
        <w:t xml:space="preserve"> </w:t>
      </w:r>
      <w:r>
        <w:t>while the fixed effects PPML estimator produces more reasonable estimates.</w:t>
      </w:r>
      <w:r>
        <w:rPr>
          <w:rStyle w:val="FootnoteReference"/>
        </w:rPr>
        <w:footnoteReference w:id="109"/>
      </w:r>
      <w:r>
        <w:t xml:space="preserve"> This framework has been used in other studies modelling the relationship between employment headcount and AI exposure, such as in Brynjolfsson et al. (2025) who use a PPML fixed effects event study framework to estimate employment effects by month, AI exposure quintile and employee age group, controlling for firm-level confounding effects.</w:t>
      </w:r>
    </w:p>
    <w:p w14:paraId="518D1CBD" w14:textId="77777777" w:rsidR="001B7662" w:rsidRDefault="00A208A5">
      <w:pPr>
        <w:pStyle w:val="BodyText"/>
      </w:pPr>
      <w:r>
        <w:t xml:space="preserve">Given the large variations in size across occupations, and the expectations that uptake of AI tools may have occurred at different times and scales across similarly exposed occupations, we anticipate that heteroscedasticity will be substantial and may potentially bias estimates of terms in </w:t>
      </w:r>
      <m:oMath>
        <m:r>
          <w:rPr>
            <w:rFonts w:ascii="Cambria Math" w:hAnsi="Cambria Math"/>
          </w:rPr>
          <m:t>β</m:t>
        </m:r>
      </m:oMath>
      <w:r>
        <w:t xml:space="preserve"> if estimated using OLS. We therefore adopt the PPML framework for most of our modelling results, which is also well-behaved for observations with zero employment. Unless stated otherwise, standard errors are two-way cluster-robust standard errors clustered by time and occupation with a small sample correction. This accounts for serial correlation of errors within occupations and across quarters.</w:t>
      </w:r>
    </w:p>
    <w:p w14:paraId="384FDA52" w14:textId="77777777" w:rsidR="00194AC6" w:rsidRDefault="00194AC6">
      <w:pPr>
        <w:spacing w:after="200" w:line="240" w:lineRule="auto"/>
        <w:rPr>
          <w:rFonts w:eastAsia="Times New Roman" w:cs="Times New Roman"/>
          <w:b/>
          <w:color w:val="5D7A38"/>
          <w:sz w:val="48"/>
          <w:szCs w:val="24"/>
        </w:rPr>
      </w:pPr>
      <w:bookmarkStart w:id="229" w:name="_Toc232612114"/>
      <w:bookmarkStart w:id="230" w:name="appendix-robust"/>
      <w:bookmarkEnd w:id="203"/>
      <w:bookmarkEnd w:id="228"/>
      <w:r>
        <w:br w:type="page"/>
      </w:r>
    </w:p>
    <w:p w14:paraId="518D1CBE" w14:textId="57176A24" w:rsidR="001B7662" w:rsidRDefault="00A208A5">
      <w:pPr>
        <w:pStyle w:val="Heading1"/>
      </w:pPr>
      <w:r>
        <w:lastRenderedPageBreak/>
        <w:t>Appendix C: Additional details for model variants</w:t>
      </w:r>
      <w:bookmarkEnd w:id="229"/>
    </w:p>
    <w:p w14:paraId="518D1CBF" w14:textId="19FD08C5" w:rsidR="001B7662" w:rsidRDefault="00A208A5">
      <w:r>
        <w:t xml:space="preserve">We showed in the </w:t>
      </w:r>
      <w:hyperlink w:anchor="sec-robust">
        <w:r>
          <w:rPr>
            <w:rStyle w:val="Hyperlink"/>
          </w:rPr>
          <w:t>robustness tests chapter</w:t>
        </w:r>
      </w:hyperlink>
      <w:r>
        <w:t xml:space="preserve"> that our results are mostly consistent across a range of variations to the main model. The key parameter of interest </w:t>
      </w:r>
      <m:oMath>
        <m:r>
          <w:rPr>
            <w:rFonts w:ascii="Cambria Math" w:hAnsi="Cambria Math"/>
          </w:rPr>
          <m:t>Δβ</m:t>
        </m:r>
      </m:oMath>
      <w:r>
        <w:t xml:space="preserve"> is usually negative though only sometimes statistically significant. Here we elaborate on the model specifications and provide more detailed results for some of these variations.</w:t>
      </w:r>
    </w:p>
    <w:p w14:paraId="518D1CC0" w14:textId="77777777" w:rsidR="001B7662" w:rsidRDefault="00A208A5">
      <w:pPr>
        <w:pStyle w:val="Heading2"/>
      </w:pPr>
      <w:bookmarkStart w:id="231" w:name="_Toc232612115"/>
      <w:bookmarkStart w:id="232" w:name="X13e8c10db7bc63b4eba8d1049e0cf0d7db45a53"/>
      <w:r>
        <w:t>Clustering of standard errors and fixed effects</w:t>
      </w:r>
      <w:bookmarkEnd w:id="231"/>
    </w:p>
    <w:p w14:paraId="518D1CC1" w14:textId="77777777" w:rsidR="001B7662" w:rsidRDefault="00A208A5">
      <w:r>
        <w:t xml:space="preserve">Our central model standard errors are based on two-way clustering (by occupation and time) as is generally best practice for fixed effects panel data models. This accounts for both occupation-level serial correlation in employment levels as well as common shocks (e.g. to macroeconomic conditions) that affect all occupations </w:t>
      </w:r>
      <w:proofErr w:type="gramStart"/>
      <w:r>
        <w:t>in a given</w:t>
      </w:r>
      <w:proofErr w:type="gramEnd"/>
      <w:r>
        <w:t xml:space="preserve"> quarter. However, with a limited number of post-treatment quarters, clustering by time could lead to downward-biased standard errors, which could cause ‘false positives’ in our model. To test the effects of the modelling choices regarding fixed effects and error clustering on the results, we estimate versions that modify these assumptions.</w:t>
      </w:r>
    </w:p>
    <w:p w14:paraId="518D1CC2" w14:textId="35ADF6AD" w:rsidR="001B7662" w:rsidRDefault="00A208A5">
      <w:pPr>
        <w:pStyle w:val="BodyText"/>
      </w:pPr>
      <w:r>
        <w:t xml:space="preserve">While still including both occupation and time fixed effects, we adjust the error clustering in </w:t>
      </w:r>
      <w:r w:rsidR="00043A96">
        <w:t xml:space="preserve">three </w:t>
      </w:r>
      <w:r>
        <w:t xml:space="preserve">ways: use heteroscedasticity-robust standard errors, cluster only by occupation and cluster only by time. These variations do not change the estimated coefficients, only the standard errors and therefore the confidence intervals. The estimated </w:t>
      </w:r>
      <m:oMath>
        <m:r>
          <w:rPr>
            <w:rFonts w:ascii="Cambria Math" w:hAnsi="Cambria Math"/>
          </w:rPr>
          <m:t>Δβ</m:t>
        </m:r>
      </m:oMath>
      <w:r>
        <w:t xml:space="preserve"> for these variants are presented in Figure </w:t>
      </w:r>
      <w:hyperlink w:anchor="viz-model-delta-beta-design" w:history="1">
        <w:r>
          <w:fldChar w:fldCharType="begin"/>
        </w:r>
        <w:r>
          <w:instrText xml:space="preserve"> REF viz-model-delta-beta-design \h</w:instrText>
        </w:r>
        <w:r>
          <w:fldChar w:fldCharType="separate"/>
        </w:r>
        <w:r w:rsidR="00082F4E">
          <w:rPr>
            <w:noProof/>
          </w:rPr>
          <w:t>39</w:t>
        </w:r>
        <w:r>
          <w:fldChar w:fldCharType="end"/>
        </w:r>
      </w:hyperlink>
      <w:r>
        <w:t xml:space="preserve"> as ‘Robust SEs’, ‘cluster on occupations only’ and ‘cluster on time only’ respectively. The heteroscedasticity-robust standard errors and cluster only by occupation models are marginally significant at the 10% level, while </w:t>
      </w:r>
      <w:r w:rsidR="00A86FB9">
        <w:t xml:space="preserve">the </w:t>
      </w:r>
      <w:r>
        <w:t xml:space="preserve">clustering only by time model is significant at the 5% level </w:t>
      </w:r>
      <w:proofErr w:type="gramStart"/>
      <w:r>
        <w:t>similar to</w:t>
      </w:r>
      <w:proofErr w:type="gramEnd"/>
      <w:r>
        <w:t xml:space="preserve"> the main model.</w:t>
      </w:r>
    </w:p>
    <w:p w14:paraId="518D1CC3" w14:textId="619E4D88" w:rsidR="001B7662" w:rsidRDefault="00A208A5">
      <w:pPr>
        <w:pStyle w:val="BodyText"/>
      </w:pPr>
      <w:r>
        <w:t xml:space="preserve">We also run a version of the model with only occupation fixed effects, removing the time fixed effects. Standard errors are still two-way clustered by time and occupations. Without time fixed effects, the model estimate of </w:t>
      </w:r>
      <m:oMath>
        <m:r>
          <w:rPr>
            <w:rFonts w:ascii="Cambria Math" w:hAnsi="Cambria Math"/>
          </w:rPr>
          <m:t>Δβ</m:t>
        </m:r>
      </m:oMath>
      <w:r>
        <w:t xml:space="preserve"> is a similar magnitude, but is now highly significant at the 0.1% level (‘Occupation fixed effects only’ in Figure </w:t>
      </w:r>
      <w:hyperlink w:anchor="viz-model-delta-beta-design" w:history="1">
        <w:r>
          <w:fldChar w:fldCharType="begin"/>
        </w:r>
        <w:r>
          <w:instrText xml:space="preserve"> REF viz-model-delta-beta-design \h</w:instrText>
        </w:r>
        <w:r>
          <w:fldChar w:fldCharType="separate"/>
        </w:r>
        <w:r w:rsidR="00082F4E">
          <w:rPr>
            <w:noProof/>
          </w:rPr>
          <w:t>39</w:t>
        </w:r>
        <w:r>
          <w:fldChar w:fldCharType="end"/>
        </w:r>
      </w:hyperlink>
      <w:r>
        <w:t>). This specification doesn’t control for common shocks that affect all occupations, so there are strong reasons to put less weight on this than the core specification.</w:t>
      </w:r>
    </w:p>
    <w:p w14:paraId="518D1CC4" w14:textId="77777777" w:rsidR="001B7662" w:rsidRDefault="00A208A5">
      <w:pPr>
        <w:pStyle w:val="Heading2"/>
      </w:pPr>
      <w:bookmarkStart w:id="233" w:name="_Toc232612116"/>
      <w:bookmarkStart w:id="234" w:name="sec-robust-ols"/>
      <w:bookmarkEnd w:id="232"/>
      <w:r>
        <w:t>Ordinary least squares regression</w:t>
      </w:r>
      <w:bookmarkEnd w:id="233"/>
    </w:p>
    <w:p w14:paraId="518D1CC5" w14:textId="77777777" w:rsidR="001B7662" w:rsidRDefault="00A208A5">
      <w:r>
        <w:t>Our core model equation is estimated using a Poisson Pseudo-maximum likelihood (PPML) procedure. We use this rather than a log-linearised ordinary least squares (OLS) regression as PPML is more robust to heteroscedasticity. But, as a robustness test, we include a log-linear style transformation</w:t>
      </w:r>
      <w:r>
        <w:rPr>
          <w:rStyle w:val="FootnoteReference"/>
        </w:rPr>
        <w:footnoteReference w:id="110"/>
      </w:r>
      <w:r>
        <w:t xml:space="preserve"> of our core model equation using </w:t>
      </w:r>
      <m:oMath>
        <m:r>
          <w:rPr>
            <w:rFonts w:ascii="Cambria Math" w:hAnsi="Cambria Math"/>
          </w:rPr>
          <m:t>log</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y</m:t>
            </m:r>
          </m:e>
        </m:d>
      </m:oMath>
      <w:r>
        <w:t xml:space="preserve"> which we estimate using OLS regression with fixed effects. The OLS model we fit is based on the equation:</w:t>
      </w:r>
    </w:p>
    <w:p w14:paraId="518D1CC6" w14:textId="77777777" w:rsidR="001B7662" w:rsidRDefault="00A208A5">
      <w:pPr>
        <w:pStyle w:val="BodyText"/>
      </w:pPr>
      <m:oMathPara>
        <m:oMathParaPr>
          <m:jc m:val="center"/>
        </m:oMathParaPr>
        <m:oMath>
          <m:r>
            <m:rPr>
              <m:sty m:val="p"/>
            </m:rPr>
            <w:rPr>
              <w:rFonts w:ascii="Cambria Math" w:hAnsi="Cambria Math"/>
            </w:rPr>
            <m:t>log</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e>
          </m:d>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pre</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sSub>
            <m:sSubPr>
              <m:ctrlPr>
                <w:rPr>
                  <w:rFonts w:ascii="Cambria Math" w:hAnsi="Cambria Math"/>
                </w:rPr>
              </m:ctrlPr>
            </m:sSubPr>
            <m:e>
              <m:r>
                <w:rPr>
                  <w:rFonts w:ascii="Cambria Math" w:hAnsi="Cambria Math"/>
                </w:rPr>
                <m:t>t</m:t>
              </m:r>
            </m:e>
            <m:sub>
              <m:r>
                <w:rPr>
                  <w:rFonts w:ascii="Cambria Math" w:hAnsi="Cambria Math"/>
                </w:rPr>
                <m:t>pre</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post</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sSub>
            <m:sSubPr>
              <m:ctrlPr>
                <w:rPr>
                  <w:rFonts w:ascii="Cambria Math" w:hAnsi="Cambria Math"/>
                </w:rPr>
              </m:ctrlPr>
            </m:sSubPr>
            <m:e>
              <m:r>
                <w:rPr>
                  <w:rFonts w:ascii="Cambria Math" w:hAnsi="Cambria Math"/>
                </w:rPr>
                <m:t>t</m:t>
              </m:r>
            </m:e>
            <m:sub>
              <m:r>
                <w:rPr>
                  <w:rFonts w:ascii="Cambria Math" w:hAnsi="Cambria Math"/>
                </w:rPr>
                <m:t>post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shift</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Pos</m:t>
          </m:r>
          <m:sSub>
            <m:sSubPr>
              <m:ctrlPr>
                <w:rPr>
                  <w:rFonts w:ascii="Cambria Math" w:hAnsi="Cambria Math"/>
                </w:rPr>
              </m:ctrlPr>
            </m:sSubPr>
            <m:e>
              <m:r>
                <w:rPr>
                  <w:rFonts w:ascii="Cambria Math" w:hAnsi="Cambria Math"/>
                </w:rPr>
                <m:t>t</m:t>
              </m:r>
            </m:e>
            <m:sub>
              <m:r>
                <w:rPr>
                  <w:rFonts w:ascii="Cambria Math" w:hAnsi="Cambria Math"/>
                </w:rPr>
                <m:t>t</m:t>
              </m:r>
            </m:sub>
          </m:sSub>
        </m:oMath>
      </m:oMathPara>
    </w:p>
    <w:p w14:paraId="518D1CC7" w14:textId="540413E4" w:rsidR="001B7662" w:rsidRDefault="00A208A5">
      <w:r>
        <w:t xml:space="preserve">The terms in the equation for our OLS model have the same meaning and interpretation as in the core model equation, and we again define the key parameter of interest </w:t>
      </w:r>
      <m:oMath>
        <m:r>
          <w:rPr>
            <w:rFonts w:ascii="Cambria Math" w:hAnsi="Cambria Math"/>
          </w:rPr>
          <m:t>Δβ</m:t>
        </m:r>
        <m:box>
          <m:boxPr>
            <m:opEmu m:val="1"/>
            <m:ctrlPr>
              <w:rPr>
                <w:rFonts w:ascii="Cambria Math" w:hAnsi="Cambria Math"/>
              </w:rPr>
            </m:ctrlPr>
          </m:boxPr>
          <m:e>
            <m:r>
              <m:rPr>
                <m:sty m:val="p"/>
              </m:rPr>
              <w:rPr>
                <w:rFonts w:ascii="Cambria Math" w:hAnsi="Cambria Math"/>
              </w:rPr>
              <m:t>:=</m:t>
            </m:r>
          </m:e>
        </m:box>
        <m:sSub>
          <m:sSubPr>
            <m:ctrlPr>
              <w:rPr>
                <w:rFonts w:ascii="Cambria Math" w:hAnsi="Cambria Math"/>
              </w:rPr>
            </m:ctrlPr>
          </m:sSubPr>
          <m:e>
            <m:r>
              <w:rPr>
                <w:rFonts w:ascii="Cambria Math" w:hAnsi="Cambria Math"/>
              </w:rPr>
              <m:t>β</m:t>
            </m:r>
          </m:e>
          <m:sub>
            <m:r>
              <w:rPr>
                <w:rFonts w:ascii="Cambria Math" w:hAnsi="Cambria Math"/>
              </w:rPr>
              <m:t>post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pre</m:t>
            </m:r>
          </m:sub>
        </m:sSub>
      </m:oMath>
      <w:r>
        <w:t xml:space="preserve">. The estimate for </w:t>
      </w:r>
      <m:oMath>
        <m:r>
          <w:rPr>
            <w:rFonts w:ascii="Cambria Math" w:hAnsi="Cambria Math"/>
          </w:rPr>
          <m:t>Δβ</m:t>
        </m:r>
      </m:oMath>
      <w:r>
        <w:t xml:space="preserve"> from this model is shown in Figure </w:t>
      </w:r>
      <w:hyperlink w:anchor="viz-model-delta-beta-design" w:history="1">
        <w:r>
          <w:fldChar w:fldCharType="begin"/>
        </w:r>
        <w:r>
          <w:instrText xml:space="preserve"> REF viz-model-delta-beta-design \h</w:instrText>
        </w:r>
        <w:r>
          <w:fldChar w:fldCharType="separate"/>
        </w:r>
        <w:r w:rsidR="00082F4E">
          <w:rPr>
            <w:noProof/>
          </w:rPr>
          <w:t>39</w:t>
        </w:r>
        <w:r>
          <w:fldChar w:fldCharType="end"/>
        </w:r>
      </w:hyperlink>
      <w:r>
        <w:t xml:space="preserve"> as ‘Ordinary least squares’ and is far from statistically significant (p=0.996) with wide error margins using two-way cluster-robust standard errors. The OLS </w:t>
      </w:r>
      <w:r>
        <w:lastRenderedPageBreak/>
        <w:t>model does not support the conclusion that the relationship between employment and AI automation exposure has changed since the introduction of ChatGPT.</w:t>
      </w:r>
    </w:p>
    <w:p w14:paraId="518D1CC8" w14:textId="70E7C53D" w:rsidR="001B7662" w:rsidRDefault="00A208A5">
      <w:pPr>
        <w:pStyle w:val="BodyText"/>
      </w:pPr>
      <w:r>
        <w:t xml:space="preserve">However, the OLS model is arguably a poor specification in the presence of substantial heteroscedasticity, as discussed in our rationale for using </w:t>
      </w:r>
      <w:hyperlink w:anchor="appendix-ppml">
        <w:r>
          <w:rPr>
            <w:rStyle w:val="Hyperlink"/>
          </w:rPr>
          <w:t>PPML</w:t>
        </w:r>
      </w:hyperlink>
      <w:r>
        <w:t xml:space="preserve">. A plot of residuals against fitted values for this OLS model is shown in Figure </w:t>
      </w:r>
      <w:hyperlink w:anchor="viz-resid-fit-ols" w:history="1">
        <w:r>
          <w:fldChar w:fldCharType="begin"/>
        </w:r>
        <w:r>
          <w:instrText xml:space="preserve"> REF viz-resid-fit-ols \h</w:instrText>
        </w:r>
        <w:r>
          <w:fldChar w:fldCharType="separate"/>
        </w:r>
        <w:r w:rsidR="00082F4E">
          <w:rPr>
            <w:noProof/>
          </w:rPr>
          <w:t>46</w:t>
        </w:r>
        <w:r>
          <w:fldChar w:fldCharType="end"/>
        </w:r>
      </w:hyperlink>
      <w:r>
        <w:t xml:space="preserve">. The OLS residuals have more variance for smaller values of </w:t>
      </w:r>
      <m:oMath>
        <m:r>
          <m:rPr>
            <m:sty m:val="p"/>
          </m:rPr>
          <w:rPr>
            <w:rFonts w:ascii="Cambria Math" w:hAnsi="Cambria Math"/>
          </w:rPr>
          <m:t>log</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e>
        </m:d>
      </m:oMath>
      <w:r>
        <w:t>, indicating heteroscedasticity which would violate OLS assumptions and could bias coefficient estimates (Santos Silva and Tenreyro 2006).</w:t>
      </w:r>
    </w:p>
    <w:p w14:paraId="518D1CC9" w14:textId="1AB05944" w:rsidR="001B7662" w:rsidRDefault="00A208A5">
      <w:pPr>
        <w:pStyle w:val="ImageCaption"/>
      </w:pPr>
      <w:r>
        <w:t xml:space="preserve">Figure </w:t>
      </w:r>
      <w:bookmarkStart w:id="235" w:name="viz-resid-fit-ols"/>
      <w:r>
        <w:fldChar w:fldCharType="begin"/>
      </w:r>
      <w:r>
        <w:instrText>SEQ fig \* Arabic</w:instrText>
      </w:r>
      <w:r>
        <w:fldChar w:fldCharType="separate"/>
      </w:r>
      <w:r w:rsidR="00082F4E">
        <w:rPr>
          <w:noProof/>
        </w:rPr>
        <w:t>46</w:t>
      </w:r>
      <w:r>
        <w:fldChar w:fldCharType="end"/>
      </w:r>
      <w:bookmarkEnd w:id="235"/>
      <w:r>
        <w:t>: The residuals show a fan-shaped pattern, indicating non-constant error variance (heteroscedasticity)</w:t>
      </w:r>
    </w:p>
    <w:p w14:paraId="518D1CCA" w14:textId="77777777" w:rsidR="001B7662" w:rsidRDefault="00A208A5">
      <w:pPr>
        <w:pStyle w:val="CompactNormal"/>
        <w:jc w:val="center"/>
      </w:pPr>
      <w:r>
        <w:rPr>
          <w:noProof/>
        </w:rPr>
        <w:drawing>
          <wp:inline distT="0" distB="0" distL="0" distR="0" wp14:anchorId="518D1D63" wp14:editId="1E3860FE">
            <wp:extent cx="5835650" cy="2286000"/>
            <wp:effectExtent l="0" t="0" r="0" b="0"/>
            <wp:docPr id="95" name="Picture 95" descr="Scatter plot showing residuals versus fitted values for a log(1+emp) OLS model, with residuals on vertical axis and fitted values on horizontal axis. The residuals show a fan-shaped pattern, indicating non-constant error variance (heteroscedasti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Scatter plot showing residuals versus fitted values for a log(1+emp) OLS model, with residuals on vertical axis and fitted values on horizontal axis. The residuals show a fan-shaped pattern, indicating non-constant error variance (heteroscedasticity)."/>
                    <pic:cNvPicPr>
                      <a:picLocks noChangeAspect="1" noChangeArrowheads="1"/>
                    </pic:cNvPicPr>
                  </pic:nvPicPr>
                  <pic:blipFill>
                    <a:blip r:embed="rId115"/>
                    <a:stretch>
                      <a:fillRect/>
                    </a:stretch>
                  </pic:blipFill>
                  <pic:spPr bwMode="auto">
                    <a:xfrm>
                      <a:off x="0" y="0"/>
                      <a:ext cx="5835650" cy="2286000"/>
                    </a:xfrm>
                    <a:prstGeom prst="rect">
                      <a:avLst/>
                    </a:prstGeom>
                    <a:noFill/>
                  </pic:spPr>
                </pic:pic>
              </a:graphicData>
            </a:graphic>
          </wp:inline>
        </w:drawing>
      </w:r>
    </w:p>
    <w:p w14:paraId="518D1CCB" w14:textId="77777777" w:rsidR="001B7662" w:rsidRDefault="00A208A5">
      <w:pPr>
        <w:pStyle w:val="Heading2"/>
      </w:pPr>
      <w:bookmarkStart w:id="236" w:name="_Toc232612117"/>
      <w:bookmarkStart w:id="237" w:name="sec-robust-weighting"/>
      <w:bookmarkEnd w:id="234"/>
      <w:r>
        <w:t>Weighting by pre-treatment share of employment</w:t>
      </w:r>
      <w:bookmarkEnd w:id="236"/>
    </w:p>
    <w:p w14:paraId="518D1CCC" w14:textId="6EB0B6D8" w:rsidR="001B7662" w:rsidRDefault="00A208A5">
      <w:r>
        <w:t>Our central model is unweighted. It measures the difference in employment trends between high- and low-exposure occupations, placing equal weight on occupations of different sizes, with occupation fixed effects capturing much of the size differences.</w:t>
      </w:r>
      <w:r>
        <w:rPr>
          <w:rStyle w:val="FootnoteReference"/>
        </w:rPr>
        <w:footnoteReference w:id="111"/>
      </w:r>
      <w:r>
        <w:t xml:space="preserve"> This is appropriate for our purposes but may understate the effects of AI on workers if effects are concentrated in large occupations. To test this, we run a version of the model that weights occupations by their average employment size in the pre-treatment period. The estimate of </w:t>
      </w:r>
      <m:oMath>
        <m:r>
          <w:rPr>
            <w:rFonts w:ascii="Cambria Math" w:hAnsi="Cambria Math"/>
          </w:rPr>
          <m:t>Δβ</m:t>
        </m:r>
      </m:oMath>
      <w:r>
        <w:t xml:space="preserve"> in the weighted model is negative and is about 50% larger than in the main model (‘Weighted by occupation share’ in Figure </w:t>
      </w:r>
      <w:hyperlink w:anchor="viz-model-delta-beta-design" w:history="1">
        <w:r>
          <w:fldChar w:fldCharType="begin"/>
        </w:r>
        <w:r>
          <w:instrText xml:space="preserve"> REF viz-model-delta-beta-design \h</w:instrText>
        </w:r>
        <w:r>
          <w:fldChar w:fldCharType="separate"/>
        </w:r>
        <w:r w:rsidR="00082F4E">
          <w:rPr>
            <w:noProof/>
          </w:rPr>
          <w:t>39</w:t>
        </w:r>
        <w:r>
          <w:fldChar w:fldCharType="end"/>
        </w:r>
      </w:hyperlink>
      <w:r>
        <w:t>) and is significant at the 5% level.</w:t>
      </w:r>
      <w:r>
        <w:rPr>
          <w:rStyle w:val="FootnoteReference"/>
        </w:rPr>
        <w:footnoteReference w:id="112"/>
      </w:r>
    </w:p>
    <w:p w14:paraId="518D1CCD" w14:textId="383340D7" w:rsidR="001B7662" w:rsidRDefault="00A208A5">
      <w:pPr>
        <w:pStyle w:val="BodyText"/>
      </w:pPr>
      <w:r>
        <w:t xml:space="preserve">To better understand why including weights in the PPML estimation procedure amplifies </w:t>
      </w:r>
      <m:oMath>
        <m:r>
          <w:rPr>
            <w:rFonts w:ascii="Cambria Math" w:hAnsi="Cambria Math"/>
          </w:rPr>
          <m:t>Δβ</m:t>
        </m:r>
      </m:oMath>
      <w:r>
        <w:t xml:space="preserve"> we examine how employment size (the weights used) varies with AI automation exposure. Our descriptive analysis included some assessment of the relative size </w:t>
      </w:r>
      <w:r w:rsidR="00E57EFB">
        <w:t xml:space="preserve">of </w:t>
      </w:r>
      <w:r>
        <w:t xml:space="preserve">the </w:t>
      </w:r>
      <w:hyperlink w:anchor="sec-desc-exposure">
        <w:r>
          <w:rPr>
            <w:rStyle w:val="Hyperlink"/>
          </w:rPr>
          <w:t>exposure quintiles</w:t>
        </w:r>
      </w:hyperlink>
      <w:r>
        <w:t xml:space="preserve">, showing in Figure </w:t>
      </w:r>
      <w:hyperlink w:anchor="viz-empshare-exp-quint" w:history="1">
        <w:r>
          <w:fldChar w:fldCharType="begin"/>
        </w:r>
        <w:r>
          <w:instrText xml:space="preserve"> REF viz-empshare-exp-quint \h</w:instrText>
        </w:r>
        <w:r>
          <w:fldChar w:fldCharType="separate"/>
        </w:r>
        <w:r w:rsidR="00082F4E">
          <w:rPr>
            <w:noProof/>
          </w:rPr>
          <w:t>21</w:t>
        </w:r>
        <w:r>
          <w:fldChar w:fldCharType="end"/>
        </w:r>
      </w:hyperlink>
      <w:r>
        <w:t xml:space="preserve"> that the most exposed quintile of occupations represents more than a quarter </w:t>
      </w:r>
      <w:r w:rsidR="000C3BDC">
        <w:t xml:space="preserve">of </w:t>
      </w:r>
      <w:r>
        <w:t xml:space="preserve">employment. However, within each quintile there is a mix of small and large occupations, which will each be weighted based on their occupation share. The most exposed occupations have the rightmost density curve, indicating that many high exposure occupations employed significantly more workers than a typical occupation (Figure </w:t>
      </w:r>
      <w:hyperlink w:anchor="viz-weight-exposure" w:history="1">
        <w:r>
          <w:fldChar w:fldCharType="begin"/>
        </w:r>
        <w:r>
          <w:instrText xml:space="preserve"> REF viz-weight-exposure \h</w:instrText>
        </w:r>
        <w:r>
          <w:fldChar w:fldCharType="separate"/>
        </w:r>
        <w:r w:rsidR="00082F4E">
          <w:rPr>
            <w:noProof/>
          </w:rPr>
          <w:t>47</w:t>
        </w:r>
        <w:r>
          <w:fldChar w:fldCharType="end"/>
        </w:r>
      </w:hyperlink>
      <w:r>
        <w:t xml:space="preserve">). The least and second least exposed occupations lean a bit to the left of the median (P50) weight, reflecting the typically smaller size of these lower exposure occupations. Weighting the model means that the </w:t>
      </w:r>
      <m:oMath>
        <m:r>
          <w:rPr>
            <w:rFonts w:ascii="Cambria Math" w:hAnsi="Cambria Math"/>
          </w:rPr>
          <m:t>Δβ</m:t>
        </m:r>
      </m:oMath>
      <w:r>
        <w:t xml:space="preserve"> is more sensitive to employment changes for the most exposed occupations and less sensitive to least exposed occupations. Because the main (unweighted) model estimates the average occupation-level association, while the weighted model gives greater influence </w:t>
      </w:r>
      <w:proofErr w:type="gramStart"/>
      <w:r>
        <w:t>to</w:t>
      </w:r>
      <w:proofErr w:type="gramEnd"/>
      <w:r>
        <w:t xml:space="preserve"> larger occupations, the two approaches answer related but different questions.</w:t>
      </w:r>
    </w:p>
    <w:p w14:paraId="518D1CCE" w14:textId="375FE8D7" w:rsidR="001B7662" w:rsidRDefault="00A208A5">
      <w:pPr>
        <w:pStyle w:val="ImageCaption"/>
      </w:pPr>
      <w:r>
        <w:lastRenderedPageBreak/>
        <w:t xml:space="preserve">Figure </w:t>
      </w:r>
      <w:bookmarkStart w:id="238" w:name="viz-weight-exposure"/>
      <w:r>
        <w:fldChar w:fldCharType="begin"/>
      </w:r>
      <w:r>
        <w:instrText>SEQ fig \* Arabic</w:instrText>
      </w:r>
      <w:r>
        <w:fldChar w:fldCharType="separate"/>
      </w:r>
      <w:r w:rsidR="00082F4E">
        <w:rPr>
          <w:noProof/>
        </w:rPr>
        <w:t>47</w:t>
      </w:r>
      <w:r>
        <w:fldChar w:fldCharType="end"/>
      </w:r>
      <w:bookmarkEnd w:id="238"/>
      <w:r>
        <w:t>: The most exposed occupations have a higher weight distribution than other exposure quintiles, as these occupations typically employ more workers</w:t>
      </w:r>
    </w:p>
    <w:p w14:paraId="518D1CCF" w14:textId="77777777" w:rsidR="001B7662" w:rsidRDefault="00A208A5">
      <w:pPr>
        <w:pStyle w:val="CompactNormal"/>
        <w:jc w:val="center"/>
      </w:pPr>
      <w:r>
        <w:rPr>
          <w:noProof/>
        </w:rPr>
        <w:drawing>
          <wp:inline distT="0" distB="0" distL="0" distR="0" wp14:anchorId="518D1D65" wp14:editId="2B7B7B97">
            <wp:extent cx="5835650" cy="2917825"/>
            <wp:effectExtent l="0" t="0" r="0" b="0"/>
            <wp:docPr id="97" name="Picture 97" descr="A set of five density plots showing distribution of weights across occupations for each AI automation exposure quintile, ranging from least to most exposed. Each plot features a green curve with labelled weight quartile markers (P25, P50, P75) on a logarithmic scale from 1,000 to 100,000, illustrating shifts in employment weight concentration as AI exposure increases. The most exposed occupations have a higher weight distribution than other exposure quintiles, as these occupations typically employ more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set of five density plots showing distribution of weights across occupations for each AI automation exposure quintile, ranging from least to most exposed. Each plot features a green curve with labelled weight quartile markers (P25, P50, P75) on a logarithmic scale from 1,000 to 100,000, illustrating shifts in employment weight concentration as AI exposure increases. The most exposed occupations have a higher weight distribution than other exposure quintiles, as these occupations typically employ more workers."/>
                    <pic:cNvPicPr>
                      <a:picLocks noChangeAspect="1" noChangeArrowheads="1"/>
                    </pic:cNvPicPr>
                  </pic:nvPicPr>
                  <pic:blipFill>
                    <a:blip r:embed="rId116"/>
                    <a:stretch>
                      <a:fillRect/>
                    </a:stretch>
                  </pic:blipFill>
                  <pic:spPr bwMode="auto">
                    <a:xfrm>
                      <a:off x="0" y="0"/>
                      <a:ext cx="5835650" cy="2917825"/>
                    </a:xfrm>
                    <a:prstGeom prst="rect">
                      <a:avLst/>
                    </a:prstGeom>
                    <a:noFill/>
                  </pic:spPr>
                </pic:pic>
              </a:graphicData>
            </a:graphic>
          </wp:inline>
        </w:drawing>
      </w:r>
    </w:p>
    <w:p w14:paraId="518D1CD0" w14:textId="77777777" w:rsidR="001B7662" w:rsidRDefault="00A208A5">
      <w:pPr>
        <w:pStyle w:val="Heading2"/>
      </w:pPr>
      <w:bookmarkStart w:id="239" w:name="_Toc232612118"/>
      <w:bookmarkStart w:id="240" w:name="omission-of-the-level-shift-term"/>
      <w:bookmarkEnd w:id="237"/>
      <w:r>
        <w:t>Omission of the level-shift term</w:t>
      </w:r>
      <w:bookmarkEnd w:id="239"/>
    </w:p>
    <w:p w14:paraId="518D1CD1" w14:textId="77777777" w:rsidR="001B7662" w:rsidRDefault="00A208A5">
      <w:r>
        <w:t xml:space="preserve">Our core model allows for a step-change in the relationship between exposure score and employment trends at the time of ChatGPT’s introduction, represented by </w:t>
      </w:r>
      <m:oMath>
        <m:sSub>
          <m:sSubPr>
            <m:ctrlPr>
              <w:rPr>
                <w:rFonts w:ascii="Cambria Math" w:hAnsi="Cambria Math"/>
              </w:rPr>
            </m:ctrlPr>
          </m:sSubPr>
          <m:e>
            <m:r>
              <w:rPr>
                <w:rFonts w:ascii="Cambria Math" w:hAnsi="Cambria Math"/>
              </w:rPr>
              <m:t>β</m:t>
            </m:r>
          </m:e>
          <m:sub>
            <m:r>
              <w:rPr>
                <w:rFonts w:ascii="Cambria Math" w:hAnsi="Cambria Math"/>
              </w:rPr>
              <m:t>shift</m:t>
            </m:r>
          </m:sub>
        </m:sSub>
      </m:oMath>
      <w:r>
        <w:t xml:space="preserve"> in the core model equation. This is appropriate for our model and if there is no observable step-change, the model will report an insignificant estimate of that term, which our core estimate does.</w:t>
      </w:r>
    </w:p>
    <w:p w14:paraId="518D1CD2" w14:textId="51F876AB" w:rsidR="001B7662" w:rsidRDefault="00A208A5">
      <w:pPr>
        <w:pStyle w:val="BodyText"/>
      </w:pPr>
      <w:r>
        <w:t xml:space="preserve">To test how the inclusion of this insignificant term impacts our key parameter of interest we also test a version that omits </w:t>
      </w:r>
      <m:oMath>
        <m:sSub>
          <m:sSubPr>
            <m:ctrlPr>
              <w:rPr>
                <w:rFonts w:ascii="Cambria Math" w:hAnsi="Cambria Math"/>
              </w:rPr>
            </m:ctrlPr>
          </m:sSubPr>
          <m:e>
            <m:r>
              <w:rPr>
                <w:rFonts w:ascii="Cambria Math" w:hAnsi="Cambria Math"/>
              </w:rPr>
              <m:t>β</m:t>
            </m:r>
          </m:e>
          <m:sub>
            <m:r>
              <w:rPr>
                <w:rFonts w:ascii="Cambria Math" w:hAnsi="Cambria Math"/>
              </w:rPr>
              <m:t>shift</m:t>
            </m:r>
          </m:sub>
        </m:sSub>
      </m:oMath>
      <w:r>
        <w:t xml:space="preserve"> and allows only for a change in slope. The estimate of </w:t>
      </w:r>
      <m:oMath>
        <m:r>
          <w:rPr>
            <w:rFonts w:ascii="Cambria Math" w:hAnsi="Cambria Math"/>
          </w:rPr>
          <m:t>Δβ</m:t>
        </m:r>
      </m:oMath>
      <w:r>
        <w:t xml:space="preserve"> from this version is shown as ‘No shift’ in Figure </w:t>
      </w:r>
      <w:hyperlink w:anchor="viz-model-delta-beta-design" w:history="1">
        <w:r>
          <w:fldChar w:fldCharType="begin"/>
        </w:r>
        <w:r>
          <w:instrText xml:space="preserve"> REF viz-model-delta-beta-design \h</w:instrText>
        </w:r>
        <w:r>
          <w:fldChar w:fldCharType="separate"/>
        </w:r>
        <w:r w:rsidR="00082F4E">
          <w:rPr>
            <w:noProof/>
          </w:rPr>
          <w:t>39</w:t>
        </w:r>
        <w:r>
          <w:fldChar w:fldCharType="end"/>
        </w:r>
      </w:hyperlink>
      <w:r>
        <w:t>. It is of a comparable size as for the main estimate but is not statistically significant at the 5% level.</w:t>
      </w:r>
      <w:r>
        <w:rPr>
          <w:rStyle w:val="FootnoteReference"/>
        </w:rPr>
        <w:footnoteReference w:id="113"/>
      </w:r>
      <w:r>
        <w:t xml:space="preserve"> We still prefer the estimate from the core model which includes </w:t>
      </w:r>
      <m:oMath>
        <m:sSub>
          <m:sSubPr>
            <m:ctrlPr>
              <w:rPr>
                <w:rFonts w:ascii="Cambria Math" w:hAnsi="Cambria Math"/>
              </w:rPr>
            </m:ctrlPr>
          </m:sSubPr>
          <m:e>
            <m:r>
              <w:rPr>
                <w:rFonts w:ascii="Cambria Math" w:hAnsi="Cambria Math"/>
              </w:rPr>
              <m:t>β</m:t>
            </m:r>
          </m:e>
          <m:sub>
            <m:r>
              <w:rPr>
                <w:rFonts w:ascii="Cambria Math" w:hAnsi="Cambria Math"/>
              </w:rPr>
              <m:t>shift</m:t>
            </m:r>
          </m:sub>
        </m:sSub>
      </m:oMath>
      <w:r>
        <w:t>, as it better isolates the per-quarter impact of AI exposure since ChatGPT’s introduction by removing the (small and insignificant) time-constant component.</w:t>
      </w:r>
    </w:p>
    <w:p w14:paraId="518D1CD3" w14:textId="77777777" w:rsidR="001B7662" w:rsidRDefault="00A208A5">
      <w:pPr>
        <w:pStyle w:val="Heading2"/>
      </w:pPr>
      <w:bookmarkStart w:id="241" w:name="_Toc232612119"/>
      <w:bookmarkStart w:id="242" w:name="filtering-out-the-most-extreme-values"/>
      <w:bookmarkEnd w:id="240"/>
      <w:r>
        <w:t>Filtering out the most extreme values</w:t>
      </w:r>
      <w:bookmarkEnd w:id="241"/>
    </w:p>
    <w:p w14:paraId="518D1CD4" w14:textId="13691A61" w:rsidR="001B7662" w:rsidRDefault="00A208A5">
      <w:r>
        <w:t xml:space="preserve">Employment headcount estimates at the ANZSCO 4-digit level can be somewhat volatile, which can be worse for small occupations. We run the model on a restricted sample, where the largest instances of growth and decline are excluded. This is performed by calculating quarterly growth rates, and for each quarter removing the bottom 1% and top 1% occupations by growth rate. Occupations excluded due to extreme growth in one quarter are still included in other quarters when their growth is not at the extremes. The estimated </w:t>
      </w:r>
      <m:oMath>
        <m:r>
          <w:rPr>
            <w:rFonts w:ascii="Cambria Math" w:hAnsi="Cambria Math"/>
          </w:rPr>
          <m:t>Δβ</m:t>
        </m:r>
      </m:oMath>
      <w:r>
        <w:t xml:space="preserve"> for this model is ‘Trim extreme values’ in Figure </w:t>
      </w:r>
      <w:hyperlink w:anchor="viz-model-delta-beta-design" w:history="1">
        <w:r>
          <w:fldChar w:fldCharType="begin"/>
        </w:r>
        <w:r>
          <w:instrText xml:space="preserve"> REF viz-model-delta-beta-design \h</w:instrText>
        </w:r>
        <w:r>
          <w:fldChar w:fldCharType="separate"/>
        </w:r>
        <w:r w:rsidR="00082F4E">
          <w:rPr>
            <w:noProof/>
          </w:rPr>
          <w:t>39</w:t>
        </w:r>
        <w:r>
          <w:fldChar w:fldCharType="end"/>
        </w:r>
      </w:hyperlink>
      <w:r>
        <w:t>, which is negative and of comparable in magnitude to the main estimate and still significant at the 5% level.</w:t>
      </w:r>
      <w:r>
        <w:rPr>
          <w:rStyle w:val="FootnoteReference"/>
        </w:rPr>
        <w:footnoteReference w:id="114"/>
      </w:r>
    </w:p>
    <w:p w14:paraId="518D1CD5" w14:textId="77777777" w:rsidR="001B7662" w:rsidRDefault="00A208A5">
      <w:pPr>
        <w:pStyle w:val="Heading2"/>
      </w:pPr>
      <w:bookmarkStart w:id="243" w:name="_Toc232612120"/>
      <w:bookmarkStart w:id="244" w:name="appendix-startdate"/>
      <w:bookmarkEnd w:id="242"/>
      <w:r>
        <w:t>Selecting the start of the pre-treatment period</w:t>
      </w:r>
      <w:bookmarkEnd w:id="243"/>
    </w:p>
    <w:p w14:paraId="518D1CD6" w14:textId="77777777" w:rsidR="001B7662" w:rsidRDefault="00A208A5">
      <w:r>
        <w:t>There is a lot of flexibility in the choice of when to start the pre-treatment period, as the Labour Force Survey employment-by-occupation time series data goes as far back as August 1986 (ABS 2026a). Going back further means that any estimated pre-trend will draw from a larger pool of data but may also capture confounding trends where historic data contains time-limited effects.</w:t>
      </w:r>
    </w:p>
    <w:p w14:paraId="518D1CD7" w14:textId="5FBDBB02" w:rsidR="001B7662" w:rsidRDefault="00A208A5">
      <w:pPr>
        <w:pStyle w:val="BodyText"/>
      </w:pPr>
      <w:r>
        <w:lastRenderedPageBreak/>
        <w:t xml:space="preserve">Our main model (and most variations) uses data from 2015 onwards. Starting with 2015 balances the need to have sufficient pre-ChatGPT data to estimate the existing exposure–employment relationship, while not going so far back in time that the data is less relevant and more affected by previous shocks (such as the </w:t>
      </w:r>
      <w:r w:rsidR="00F74B82">
        <w:t>G</w:t>
      </w:r>
      <w:r>
        <w:t xml:space="preserve">lobal </w:t>
      </w:r>
      <w:r w:rsidR="00F74B82">
        <w:t>Financial Crisis</w:t>
      </w:r>
      <w:r>
        <w:t xml:space="preserve">). Figure </w:t>
      </w:r>
      <w:hyperlink w:anchor="viz-model-beta-pre-bydate" w:history="1">
        <w:r>
          <w:fldChar w:fldCharType="begin"/>
        </w:r>
        <w:r>
          <w:instrText xml:space="preserve"> REF viz-model-beta-pre-bydate \h</w:instrText>
        </w:r>
        <w:r>
          <w:fldChar w:fldCharType="separate"/>
        </w:r>
        <w:r w:rsidR="00082F4E">
          <w:rPr>
            <w:noProof/>
          </w:rPr>
          <w:t>48</w:t>
        </w:r>
        <w:r>
          <w:fldChar w:fldCharType="end"/>
        </w:r>
      </w:hyperlink>
      <w:r>
        <w:t xml:space="preserve"> examines the pre-treatment relationship between AI exposure and employment, estimated using variants of our core model framework which adjust the starting threshold for inclusion in the model. Regardless of the choice of starting year the </w:t>
      </w:r>
      <m:oMath>
        <m:sSub>
          <m:sSubPr>
            <m:ctrlPr>
              <w:rPr>
                <w:rFonts w:ascii="Cambria Math" w:hAnsi="Cambria Math"/>
              </w:rPr>
            </m:ctrlPr>
          </m:sSubPr>
          <m:e>
            <m:r>
              <w:rPr>
                <w:rFonts w:ascii="Cambria Math" w:hAnsi="Cambria Math"/>
              </w:rPr>
              <m:t>β</m:t>
            </m:r>
          </m:e>
          <m:sub>
            <m:r>
              <w:rPr>
                <w:rFonts w:ascii="Cambria Math" w:hAnsi="Cambria Math"/>
              </w:rPr>
              <m:t>pre</m:t>
            </m:r>
          </m:sub>
        </m:sSub>
      </m:oMath>
      <w:r>
        <w:t xml:space="preserve"> pre-treatment per-quarter impact of AI exposure on employment is insignificant. Starting from 2015 produces one of the smallest point estimates. We do not consider models that start the pre-treatment period after 2020, as this leaves too few quarters of data.</w:t>
      </w:r>
      <w:r>
        <w:rPr>
          <w:rStyle w:val="FootnoteReference"/>
        </w:rPr>
        <w:footnoteReference w:id="115"/>
      </w:r>
    </w:p>
    <w:p w14:paraId="518D1CD8" w14:textId="72F8EC99" w:rsidR="001B7662" w:rsidRDefault="00A208A5">
      <w:pPr>
        <w:pStyle w:val="ImageCaption"/>
      </w:pPr>
      <w:r>
        <w:t xml:space="preserve">Figure </w:t>
      </w:r>
      <w:bookmarkStart w:id="245" w:name="viz-model-beta-pre-bydate"/>
      <w:r>
        <w:fldChar w:fldCharType="begin"/>
      </w:r>
      <w:r>
        <w:instrText>SEQ fig \* Arabic</w:instrText>
      </w:r>
      <w:r>
        <w:fldChar w:fldCharType="separate"/>
      </w:r>
      <w:r w:rsidR="00082F4E">
        <w:rPr>
          <w:noProof/>
        </w:rPr>
        <w:t>48</w:t>
      </w:r>
      <w:r>
        <w:fldChar w:fldCharType="end"/>
      </w:r>
      <w:bookmarkEnd w:id="245"/>
      <w:r>
        <w:t>: The pre-trend coefficient is statistically indistinguishable from zero, whenever we start the pre-treatment period</w:t>
      </w:r>
    </w:p>
    <w:p w14:paraId="518D1CD9" w14:textId="77777777" w:rsidR="001B7662" w:rsidRDefault="00A208A5">
      <w:pPr>
        <w:pStyle w:val="CompactNormal"/>
        <w:jc w:val="center"/>
      </w:pPr>
      <w:r>
        <w:rPr>
          <w:noProof/>
        </w:rPr>
        <w:drawing>
          <wp:inline distT="0" distB="0" distL="0" distR="0" wp14:anchorId="518D1D67" wp14:editId="66E2F0CA">
            <wp:extent cx="5835650" cy="5835650"/>
            <wp:effectExtent l="0" t="0" r="0" b="0"/>
            <wp:docPr id="99" name="Picture 99" descr="Chart displays variation in estimated β-pre coefficient by model start year from 1987 to 2020, with green dots representing coefficient values and horizontal bars showing 95% confidence intervals. The pre-trend coefficient is statistically indistinguishable from zero, whenever the pre-treatment period is sta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Chart displays variation in estimated β-pre coefficient by model start year from 1987 to 2020, with green dots representing coefficient values and horizontal bars showing 95% confidence intervals. The pre-trend coefficient is statistically indistinguishable from zero, whenever the pre-treatment period is started."/>
                    <pic:cNvPicPr>
                      <a:picLocks noChangeAspect="1" noChangeArrowheads="1"/>
                    </pic:cNvPicPr>
                  </pic:nvPicPr>
                  <pic:blipFill>
                    <a:blip r:embed="rId117"/>
                    <a:stretch>
                      <a:fillRect/>
                    </a:stretch>
                  </pic:blipFill>
                  <pic:spPr bwMode="auto">
                    <a:xfrm>
                      <a:off x="0" y="0"/>
                      <a:ext cx="5835650" cy="5835650"/>
                    </a:xfrm>
                    <a:prstGeom prst="rect">
                      <a:avLst/>
                    </a:prstGeom>
                    <a:noFill/>
                  </pic:spPr>
                </pic:pic>
              </a:graphicData>
            </a:graphic>
          </wp:inline>
        </w:drawing>
      </w:r>
    </w:p>
    <w:p w14:paraId="518D1CDA" w14:textId="77777777" w:rsidR="001B7662" w:rsidRDefault="00A208A5">
      <w:pPr>
        <w:pStyle w:val="Heading2"/>
      </w:pPr>
      <w:bookmarkStart w:id="246" w:name="_Toc232612121"/>
      <w:bookmarkStart w:id="247" w:name="sec-robust-buscycle"/>
      <w:bookmarkEnd w:id="244"/>
      <w:r>
        <w:lastRenderedPageBreak/>
        <w:t>Controlling for variable sensitivity to business cycle movements</w:t>
      </w:r>
      <w:bookmarkEnd w:id="246"/>
    </w:p>
    <w:p w14:paraId="518D1CDB" w14:textId="6A4720F8" w:rsidR="001B7662" w:rsidRDefault="00A208A5">
      <w:r>
        <w:t>Our model includes time fixed effects, which means that macroeconomic shocks that affect employment across-the-board will not affect our estimate of the AI effect on jobs. But there could be macroeconomic shocks that affect some occupations more than others. If sensitivity to macro</w:t>
      </w:r>
      <w:r w:rsidR="00062102">
        <w:t>economic</w:t>
      </w:r>
      <w:r>
        <w:t xml:space="preserve"> shocks is correlated with AI exposure, this will bias our estimates. For this reason, we test whether controlling for variable sensitivity to business cycle movements impacts our core model estimate of </w:t>
      </w:r>
      <m:oMath>
        <m:r>
          <w:rPr>
            <w:rFonts w:ascii="Cambria Math" w:hAnsi="Cambria Math"/>
          </w:rPr>
          <m:t>Δβ</m:t>
        </m:r>
      </m:oMath>
      <w:r>
        <w:t>.</w:t>
      </w:r>
    </w:p>
    <w:p w14:paraId="518D1CDC" w14:textId="77777777" w:rsidR="001B7662" w:rsidRDefault="00A208A5">
      <w:pPr>
        <w:pStyle w:val="BodyText"/>
      </w:pPr>
      <w:r>
        <w:t xml:space="preserve">First, in a separate model, we estimate a set of pre-ChatGPT business cycle sensitivity scores by fitting a model of employment growth rates dependent only upon the unemployment rate and occupation interactions. Given the existence of zero employment quarters for some occupations, we approximate employment growth for occupation </w:t>
      </w:r>
      <m:oMath>
        <m:r>
          <w:rPr>
            <w:rFonts w:ascii="Cambria Math" w:hAnsi="Cambria Math"/>
          </w:rPr>
          <m:t>i</m:t>
        </m:r>
      </m:oMath>
      <w:r>
        <w:t xml:space="preserve"> at time </w:t>
      </w:r>
      <m:oMath>
        <m:r>
          <w:rPr>
            <w:rFonts w:ascii="Cambria Math" w:hAnsi="Cambria Math"/>
          </w:rPr>
          <m:t>t</m:t>
        </m:r>
      </m:oMath>
      <w:r>
        <w:t xml:space="preserve"> by </w:t>
      </w:r>
      <m:oMath>
        <m:sSub>
          <m:sSubPr>
            <m:ctrlPr>
              <w:rPr>
                <w:rFonts w:ascii="Cambria Math" w:hAnsi="Cambria Math"/>
              </w:rPr>
            </m:ctrlPr>
          </m:sSubPr>
          <m:e>
            <m:r>
              <w:rPr>
                <w:rFonts w:ascii="Cambria Math" w:hAnsi="Cambria Math"/>
              </w:rPr>
              <m:t>G</m:t>
            </m:r>
          </m:e>
          <m:sub>
            <m:r>
              <w:rPr>
                <w:rFonts w:ascii="Cambria Math" w:hAnsi="Cambria Math"/>
              </w:rPr>
              <m:t>i</m:t>
            </m:r>
            <m:r>
              <m:rPr>
                <m:sty m:val="p"/>
              </m:rPr>
              <w:rPr>
                <w:rFonts w:ascii="Cambria Math" w:hAnsi="Cambria Math"/>
              </w:rPr>
              <m:t>,</m:t>
            </m:r>
            <m:r>
              <w:rPr>
                <w:rFonts w:ascii="Cambria Math" w:hAnsi="Cambria Math"/>
              </w:rPr>
              <m:t>t</m:t>
            </m:r>
          </m:sub>
        </m:sSub>
      </m:oMath>
      <w:r>
        <w:t xml:space="preserve"> defined as:</w:t>
      </w:r>
    </w:p>
    <w:p w14:paraId="518D1CDD" w14:textId="77777777" w:rsidR="001B7662" w:rsidRDefault="00000000">
      <w:pPr>
        <w:pStyle w:val="BodyText"/>
      </w:pPr>
      <m:oMathPara>
        <m:oMathParaPr>
          <m:jc m:val="center"/>
        </m:oMathParaPr>
        <m:oMath>
          <m:sSub>
            <m:sSubPr>
              <m:ctrlPr>
                <w:rPr>
                  <w:rFonts w:ascii="Cambria Math" w:hAnsi="Cambria Math"/>
                </w:rPr>
              </m:ctrlPr>
            </m:sSubPr>
            <m:e>
              <m:r>
                <w:rPr>
                  <w:rFonts w:ascii="Cambria Math" w:hAnsi="Cambria Math"/>
                </w:rPr>
                <m:t>G</m:t>
              </m:r>
            </m:e>
            <m:sub>
              <m:r>
                <w:rPr>
                  <w:rFonts w:ascii="Cambria Math" w:hAnsi="Cambria Math"/>
                </w:rPr>
                <m:t>i</m:t>
              </m:r>
              <m:r>
                <m:rPr>
                  <m:sty m:val="p"/>
                </m:rPr>
                <w:rPr>
                  <w:rFonts w:ascii="Cambria Math" w:hAnsi="Cambria Math"/>
                </w:rPr>
                <m:t>,</m:t>
              </m:r>
              <m:r>
                <w:rPr>
                  <w:rFonts w:ascii="Cambria Math" w:hAnsi="Cambria Math"/>
                </w:rPr>
                <m:t>t</m:t>
              </m:r>
            </m:sub>
          </m:sSub>
          <m:box>
            <m:boxPr>
              <m:opEmu m:val="1"/>
              <m:ctrlPr>
                <w:rPr>
                  <w:rFonts w:ascii="Cambria Math" w:hAnsi="Cambria Math"/>
                </w:rPr>
              </m:ctrlPr>
            </m:boxPr>
            <m:e>
              <m:r>
                <m:rPr>
                  <m:sty m:val="p"/>
                </m:rPr>
                <w:rPr>
                  <w:rFonts w:ascii="Cambria Math" w:hAnsi="Cambria Math"/>
                </w:rPr>
                <m:t>:=</m:t>
              </m:r>
            </m:e>
          </m:box>
          <m:r>
            <m:rPr>
              <m:sty m:val="p"/>
            </m:rPr>
            <w:rPr>
              <w:rFonts w:ascii="Cambria Math" w:hAnsi="Cambria Math"/>
            </w:rPr>
            <m:t>log</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e>
          </m:d>
          <m:r>
            <m:rPr>
              <m:sty m:val="p"/>
            </m:rPr>
            <w:rPr>
              <w:rFonts w:ascii="Cambria Math" w:hAnsi="Cambria Math"/>
            </w:rPr>
            <m:t>-log</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1</m:t>
                  </m:r>
                </m:sub>
              </m:sSub>
            </m:e>
          </m:d>
        </m:oMath>
      </m:oMathPara>
    </w:p>
    <w:p w14:paraId="518D1CDE" w14:textId="0CBC28FA" w:rsidR="001B7662" w:rsidRDefault="00A208A5">
      <w:r>
        <w:t xml:space="preserve">The first-stage model, which is estimated using ordinary least squares with fixed effects, simply involves occupation-level interactions between the unemployment rate </w:t>
      </w:r>
      <m:oMath>
        <m:sSub>
          <m:sSubPr>
            <m:ctrlPr>
              <w:rPr>
                <w:rFonts w:ascii="Cambria Math" w:hAnsi="Cambria Math"/>
              </w:rPr>
            </m:ctrlPr>
          </m:sSubPr>
          <m:e>
            <m:r>
              <w:rPr>
                <w:rFonts w:ascii="Cambria Math" w:hAnsi="Cambria Math"/>
              </w:rPr>
              <m:t>U</m:t>
            </m:r>
          </m:e>
          <m:sub>
            <m:r>
              <w:rPr>
                <w:rFonts w:ascii="Cambria Math" w:hAnsi="Cambria Math"/>
              </w:rPr>
              <m:t>t</m:t>
            </m:r>
          </m:sub>
        </m:sSub>
      </m:oMath>
      <w:r>
        <w:t xml:space="preserve"> at time </w:t>
      </w:r>
      <m:oMath>
        <m:r>
          <w:rPr>
            <w:rFonts w:ascii="Cambria Math" w:hAnsi="Cambria Math"/>
          </w:rPr>
          <m:t>t</m:t>
        </m:r>
      </m:oMath>
      <w:r>
        <w:t xml:space="preserve"> with an occupation dummy </w:t>
      </w:r>
      <m:oMath>
        <m:r>
          <w:rPr>
            <w:rFonts w:ascii="Cambria Math" w:hAnsi="Cambria Math"/>
          </w:rPr>
          <m:t>Oc</m:t>
        </m:r>
        <m:sSub>
          <m:sSubPr>
            <m:ctrlPr>
              <w:rPr>
                <w:rFonts w:ascii="Cambria Math" w:hAnsi="Cambria Math"/>
              </w:rPr>
            </m:ctrlPr>
          </m:sSubPr>
          <m:e>
            <m:r>
              <w:rPr>
                <w:rFonts w:ascii="Cambria Math" w:hAnsi="Cambria Math"/>
              </w:rPr>
              <m:t>c</m:t>
            </m:r>
          </m:e>
          <m:sub>
            <m:r>
              <w:rPr>
                <w:rFonts w:ascii="Cambria Math" w:hAnsi="Cambria Math"/>
              </w:rPr>
              <m:t>i</m:t>
            </m:r>
          </m:sub>
        </m:sSub>
      </m:oMath>
      <w:r>
        <w:t xml:space="preserve">, as well as occupation fixed effects </w:t>
      </w:r>
      <m:oMath>
        <m:sSub>
          <m:sSubPr>
            <m:ctrlPr>
              <w:rPr>
                <w:rFonts w:ascii="Cambria Math" w:hAnsi="Cambria Math"/>
              </w:rPr>
            </m:ctrlPr>
          </m:sSubPr>
          <m:e>
            <m:r>
              <w:rPr>
                <w:rFonts w:ascii="Cambria Math" w:hAnsi="Cambria Math"/>
              </w:rPr>
              <m:t>α</m:t>
            </m:r>
          </m:e>
          <m:sub>
            <m:r>
              <w:rPr>
                <w:rFonts w:ascii="Cambria Math" w:hAnsi="Cambria Math"/>
              </w:rPr>
              <m:t>i</m:t>
            </m:r>
          </m:sub>
        </m:sSub>
      </m:oMath>
      <w:r>
        <w:t>:</w:t>
      </w:r>
    </w:p>
    <w:p w14:paraId="518D1CDF" w14:textId="77777777" w:rsidR="001B7662" w:rsidRDefault="00000000">
      <w:pPr>
        <w:pStyle w:val="BodyText"/>
      </w:pPr>
      <m:oMathPara>
        <m:oMathParaPr>
          <m:jc m:val="center"/>
        </m:oMathParaPr>
        <m:oMath>
          <m:sSub>
            <m:sSubPr>
              <m:ctrlPr>
                <w:rPr>
                  <w:rFonts w:ascii="Cambria Math" w:hAnsi="Cambria Math"/>
                </w:rPr>
              </m:ctrlPr>
            </m:sSubPr>
            <m:e>
              <m:r>
                <w:rPr>
                  <w:rFonts w:ascii="Cambria Math" w:hAnsi="Cambria Math"/>
                </w:rPr>
                <m:t>G</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r>
                <w:rPr>
                  <w:rFonts w:ascii="Cambria Math" w:hAnsi="Cambria Math"/>
                </w:rPr>
                <m:t>​</m:t>
              </m:r>
            </m:sup>
            <m:e>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U</m:t>
                  </m:r>
                </m:sup>
              </m:sSubSup>
            </m:e>
          </m:nary>
          <m:r>
            <m:rPr>
              <m:sty m:val="p"/>
            </m:rPr>
            <w:rPr>
              <w:rFonts w:ascii="Cambria Math" w:hAnsi="Cambria Math"/>
            </w:rPr>
            <m:t>⋅</m:t>
          </m:r>
          <m:r>
            <w:rPr>
              <w:rFonts w:ascii="Cambria Math" w:hAnsi="Cambria Math"/>
            </w:rPr>
            <m:t>Oc</m:t>
          </m:r>
          <m:sSub>
            <m:sSubPr>
              <m:ctrlPr>
                <w:rPr>
                  <w:rFonts w:ascii="Cambria Math" w:hAnsi="Cambria Math"/>
                </w:rPr>
              </m:ctrlPr>
            </m:sSubPr>
            <m:e>
              <m:r>
                <w:rPr>
                  <w:rFonts w:ascii="Cambria Math" w:hAnsi="Cambria Math"/>
                </w:rPr>
                <m:t>c</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t</m:t>
              </m:r>
            </m:sub>
          </m:sSub>
        </m:oMath>
      </m:oMathPara>
    </w:p>
    <w:p w14:paraId="518D1CE0" w14:textId="70C6CC13" w:rsidR="001B7662" w:rsidRDefault="00A208A5">
      <w:r>
        <w:t xml:space="preserve">The key parameters from this model are the </w:t>
      </w:r>
      <m:oMath>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U</m:t>
            </m:r>
          </m:sup>
        </m:sSubSup>
      </m:oMath>
      <w:r>
        <w:t xml:space="preserve"> coefficients, which capture how changes in the unemployment rate impact the growth rate for occupation </w:t>
      </w:r>
      <m:oMath>
        <m:r>
          <w:rPr>
            <w:rFonts w:ascii="Cambria Math" w:hAnsi="Cambria Math"/>
          </w:rPr>
          <m:t>i</m:t>
        </m:r>
      </m:oMath>
      <w:r>
        <w:t xml:space="preserve">. The estimated </w:t>
      </w:r>
      <m:oMath>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U</m:t>
            </m:r>
          </m:sup>
        </m:sSubSup>
      </m:oMath>
      <w:r>
        <w:t xml:space="preserve"> coefficients reflect the variable sensitivity to the business cycle</w:t>
      </w:r>
      <w:r>
        <w:rPr>
          <w:rStyle w:val="FootnoteReference"/>
        </w:rPr>
        <w:footnoteReference w:id="116"/>
      </w:r>
      <w:r>
        <w:t xml:space="preserve"> in the pre-treatment period. These interaction terms are relative to the ANZSCO unit group 1111 which corresponds to ‘Chief Executives and Managing Directors’. A negative </w:t>
      </w:r>
      <m:oMath>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U</m:t>
            </m:r>
          </m:sup>
        </m:sSubSup>
      </m:oMath>
      <w:r>
        <w:t xml:space="preserve"> means that occupation </w:t>
      </w:r>
      <m:oMath>
        <m:r>
          <w:rPr>
            <w:rFonts w:ascii="Cambria Math" w:hAnsi="Cambria Math"/>
          </w:rPr>
          <m:t>i</m:t>
        </m:r>
      </m:oMath>
      <w:r>
        <w:t xml:space="preserve"> has growth which declines more than that of Chief Executives and managing Directors for a given increase in the unemployment rate. In other words, negative </w:t>
      </w:r>
      <m:oMath>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U</m:t>
            </m:r>
          </m:sup>
        </m:sSubSup>
      </m:oMath>
      <w:r>
        <w:t xml:space="preserve"> occupations are relatively pro-cyclical. Positive </w:t>
      </w:r>
      <m:oMath>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U</m:t>
            </m:r>
          </m:sup>
        </m:sSubSup>
      </m:oMath>
      <w:r>
        <w:t xml:space="preserve"> occupations are relatively counter-cyclical and have relatively higher employment growth when the unemployment rate increases. The variation of estimates of </w:t>
      </w:r>
      <m:oMath>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U</m:t>
            </m:r>
          </m:sup>
        </m:sSubSup>
      </m:oMath>
      <w:r>
        <w:t xml:space="preserve"> is shown in Figure </w:t>
      </w:r>
      <w:hyperlink w:anchor="viz-ur-interactions" w:history="1">
        <w:r>
          <w:fldChar w:fldCharType="begin"/>
        </w:r>
        <w:r>
          <w:instrText xml:space="preserve"> REF viz-ur-interactions \h</w:instrText>
        </w:r>
        <w:r>
          <w:fldChar w:fldCharType="separate"/>
        </w:r>
        <w:r w:rsidR="00082F4E">
          <w:rPr>
            <w:noProof/>
          </w:rPr>
          <w:t>49</w:t>
        </w:r>
        <w:r>
          <w:fldChar w:fldCharType="end"/>
        </w:r>
      </w:hyperlink>
      <w:r>
        <w:t>.</w:t>
      </w:r>
    </w:p>
    <w:p w14:paraId="518D1CE1" w14:textId="438D4E52" w:rsidR="001B7662" w:rsidRDefault="00A208A5">
      <w:pPr>
        <w:pStyle w:val="ImageCaption"/>
      </w:pPr>
      <w:r>
        <w:t xml:space="preserve">Figure </w:t>
      </w:r>
      <w:bookmarkStart w:id="248" w:name="viz-ur-interactions"/>
      <w:r>
        <w:fldChar w:fldCharType="begin"/>
      </w:r>
      <w:r>
        <w:instrText>SEQ fig \* Arabic</w:instrText>
      </w:r>
      <w:r>
        <w:fldChar w:fldCharType="separate"/>
      </w:r>
      <w:r w:rsidR="00082F4E">
        <w:rPr>
          <w:noProof/>
        </w:rPr>
        <w:t>49</w:t>
      </w:r>
      <w:r>
        <w:fldChar w:fldCharType="end"/>
      </w:r>
      <w:bookmarkEnd w:id="248"/>
      <w:r>
        <w:t>: Estimates from the business cycle sensitivity model show variable employment growth responses to the unemployment rate</w:t>
      </w:r>
    </w:p>
    <w:p w14:paraId="518D1CE2" w14:textId="77777777" w:rsidR="001B7662" w:rsidRDefault="00A208A5">
      <w:pPr>
        <w:pStyle w:val="CompactNormal"/>
        <w:jc w:val="center"/>
      </w:pPr>
      <w:r>
        <w:rPr>
          <w:noProof/>
        </w:rPr>
        <w:drawing>
          <wp:inline distT="0" distB="0" distL="0" distR="0" wp14:anchorId="518D1D69" wp14:editId="7EE38BCE">
            <wp:extent cx="5835650" cy="2286000"/>
            <wp:effectExtent l="0" t="0" r="0" b="0"/>
            <wp:docPr id="101" name="Picture 101" descr="Bar chart showing distribution of estimates for occupation-unemployment rate interaction terms, with values ranging from approximately -0.15 to 0.15. The chart highlights a concentration of estimates around zero, indicating mostly neutral interactions, with labels marking &quot;Relatively pro-cyclical&quot; on the left and &quot;Relatively counter-cyclical&quot; on the right. Estimates from the business cycle sensitivity model show variable employment growth responses to the unemployme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Bar chart showing distribution of estimates for occupation-unemployment rate interaction terms, with values ranging from approximately -0.15 to 0.15. The chart highlights a concentration of estimates around zero, indicating mostly neutral interactions, with labels marking &quot;Relatively pro-cyclical&quot; on the left and &quot;Relatively counter-cyclical&quot; on the right. Estimates from the business cycle sensitivity model show variable employment growth responses to the unemployment rate."/>
                    <pic:cNvPicPr>
                      <a:picLocks noChangeAspect="1" noChangeArrowheads="1"/>
                    </pic:cNvPicPr>
                  </pic:nvPicPr>
                  <pic:blipFill>
                    <a:blip r:embed="rId118"/>
                    <a:stretch>
                      <a:fillRect/>
                    </a:stretch>
                  </pic:blipFill>
                  <pic:spPr bwMode="auto">
                    <a:xfrm>
                      <a:off x="0" y="0"/>
                      <a:ext cx="5835650" cy="2286000"/>
                    </a:xfrm>
                    <a:prstGeom prst="rect">
                      <a:avLst/>
                    </a:prstGeom>
                    <a:noFill/>
                  </pic:spPr>
                </pic:pic>
              </a:graphicData>
            </a:graphic>
          </wp:inline>
        </w:drawing>
      </w:r>
    </w:p>
    <w:p w14:paraId="518D1CE3" w14:textId="77777777" w:rsidR="001B7662" w:rsidRDefault="00A208A5">
      <w:pPr>
        <w:pStyle w:val="BodyText"/>
      </w:pPr>
      <w:r>
        <w:lastRenderedPageBreak/>
        <w:t xml:space="preserve">The second stage of the robustness test controlling for variable sensitivity to the business cycle then involves taking the core model equation and adding in an extra term where the </w:t>
      </w:r>
      <m:oMath>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U</m:t>
            </m:r>
          </m:sup>
        </m:sSubSup>
      </m:oMath>
      <w:r>
        <w:t xml:space="preserve"> terms are interacted with the unemployment rate </w:t>
      </w:r>
      <m:oMath>
        <m:sSub>
          <m:sSubPr>
            <m:ctrlPr>
              <w:rPr>
                <w:rFonts w:ascii="Cambria Math" w:hAnsi="Cambria Math"/>
              </w:rPr>
            </m:ctrlPr>
          </m:sSubPr>
          <m:e>
            <m:r>
              <w:rPr>
                <w:rFonts w:ascii="Cambria Math" w:hAnsi="Cambria Math"/>
              </w:rPr>
              <m:t>U</m:t>
            </m:r>
          </m:e>
          <m:sub>
            <m:r>
              <w:rPr>
                <w:rFonts w:ascii="Cambria Math" w:hAnsi="Cambria Math"/>
              </w:rPr>
              <m:t>t</m:t>
            </m:r>
          </m:sub>
        </m:sSub>
      </m:oMath>
      <w:r>
        <w:t xml:space="preserve"> for all time periods:</w:t>
      </w:r>
    </w:p>
    <w:p w14:paraId="518D1CE4" w14:textId="77777777" w:rsidR="001B7662" w:rsidRDefault="00A208A5">
      <w:pPr>
        <w:pStyle w:val="BodyText"/>
      </w:pPr>
      <m:oMathPara>
        <m:oMathParaPr>
          <m:jc m:val="center"/>
        </m:oMathParaPr>
        <m:oMath>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=exp</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pre</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sSub>
                <m:sSubPr>
                  <m:ctrlPr>
                    <w:rPr>
                      <w:rFonts w:ascii="Cambria Math" w:hAnsi="Cambria Math"/>
                    </w:rPr>
                  </m:ctrlPr>
                </m:sSubPr>
                <m:e>
                  <m:r>
                    <w:rPr>
                      <w:rFonts w:ascii="Cambria Math" w:hAnsi="Cambria Math"/>
                    </w:rPr>
                    <m:t>t</m:t>
                  </m:r>
                </m:e>
                <m:sub>
                  <m:r>
                    <w:rPr>
                      <w:rFonts w:ascii="Cambria Math" w:hAnsi="Cambria Math"/>
                    </w:rPr>
                    <m:t>pre</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post</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sSub>
                <m:sSubPr>
                  <m:ctrlPr>
                    <w:rPr>
                      <w:rFonts w:ascii="Cambria Math" w:hAnsi="Cambria Math"/>
                    </w:rPr>
                  </m:ctrlPr>
                </m:sSubPr>
                <m:e>
                  <m:r>
                    <w:rPr>
                      <w:rFonts w:ascii="Cambria Math" w:hAnsi="Cambria Math"/>
                    </w:rPr>
                    <m:t>t</m:t>
                  </m:r>
                </m:e>
                <m:sub>
                  <m:r>
                    <w:rPr>
                      <w:rFonts w:ascii="Cambria Math" w:hAnsi="Cambria Math"/>
                    </w:rPr>
                    <m:t>post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shift</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Pos</m:t>
              </m:r>
              <m:sSub>
                <m:sSubPr>
                  <m:ctrlPr>
                    <w:rPr>
                      <w:rFonts w:ascii="Cambria Math" w:hAnsi="Cambria Math"/>
                    </w:rPr>
                  </m:ctrlPr>
                </m:sSubPr>
                <m:e>
                  <m:r>
                    <w:rPr>
                      <w:rFonts w:ascii="Cambria Math" w:hAnsi="Cambria Math"/>
                    </w:rPr>
                    <m:t>t</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cycle</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U</m:t>
                      </m:r>
                    </m:sup>
                  </m:sSubSup>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t</m:t>
                      </m:r>
                    </m:sub>
                  </m:sSub>
                </m:e>
              </m:d>
            </m:e>
          </m:d>
        </m:oMath>
      </m:oMathPara>
    </w:p>
    <w:p w14:paraId="518D1CE5" w14:textId="77777777" w:rsidR="001B7662" w:rsidRDefault="00A208A5">
      <w:r>
        <w:t xml:space="preserve">The extra term </w:t>
      </w:r>
      <m:oMath>
        <m:sSub>
          <m:sSubPr>
            <m:ctrlPr>
              <w:rPr>
                <w:rFonts w:ascii="Cambria Math" w:hAnsi="Cambria Math"/>
              </w:rPr>
            </m:ctrlPr>
          </m:sSubPr>
          <m:e>
            <m:r>
              <w:rPr>
                <w:rFonts w:ascii="Cambria Math" w:hAnsi="Cambria Math"/>
              </w:rPr>
              <m:t>β</m:t>
            </m:r>
          </m:e>
          <m:sub>
            <m:r>
              <w:rPr>
                <w:rFonts w:ascii="Cambria Math" w:hAnsi="Cambria Math"/>
              </w:rPr>
              <m:t>cycle</m:t>
            </m:r>
          </m:sub>
        </m:sSub>
      </m:oMath>
      <w:r>
        <w:t xml:space="preserve"> captures how the previously estimated business cycle sensitivity scores </w:t>
      </w:r>
      <m:oMath>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U</m:t>
            </m:r>
          </m:sup>
        </m:sSubSup>
      </m:oMath>
      <w:r>
        <w:t xml:space="preserve"> together with the unemployment rate </w:t>
      </w:r>
      <m:oMath>
        <m:sSub>
          <m:sSubPr>
            <m:ctrlPr>
              <w:rPr>
                <w:rFonts w:ascii="Cambria Math" w:hAnsi="Cambria Math"/>
              </w:rPr>
            </m:ctrlPr>
          </m:sSubPr>
          <m:e>
            <m:r>
              <w:rPr>
                <w:rFonts w:ascii="Cambria Math" w:hAnsi="Cambria Math"/>
              </w:rPr>
              <m:t>U</m:t>
            </m:r>
          </m:e>
          <m:sub>
            <m:r>
              <w:rPr>
                <w:rFonts w:ascii="Cambria Math" w:hAnsi="Cambria Math"/>
              </w:rPr>
              <m:t>t</m:t>
            </m:r>
          </m:sub>
        </m:sSub>
      </m:oMath>
      <w:r>
        <w:t xml:space="preserve"> contribute to employment (</w:t>
      </w:r>
      <m:oMath>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oMath>
      <w:r>
        <w:t>). This aims to control for the expected changes in employment levels due to business cycle effects, in both the pre-treatment and post-treatment periods, to better isolate the impacts of AI automation exposure.</w:t>
      </w:r>
    </w:p>
    <w:p w14:paraId="518D1CE6" w14:textId="49162061" w:rsidR="001B7662" w:rsidRDefault="00A208A5">
      <w:pPr>
        <w:pStyle w:val="BodyText"/>
      </w:pPr>
      <w:r>
        <w:t xml:space="preserve">The </w:t>
      </w:r>
      <m:oMath>
        <m:r>
          <w:rPr>
            <w:rFonts w:ascii="Cambria Math" w:hAnsi="Cambria Math"/>
          </w:rPr>
          <m:t>Δβ</m:t>
        </m:r>
      </m:oMath>
      <w:r>
        <w:t xml:space="preserve"> estimate for this robustness test is shown in Figure </w:t>
      </w:r>
      <w:hyperlink w:anchor="viz-model-delta-beta-design" w:history="1">
        <w:r>
          <w:fldChar w:fldCharType="begin"/>
        </w:r>
        <w:r>
          <w:instrText xml:space="preserve"> REF viz-model-delta-beta-design \h</w:instrText>
        </w:r>
        <w:r>
          <w:fldChar w:fldCharType="separate"/>
        </w:r>
        <w:r w:rsidR="00082F4E">
          <w:rPr>
            <w:noProof/>
          </w:rPr>
          <w:t>39</w:t>
        </w:r>
        <w:r>
          <w:fldChar w:fldCharType="end"/>
        </w:r>
      </w:hyperlink>
      <w:r>
        <w:t xml:space="preserve"> as ‘Control for business cycle sensitivity’. It is of a comparable size to the </w:t>
      </w:r>
      <m:oMath>
        <m:r>
          <w:rPr>
            <w:rFonts w:ascii="Cambria Math" w:hAnsi="Cambria Math"/>
          </w:rPr>
          <m:t>Δβ</m:t>
        </m:r>
      </m:oMath>
      <w:r>
        <w:t xml:space="preserve"> from the main model and still significant at the 5% level.</w:t>
      </w:r>
      <w:r>
        <w:rPr>
          <w:rStyle w:val="FootnoteReference"/>
        </w:rPr>
        <w:footnoteReference w:id="117"/>
      </w:r>
      <w:r>
        <w:t xml:space="preserve"> The added </w:t>
      </w:r>
      <m:oMath>
        <m:sSub>
          <m:sSubPr>
            <m:ctrlPr>
              <w:rPr>
                <w:rFonts w:ascii="Cambria Math" w:hAnsi="Cambria Math"/>
              </w:rPr>
            </m:ctrlPr>
          </m:sSubPr>
          <m:e>
            <m:r>
              <w:rPr>
                <w:rFonts w:ascii="Cambria Math" w:hAnsi="Cambria Math"/>
              </w:rPr>
              <m:t>β</m:t>
            </m:r>
          </m:e>
          <m:sub>
            <m:r>
              <w:rPr>
                <w:rFonts w:ascii="Cambria Math" w:hAnsi="Cambria Math"/>
              </w:rPr>
              <m:t>cycle</m:t>
            </m:r>
          </m:sub>
        </m:sSub>
      </m:oMath>
      <w:r>
        <w:t xml:space="preserve"> term, which captures how changes in the unemployment rate and occupation-specific sensitivity to the business cycle explain employment changes, is statistically significant</w:t>
      </w:r>
      <w:r>
        <w:rPr>
          <w:rStyle w:val="FootnoteReference"/>
        </w:rPr>
        <w:footnoteReference w:id="118"/>
      </w:r>
      <w:r>
        <w:t xml:space="preserve"> and has the expected sign (positive). Taken together, this means that while changes in the unemployment rate explain some of the changes in employment levels in both the pre-treatment and post-treatment period, the </w:t>
      </w:r>
      <m:oMath>
        <m:r>
          <w:rPr>
            <w:rFonts w:ascii="Cambria Math" w:hAnsi="Cambria Math"/>
          </w:rPr>
          <m:t>Δβ</m:t>
        </m:r>
      </m:oMath>
      <w:r>
        <w:t xml:space="preserve"> effect is in addition to the effect of </w:t>
      </w:r>
      <m:oMath>
        <m:sSub>
          <m:sSubPr>
            <m:ctrlPr>
              <w:rPr>
                <w:rFonts w:ascii="Cambria Math" w:hAnsi="Cambria Math"/>
              </w:rPr>
            </m:ctrlPr>
          </m:sSubPr>
          <m:e>
            <m:r>
              <w:rPr>
                <w:rFonts w:ascii="Cambria Math" w:hAnsi="Cambria Math"/>
              </w:rPr>
              <m:t>β</m:t>
            </m:r>
          </m:e>
          <m:sub>
            <m:r>
              <w:rPr>
                <w:rFonts w:ascii="Cambria Math" w:hAnsi="Cambria Math"/>
              </w:rPr>
              <m:t>cycle</m:t>
            </m:r>
          </m:sub>
        </m:sSub>
      </m:oMath>
      <w:r>
        <w:t>. In other words, the negative association between AI exposure and employment since the introduction of ChatGPT is not being driven by business cycle effects, at least not in the way occupations historically responded to the business cycle.</w:t>
      </w:r>
    </w:p>
    <w:p w14:paraId="518D1CE7" w14:textId="77777777" w:rsidR="001B7662" w:rsidRDefault="00A208A5">
      <w:r>
        <w:br w:type="page"/>
      </w:r>
    </w:p>
    <w:p w14:paraId="518D1CE8" w14:textId="77777777" w:rsidR="001B7662" w:rsidRDefault="00A208A5">
      <w:pPr>
        <w:pStyle w:val="Heading1"/>
      </w:pPr>
      <w:bookmarkStart w:id="249" w:name="_Toc232612122"/>
      <w:bookmarkStart w:id="250" w:name="appendix-dissim"/>
      <w:bookmarkEnd w:id="230"/>
      <w:bookmarkEnd w:id="247"/>
      <w:r>
        <w:lastRenderedPageBreak/>
        <w:t>Appendix D: Dissimilarity index</w:t>
      </w:r>
      <w:bookmarkEnd w:id="249"/>
    </w:p>
    <w:p w14:paraId="518D1CE9" w14:textId="1C91697E" w:rsidR="001B7662" w:rsidRDefault="00A208A5">
      <w:r>
        <w:t xml:space="preserve">To summarise how quickly the occupational composition of employment changes over time, we use a </w:t>
      </w:r>
      <w:r>
        <w:rPr>
          <w:i/>
          <w:iCs/>
        </w:rPr>
        <w:t>dissimilarity index</w:t>
      </w:r>
      <w:r>
        <w:t xml:space="preserve"> (sometimes called a Duncan index).</w:t>
      </w:r>
      <w:r>
        <w:rPr>
          <w:rStyle w:val="FootnoteReference"/>
        </w:rPr>
        <w:footnoteReference w:id="119"/>
      </w:r>
      <w:r>
        <w:t xml:space="preserve"> The results are shown and discussed on page </w:t>
      </w:r>
      <w:r>
        <w:fldChar w:fldCharType="begin"/>
      </w:r>
      <w:r>
        <w:instrText>PAGEREF sec-comp-change \h</w:instrText>
      </w:r>
      <w:r>
        <w:fldChar w:fldCharType="separate"/>
      </w:r>
      <w:r w:rsidR="00082F4E">
        <w:rPr>
          <w:noProof/>
        </w:rPr>
        <w:t>25</w:t>
      </w:r>
      <w:r>
        <w:fldChar w:fldCharType="end"/>
      </w:r>
      <w:r>
        <w:t>. This appendix sets out further details about the construction of this dissimilarity index.</w:t>
      </w:r>
    </w:p>
    <w:p w14:paraId="518D1CEA" w14:textId="77777777" w:rsidR="001B7662" w:rsidRDefault="00A208A5">
      <w:pPr>
        <w:pStyle w:val="Heading3"/>
      </w:pPr>
      <w:bookmarkStart w:id="251" w:name="definition"/>
      <w:r>
        <w:t>Definition</w:t>
      </w:r>
    </w:p>
    <w:p w14:paraId="518D1CEB" w14:textId="77777777" w:rsidR="001B7662" w:rsidRDefault="00A208A5">
      <w:r>
        <w:t xml:space="preserve">The index compares the distribution of employment across occupations in quarter </w:t>
      </w:r>
      <m:oMath>
        <m:r>
          <w:rPr>
            <w:rFonts w:ascii="Cambria Math" w:hAnsi="Cambria Math"/>
          </w:rPr>
          <m:t>t</m:t>
        </m:r>
      </m:oMath>
      <w:r>
        <w:t xml:space="preserve"> with the distribution in quarter </w:t>
      </w:r>
      <m:oMath>
        <m:r>
          <w:rPr>
            <w:rFonts w:ascii="Cambria Math" w:hAnsi="Cambria Math"/>
          </w:rPr>
          <m:t>t</m:t>
        </m:r>
        <m:r>
          <m:rPr>
            <m:sty m:val="p"/>
          </m:rPr>
          <w:rPr>
            <w:rFonts w:ascii="Cambria Math" w:hAnsi="Cambria Math"/>
          </w:rPr>
          <m:t>-</m:t>
        </m:r>
        <m:r>
          <w:rPr>
            <w:rFonts w:ascii="Cambria Math" w:hAnsi="Cambria Math"/>
          </w:rPr>
          <m:t>1</m:t>
        </m:r>
      </m:oMath>
      <w:r>
        <w:t>.</w:t>
      </w:r>
    </w:p>
    <w:p w14:paraId="518D1CEC" w14:textId="77777777" w:rsidR="001B7662" w:rsidRDefault="00A208A5">
      <w:pPr>
        <w:pStyle w:val="BodyText"/>
      </w:pPr>
      <w:r>
        <w:t xml:space="preserve">Let </w:t>
      </w:r>
      <m:oMath>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oMath>
      <w:r>
        <w:t xml:space="preserve"> be employment in occupation </w:t>
      </w:r>
      <m:oMath>
        <m:r>
          <w:rPr>
            <w:rFonts w:ascii="Cambria Math" w:hAnsi="Cambria Math"/>
          </w:rPr>
          <m:t>i</m:t>
        </m:r>
      </m:oMath>
      <w:r>
        <w:t xml:space="preserve"> in quarter </w:t>
      </w:r>
      <m:oMath>
        <m:r>
          <w:rPr>
            <w:rFonts w:ascii="Cambria Math" w:hAnsi="Cambria Math"/>
          </w:rPr>
          <m:t>t</m:t>
        </m:r>
      </m:oMath>
      <w:r>
        <w:t>, and define the employment share:</w:t>
      </w:r>
    </w:p>
    <w:p w14:paraId="518D1CED" w14:textId="77777777" w:rsidR="001B7662" w:rsidRDefault="00000000">
      <w:pPr>
        <w:pStyle w:val="BodyText"/>
      </w:pPr>
      <m:oMathPara>
        <m:oMathParaPr>
          <m:jc m:val="center"/>
        </m:oMathParaPr>
        <m:oMath>
          <m:sSub>
            <m:sSubPr>
              <m:ctrlPr>
                <w:rPr>
                  <w:rFonts w:ascii="Cambria Math" w:hAnsi="Cambria Math"/>
                </w:rPr>
              </m:ctrlPr>
            </m:sSub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Em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num>
            <m:den>
              <m:nary>
                <m:naryPr>
                  <m:chr m:val="∑"/>
                  <m:limLoc m:val="undOvr"/>
                  <m:ctrlPr>
                    <w:rPr>
                      <w:rFonts w:ascii="Cambria Math" w:hAnsi="Cambria Math"/>
                    </w:rPr>
                  </m:ctrlPr>
                </m:naryPr>
                <m:sub>
                  <m:r>
                    <w:rPr>
                      <w:rFonts w:ascii="Cambria Math" w:hAnsi="Cambria Math"/>
                    </w:rPr>
                    <m:t>i</m:t>
                  </m:r>
                  <m:r>
                    <m:rPr>
                      <m:sty m:val="p"/>
                    </m:rPr>
                    <w:rPr>
                      <w:rFonts w:ascii="Cambria Math" w:hAnsi="Cambria Math"/>
                    </w:rPr>
                    <m:t>=</m:t>
                  </m:r>
                  <m:r>
                    <w:rPr>
                      <w:rFonts w:ascii="Cambria Math" w:hAnsi="Cambria Math"/>
                    </w:rPr>
                    <m:t>1</m:t>
                  </m:r>
                </m:sub>
                <m:sup>
                  <m:r>
                    <w:rPr>
                      <w:rFonts w:ascii="Cambria Math" w:hAnsi="Cambria Math"/>
                    </w:rPr>
                    <m:t>I</m:t>
                  </m:r>
                </m:sup>
                <m:e>
                  <m:r>
                    <w:rPr>
                      <w:rFonts w:ascii="Cambria Math" w:hAnsi="Cambria Math"/>
                    </w:rPr>
                    <m:t>E</m:t>
                  </m:r>
                </m:e>
              </m:nary>
              <m:r>
                <w:rPr>
                  <w:rFonts w:ascii="Cambria Math" w:hAnsi="Cambria Math"/>
                </w:rPr>
                <m:t>m</m:t>
              </m:r>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t</m:t>
                  </m:r>
                </m:sub>
              </m:sSub>
            </m:den>
          </m:f>
        </m:oMath>
      </m:oMathPara>
    </w:p>
    <w:p w14:paraId="518D1CEE" w14:textId="77777777" w:rsidR="001B7662" w:rsidRDefault="00A208A5">
      <w:r>
        <w:t>The dissimilarity index between consecutive quarters is:</w:t>
      </w:r>
    </w:p>
    <w:p w14:paraId="518D1CEF" w14:textId="77777777" w:rsidR="001B7662" w:rsidRDefault="00000000">
      <w:pPr>
        <w:pStyle w:val="BodyText"/>
      </w:pPr>
      <m:oMathPara>
        <m:oMathParaPr>
          <m:jc m:val="center"/>
        </m:oMathParaPr>
        <m:oMath>
          <m:sSub>
            <m:sSubPr>
              <m:ctrlPr>
                <w:rPr>
                  <w:rFonts w:ascii="Cambria Math" w:hAnsi="Cambria Math"/>
                </w:rPr>
              </m:ctrlPr>
            </m:sSubPr>
            <m:e>
              <m:r>
                <w:rPr>
                  <w:rFonts w:ascii="Cambria Math" w:hAnsi="Cambria Math"/>
                </w:rPr>
                <m:t>D</m:t>
              </m:r>
            </m:e>
            <m:sub>
              <m:r>
                <w:rPr>
                  <w:rFonts w:ascii="Cambria Math" w:hAnsi="Cambria Math"/>
                </w:rPr>
                <m:t>t</m:t>
              </m:r>
            </m:sub>
          </m:sSub>
          <m:r>
            <w:rPr>
              <w:rFonts w:ascii="Cambria Math" w:hAnsi="Cambria Math"/>
            </w:rPr>
            <m:t> </m:t>
          </m:r>
          <m:r>
            <m:rPr>
              <m:sty m:val="p"/>
            </m:rPr>
            <w:rPr>
              <w:rFonts w:ascii="Cambria Math" w:hAnsi="Cambria Math"/>
            </w:rPr>
            <m:t>=</m:t>
          </m:r>
          <m:r>
            <w:rPr>
              <w:rFonts w:ascii="Cambria Math" w:hAnsi="Cambria Math"/>
            </w:rPr>
            <m:t> </m:t>
          </m:r>
          <m:f>
            <m:fPr>
              <m:ctrlPr>
                <w:rPr>
                  <w:rFonts w:ascii="Cambria Math" w:hAnsi="Cambria Math"/>
                </w:rPr>
              </m:ctrlPr>
            </m:fPr>
            <m:num>
              <m:r>
                <w:rPr>
                  <w:rFonts w:ascii="Cambria Math" w:hAnsi="Cambria Math"/>
                </w:rPr>
                <m:t>1</m:t>
              </m:r>
            </m:num>
            <m:den>
              <m:r>
                <w:rPr>
                  <w:rFonts w:ascii="Cambria Math" w:hAnsi="Cambria Math"/>
                </w:rPr>
                <m:t>2</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m:t>
              </m:r>
              <m:r>
                <w:rPr>
                  <w:rFonts w:ascii="Cambria Math" w:hAnsi="Cambria Math"/>
                </w:rPr>
                <m:t>1</m:t>
              </m:r>
            </m:sub>
            <m:sup>
              <m:r>
                <w:rPr>
                  <w:rFonts w:ascii="Cambria Math" w:hAnsi="Cambria Math"/>
                </w:rPr>
                <m:t>I</m:t>
              </m:r>
            </m:sup>
            <m:e>
              <m:d>
                <m:dPr>
                  <m:begChr m:val="|"/>
                  <m:endChr m:val="|"/>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1</m:t>
                      </m:r>
                    </m:sub>
                  </m:sSub>
                </m:e>
              </m:d>
            </m:e>
          </m:nary>
        </m:oMath>
      </m:oMathPara>
    </w:p>
    <w:p w14:paraId="518D1CF0" w14:textId="77777777" w:rsidR="001B7662" w:rsidRDefault="00A208A5">
      <w:r>
        <w:t xml:space="preserve">We report </w:t>
      </w:r>
      <m:oMath>
        <m:r>
          <w:rPr>
            <w:rFonts w:ascii="Cambria Math" w:hAnsi="Cambria Math"/>
          </w:rPr>
          <m:t>100</m:t>
        </m:r>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t</m:t>
            </m:r>
          </m:sub>
        </m:sSub>
      </m:oMath>
      <w:r>
        <w:t>, so the index ranges from 0 to 100%.</w:t>
      </w:r>
    </w:p>
    <w:p w14:paraId="518D1CF1" w14:textId="77777777" w:rsidR="001B7662" w:rsidRDefault="00A208A5">
      <w:pPr>
        <w:pStyle w:val="Heading3"/>
      </w:pPr>
      <w:bookmarkStart w:id="252" w:name="interpretation"/>
      <w:bookmarkEnd w:id="251"/>
      <w:r>
        <w:t>Interpretation</w:t>
      </w:r>
    </w:p>
    <w:p w14:paraId="518D1CF2" w14:textId="77777777" w:rsidR="001B7662" w:rsidRDefault="00A208A5">
      <w:r>
        <w:t xml:space="preserve">The index is the minimum share of employment that would need to shift across occupations for the occupational distribution in quarter </w:t>
      </w:r>
      <m:oMath>
        <m:r>
          <w:rPr>
            <w:rFonts w:ascii="Cambria Math" w:hAnsi="Cambria Math"/>
          </w:rPr>
          <m:t>t</m:t>
        </m:r>
      </m:oMath>
      <w:r>
        <w:t xml:space="preserve"> to match the distribution in quarter </w:t>
      </w:r>
      <m:oMath>
        <m:r>
          <w:rPr>
            <w:rFonts w:ascii="Cambria Math" w:hAnsi="Cambria Math"/>
          </w:rPr>
          <m:t>t</m:t>
        </m:r>
        <m:r>
          <m:rPr>
            <m:sty m:val="p"/>
          </m:rPr>
          <w:rPr>
            <w:rFonts w:ascii="Cambria Math" w:hAnsi="Cambria Math"/>
          </w:rPr>
          <m:t>-</m:t>
        </m:r>
        <m:r>
          <w:rPr>
            <w:rFonts w:ascii="Cambria Math" w:hAnsi="Cambria Math"/>
          </w:rPr>
          <m:t>1</m:t>
        </m:r>
      </m:oMath>
      <w:r>
        <w:t>. A value of zero implies no change in the occupational mix from the previous quarter; higher values indicate faster reshuffling across occupations.</w:t>
      </w:r>
    </w:p>
    <w:p w14:paraId="518D1CF3" w14:textId="77777777" w:rsidR="001B7662" w:rsidRDefault="00A208A5">
      <w:pPr>
        <w:pStyle w:val="BodyText"/>
      </w:pPr>
      <w:r>
        <w:t>The index does not measure the rate at which individual workers change from one occupation to another – it simply compares each occupation’s share of total employment in one quarter with the previous quarter.</w:t>
      </w:r>
    </w:p>
    <w:p w14:paraId="518D1CF4" w14:textId="77777777" w:rsidR="001B7662" w:rsidRDefault="00A208A5">
      <w:pPr>
        <w:pStyle w:val="Heading3"/>
      </w:pPr>
      <w:bookmarkStart w:id="253" w:name="data-1"/>
      <w:bookmarkEnd w:id="252"/>
      <w:r>
        <w:t>Data</w:t>
      </w:r>
    </w:p>
    <w:p w14:paraId="518D1CF5" w14:textId="46FBE84C" w:rsidR="001B7662" w:rsidRDefault="00A208A5">
      <w:r>
        <w:t xml:space="preserve">We use employment-by-occupation data from the ABS </w:t>
      </w:r>
      <w:r>
        <w:rPr>
          <w:i/>
          <w:iCs/>
        </w:rPr>
        <w:t>Labour Force (Detailed)</w:t>
      </w:r>
      <w:r>
        <w:t xml:space="preserve"> release. Further information about this data source is set out at </w:t>
      </w:r>
      <w:hyperlink w:anchor="appendix-a">
        <w:r>
          <w:rPr>
            <w:rStyle w:val="Hyperlink"/>
          </w:rPr>
          <w:t>Appendix A</w:t>
        </w:r>
      </w:hyperlink>
      <w:r>
        <w:t>.</w:t>
      </w:r>
    </w:p>
    <w:p w14:paraId="518D1CF6" w14:textId="77777777" w:rsidR="001B7662" w:rsidRDefault="00A208A5">
      <w:pPr>
        <w:pStyle w:val="BodyText"/>
      </w:pPr>
      <w:r>
        <w:t>We compute the index using both:</w:t>
      </w:r>
    </w:p>
    <w:p w14:paraId="518D1CF7" w14:textId="77777777" w:rsidR="001B7662" w:rsidRDefault="00A208A5" w:rsidP="00A208A5">
      <w:pPr>
        <w:pStyle w:val="Compact"/>
        <w:numPr>
          <w:ilvl w:val="0"/>
          <w:numId w:val="19"/>
        </w:numPr>
      </w:pPr>
      <w:r>
        <w:t>4-digit ANZSCO occupation unit groups (more detailed)</w:t>
      </w:r>
    </w:p>
    <w:p w14:paraId="518D1CF8" w14:textId="2F015E18" w:rsidR="001B7662" w:rsidRDefault="00A208A5" w:rsidP="005E2159">
      <w:pPr>
        <w:pStyle w:val="Compact"/>
        <w:numPr>
          <w:ilvl w:val="0"/>
          <w:numId w:val="19"/>
        </w:numPr>
        <w:spacing w:after="120"/>
        <w:ind w:left="714" w:hanging="357"/>
      </w:pPr>
      <w:r>
        <w:t>2-digit ANZSCO occupation sub-major groups (broader)</w:t>
      </w:r>
      <w:r w:rsidR="00F675AB">
        <w:t>.</w:t>
      </w:r>
    </w:p>
    <w:p w14:paraId="518D1CFA" w14:textId="77777777" w:rsidR="001B7662" w:rsidRDefault="00A208A5">
      <w:pPr>
        <w:pStyle w:val="BodyText"/>
      </w:pPr>
      <w:r>
        <w:t>The index is based on employment shares, so it is not driven by changes in total employment levels. However, the level of occupational detail matters: more detailed occupation definitions (e.g. 4-digit) yield higher index values. The dissimilarity index calculated with 4-digit data reflects changes both across and within 2-digit occupations, whereas the index calculated with 2-digit data only reflects the former.</w:t>
      </w:r>
    </w:p>
    <w:p w14:paraId="518D1CFB" w14:textId="77777777" w:rsidR="001B7662" w:rsidRDefault="00A208A5">
      <w:pPr>
        <w:pStyle w:val="BodyText"/>
      </w:pPr>
      <w:r>
        <w:t>We calculate the dissimilarity index on a balanced panel of occupational employment data. In other words, where there are quarters in which an occupation does not appear in the data, we add it in with a value of 0, so all occupations are included in all quarters. The quarterly employment-by-occupation data is not seasonally adjusted.</w:t>
      </w:r>
    </w:p>
    <w:p w14:paraId="518D1CFC" w14:textId="77777777" w:rsidR="001B7662" w:rsidRDefault="00A208A5">
      <w:pPr>
        <w:pStyle w:val="Heading3"/>
      </w:pPr>
      <w:bookmarkStart w:id="254" w:name="smoothing"/>
      <w:bookmarkEnd w:id="253"/>
      <w:r>
        <w:lastRenderedPageBreak/>
        <w:t>Smoothing</w:t>
      </w:r>
    </w:p>
    <w:p w14:paraId="518D1CFD" w14:textId="0310FCEA" w:rsidR="001B7662" w:rsidRDefault="00A208A5">
      <w:r>
        <w:t xml:space="preserve">Employment by detailed occupation is subject to sampling variability, particularly at </w:t>
      </w:r>
      <w:r w:rsidR="008A5ED4">
        <w:t xml:space="preserve">the </w:t>
      </w:r>
      <w:r>
        <w:t>4-digit level and for demographic disaggregations (such as age). It is also subject to seasonal variation.</w:t>
      </w:r>
    </w:p>
    <w:p w14:paraId="518D1CFE" w14:textId="77777777" w:rsidR="001B7662" w:rsidRDefault="00A208A5">
      <w:pPr>
        <w:pStyle w:val="BodyText"/>
      </w:pPr>
      <w:r>
        <w:t>To reduce short-term volatility, we present a 4-quarter moving average of the index, calculated from the unsmoothed quarter-to-quarter index values:</w:t>
      </w:r>
    </w:p>
    <w:p w14:paraId="518D1CFF" w14:textId="77777777" w:rsidR="001B7662" w:rsidRDefault="00000000">
      <w:pPr>
        <w:pStyle w:val="BodyText"/>
      </w:pPr>
      <m:oMathPara>
        <m:oMathParaPr>
          <m:jc m:val="center"/>
        </m:oMathParaPr>
        <m:oMath>
          <m:sSub>
            <m:sSubPr>
              <m:ctrlPr>
                <w:rPr>
                  <w:rFonts w:ascii="Cambria Math" w:hAnsi="Cambria Math"/>
                </w:rPr>
              </m:ctrlPr>
            </m:sSubPr>
            <m:e>
              <m:acc>
                <m:accPr>
                  <m:chr m:val="̃"/>
                  <m:ctrlPr>
                    <w:rPr>
                      <w:rFonts w:ascii="Cambria Math" w:hAnsi="Cambria Math"/>
                    </w:rPr>
                  </m:ctrlPr>
                </m:accPr>
                <m:e>
                  <m:r>
                    <w:rPr>
                      <w:rFonts w:ascii="Cambria Math" w:hAnsi="Cambria Math"/>
                    </w:rPr>
                    <m:t>D</m:t>
                  </m:r>
                </m:e>
              </m:acc>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4</m:t>
              </m:r>
            </m:den>
          </m:f>
          <m:nary>
            <m:naryPr>
              <m:chr m:val="∑"/>
              <m:limLoc m:val="undOvr"/>
              <m:ctrlPr>
                <w:rPr>
                  <w:rFonts w:ascii="Cambria Math" w:hAnsi="Cambria Math"/>
                </w:rPr>
              </m:ctrlPr>
            </m:naryPr>
            <m:sub>
              <m:r>
                <w:rPr>
                  <w:rFonts w:ascii="Cambria Math" w:hAnsi="Cambria Math"/>
                </w:rPr>
                <m:t>k</m:t>
              </m:r>
              <m:r>
                <m:rPr>
                  <m:sty m:val="p"/>
                </m:rPr>
                <w:rPr>
                  <w:rFonts w:ascii="Cambria Math" w:hAnsi="Cambria Math"/>
                </w:rPr>
                <m:t>=</m:t>
              </m:r>
              <m:r>
                <w:rPr>
                  <w:rFonts w:ascii="Cambria Math" w:hAnsi="Cambria Math"/>
                </w:rPr>
                <m:t>0</m:t>
              </m:r>
            </m:sub>
            <m:sup>
              <m:r>
                <w:rPr>
                  <w:rFonts w:ascii="Cambria Math" w:hAnsi="Cambria Math"/>
                </w:rPr>
                <m:t>3</m:t>
              </m:r>
            </m:sup>
            <m:e>
              <m:sSub>
                <m:sSubPr>
                  <m:ctrlPr>
                    <w:rPr>
                      <w:rFonts w:ascii="Cambria Math" w:hAnsi="Cambria Math"/>
                    </w:rPr>
                  </m:ctrlPr>
                </m:sSubPr>
                <m:e>
                  <m:r>
                    <w:rPr>
                      <w:rFonts w:ascii="Cambria Math" w:hAnsi="Cambria Math"/>
                    </w:rPr>
                    <m:t>D</m:t>
                  </m:r>
                </m:e>
                <m:sub>
                  <m:r>
                    <w:rPr>
                      <w:rFonts w:ascii="Cambria Math" w:hAnsi="Cambria Math"/>
                    </w:rPr>
                    <m:t>t</m:t>
                  </m:r>
                  <m:r>
                    <m:rPr>
                      <m:sty m:val="p"/>
                    </m:rPr>
                    <w:rPr>
                      <w:rFonts w:ascii="Cambria Math" w:hAnsi="Cambria Math"/>
                    </w:rPr>
                    <m:t>-</m:t>
                  </m:r>
                  <m:r>
                    <w:rPr>
                      <w:rFonts w:ascii="Cambria Math" w:hAnsi="Cambria Math"/>
                    </w:rPr>
                    <m:t>k</m:t>
                  </m:r>
                </m:sub>
              </m:sSub>
            </m:e>
          </m:nary>
        </m:oMath>
      </m:oMathPara>
    </w:p>
    <w:p w14:paraId="518D1D00" w14:textId="77777777" w:rsidR="001B7662" w:rsidRDefault="00A208A5">
      <w:r>
        <w:t>We do not apply occupation-level suppression or trimming rules. All occupations in the data are included in the index as reported.</w:t>
      </w:r>
    </w:p>
    <w:p w14:paraId="518D1D01" w14:textId="77777777" w:rsidR="001B7662" w:rsidRDefault="00A208A5">
      <w:pPr>
        <w:pStyle w:val="Heading3"/>
      </w:pPr>
      <w:bookmarkStart w:id="255" w:name="limitations"/>
      <w:bookmarkEnd w:id="254"/>
      <w:r>
        <w:t>Limitations</w:t>
      </w:r>
    </w:p>
    <w:p w14:paraId="518D1D02" w14:textId="77777777" w:rsidR="001B7662" w:rsidRDefault="00A208A5">
      <w:r>
        <w:t>The dissimilarity index is a descriptive summary of changes in the occupational distribution. It is presented as a diagnostic cross-check on other measures included in this report.</w:t>
      </w:r>
    </w:p>
    <w:p w14:paraId="518D1D03" w14:textId="77777777" w:rsidR="001B7662" w:rsidRDefault="00A208A5">
      <w:pPr>
        <w:pStyle w:val="BodyText"/>
      </w:pPr>
      <w:r>
        <w:t>It does not identify which occupations drive changes, does not measure within-occupation task change, and does not provide causal evidence about the drivers of occupational reshuffling (including AI).</w:t>
      </w:r>
    </w:p>
    <w:p w14:paraId="518D1D04" w14:textId="77777777" w:rsidR="001B7662" w:rsidRDefault="001B7662">
      <w:pPr>
        <w:sectPr w:rsidR="001B7662">
          <w:footerReference w:type="default" r:id="rId119"/>
          <w:pgSz w:w="11906" w:h="16838"/>
          <w:pgMar w:top="1417" w:right="1417" w:bottom="1417" w:left="1417" w:header="708" w:footer="454" w:gutter="0"/>
          <w:cols w:space="720"/>
        </w:sectPr>
      </w:pPr>
    </w:p>
    <w:bookmarkEnd w:id="250"/>
    <w:bookmarkEnd w:id="255"/>
    <w:p w14:paraId="672A6659" w14:textId="77777777" w:rsidR="00A208A5" w:rsidRDefault="00A208A5"/>
    <w:sectPr w:rsidR="00A208A5" w:rsidSect="0047070F">
      <w:headerReference w:type="default" r:id="rId120"/>
      <w:type w:val="continuous"/>
      <w:pgSz w:w="11906" w:h="16838"/>
      <w:pgMar w:top="1418" w:right="1440" w:bottom="1559" w:left="1276"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A6229" w14:textId="77777777" w:rsidR="00191223" w:rsidRDefault="00191223">
      <w:pPr>
        <w:spacing w:after="0" w:line="240" w:lineRule="auto"/>
      </w:pPr>
      <w:r>
        <w:separator/>
      </w:r>
    </w:p>
  </w:endnote>
  <w:endnote w:type="continuationSeparator" w:id="0">
    <w:p w14:paraId="2D8EA1BD" w14:textId="77777777" w:rsidR="00191223" w:rsidRDefault="00191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1D6B" w14:textId="1BB15BEA" w:rsidR="001B7662" w:rsidRDefault="00A208A5">
    <w:pPr>
      <w:pBdr>
        <w:top w:val="none" w:sz="0" w:space="0" w:color="000000"/>
        <w:left w:val="none" w:sz="0" w:space="0" w:color="000000"/>
        <w:bottom w:val="none" w:sz="0" w:space="0" w:color="000000"/>
        <w:right w:val="none" w:sz="0" w:space="0" w:color="000000"/>
      </w:pBdr>
      <w:spacing w:after="0" w:line="240" w:lineRule="auto"/>
      <w:jc w:val="right"/>
    </w:pPr>
    <w:r>
      <w:rPr>
        <w:rFonts w:eastAsia="Aptos Display" w:cs="Aptos Display"/>
        <w:color w:val="000000"/>
      </w:rPr>
      <w:t xml:space="preserve">AI and employment in Australia | </w:t>
    </w:r>
    <w:r>
      <w:rPr>
        <w:rFonts w:eastAsia="Aptos Display" w:cs="Aptos Display"/>
        <w:color w:val="000000"/>
      </w:rPr>
      <w:fldChar w:fldCharType="begin"/>
    </w:r>
    <w:r>
      <w:rPr>
        <w:rFonts w:eastAsia="Aptos Display" w:cs="Aptos Display"/>
        <w:color w:val="000000"/>
      </w:rPr>
      <w:instrText>PAGE \* MERGEFORMAT</w:instrText>
    </w:r>
    <w:r>
      <w:rPr>
        <w:rFonts w:eastAsia="Aptos Display" w:cs="Aptos Display"/>
        <w:color w:val="000000"/>
      </w:rPr>
      <w:fldChar w:fldCharType="separate"/>
    </w:r>
    <w:r w:rsidR="00082F4E">
      <w:rPr>
        <w:rFonts w:eastAsia="Aptos Display" w:cs="Aptos Display"/>
        <w:noProof/>
        <w:color w:val="000000"/>
      </w:rPr>
      <w:t>3</w:t>
    </w:r>
    <w:r>
      <w:rPr>
        <w:rFonts w:eastAsia="Aptos Display" w:cs="Aptos Display"/>
        <w:color w:val="000000"/>
      </w:rPr>
      <w:fldChar w:fldCharType="end"/>
    </w:r>
  </w:p>
  <w:p w14:paraId="518D1D6C" w14:textId="77777777" w:rsidR="001B7662" w:rsidRDefault="00A208A5">
    <w:pPr>
      <w:pBdr>
        <w:top w:val="none" w:sz="0" w:space="0" w:color="000000"/>
        <w:left w:val="none" w:sz="0" w:space="0" w:color="000000"/>
        <w:bottom w:val="none" w:sz="0" w:space="0" w:color="000000"/>
        <w:right w:val="none" w:sz="0" w:space="0" w:color="000000"/>
      </w:pBdr>
      <w:spacing w:after="0" w:line="240" w:lineRule="auto"/>
    </w:pPr>
    <w:r>
      <w:rPr>
        <w:noProof/>
      </w:rPr>
      <w:drawing>
        <wp:anchor distT="0" distB="0" distL="114300" distR="114300" simplePos="0" relativeHeight="251658240" behindDoc="0" locked="0" layoutInCell="1" allowOverlap="1" wp14:anchorId="518D1D6E" wp14:editId="518D1D6F">
          <wp:simplePos x="0" y="0"/>
          <wp:positionH relativeFrom="page">
            <wp:posOffset>0</wp:posOffset>
          </wp:positionH>
          <wp:positionV relativeFrom="paragraph">
            <wp:posOffset>252000</wp:posOffset>
          </wp:positionV>
          <wp:extent cx="7560310" cy="198000"/>
          <wp:effectExtent l="0" t="0" r="0" b="0"/>
          <wp:wrapNone/>
          <wp:docPr id="866939939" name="Picture 86693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stretch>
                    <a:fillRect/>
                  </a:stretch>
                </pic:blipFill>
                <pic:spPr>
                  <a:xfrm>
                    <a:off x="0" y="0"/>
                    <a:ext cx="7560310" cy="19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9BA8E" w14:textId="77777777" w:rsidR="00191223" w:rsidRDefault="00191223">
      <w:pPr>
        <w:spacing w:after="0" w:line="240" w:lineRule="auto"/>
      </w:pPr>
      <w:r>
        <w:separator/>
      </w:r>
    </w:p>
  </w:footnote>
  <w:footnote w:type="continuationSeparator" w:id="0">
    <w:p w14:paraId="1FAE7911" w14:textId="77777777" w:rsidR="00191223" w:rsidRDefault="00191223">
      <w:pPr>
        <w:spacing w:after="0" w:line="240" w:lineRule="auto"/>
      </w:pPr>
      <w:r>
        <w:continuationSeparator/>
      </w:r>
    </w:p>
  </w:footnote>
  <w:footnote w:id="1">
    <w:p w14:paraId="518D1D72" w14:textId="77777777" w:rsidR="001B7662" w:rsidRPr="00F65EC9" w:rsidRDefault="00A208A5">
      <w:pPr>
        <w:pStyle w:val="FootnoteText"/>
      </w:pPr>
      <w:r w:rsidRPr="005E2159">
        <w:rPr>
          <w:rStyle w:val="FootnoteReference"/>
          <w:sz w:val="18"/>
        </w:rPr>
        <w:footnoteRef/>
      </w:r>
      <w:r w:rsidRPr="00F65EC9">
        <w:t xml:space="preserve"> February 2026 is the most recent available employment-by-occupation data from the ABS as at June 2026. (ABS 2026a) We use other data as at February to align with this primary data source.</w:t>
      </w:r>
    </w:p>
  </w:footnote>
  <w:footnote w:id="2">
    <w:p w14:paraId="518D1D73" w14:textId="77777777" w:rsidR="001B7662" w:rsidRPr="00F65EC9" w:rsidRDefault="00A208A5">
      <w:pPr>
        <w:pStyle w:val="FootnoteText"/>
      </w:pPr>
      <w:r w:rsidRPr="005E2159">
        <w:rPr>
          <w:rStyle w:val="FootnoteReference"/>
          <w:sz w:val="18"/>
        </w:rPr>
        <w:footnoteRef/>
      </w:r>
      <w:r w:rsidRPr="00F65EC9">
        <w:t xml:space="preserve"> See the overview of the JSA exposure scores in the next chapter.</w:t>
      </w:r>
    </w:p>
  </w:footnote>
  <w:footnote w:id="3">
    <w:p w14:paraId="518D1D74" w14:textId="77777777" w:rsidR="001B7662" w:rsidRPr="00F65EC9" w:rsidRDefault="00A208A5">
      <w:pPr>
        <w:pStyle w:val="FootnoteText"/>
      </w:pPr>
      <w:r w:rsidRPr="005E2159">
        <w:rPr>
          <w:rStyle w:val="FootnoteReference"/>
          <w:sz w:val="18"/>
        </w:rPr>
        <w:footnoteRef/>
      </w:r>
      <w:r w:rsidRPr="00F65EC9">
        <w:t xml:space="preserve"> It is generally accepted that AI is a general-purpose technology. See, for example, Eloundou et al. (2023).</w:t>
      </w:r>
    </w:p>
  </w:footnote>
  <w:footnote w:id="4">
    <w:p w14:paraId="518D1D75" w14:textId="6F6B13F2" w:rsidR="001B7662" w:rsidRPr="00F65EC9" w:rsidRDefault="00A208A5">
      <w:pPr>
        <w:pStyle w:val="FootnoteText"/>
      </w:pPr>
      <w:r w:rsidRPr="005E2159">
        <w:rPr>
          <w:rStyle w:val="FootnoteReference"/>
          <w:sz w:val="18"/>
        </w:rPr>
        <w:footnoteRef/>
      </w:r>
      <w:r w:rsidRPr="00F65EC9">
        <w:t xml:space="preserve"> Wittenstein (2024)</w:t>
      </w:r>
      <w:r w:rsidR="0008168B" w:rsidRPr="00F65EC9">
        <w:t>.</w:t>
      </w:r>
      <w:r w:rsidRPr="00F65EC9">
        <w:t xml:space="preserve"> See Acemoglu (2025) for the analysis underlying this media commentary.</w:t>
      </w:r>
    </w:p>
  </w:footnote>
  <w:footnote w:id="5">
    <w:p w14:paraId="518D1D76" w14:textId="79E925A5" w:rsidR="001B7662" w:rsidRPr="00F65EC9" w:rsidRDefault="00A208A5">
      <w:pPr>
        <w:pStyle w:val="FootnoteText"/>
      </w:pPr>
      <w:r w:rsidRPr="005E2159">
        <w:rPr>
          <w:rStyle w:val="FootnoteReference"/>
          <w:sz w:val="18"/>
        </w:rPr>
        <w:footnoteRef/>
      </w:r>
      <w:r w:rsidRPr="00F65EC9">
        <w:t xml:space="preserve"> Comments reported by VandeHei and Allen (2025)</w:t>
      </w:r>
      <w:r w:rsidR="0008168B" w:rsidRPr="00F65EC9">
        <w:t>.</w:t>
      </w:r>
    </w:p>
  </w:footnote>
  <w:footnote w:id="6">
    <w:p w14:paraId="518D1D77" w14:textId="77777777" w:rsidR="001B7662" w:rsidRPr="00F65EC9" w:rsidRDefault="00A208A5">
      <w:pPr>
        <w:pStyle w:val="FootnoteText"/>
      </w:pPr>
      <w:r w:rsidRPr="005E2159">
        <w:rPr>
          <w:rStyle w:val="FootnoteReference"/>
          <w:sz w:val="18"/>
        </w:rPr>
        <w:footnoteRef/>
      </w:r>
      <w:r w:rsidRPr="00F65EC9">
        <w:t xml:space="preserve"> Other papers, such as JSA (2025a), examine the potential future impact of AI and acknowledge the uncertainty around this impact.</w:t>
      </w:r>
    </w:p>
  </w:footnote>
  <w:footnote w:id="7">
    <w:p w14:paraId="518D1D78" w14:textId="77777777" w:rsidR="001B7662" w:rsidRPr="00F65EC9" w:rsidRDefault="00A208A5">
      <w:pPr>
        <w:pStyle w:val="FootnoteText"/>
      </w:pPr>
      <w:r w:rsidRPr="005E2159">
        <w:rPr>
          <w:rStyle w:val="FootnoteReference"/>
          <w:sz w:val="18"/>
        </w:rPr>
        <w:footnoteRef/>
      </w:r>
      <w:r w:rsidRPr="00F65EC9">
        <w:t xml:space="preserve"> As Deming et al. (2025, 180) put it, ‘the automation of individual job tasks does not necessarily reduce employment and may even lead to job gains in some sectors of the economy.’</w:t>
      </w:r>
    </w:p>
  </w:footnote>
  <w:footnote w:id="8">
    <w:p w14:paraId="518D1D79" w14:textId="77777777" w:rsidR="001B7662" w:rsidRPr="00F65EC9" w:rsidRDefault="00A208A5">
      <w:pPr>
        <w:pStyle w:val="FootnoteText"/>
      </w:pPr>
      <w:r w:rsidRPr="005E2159">
        <w:rPr>
          <w:rStyle w:val="FootnoteReference"/>
          <w:sz w:val="18"/>
        </w:rPr>
        <w:footnoteRef/>
      </w:r>
      <w:r w:rsidRPr="00F65EC9">
        <w:t xml:space="preserve"> This framework is set out in Acemoglu and Restrepo (2019) and has been extremely influential in labour economics.</w:t>
      </w:r>
    </w:p>
  </w:footnote>
  <w:footnote w:id="9">
    <w:p w14:paraId="518D1D7A" w14:textId="77777777" w:rsidR="001B7662" w:rsidRPr="00F65EC9" w:rsidRDefault="00A208A5">
      <w:pPr>
        <w:pStyle w:val="FootnoteText"/>
      </w:pPr>
      <w:r w:rsidRPr="005E2159">
        <w:rPr>
          <w:rStyle w:val="FootnoteReference"/>
          <w:sz w:val="18"/>
        </w:rPr>
        <w:footnoteRef/>
      </w:r>
      <w:r w:rsidRPr="00F65EC9">
        <w:t xml:space="preserve"> JSA (2025b, 17) notes that AI can augment, as well as automate, tasks. They find there may be ‘far greater potential for occupations to undergo augmentation than automation, based on current technology.’</w:t>
      </w:r>
    </w:p>
  </w:footnote>
  <w:footnote w:id="10">
    <w:p w14:paraId="518D1D7B" w14:textId="77777777" w:rsidR="001B7662" w:rsidRPr="00F65EC9" w:rsidRDefault="00A208A5">
      <w:pPr>
        <w:pStyle w:val="FootnoteText"/>
      </w:pPr>
      <w:r w:rsidRPr="005E2159">
        <w:rPr>
          <w:rStyle w:val="FootnoteReference"/>
          <w:sz w:val="18"/>
        </w:rPr>
        <w:footnoteRef/>
      </w:r>
      <w:r w:rsidRPr="00F65EC9">
        <w:t xml:space="preserve"> Autor et al. (2024)</w:t>
      </w:r>
    </w:p>
  </w:footnote>
  <w:footnote w:id="11">
    <w:p w14:paraId="518D1D7C" w14:textId="77777777" w:rsidR="001B7662" w:rsidRPr="00F65EC9" w:rsidRDefault="00A208A5">
      <w:pPr>
        <w:pStyle w:val="FootnoteText"/>
      </w:pPr>
      <w:r w:rsidRPr="005E2159">
        <w:rPr>
          <w:rStyle w:val="FootnoteReference"/>
          <w:sz w:val="18"/>
        </w:rPr>
        <w:footnoteRef/>
      </w:r>
      <w:r w:rsidRPr="00F65EC9">
        <w:t xml:space="preserve"> Borland and Coelli (2022) (pp. 19-20) observe that in Australia, in the past, the ‘displacement effect of technological change has been consistently offset by reinstatement and productivity effects.’</w:t>
      </w:r>
    </w:p>
  </w:footnote>
  <w:footnote w:id="12">
    <w:p w14:paraId="518D1D7D" w14:textId="77777777" w:rsidR="001B7662" w:rsidRPr="00F65EC9" w:rsidRDefault="00A208A5">
      <w:pPr>
        <w:pStyle w:val="FootnoteText"/>
      </w:pPr>
      <w:r w:rsidRPr="005E2159">
        <w:rPr>
          <w:rStyle w:val="FootnoteReference"/>
          <w:sz w:val="18"/>
        </w:rPr>
        <w:footnoteRef/>
      </w:r>
      <w:r w:rsidRPr="00F65EC9">
        <w:t xml:space="preserve"> The productivity effect includes any situation in which certain tasks can be performed with a lower amount of human labour input, which in turn creates more demand for other non-automated tasks.</w:t>
      </w:r>
    </w:p>
  </w:footnote>
  <w:footnote w:id="13">
    <w:p w14:paraId="518D1D7E" w14:textId="77777777" w:rsidR="001B7662" w:rsidRPr="00F65EC9" w:rsidRDefault="00A208A5">
      <w:pPr>
        <w:pStyle w:val="FootnoteText"/>
      </w:pPr>
      <w:r w:rsidRPr="005E2159">
        <w:rPr>
          <w:rStyle w:val="FootnoteReference"/>
          <w:sz w:val="18"/>
        </w:rPr>
        <w:footnoteRef/>
      </w:r>
      <w:r w:rsidRPr="00F65EC9">
        <w:t xml:space="preserve"> Data alone is necessary but not sufficient to measure the effect of AI on employment. It also requires a clear framework for monitoring.</w:t>
      </w:r>
    </w:p>
  </w:footnote>
  <w:footnote w:id="14">
    <w:p w14:paraId="518D1D7F" w14:textId="0056192A" w:rsidR="001B7662" w:rsidRPr="00F65EC9" w:rsidRDefault="00A208A5">
      <w:pPr>
        <w:pStyle w:val="FootnoteText"/>
      </w:pPr>
      <w:r w:rsidRPr="005E2159">
        <w:rPr>
          <w:rStyle w:val="FootnoteReference"/>
          <w:sz w:val="18"/>
        </w:rPr>
        <w:footnoteRef/>
      </w:r>
      <w:r w:rsidRPr="00F65EC9">
        <w:t xml:space="preserve"> The net effect of new technology on employment also depends on the price elasticity of demand for goods and services that have experienced automation in their production. See Bessen (2018)</w:t>
      </w:r>
      <w:r w:rsidR="0008168B" w:rsidRPr="00F65EC9">
        <w:t>.</w:t>
      </w:r>
    </w:p>
  </w:footnote>
  <w:footnote w:id="15">
    <w:p w14:paraId="518D1D80" w14:textId="02101B3B" w:rsidR="001B7662" w:rsidRPr="00F65EC9" w:rsidRDefault="00A208A5">
      <w:pPr>
        <w:pStyle w:val="FootnoteText"/>
      </w:pPr>
      <w:r w:rsidRPr="005E2159">
        <w:rPr>
          <w:rStyle w:val="FootnoteReference"/>
          <w:sz w:val="18"/>
        </w:rPr>
        <w:footnoteRef/>
      </w:r>
      <w:r w:rsidRPr="00F65EC9">
        <w:t xml:space="preserve"> The idea of a multi-dimensional approach draws from Eckhardt and Goldschlag (2025)</w:t>
      </w:r>
      <w:r w:rsidR="0008168B" w:rsidRPr="00F65EC9">
        <w:t>.</w:t>
      </w:r>
    </w:p>
  </w:footnote>
  <w:footnote w:id="16">
    <w:p w14:paraId="518D1D81" w14:textId="77777777" w:rsidR="001B7662" w:rsidRPr="00F65EC9" w:rsidRDefault="00A208A5">
      <w:pPr>
        <w:pStyle w:val="FootnoteText"/>
      </w:pPr>
      <w:r w:rsidRPr="005E2159">
        <w:rPr>
          <w:rStyle w:val="FootnoteReference"/>
          <w:sz w:val="18"/>
        </w:rPr>
        <w:footnoteRef/>
      </w:r>
      <w:r w:rsidRPr="00F65EC9">
        <w:t xml:space="preserve"> For example, Brynjolfsson et al. (2025) and Klein Teeselink (2025)</w:t>
      </w:r>
    </w:p>
  </w:footnote>
  <w:footnote w:id="17">
    <w:p w14:paraId="518D1D82" w14:textId="77777777" w:rsidR="001B7662" w:rsidRPr="00F65EC9" w:rsidRDefault="00A208A5">
      <w:pPr>
        <w:pStyle w:val="FootnoteText"/>
      </w:pPr>
      <w:r w:rsidRPr="005E2159">
        <w:rPr>
          <w:rStyle w:val="FootnoteReference"/>
          <w:sz w:val="18"/>
        </w:rPr>
        <w:footnoteRef/>
      </w:r>
      <w:r w:rsidRPr="00F65EC9">
        <w:t xml:space="preserve"> ABS (2026a)</w:t>
      </w:r>
    </w:p>
  </w:footnote>
  <w:footnote w:id="18">
    <w:p w14:paraId="518D1D83" w14:textId="77777777" w:rsidR="001B7662" w:rsidRPr="00F65EC9" w:rsidRDefault="00A208A5">
      <w:pPr>
        <w:pStyle w:val="FootnoteText"/>
      </w:pPr>
      <w:r w:rsidRPr="005E2159">
        <w:rPr>
          <w:rStyle w:val="FootnoteReference"/>
          <w:sz w:val="18"/>
        </w:rPr>
        <w:footnoteRef/>
      </w:r>
      <w:r w:rsidRPr="00F65EC9">
        <w:t xml:space="preserve"> A small number of indicators are not available for February 2026. For these, we instead use the latest data available prior to February 2026. This is generally November 2025.</w:t>
      </w:r>
    </w:p>
  </w:footnote>
  <w:footnote w:id="19">
    <w:p w14:paraId="518D1D84" w14:textId="77777777" w:rsidR="001B7662" w:rsidRPr="00F65EC9" w:rsidRDefault="00A208A5">
      <w:pPr>
        <w:pStyle w:val="FootnoteText"/>
      </w:pPr>
      <w:r w:rsidRPr="005E2159">
        <w:rPr>
          <w:rStyle w:val="FootnoteReference"/>
          <w:sz w:val="18"/>
        </w:rPr>
        <w:footnoteRef/>
      </w:r>
      <w:r w:rsidRPr="00F65EC9">
        <w:t xml:space="preserve"> JSA (2025a) and JSA (2025b)</w:t>
      </w:r>
    </w:p>
  </w:footnote>
  <w:footnote w:id="20">
    <w:p w14:paraId="518D1D85" w14:textId="77777777" w:rsidR="001B7662" w:rsidRPr="00F65EC9" w:rsidRDefault="00A208A5">
      <w:pPr>
        <w:pStyle w:val="FootnoteText"/>
      </w:pPr>
      <w:r w:rsidRPr="005E2159">
        <w:rPr>
          <w:rStyle w:val="FootnoteReference"/>
          <w:sz w:val="18"/>
        </w:rPr>
        <w:footnoteRef/>
      </w:r>
      <w:r w:rsidRPr="00F65EC9">
        <w:t xml:space="preserve"> JSA’s scores are assigned at the level of four-digit ANZSCO occupation unit groups. See ABS (2022b).</w:t>
      </w:r>
    </w:p>
  </w:footnote>
  <w:footnote w:id="21">
    <w:p w14:paraId="518D1D86" w14:textId="3EF1580A" w:rsidR="001B7662" w:rsidRPr="00F65EC9" w:rsidRDefault="00A208A5">
      <w:pPr>
        <w:pStyle w:val="FootnoteText"/>
      </w:pPr>
      <w:r w:rsidRPr="005E2159">
        <w:rPr>
          <w:rStyle w:val="FootnoteReference"/>
          <w:sz w:val="18"/>
        </w:rPr>
        <w:footnoteRef/>
      </w:r>
      <w:r w:rsidRPr="00F65EC9">
        <w:t xml:space="preserve"> Gmyrek et al. (2023), which builds on the methodology of Eloundou et al. (2023)</w:t>
      </w:r>
      <w:r w:rsidR="0008168B" w:rsidRPr="00F65EC9">
        <w:t>.</w:t>
      </w:r>
    </w:p>
  </w:footnote>
  <w:footnote w:id="22">
    <w:p w14:paraId="518D1D87" w14:textId="77777777" w:rsidR="001B7662" w:rsidRPr="00F65EC9" w:rsidRDefault="00A208A5">
      <w:pPr>
        <w:pStyle w:val="FootnoteText"/>
      </w:pPr>
      <w:r w:rsidRPr="005E2159">
        <w:rPr>
          <w:rStyle w:val="FootnoteReference"/>
          <w:sz w:val="18"/>
        </w:rPr>
        <w:footnoteRef/>
      </w:r>
      <w:r w:rsidRPr="00F65EC9">
        <w:t xml:space="preserve"> This approach has been taken by others, including Eckhardt and Goldschlag (2025).</w:t>
      </w:r>
    </w:p>
  </w:footnote>
  <w:footnote w:id="23">
    <w:p w14:paraId="518D1D88" w14:textId="4FD346B4" w:rsidR="001B7662" w:rsidRPr="00F65EC9" w:rsidRDefault="00A208A5">
      <w:pPr>
        <w:pStyle w:val="FootnoteText"/>
      </w:pPr>
      <w:r w:rsidRPr="005E2159">
        <w:rPr>
          <w:rStyle w:val="FootnoteReference"/>
          <w:sz w:val="18"/>
        </w:rPr>
        <w:footnoteRef/>
      </w:r>
      <w:r w:rsidRPr="00F65EC9">
        <w:t xml:space="preserve"> In this report, ‘tertiary’ qualifications refer to </w:t>
      </w:r>
      <w:proofErr w:type="gramStart"/>
      <w:r w:rsidR="00D37646">
        <w:t>b</w:t>
      </w:r>
      <w:r w:rsidR="00D37646" w:rsidRPr="00F65EC9">
        <w:t>achelor</w:t>
      </w:r>
      <w:proofErr w:type="gramEnd"/>
      <w:r w:rsidR="00D37646" w:rsidRPr="00F65EC9">
        <w:t xml:space="preserve"> </w:t>
      </w:r>
      <w:r w:rsidRPr="00F65EC9">
        <w:t>degree or higher.</w:t>
      </w:r>
    </w:p>
  </w:footnote>
  <w:footnote w:id="24">
    <w:p w14:paraId="518D1D89" w14:textId="77777777" w:rsidR="001B7662" w:rsidRPr="00F65EC9" w:rsidRDefault="00A208A5">
      <w:pPr>
        <w:pStyle w:val="FootnoteText"/>
      </w:pPr>
      <w:r w:rsidRPr="005E2159">
        <w:rPr>
          <w:rStyle w:val="FootnoteReference"/>
          <w:sz w:val="18"/>
        </w:rPr>
        <w:footnoteRef/>
      </w:r>
      <w:r w:rsidRPr="00F65EC9">
        <w:t xml:space="preserve"> Changes in model capability would only be an issue for monitoring of employment effects if model development is not uniform across different types of capabilities, such that the relative ranking of occupations’ exposure is changed.</w:t>
      </w:r>
    </w:p>
  </w:footnote>
  <w:footnote w:id="25">
    <w:p w14:paraId="518D1D8A" w14:textId="774C419A" w:rsidR="001B7662" w:rsidRPr="00F65EC9" w:rsidRDefault="00A208A5">
      <w:pPr>
        <w:pStyle w:val="FootnoteText"/>
      </w:pPr>
      <w:r w:rsidRPr="005E2159">
        <w:rPr>
          <w:rStyle w:val="FootnoteReference"/>
          <w:sz w:val="18"/>
        </w:rPr>
        <w:footnoteRef/>
      </w:r>
      <w:r w:rsidRPr="00F65EC9">
        <w:t xml:space="preserve"> See Gans and Goldfarb (2026) and Autor and Thompson (2025)</w:t>
      </w:r>
      <w:r w:rsidR="0008168B" w:rsidRPr="00F65EC9">
        <w:t>.</w:t>
      </w:r>
    </w:p>
  </w:footnote>
  <w:footnote w:id="26">
    <w:p w14:paraId="518D1D8B" w14:textId="437DA575" w:rsidR="001B7662" w:rsidRPr="00F65EC9" w:rsidRDefault="00A208A5">
      <w:pPr>
        <w:pStyle w:val="FootnoteText"/>
      </w:pPr>
      <w:r w:rsidRPr="005E2159">
        <w:rPr>
          <w:rStyle w:val="FootnoteReference"/>
          <w:sz w:val="18"/>
        </w:rPr>
        <w:footnoteRef/>
      </w:r>
      <w:r w:rsidRPr="00F65EC9">
        <w:t xml:space="preserve"> See Brynjolfsson et al. (2025)</w:t>
      </w:r>
      <w:r w:rsidR="0008168B" w:rsidRPr="00F65EC9">
        <w:t>.</w:t>
      </w:r>
    </w:p>
  </w:footnote>
  <w:footnote w:id="27">
    <w:p w14:paraId="518D1D8C" w14:textId="77777777" w:rsidR="001B7662" w:rsidRPr="00F65EC9" w:rsidRDefault="00A208A5">
      <w:pPr>
        <w:pStyle w:val="FootnoteText"/>
      </w:pPr>
      <w:r w:rsidRPr="005E2159">
        <w:rPr>
          <w:rStyle w:val="FootnoteReference"/>
          <w:sz w:val="18"/>
        </w:rPr>
        <w:footnoteRef/>
      </w:r>
      <w:r w:rsidRPr="00F65EC9">
        <w:t xml:space="preserve"> Brynjolfsson et al. (2025)</w:t>
      </w:r>
    </w:p>
  </w:footnote>
  <w:footnote w:id="28">
    <w:p w14:paraId="518D1D8D" w14:textId="77777777" w:rsidR="001B7662" w:rsidRPr="00F65EC9" w:rsidRDefault="00A208A5">
      <w:pPr>
        <w:pStyle w:val="FootnoteText"/>
      </w:pPr>
      <w:r w:rsidRPr="005E2159">
        <w:rPr>
          <w:rStyle w:val="FootnoteReference"/>
          <w:sz w:val="18"/>
        </w:rPr>
        <w:footnoteRef/>
      </w:r>
      <w:r w:rsidRPr="00F65EC9">
        <w:t xml:space="preserve"> See DISR (2026) for some analysis of employment in Australian firms with different levels of AI adoption.</w:t>
      </w:r>
    </w:p>
  </w:footnote>
  <w:footnote w:id="29">
    <w:p w14:paraId="518D1D8E" w14:textId="77777777" w:rsidR="001B7662" w:rsidRPr="00F65EC9" w:rsidRDefault="00A208A5">
      <w:pPr>
        <w:pStyle w:val="FootnoteText"/>
      </w:pPr>
      <w:r w:rsidRPr="005E2159">
        <w:rPr>
          <w:rStyle w:val="FootnoteReference"/>
          <w:sz w:val="18"/>
        </w:rPr>
        <w:footnoteRef/>
      </w:r>
      <w:r w:rsidRPr="00F65EC9">
        <w:t xml:space="preserve"> ABS (2026c)</w:t>
      </w:r>
    </w:p>
  </w:footnote>
  <w:footnote w:id="30">
    <w:p w14:paraId="518D1D8F" w14:textId="464164BA" w:rsidR="001B7662" w:rsidRPr="00F65EC9" w:rsidRDefault="00A208A5">
      <w:pPr>
        <w:pStyle w:val="FootnoteText"/>
      </w:pPr>
      <w:r w:rsidRPr="005E2159">
        <w:rPr>
          <w:rStyle w:val="FootnoteReference"/>
          <w:sz w:val="18"/>
        </w:rPr>
        <w:footnoteRef/>
      </w:r>
      <w:r w:rsidRPr="00F65EC9">
        <w:t xml:space="preserve"> ABS (2024)</w:t>
      </w:r>
      <w:r w:rsidR="0008168B" w:rsidRPr="00F65EC9">
        <w:t>.</w:t>
      </w:r>
    </w:p>
  </w:footnote>
  <w:footnote w:id="31">
    <w:p w14:paraId="518D1D90" w14:textId="77777777" w:rsidR="001B7662" w:rsidRPr="00F65EC9" w:rsidRDefault="00A208A5">
      <w:pPr>
        <w:pStyle w:val="FootnoteText"/>
      </w:pPr>
      <w:r w:rsidRPr="005E2159">
        <w:rPr>
          <w:rStyle w:val="FootnoteReference"/>
          <w:sz w:val="18"/>
        </w:rPr>
        <w:footnoteRef/>
      </w:r>
      <w:r w:rsidRPr="00F65EC9">
        <w:t xml:space="preserve"> See Borland (2026) for a discussion of this period.</w:t>
      </w:r>
    </w:p>
  </w:footnote>
  <w:footnote w:id="32">
    <w:p w14:paraId="518D1D91" w14:textId="55C20AA3" w:rsidR="001B7662" w:rsidRPr="00F65EC9" w:rsidRDefault="00A208A5">
      <w:pPr>
        <w:pStyle w:val="FootnoteText"/>
      </w:pPr>
      <w:r w:rsidRPr="005E2159">
        <w:rPr>
          <w:rStyle w:val="FootnoteReference"/>
          <w:sz w:val="18"/>
        </w:rPr>
        <w:footnoteRef/>
      </w:r>
      <w:r w:rsidRPr="00F65EC9">
        <w:t xml:space="preserve"> ABS (2026b)</w:t>
      </w:r>
      <w:r w:rsidR="0008168B" w:rsidRPr="00F65EC9">
        <w:t>.</w:t>
      </w:r>
      <w:r w:rsidRPr="00F65EC9">
        <w:t xml:space="preserve"> 3-month averages of seasonally adjusted monthly data. Note that this may not match the headline monthly unemployment rate for the same period.</w:t>
      </w:r>
    </w:p>
  </w:footnote>
  <w:footnote w:id="33">
    <w:p w14:paraId="518D1D92" w14:textId="101EEB9B" w:rsidR="001B7662" w:rsidRPr="00F65EC9" w:rsidRDefault="00A208A5">
      <w:pPr>
        <w:pStyle w:val="FootnoteText"/>
      </w:pPr>
      <w:r w:rsidRPr="005E2159">
        <w:rPr>
          <w:rStyle w:val="FootnoteReference"/>
          <w:sz w:val="18"/>
        </w:rPr>
        <w:footnoteRef/>
      </w:r>
      <w:r w:rsidRPr="00F65EC9">
        <w:t xml:space="preserve"> ABS (2026b)</w:t>
      </w:r>
      <w:r w:rsidR="0008168B" w:rsidRPr="00F65EC9">
        <w:t>.</w:t>
      </w:r>
      <w:r w:rsidRPr="00F65EC9">
        <w:t xml:space="preserve"> Seasonally unadjusted quarterly data.</w:t>
      </w:r>
    </w:p>
  </w:footnote>
  <w:footnote w:id="34">
    <w:p w14:paraId="518D1D93" w14:textId="0D414B5D" w:rsidR="001B7662" w:rsidRPr="00F65EC9" w:rsidRDefault="00A208A5">
      <w:pPr>
        <w:pStyle w:val="FootnoteText"/>
      </w:pPr>
      <w:r w:rsidRPr="005E2159">
        <w:rPr>
          <w:rStyle w:val="FootnoteReference"/>
          <w:sz w:val="18"/>
        </w:rPr>
        <w:footnoteRef/>
      </w:r>
      <w:r w:rsidRPr="00F65EC9">
        <w:t xml:space="preserve"> ABS (2026a)</w:t>
      </w:r>
      <w:r w:rsidR="0008168B" w:rsidRPr="00F65EC9">
        <w:t>.</w:t>
      </w:r>
      <w:r w:rsidRPr="00F65EC9">
        <w:t xml:space="preserve"> 4 quarter average of seasonally unadjusted data.</w:t>
      </w:r>
    </w:p>
  </w:footnote>
  <w:footnote w:id="35">
    <w:p w14:paraId="518D1D94" w14:textId="77777777" w:rsidR="001B7662" w:rsidRPr="00F65EC9" w:rsidRDefault="00A208A5">
      <w:pPr>
        <w:pStyle w:val="FootnoteText"/>
      </w:pPr>
      <w:r w:rsidRPr="005E2159">
        <w:rPr>
          <w:rStyle w:val="FootnoteReference"/>
          <w:sz w:val="18"/>
        </w:rPr>
        <w:footnoteRef/>
      </w:r>
      <w:r w:rsidRPr="00F65EC9">
        <w:t xml:space="preserve"> See Dhillon and Cassidy (2018) for more discussion of the Australian youth labour market.</w:t>
      </w:r>
    </w:p>
  </w:footnote>
  <w:footnote w:id="36">
    <w:p w14:paraId="518D1D95" w14:textId="77777777" w:rsidR="001B7662" w:rsidRPr="00F65EC9" w:rsidRDefault="00A208A5">
      <w:pPr>
        <w:pStyle w:val="FootnoteText"/>
      </w:pPr>
      <w:r w:rsidRPr="005E2159">
        <w:rPr>
          <w:rStyle w:val="FootnoteReference"/>
          <w:sz w:val="18"/>
        </w:rPr>
        <w:footnoteRef/>
      </w:r>
      <w:r w:rsidRPr="00F65EC9">
        <w:t xml:space="preserve"> See Acemoglu and Autor (2011)</w:t>
      </w:r>
    </w:p>
  </w:footnote>
  <w:footnote w:id="37">
    <w:p w14:paraId="518D1D96" w14:textId="77777777" w:rsidR="001B7662" w:rsidRPr="00F65EC9" w:rsidRDefault="00A208A5">
      <w:pPr>
        <w:pStyle w:val="FootnoteText"/>
      </w:pPr>
      <w:r w:rsidRPr="005E2159">
        <w:rPr>
          <w:rStyle w:val="FootnoteReference"/>
          <w:sz w:val="18"/>
        </w:rPr>
        <w:footnoteRef/>
      </w:r>
      <w:r w:rsidRPr="00F65EC9">
        <w:t xml:space="preserve"> Brynjolfsson et al. (2025)</w:t>
      </w:r>
    </w:p>
  </w:footnote>
  <w:footnote w:id="38">
    <w:p w14:paraId="518D1D97" w14:textId="77777777" w:rsidR="001B7662" w:rsidRPr="00F65EC9" w:rsidRDefault="00A208A5">
      <w:pPr>
        <w:pStyle w:val="FootnoteText"/>
      </w:pPr>
      <w:r w:rsidRPr="005E2159">
        <w:rPr>
          <w:rStyle w:val="FootnoteReference"/>
          <w:sz w:val="18"/>
        </w:rPr>
        <w:footnoteRef/>
      </w:r>
      <w:r w:rsidRPr="00F65EC9">
        <w:t xml:space="preserve"> Brynjolfsson et al. (2025, 1) find that ‘early career workers (ages 22-25) in the most AI-exposed occupations have experienced a 13 percent relative decline in employment even after controlling for firm-level shocks.’ Lambert and Schindler (2026) find that that this is explained by work from home (WFH) affecting hiring decisions, with a decline in hiring juniors in occupations more likely to allow WFH.</w:t>
      </w:r>
    </w:p>
  </w:footnote>
  <w:footnote w:id="39">
    <w:p w14:paraId="518D1D98" w14:textId="77777777" w:rsidR="001B7662" w:rsidRPr="00F65EC9" w:rsidRDefault="00A208A5">
      <w:pPr>
        <w:pStyle w:val="FootnoteText"/>
      </w:pPr>
      <w:r w:rsidRPr="005E2159">
        <w:rPr>
          <w:rStyle w:val="FootnoteReference"/>
          <w:sz w:val="18"/>
        </w:rPr>
        <w:footnoteRef/>
      </w:r>
      <w:r w:rsidRPr="00F65EC9">
        <w:t xml:space="preserve"> In March and April 2026, the monthly youth unemployment rate increased. This is beyond the period considered in this report, as February 2026 is the most recently available employment-by-occupation data, which is the primary data for the report.</w:t>
      </w:r>
    </w:p>
  </w:footnote>
  <w:footnote w:id="40">
    <w:p w14:paraId="518D1D99" w14:textId="77777777" w:rsidR="001B7662" w:rsidRPr="00F65EC9" w:rsidRDefault="00A208A5">
      <w:pPr>
        <w:pStyle w:val="FootnoteText"/>
      </w:pPr>
      <w:r w:rsidRPr="005E2159">
        <w:rPr>
          <w:rStyle w:val="FootnoteReference"/>
          <w:sz w:val="18"/>
        </w:rPr>
        <w:footnoteRef/>
      </w:r>
      <w:r w:rsidRPr="00F65EC9">
        <w:t xml:space="preserve"> This partly reflects strong population growth at younger ages.</w:t>
      </w:r>
    </w:p>
  </w:footnote>
  <w:footnote w:id="41">
    <w:p w14:paraId="518D1D9A" w14:textId="77777777" w:rsidR="001B7662" w:rsidRPr="00F65EC9" w:rsidRDefault="00A208A5">
      <w:pPr>
        <w:pStyle w:val="FootnoteText"/>
      </w:pPr>
      <w:r w:rsidRPr="005E2159">
        <w:rPr>
          <w:rStyle w:val="FootnoteReference"/>
          <w:sz w:val="18"/>
        </w:rPr>
        <w:footnoteRef/>
      </w:r>
      <w:r w:rsidRPr="00F65EC9">
        <w:t xml:space="preserve"> This gap is calculated from unrounded figures.</w:t>
      </w:r>
    </w:p>
  </w:footnote>
  <w:footnote w:id="42">
    <w:p w14:paraId="518D1D9B" w14:textId="77777777" w:rsidR="001B7662" w:rsidRPr="00F65EC9" w:rsidRDefault="00A208A5">
      <w:pPr>
        <w:pStyle w:val="FootnoteText"/>
      </w:pPr>
      <w:r w:rsidRPr="005E2159">
        <w:rPr>
          <w:rStyle w:val="FootnoteReference"/>
          <w:sz w:val="18"/>
        </w:rPr>
        <w:footnoteRef/>
      </w:r>
      <w:r w:rsidRPr="00F65EC9">
        <w:t xml:space="preserve"> Quarterly ABS data on labour force status by age and educational attainment is only available from 2015 onwards. Data cited here are 4-quarter rolling averages of seasonally unadjusted data.</w:t>
      </w:r>
    </w:p>
  </w:footnote>
  <w:footnote w:id="43">
    <w:p w14:paraId="518D1D9C" w14:textId="77777777" w:rsidR="001B7662" w:rsidRPr="00F65EC9" w:rsidRDefault="00A208A5">
      <w:pPr>
        <w:pStyle w:val="FootnoteText"/>
      </w:pPr>
      <w:r w:rsidRPr="005E2159">
        <w:rPr>
          <w:rStyle w:val="FootnoteReference"/>
          <w:sz w:val="18"/>
        </w:rPr>
        <w:footnoteRef/>
      </w:r>
      <w:r w:rsidRPr="00F65EC9">
        <w:t xml:space="preserve"> Berger (2026) notes that, because graduates in their mid-20s are likely to have less labour market experience than non-graduates of the same age, they may be more vulnerable to cyclical labour market downturns unrelated to technological change. Ongoing monitoring will assist in assessing whether a reduction in the unemployment rate gap between young graduates and non-graduates is a temporary, cyclical phenomenon or more enduring and therefore more plausibly associated with technological change.</w:t>
      </w:r>
    </w:p>
  </w:footnote>
  <w:footnote w:id="44">
    <w:p w14:paraId="518D1D9D" w14:textId="77777777" w:rsidR="001B7662" w:rsidRPr="00F65EC9" w:rsidRDefault="00A208A5">
      <w:pPr>
        <w:pStyle w:val="FootnoteText"/>
      </w:pPr>
      <w:r w:rsidRPr="005E2159">
        <w:rPr>
          <w:rStyle w:val="FootnoteReference"/>
          <w:sz w:val="18"/>
        </w:rPr>
        <w:footnoteRef/>
      </w:r>
      <w:r w:rsidRPr="00F65EC9">
        <w:t xml:space="preserve"> ABS (2022b)</w:t>
      </w:r>
    </w:p>
  </w:footnote>
  <w:footnote w:id="45">
    <w:p w14:paraId="518D1D9E" w14:textId="77777777" w:rsidR="001B7662" w:rsidRPr="00F65EC9" w:rsidRDefault="00A208A5">
      <w:pPr>
        <w:pStyle w:val="FootnoteText"/>
      </w:pPr>
      <w:r w:rsidRPr="005E2159">
        <w:rPr>
          <w:rStyle w:val="FootnoteReference"/>
          <w:sz w:val="18"/>
        </w:rPr>
        <w:footnoteRef/>
      </w:r>
      <w:r w:rsidRPr="00F65EC9">
        <w:t xml:space="preserve"> Brynjolfsson et al. (2025)</w:t>
      </w:r>
    </w:p>
  </w:footnote>
  <w:footnote w:id="46">
    <w:p w14:paraId="518D1D9F" w14:textId="77777777" w:rsidR="001B7662" w:rsidRPr="00F65EC9" w:rsidRDefault="00A208A5">
      <w:pPr>
        <w:pStyle w:val="FootnoteText"/>
      </w:pPr>
      <w:r w:rsidRPr="005E2159">
        <w:rPr>
          <w:rStyle w:val="FootnoteReference"/>
          <w:sz w:val="18"/>
        </w:rPr>
        <w:footnoteRef/>
      </w:r>
      <w:r w:rsidRPr="00F65EC9">
        <w:t xml:space="preserve"> While the rate of compositional change is an informative indicator, it should be noted that AI-driven occupational change may be difficult to disentangle from other labour market trends.</w:t>
      </w:r>
    </w:p>
  </w:footnote>
  <w:footnote w:id="47">
    <w:p w14:paraId="518D1DA0" w14:textId="77777777" w:rsidR="001B7662" w:rsidRPr="00F65EC9" w:rsidRDefault="00A208A5">
      <w:pPr>
        <w:pStyle w:val="FootnoteText"/>
      </w:pPr>
      <w:r w:rsidRPr="005E2159">
        <w:rPr>
          <w:rStyle w:val="FootnoteReference"/>
          <w:sz w:val="18"/>
        </w:rPr>
        <w:footnoteRef/>
      </w:r>
      <w:r w:rsidRPr="00F65EC9">
        <w:t xml:space="preserve"> A ‘Duncan and Duncan’ index (Duncan and Duncan 1955).</w:t>
      </w:r>
    </w:p>
  </w:footnote>
  <w:footnote w:id="48">
    <w:p w14:paraId="518D1DA1" w14:textId="1CF4EF27" w:rsidR="001B7662" w:rsidRPr="00F65EC9" w:rsidRDefault="00A208A5">
      <w:pPr>
        <w:pStyle w:val="FootnoteText"/>
      </w:pPr>
      <w:r w:rsidRPr="005E2159">
        <w:rPr>
          <w:rStyle w:val="FootnoteReference"/>
          <w:sz w:val="18"/>
        </w:rPr>
        <w:footnoteRef/>
      </w:r>
      <w:r w:rsidRPr="00F65EC9">
        <w:t xml:space="preserve"> See Gimbel et al. (2025)</w:t>
      </w:r>
      <w:r w:rsidR="0008168B" w:rsidRPr="00F65EC9">
        <w:t>.</w:t>
      </w:r>
      <w:r w:rsidRPr="00F65EC9">
        <w:t xml:space="preserve"> Deming et al. (2025) also do a similar exercise.</w:t>
      </w:r>
    </w:p>
  </w:footnote>
  <w:footnote w:id="49">
    <w:p w14:paraId="518D1DA2" w14:textId="77777777" w:rsidR="001B7662" w:rsidRPr="00F65EC9" w:rsidRDefault="00A208A5">
      <w:pPr>
        <w:pStyle w:val="FootnoteText"/>
      </w:pPr>
      <w:r w:rsidRPr="005E2159">
        <w:rPr>
          <w:rStyle w:val="FootnoteReference"/>
          <w:sz w:val="18"/>
        </w:rPr>
        <w:footnoteRef/>
      </w:r>
      <w:r w:rsidRPr="00F65EC9">
        <w:t xml:space="preserve"> See Fahrer and Pease (1993) and SEEK (2024)</w:t>
      </w:r>
    </w:p>
  </w:footnote>
  <w:footnote w:id="50">
    <w:p w14:paraId="518D1DA3" w14:textId="77777777" w:rsidR="001B7662" w:rsidRPr="00F65EC9" w:rsidRDefault="00A208A5">
      <w:pPr>
        <w:pStyle w:val="FootnoteText"/>
      </w:pPr>
      <w:r w:rsidRPr="005E2159">
        <w:rPr>
          <w:rStyle w:val="FootnoteReference"/>
          <w:sz w:val="18"/>
        </w:rPr>
        <w:footnoteRef/>
      </w:r>
      <w:r w:rsidRPr="00F65EC9">
        <w:t xml:space="preserve"> Duncan and Duncan (1955) indexes typically run from 0 to 1. We multiply by 100 for ease of description.</w:t>
      </w:r>
    </w:p>
  </w:footnote>
  <w:footnote w:id="51">
    <w:p w14:paraId="518D1DA4" w14:textId="7B875FC4" w:rsidR="001B7662" w:rsidRPr="00F65EC9" w:rsidRDefault="00A208A5">
      <w:pPr>
        <w:pStyle w:val="FootnoteText"/>
      </w:pPr>
      <w:r w:rsidRPr="005E2159">
        <w:rPr>
          <w:rStyle w:val="FootnoteReference"/>
          <w:sz w:val="18"/>
        </w:rPr>
        <w:footnoteRef/>
      </w:r>
      <w:r w:rsidRPr="00F65EC9">
        <w:t xml:space="preserve"> Labour mobility and churn can enhance productivity and wages – see for example Andrews and Hansell (2021) and Buckley et al. (2024)</w:t>
      </w:r>
      <w:r w:rsidR="0008168B" w:rsidRPr="00F65EC9">
        <w:t>.</w:t>
      </w:r>
    </w:p>
  </w:footnote>
  <w:footnote w:id="52">
    <w:p w14:paraId="518D1DA5" w14:textId="77777777" w:rsidR="001B7662" w:rsidRPr="00F65EC9" w:rsidRDefault="00A208A5">
      <w:pPr>
        <w:pStyle w:val="FootnoteText"/>
      </w:pPr>
      <w:r w:rsidRPr="005E2159">
        <w:rPr>
          <w:rStyle w:val="FootnoteReference"/>
          <w:sz w:val="18"/>
        </w:rPr>
        <w:footnoteRef/>
      </w:r>
      <w:r w:rsidRPr="00F65EC9">
        <w:t xml:space="preserve"> JSA (2025a)</w:t>
      </w:r>
    </w:p>
  </w:footnote>
  <w:footnote w:id="53">
    <w:p w14:paraId="518D1DA6" w14:textId="1371CFAD" w:rsidR="001B7662" w:rsidRPr="00F65EC9" w:rsidRDefault="00A208A5">
      <w:pPr>
        <w:pStyle w:val="FootnoteText"/>
      </w:pPr>
      <w:r w:rsidRPr="005E2159">
        <w:rPr>
          <w:rStyle w:val="FootnoteReference"/>
          <w:sz w:val="18"/>
        </w:rPr>
        <w:footnoteRef/>
      </w:r>
      <w:r w:rsidRPr="00F65EC9">
        <w:t xml:space="preserve"> For example, see Ibrahim (2026)</w:t>
      </w:r>
      <w:r w:rsidR="0008168B" w:rsidRPr="00F65EC9">
        <w:t>.</w:t>
      </w:r>
    </w:p>
  </w:footnote>
  <w:footnote w:id="54">
    <w:p w14:paraId="518D1DA7" w14:textId="77777777" w:rsidR="001B7662" w:rsidRPr="00F65EC9" w:rsidRDefault="00A208A5">
      <w:pPr>
        <w:pStyle w:val="FootnoteText"/>
      </w:pPr>
      <w:r w:rsidRPr="005E2159">
        <w:rPr>
          <w:rStyle w:val="FootnoteReference"/>
          <w:sz w:val="18"/>
        </w:rPr>
        <w:footnoteRef/>
      </w:r>
      <w:r w:rsidRPr="00F65EC9">
        <w:t xml:space="preserve"> The full name of the occupation is ‘Database and Systems Administrators, and ICT Security Specialists’.</w:t>
      </w:r>
    </w:p>
  </w:footnote>
  <w:footnote w:id="55">
    <w:p w14:paraId="518D1DA8" w14:textId="77777777" w:rsidR="001B7662" w:rsidRPr="00F65EC9" w:rsidRDefault="00A208A5">
      <w:pPr>
        <w:pStyle w:val="FootnoteText"/>
      </w:pPr>
      <w:r w:rsidRPr="005E2159">
        <w:rPr>
          <w:rStyle w:val="FootnoteReference"/>
          <w:sz w:val="18"/>
        </w:rPr>
        <w:footnoteRef/>
      </w:r>
      <w:r w:rsidRPr="00F65EC9">
        <w:t xml:space="preserve"> These quintiles are not weighted by employment size, so they do not contain an equal number of workers.</w:t>
      </w:r>
    </w:p>
  </w:footnote>
  <w:footnote w:id="56">
    <w:p w14:paraId="518D1DA9" w14:textId="77777777" w:rsidR="001B7662" w:rsidRPr="00F65EC9" w:rsidRDefault="00A208A5">
      <w:pPr>
        <w:pStyle w:val="FootnoteText"/>
      </w:pPr>
      <w:r w:rsidRPr="005E2159">
        <w:rPr>
          <w:rStyle w:val="FootnoteReference"/>
          <w:sz w:val="18"/>
        </w:rPr>
        <w:footnoteRef/>
      </w:r>
      <w:r w:rsidRPr="00F65EC9">
        <w:t xml:space="preserve"> JSA (2026b)</w:t>
      </w:r>
    </w:p>
  </w:footnote>
  <w:footnote w:id="57">
    <w:p w14:paraId="518D1DAA" w14:textId="77777777" w:rsidR="001B7662" w:rsidRPr="00F65EC9" w:rsidRDefault="00A208A5">
      <w:pPr>
        <w:pStyle w:val="FootnoteText"/>
      </w:pPr>
      <w:r w:rsidRPr="005E2159">
        <w:rPr>
          <w:rStyle w:val="FootnoteReference"/>
          <w:sz w:val="18"/>
        </w:rPr>
        <w:footnoteRef/>
      </w:r>
      <w:r w:rsidRPr="00F65EC9">
        <w:t xml:space="preserve"> We classify unemployed people based on the AI automation exposure of their previous occupation. We derive an unemployment rate for each quintile by comparing the number of unemployed people previously employed in occupations in that quintile with the labour force associated with that quintile — that is, currently employed people in those occupations plus unemployed people whose previous occupation was in that quintile. This should be interpreted as an unemployment rate for workers previously attached to each exposure group, rather than a direct measure of unemployment in current occupations. It does not include workers who move successfully between occupations, new entrants without a previous occupation, or changes in the desired occupation of unemployed people.</w:t>
      </w:r>
    </w:p>
  </w:footnote>
  <w:footnote w:id="58">
    <w:p w14:paraId="518D1DAB" w14:textId="77777777" w:rsidR="001B7662" w:rsidRPr="00F65EC9" w:rsidRDefault="00A208A5">
      <w:pPr>
        <w:pStyle w:val="FootnoteText"/>
      </w:pPr>
      <w:r w:rsidRPr="005E2159">
        <w:rPr>
          <w:rStyle w:val="FootnoteReference"/>
          <w:sz w:val="18"/>
        </w:rPr>
        <w:footnoteRef/>
      </w:r>
      <w:r w:rsidRPr="00F65EC9">
        <w:t xml:space="preserve"> Unemployment rates for individual four-digit ANZSCO occupations are highly volatile, so we focus on major groups.</w:t>
      </w:r>
    </w:p>
  </w:footnote>
  <w:footnote w:id="59">
    <w:p w14:paraId="518D1DAC" w14:textId="713D8FBB" w:rsidR="001B7662" w:rsidRPr="00F65EC9" w:rsidRDefault="00A208A5">
      <w:pPr>
        <w:pStyle w:val="FootnoteText"/>
      </w:pPr>
      <w:r w:rsidRPr="005E2159">
        <w:rPr>
          <w:rStyle w:val="FootnoteReference"/>
          <w:sz w:val="18"/>
        </w:rPr>
        <w:footnoteRef/>
      </w:r>
      <w:r w:rsidRPr="00F65EC9">
        <w:t xml:space="preserve"> See Autor et al. (2003</w:t>
      </w:r>
      <w:r w:rsidR="00AF0E18" w:rsidRPr="00F65EC9">
        <w:t>),</w:t>
      </w:r>
      <w:r w:rsidRPr="00F65EC9">
        <w:t xml:space="preserve"> Autor (2013) and Acemoglu and Autor (2011)</w:t>
      </w:r>
      <w:r w:rsidR="0008168B" w:rsidRPr="00F65EC9">
        <w:t>.</w:t>
      </w:r>
    </w:p>
  </w:footnote>
  <w:footnote w:id="60">
    <w:p w14:paraId="518D1DAD" w14:textId="61BFFED4" w:rsidR="001B7662" w:rsidRPr="00F65EC9" w:rsidRDefault="00A208A5">
      <w:pPr>
        <w:pStyle w:val="FootnoteText"/>
      </w:pPr>
      <w:r w:rsidRPr="005E2159">
        <w:rPr>
          <w:rStyle w:val="FootnoteReference"/>
          <w:sz w:val="18"/>
        </w:rPr>
        <w:footnoteRef/>
      </w:r>
      <w:r w:rsidRPr="00F65EC9">
        <w:t xml:space="preserve"> We use the framework as translated to ANZSCO by Borland and Coelli (2022)</w:t>
      </w:r>
      <w:r w:rsidR="0008168B" w:rsidRPr="00F65EC9">
        <w:t>.</w:t>
      </w:r>
    </w:p>
  </w:footnote>
  <w:footnote w:id="61">
    <w:p w14:paraId="518D1DAE" w14:textId="77777777" w:rsidR="001B7662" w:rsidRPr="00F65EC9" w:rsidRDefault="00A208A5">
      <w:pPr>
        <w:pStyle w:val="FootnoteText"/>
      </w:pPr>
      <w:r w:rsidRPr="005E2159">
        <w:rPr>
          <w:rStyle w:val="FootnoteReference"/>
          <w:sz w:val="18"/>
        </w:rPr>
        <w:footnoteRef/>
      </w:r>
      <w:r w:rsidRPr="00F65EC9">
        <w:t xml:space="preserve"> Borland and Coelli (2022)</w:t>
      </w:r>
    </w:p>
  </w:footnote>
  <w:footnote w:id="62">
    <w:p w14:paraId="518D1DAF" w14:textId="1D9FFBA3" w:rsidR="001B7662" w:rsidRPr="00F65EC9" w:rsidRDefault="00A208A5">
      <w:pPr>
        <w:pStyle w:val="FootnoteText"/>
      </w:pPr>
      <w:r w:rsidRPr="005E2159">
        <w:rPr>
          <w:rStyle w:val="FootnoteReference"/>
          <w:sz w:val="18"/>
        </w:rPr>
        <w:footnoteRef/>
      </w:r>
      <w:r w:rsidRPr="00F65EC9">
        <w:t xml:space="preserve"> ABS (2026a)</w:t>
      </w:r>
      <w:r w:rsidR="0008168B" w:rsidRPr="00F65EC9">
        <w:t>.</w:t>
      </w:r>
      <w:r w:rsidRPr="00F65EC9">
        <w:t xml:space="preserve"> Our core model uses the 4-digit ANZSCO unit group classification of occupations, sourced from Table EQ08 of the Labour Force Detailed publication. February 2026 was the final issue of this publication, as the outputs from the Labour Force Survey are being revised. Employment-by-occupation data will resume publication in late 2026, using the new Occupation Standard Classification for Australia (OSCA) (ABS 2024) rather than ANZSCO.</w:t>
      </w:r>
    </w:p>
  </w:footnote>
  <w:footnote w:id="63">
    <w:p w14:paraId="518D1DB0" w14:textId="77777777" w:rsidR="001B7662" w:rsidRPr="00F65EC9" w:rsidRDefault="00A208A5">
      <w:pPr>
        <w:pStyle w:val="FootnoteText"/>
      </w:pPr>
      <w:r w:rsidRPr="005E2159">
        <w:rPr>
          <w:rStyle w:val="FootnoteReference"/>
          <w:sz w:val="18"/>
        </w:rPr>
        <w:footnoteRef/>
      </w:r>
      <w:r w:rsidRPr="00F65EC9">
        <w:t xml:space="preserve"> Using November 2022 as a date of treatment (based on the timing of the public release of ChatGPT) has been used in other studies on the labour market impacts of AI. Examples include Brynjolfsson et al. (2025), Klein Teeselink (2025) and Gimbel et al. (2025).</w:t>
      </w:r>
    </w:p>
  </w:footnote>
  <w:footnote w:id="64">
    <w:p w14:paraId="518D1DB1" w14:textId="77777777" w:rsidR="001B7662" w:rsidRPr="00F65EC9" w:rsidRDefault="00A208A5">
      <w:pPr>
        <w:pStyle w:val="FootnoteText"/>
      </w:pPr>
      <w:r w:rsidRPr="005E2159">
        <w:rPr>
          <w:rStyle w:val="FootnoteReference"/>
          <w:sz w:val="18"/>
        </w:rPr>
        <w:footnoteRef/>
      </w:r>
      <w:r w:rsidRPr="00F65EC9">
        <w:t xml:space="preserve"> The unit of observation is an occupation in a quarter.</w:t>
      </w:r>
    </w:p>
  </w:footnote>
  <w:footnote w:id="65">
    <w:p w14:paraId="518D1DB2" w14:textId="77777777" w:rsidR="001B7662" w:rsidRPr="00F65EC9" w:rsidRDefault="00A208A5">
      <w:pPr>
        <w:pStyle w:val="FootnoteText"/>
      </w:pPr>
      <w:r w:rsidRPr="005E2159">
        <w:rPr>
          <w:rStyle w:val="FootnoteReference"/>
          <w:sz w:val="18"/>
        </w:rPr>
        <w:footnoteRef/>
      </w:r>
      <w:r w:rsidRPr="00F65EC9">
        <w:t xml:space="preserve"> This outlier is for a quarter when COVID-19 response measures were in place and may reflect a genuine but temporary deviation resulting from pandemic related business closures.</w:t>
      </w:r>
    </w:p>
  </w:footnote>
  <w:footnote w:id="66">
    <w:p w14:paraId="518D1DB3" w14:textId="77777777" w:rsidR="001B7662" w:rsidRPr="00F65EC9" w:rsidRDefault="00A208A5">
      <w:pPr>
        <w:pStyle w:val="FootnoteText"/>
      </w:pPr>
      <w:r w:rsidRPr="005E2159">
        <w:rPr>
          <w:rStyle w:val="FootnoteReference"/>
          <w:sz w:val="18"/>
        </w:rPr>
        <w:footnoteRef/>
      </w:r>
      <w:r w:rsidRPr="00F65EC9">
        <w:t xml:space="preserve"> This risk is common to all occupation-level AI exposure measures and is one reason we test alternative measures. We believe JSA’s exposure scores are the most appropriate for our analysis in the Australian context, which is why we use them in our core model.</w:t>
      </w:r>
    </w:p>
  </w:footnote>
  <w:footnote w:id="67">
    <w:p w14:paraId="518D1DB4" w14:textId="77777777" w:rsidR="001B7662" w:rsidRPr="00F65EC9" w:rsidRDefault="00A208A5">
      <w:pPr>
        <w:pStyle w:val="FootnoteText"/>
      </w:pPr>
      <w:r w:rsidRPr="005E2159">
        <w:rPr>
          <w:rStyle w:val="FootnoteReference"/>
          <w:sz w:val="18"/>
        </w:rPr>
        <w:footnoteRef/>
      </w:r>
      <w:r w:rsidRPr="00F65EC9">
        <w:t xml:space="preserve"> This occupation-level bootstrap re-samples occupations with replacement. In each draw, some occupations are omitted and others appear more than once. In each random draw, we sample an occupation for all quarters, so each draw preserves the occupation’s full time series, and the balanced sampling means all occupations appear the same number of total times across samples.</w:t>
      </w:r>
    </w:p>
  </w:footnote>
  <w:footnote w:id="68">
    <w:p w14:paraId="518D1DB5" w14:textId="77777777" w:rsidR="001B7662" w:rsidRPr="00F65EC9" w:rsidRDefault="00A208A5">
      <w:pPr>
        <w:pStyle w:val="FootnoteText"/>
      </w:pPr>
      <w:r w:rsidRPr="005E2159">
        <w:rPr>
          <w:rStyle w:val="FootnoteReference"/>
          <w:sz w:val="18"/>
        </w:rPr>
        <w:footnoteRef/>
      </w:r>
      <w:r w:rsidRPr="00F65EC9">
        <w:t xml:space="preserve"> The excluded period between COVID-19 and November 2022 will not only capture the immediate impacts of COVID-19, but also the start of the recovery period which includes some changes in labour market composition that have so far persisted, such as expansion of the non-market health and care sectors. Excluding this period may therefore also mean the parallel trends conditional on exposure assumption could be violated due to not capturing some trends which emerged in the years before ChatGPT was introduced.</w:t>
      </w:r>
    </w:p>
  </w:footnote>
  <w:footnote w:id="69">
    <w:p w14:paraId="518D1DB6" w14:textId="1D854FEB" w:rsidR="001B7662" w:rsidRPr="00F65EC9" w:rsidRDefault="00A208A5">
      <w:pPr>
        <w:pStyle w:val="FootnoteText"/>
      </w:pPr>
      <w:r w:rsidRPr="005E2159">
        <w:rPr>
          <w:rStyle w:val="FootnoteReference"/>
          <w:sz w:val="18"/>
        </w:rPr>
        <w:footnoteRef/>
      </w:r>
      <w:r w:rsidRPr="00F65EC9">
        <w:t xml:space="preserve"> </w:t>
      </w:r>
      <w:r w:rsidR="0048304D" w:rsidRPr="00F65EC9">
        <w:t xml:space="preserve">The p-value </w:t>
      </w:r>
      <w:r w:rsidR="005314EE" w:rsidRPr="00F65EC9">
        <w:t xml:space="preserve">for this is </w:t>
      </w:r>
      <w:r w:rsidRPr="00F65EC9">
        <w:t>0.14</w:t>
      </w:r>
      <w:r w:rsidR="0048304D" w:rsidRPr="00F65EC9">
        <w:t xml:space="preserve">. A p-value </w:t>
      </w:r>
      <w:r w:rsidR="009D6B8C" w:rsidRPr="00F65EC9">
        <w:t xml:space="preserve">is a measure </w:t>
      </w:r>
      <w:r w:rsidR="00BD4F7E" w:rsidRPr="00F65EC9">
        <w:t xml:space="preserve">of how likely </w:t>
      </w:r>
      <w:r w:rsidR="00F77FD9" w:rsidRPr="00F65EC9">
        <w:t xml:space="preserve">it is that an estimate </w:t>
      </w:r>
      <w:r w:rsidR="00046505" w:rsidRPr="00F65EC9">
        <w:t>could have arisen through pure chance</w:t>
      </w:r>
      <w:r w:rsidR="0048304D" w:rsidRPr="00F65EC9">
        <w:t>.</w:t>
      </w:r>
      <w:r w:rsidR="005314EE" w:rsidRPr="00F65EC9">
        <w:t xml:space="preserve"> A p-value of greater than 0.05 means that the estimate is not statistically significant, using the conventional definition of significance.</w:t>
      </w:r>
    </w:p>
  </w:footnote>
  <w:footnote w:id="70">
    <w:p w14:paraId="518D1DB7" w14:textId="77777777" w:rsidR="001B7662" w:rsidRPr="00F65EC9" w:rsidRDefault="00A208A5">
      <w:pPr>
        <w:pStyle w:val="FootnoteText"/>
      </w:pPr>
      <w:r w:rsidRPr="005E2159">
        <w:rPr>
          <w:rStyle w:val="FootnoteReference"/>
          <w:sz w:val="18"/>
        </w:rPr>
        <w:footnoteRef/>
      </w:r>
      <w:r w:rsidRPr="00F65EC9">
        <w:t xml:space="preserve"> p=0.35.</w:t>
      </w:r>
    </w:p>
  </w:footnote>
  <w:footnote w:id="71">
    <w:p w14:paraId="518D1DB8" w14:textId="77777777" w:rsidR="001B7662" w:rsidRPr="00F65EC9" w:rsidRDefault="00A208A5">
      <w:pPr>
        <w:pStyle w:val="FootnoteText"/>
      </w:pPr>
      <w:r w:rsidRPr="005E2159">
        <w:rPr>
          <w:rStyle w:val="FootnoteReference"/>
          <w:sz w:val="18"/>
        </w:rPr>
        <w:footnoteRef/>
      </w:r>
      <w:r w:rsidRPr="00F65EC9">
        <w:t xml:space="preserve"> p=0.032.</w:t>
      </w:r>
    </w:p>
  </w:footnote>
  <w:footnote w:id="72">
    <w:p w14:paraId="518D1DB9" w14:textId="77777777" w:rsidR="001B7662" w:rsidRPr="00F65EC9" w:rsidRDefault="00A208A5">
      <w:pPr>
        <w:pStyle w:val="FootnoteText"/>
      </w:pPr>
      <w:r w:rsidRPr="005E2159">
        <w:rPr>
          <w:rStyle w:val="FootnoteReference"/>
          <w:sz w:val="18"/>
        </w:rPr>
        <w:footnoteRef/>
      </w:r>
      <w:r w:rsidRPr="00F65EC9">
        <w:t xml:space="preserve"> p=0.019.</w:t>
      </w:r>
    </w:p>
  </w:footnote>
  <w:footnote w:id="73">
    <w:p w14:paraId="518D1DBA" w14:textId="77777777" w:rsidR="001B7662" w:rsidRPr="00F65EC9" w:rsidRDefault="00A208A5">
      <w:pPr>
        <w:pStyle w:val="FootnoteText"/>
      </w:pPr>
      <w:r w:rsidRPr="005E2159">
        <w:rPr>
          <w:rStyle w:val="FootnoteReference"/>
          <w:sz w:val="18"/>
        </w:rPr>
        <w:footnoteRef/>
      </w:r>
      <w:r w:rsidRPr="00F65EC9">
        <w:t xml:space="preserve"> p=0.0046.</w:t>
      </w:r>
    </w:p>
  </w:footnote>
  <w:footnote w:id="74">
    <w:p w14:paraId="518D1DBB" w14:textId="77777777" w:rsidR="001B7662" w:rsidRPr="00F65EC9" w:rsidRDefault="00A208A5">
      <w:pPr>
        <w:pStyle w:val="FootnoteText"/>
      </w:pPr>
      <w:r w:rsidRPr="005E2159">
        <w:rPr>
          <w:rStyle w:val="FootnoteReference"/>
          <w:sz w:val="18"/>
        </w:rPr>
        <w:footnoteRef/>
      </w:r>
      <w:r w:rsidRPr="00F65EC9">
        <w:t xml:space="preserve"> Note that all quarters between May 2020 and August 2023 inclusive are removed from the sample in this specification.</w:t>
      </w:r>
    </w:p>
  </w:footnote>
  <w:footnote w:id="75">
    <w:p w14:paraId="518D1DBC" w14:textId="77777777" w:rsidR="001B7662" w:rsidRPr="00F65EC9" w:rsidRDefault="00A208A5">
      <w:pPr>
        <w:pStyle w:val="FootnoteText"/>
      </w:pPr>
      <w:r w:rsidRPr="005E2159">
        <w:rPr>
          <w:rStyle w:val="FootnoteReference"/>
          <w:sz w:val="18"/>
        </w:rPr>
        <w:footnoteRef/>
      </w:r>
      <w:r w:rsidRPr="00F65EC9">
        <w:t xml:space="preserve"> p=0.042.</w:t>
      </w:r>
    </w:p>
  </w:footnote>
  <w:footnote w:id="76">
    <w:p w14:paraId="518D1DBD" w14:textId="77777777" w:rsidR="001B7662" w:rsidRPr="00F65EC9" w:rsidRDefault="00A208A5">
      <w:pPr>
        <w:pStyle w:val="FootnoteText"/>
      </w:pPr>
      <w:r w:rsidRPr="005E2159">
        <w:rPr>
          <w:rStyle w:val="FootnoteReference"/>
          <w:sz w:val="18"/>
        </w:rPr>
        <w:footnoteRef/>
      </w:r>
      <w:r w:rsidRPr="00F65EC9">
        <w:t xml:space="preserve"> Gmyrek et al. (2023)</w:t>
      </w:r>
    </w:p>
  </w:footnote>
  <w:footnote w:id="77">
    <w:p w14:paraId="518D1DBE" w14:textId="1E57AA96" w:rsidR="001B7662" w:rsidRPr="00F65EC9" w:rsidRDefault="00A208A5">
      <w:pPr>
        <w:pStyle w:val="FootnoteText"/>
      </w:pPr>
      <w:r w:rsidRPr="005E2159">
        <w:rPr>
          <w:rStyle w:val="FootnoteReference"/>
          <w:sz w:val="18"/>
        </w:rPr>
        <w:footnoteRef/>
      </w:r>
      <w:r w:rsidRPr="00F65EC9">
        <w:t xml:space="preserve"> See Felten et al. (2021). As with the JSA exposure scores, the AIOE scores are normalised as standard deviations from the mean.</w:t>
      </w:r>
    </w:p>
  </w:footnote>
  <w:footnote w:id="78">
    <w:p w14:paraId="518D1DBF" w14:textId="77777777" w:rsidR="001B7662" w:rsidRPr="00F65EC9" w:rsidRDefault="00A208A5">
      <w:pPr>
        <w:pStyle w:val="FootnoteText"/>
      </w:pPr>
      <w:r w:rsidRPr="005E2159">
        <w:rPr>
          <w:rStyle w:val="FootnoteReference"/>
          <w:sz w:val="18"/>
        </w:rPr>
        <w:footnoteRef/>
      </w:r>
      <w:r w:rsidRPr="00F65EC9">
        <w:t xml:space="preserve"> These are ‘abstract strategy games, real-time video games, image recognition, visual question answering, image generation, reading comprehension, language modelling, translation, speech recognition, and instrumental track recognition.’ (Felten et al. 2021).</w:t>
      </w:r>
    </w:p>
  </w:footnote>
  <w:footnote w:id="79">
    <w:p w14:paraId="518D1DC0" w14:textId="24380985" w:rsidR="001B7662" w:rsidRPr="00F65EC9" w:rsidRDefault="00A208A5">
      <w:pPr>
        <w:pStyle w:val="FootnoteText"/>
      </w:pPr>
      <w:r w:rsidRPr="005E2159">
        <w:rPr>
          <w:rStyle w:val="FootnoteReference"/>
          <w:sz w:val="18"/>
        </w:rPr>
        <w:footnoteRef/>
      </w:r>
      <w:r w:rsidRPr="00F65EC9">
        <w:t xml:space="preserve"> Massenkoff and McCrory (2026). As with the other exposure scores, we normalise the Anthropic scores.</w:t>
      </w:r>
    </w:p>
  </w:footnote>
  <w:footnote w:id="80">
    <w:p w14:paraId="518D1DC1" w14:textId="77777777" w:rsidR="001B7662" w:rsidRPr="00F65EC9" w:rsidRDefault="00A208A5">
      <w:pPr>
        <w:pStyle w:val="FootnoteText"/>
      </w:pPr>
      <w:r w:rsidRPr="005E2159">
        <w:rPr>
          <w:rStyle w:val="FootnoteReference"/>
          <w:sz w:val="18"/>
        </w:rPr>
        <w:footnoteRef/>
      </w:r>
      <w:r w:rsidRPr="00F65EC9">
        <w:t xml:space="preserve"> p=0.25.</w:t>
      </w:r>
    </w:p>
  </w:footnote>
  <w:footnote w:id="81">
    <w:p w14:paraId="518D1DC2" w14:textId="77777777" w:rsidR="001B7662" w:rsidRPr="00F65EC9" w:rsidRDefault="00A208A5">
      <w:pPr>
        <w:pStyle w:val="FootnoteText"/>
      </w:pPr>
      <w:r w:rsidRPr="005E2159">
        <w:rPr>
          <w:rStyle w:val="FootnoteReference"/>
          <w:sz w:val="18"/>
        </w:rPr>
        <w:footnoteRef/>
      </w:r>
      <w:r w:rsidRPr="00F65EC9">
        <w:t xml:space="preserve"> p=0.95.</w:t>
      </w:r>
    </w:p>
  </w:footnote>
  <w:footnote w:id="82">
    <w:p w14:paraId="518D1DC3" w14:textId="77777777" w:rsidR="001B7662" w:rsidRPr="00F65EC9" w:rsidRDefault="00A208A5">
      <w:pPr>
        <w:pStyle w:val="FootnoteText"/>
      </w:pPr>
      <w:r w:rsidRPr="005E2159">
        <w:rPr>
          <w:rStyle w:val="FootnoteReference"/>
          <w:sz w:val="18"/>
        </w:rPr>
        <w:footnoteRef/>
      </w:r>
      <w:r w:rsidRPr="00F65EC9">
        <w:t xml:space="preserve"> There is no settled best measure of AI automatability for Australian occupations, so results should be interpreted alongside robustness checks using alternative measures. Caution should be taken in assuming that a measure is valid because it produces a statistically significant estimate, especially where the effects of automation on labour demand may be ambiguous (Evans 2026).</w:t>
      </w:r>
    </w:p>
  </w:footnote>
  <w:footnote w:id="83">
    <w:p w14:paraId="518D1DC4" w14:textId="77777777" w:rsidR="001B7662" w:rsidRPr="00F65EC9" w:rsidRDefault="00A208A5">
      <w:pPr>
        <w:pStyle w:val="FootnoteText"/>
      </w:pPr>
      <w:r w:rsidRPr="005E2159">
        <w:rPr>
          <w:rStyle w:val="FootnoteReference"/>
          <w:sz w:val="18"/>
        </w:rPr>
        <w:footnoteRef/>
      </w:r>
      <w:r w:rsidRPr="00F65EC9">
        <w:t xml:space="preserve"> The data source is ABS Labour Force Detailed (ABS 2026a), the same as for employment by occupation.</w:t>
      </w:r>
    </w:p>
  </w:footnote>
  <w:footnote w:id="84">
    <w:p w14:paraId="518D1DC5" w14:textId="77777777" w:rsidR="001B7662" w:rsidRPr="00F65EC9" w:rsidRDefault="00A208A5">
      <w:pPr>
        <w:pStyle w:val="FootnoteText"/>
      </w:pPr>
      <w:r w:rsidRPr="005E2159">
        <w:rPr>
          <w:rStyle w:val="FootnoteReference"/>
          <w:sz w:val="18"/>
        </w:rPr>
        <w:footnoteRef/>
      </w:r>
      <w:r w:rsidRPr="00F65EC9">
        <w:t xml:space="preserve"> p=0.068.</w:t>
      </w:r>
    </w:p>
  </w:footnote>
  <w:footnote w:id="85">
    <w:p w14:paraId="518D1DC6" w14:textId="77777777" w:rsidR="001B7662" w:rsidRPr="00F65EC9" w:rsidRDefault="00A208A5">
      <w:pPr>
        <w:pStyle w:val="FootnoteText"/>
      </w:pPr>
      <w:r w:rsidRPr="005E2159">
        <w:rPr>
          <w:rStyle w:val="FootnoteReference"/>
          <w:sz w:val="18"/>
        </w:rPr>
        <w:footnoteRef/>
      </w:r>
      <w:r w:rsidRPr="00F65EC9">
        <w:t xml:space="preserve"> As with employment and hours worked, the data is at the 4-digit ANZSCO occupation unit group level.</w:t>
      </w:r>
    </w:p>
  </w:footnote>
  <w:footnote w:id="86">
    <w:p w14:paraId="518D1DC7" w14:textId="77777777" w:rsidR="001B7662" w:rsidRPr="00F65EC9" w:rsidRDefault="00A208A5">
      <w:pPr>
        <w:pStyle w:val="FootnoteText"/>
      </w:pPr>
      <w:r w:rsidRPr="005E2159">
        <w:rPr>
          <w:rStyle w:val="FootnoteReference"/>
          <w:sz w:val="18"/>
        </w:rPr>
        <w:footnoteRef/>
      </w:r>
      <w:r w:rsidRPr="00F65EC9">
        <w:t xml:space="preserve"> p=0.092.</w:t>
      </w:r>
    </w:p>
  </w:footnote>
  <w:footnote w:id="87">
    <w:p w14:paraId="518D1DC8" w14:textId="14D202AB" w:rsidR="001B7662" w:rsidRPr="00F65EC9" w:rsidRDefault="00A208A5">
      <w:pPr>
        <w:pStyle w:val="FootnoteText"/>
      </w:pPr>
      <w:r w:rsidRPr="005E2159">
        <w:rPr>
          <w:rStyle w:val="FootnoteReference"/>
          <w:sz w:val="18"/>
        </w:rPr>
        <w:footnoteRef/>
      </w:r>
      <w:r w:rsidRPr="00F65EC9">
        <w:t xml:space="preserve"> This includes alternative clustering of standard </w:t>
      </w:r>
      <w:r w:rsidR="00AF0E18" w:rsidRPr="00F65EC9">
        <w:t>errors and</w:t>
      </w:r>
      <w:r w:rsidRPr="00F65EC9">
        <w:t xml:space="preserve"> using robust standard errors.</w:t>
      </w:r>
    </w:p>
  </w:footnote>
  <w:footnote w:id="88">
    <w:p w14:paraId="518D1DC9" w14:textId="77777777" w:rsidR="001B7662" w:rsidRPr="00F65EC9" w:rsidRDefault="00A208A5">
      <w:pPr>
        <w:pStyle w:val="FootnoteText"/>
      </w:pPr>
      <w:r w:rsidRPr="005E2159">
        <w:rPr>
          <w:rStyle w:val="FootnoteReference"/>
          <w:sz w:val="18"/>
        </w:rPr>
        <w:footnoteRef/>
      </w:r>
      <w:r w:rsidRPr="00F65EC9">
        <w:t xml:space="preserve"> OLS is used rather than our preferred Poisson Pseudo-Maximum Likelihood (PPML) approach.</w:t>
      </w:r>
    </w:p>
  </w:footnote>
  <w:footnote w:id="89">
    <w:p w14:paraId="518D1DCA" w14:textId="77777777" w:rsidR="001B7662" w:rsidRPr="00F65EC9" w:rsidRDefault="00A208A5">
      <w:pPr>
        <w:pStyle w:val="FootnoteText"/>
      </w:pPr>
      <w:r w:rsidRPr="005E2159">
        <w:rPr>
          <w:rStyle w:val="FootnoteReference"/>
          <w:sz w:val="18"/>
        </w:rPr>
        <w:footnoteRef/>
      </w:r>
      <w:r w:rsidRPr="00F65EC9">
        <w:t xml:space="preserve"> Specifically, results are insignificant when we cluster standard errors by occupation only, rather than occupation and time. When we estimate the result using robust standard errors, rather than our default two-way clustering, the results are also not statistically significant.</w:t>
      </w:r>
    </w:p>
  </w:footnote>
  <w:footnote w:id="90">
    <w:p w14:paraId="518D1DCB" w14:textId="77777777" w:rsidR="001B7662" w:rsidRPr="00F65EC9" w:rsidRDefault="00A208A5">
      <w:pPr>
        <w:pStyle w:val="FootnoteText"/>
      </w:pPr>
      <w:r w:rsidRPr="005E2159">
        <w:rPr>
          <w:rStyle w:val="FootnoteReference"/>
          <w:sz w:val="18"/>
        </w:rPr>
        <w:footnoteRef/>
      </w:r>
      <w:r w:rsidRPr="00F65EC9">
        <w:t xml:space="preserve"> This is the ‘no shift’ model.</w:t>
      </w:r>
    </w:p>
  </w:footnote>
  <w:footnote w:id="91">
    <w:p w14:paraId="518D1DCC" w14:textId="0CCD8097" w:rsidR="001B7662" w:rsidRPr="00F65EC9" w:rsidRDefault="00A208A5">
      <w:pPr>
        <w:pStyle w:val="FootnoteText"/>
      </w:pPr>
      <w:r w:rsidRPr="005E2159">
        <w:rPr>
          <w:rStyle w:val="FootnoteReference"/>
          <w:sz w:val="18"/>
        </w:rPr>
        <w:footnoteRef/>
      </w:r>
      <w:r w:rsidRPr="00F65EC9">
        <w:t xml:space="preserve"> Manning and Aguirre</w:t>
      </w:r>
      <w:r w:rsidR="004B05C3" w:rsidRPr="00F65EC9">
        <w:t xml:space="preserve"> (</w:t>
      </w:r>
      <w:r w:rsidRPr="00F65EC9">
        <w:t>2026, 2)</w:t>
      </w:r>
    </w:p>
  </w:footnote>
  <w:footnote w:id="92">
    <w:p w14:paraId="518D1DCD" w14:textId="42CAE0FF" w:rsidR="001B7662" w:rsidRPr="00F65EC9" w:rsidRDefault="00A208A5">
      <w:pPr>
        <w:pStyle w:val="FootnoteText"/>
      </w:pPr>
      <w:r w:rsidRPr="005E2159">
        <w:rPr>
          <w:rStyle w:val="FootnoteReference"/>
          <w:sz w:val="18"/>
        </w:rPr>
        <w:footnoteRef/>
      </w:r>
      <w:r w:rsidRPr="00F65EC9">
        <w:t xml:space="preserve"> JSA (2025a).</w:t>
      </w:r>
    </w:p>
  </w:footnote>
  <w:footnote w:id="93">
    <w:p w14:paraId="518D1DCE" w14:textId="77777777" w:rsidR="001B7662" w:rsidRPr="00F65EC9" w:rsidRDefault="00A208A5">
      <w:pPr>
        <w:pStyle w:val="FootnoteText"/>
      </w:pPr>
      <w:r w:rsidRPr="005E2159">
        <w:rPr>
          <w:rStyle w:val="FootnoteReference"/>
          <w:sz w:val="18"/>
        </w:rPr>
        <w:footnoteRef/>
      </w:r>
      <w:r w:rsidRPr="00F65EC9">
        <w:t xml:space="preserve"> Gmyrek et al. (2023), which builds on the methodology of Eloundou et al. (2023).</w:t>
      </w:r>
    </w:p>
  </w:footnote>
  <w:footnote w:id="94">
    <w:p w14:paraId="518D1DCF" w14:textId="77777777" w:rsidR="001B7662" w:rsidRPr="00F65EC9" w:rsidRDefault="00A208A5">
      <w:pPr>
        <w:pStyle w:val="FootnoteText"/>
      </w:pPr>
      <w:r w:rsidRPr="005E2159">
        <w:rPr>
          <w:rStyle w:val="FootnoteReference"/>
          <w:sz w:val="18"/>
        </w:rPr>
        <w:footnoteRef/>
      </w:r>
      <w:r w:rsidRPr="00F65EC9">
        <w:t xml:space="preserve"> Merola et al. (2026) and Rio-Chanona et al. (2025) each provide overviews of the strengths and limitations of the different frameworks for measuring AI automation exposure.</w:t>
      </w:r>
    </w:p>
  </w:footnote>
  <w:footnote w:id="95">
    <w:p w14:paraId="518D1DD0" w14:textId="77777777" w:rsidR="001B7662" w:rsidRPr="00F65EC9" w:rsidRDefault="00A208A5">
      <w:pPr>
        <w:pStyle w:val="FootnoteText"/>
      </w:pPr>
      <w:r w:rsidRPr="005E2159">
        <w:rPr>
          <w:rStyle w:val="FootnoteReference"/>
          <w:sz w:val="18"/>
        </w:rPr>
        <w:footnoteRef/>
      </w:r>
      <w:r w:rsidRPr="00F65EC9">
        <w:t xml:space="preserve"> This is only a problem for our results if model capabilities have developed disproportionately in certain areas that would affect the </w:t>
      </w:r>
      <w:r w:rsidRPr="00F65EC9">
        <w:rPr>
          <w:i/>
          <w:iCs/>
        </w:rPr>
        <w:t>relative</w:t>
      </w:r>
      <w:r w:rsidRPr="00F65EC9">
        <w:t xml:space="preserve"> ranking of occupations’ exposure as opposed to their </w:t>
      </w:r>
      <w:r w:rsidRPr="00F65EC9">
        <w:rPr>
          <w:i/>
          <w:iCs/>
        </w:rPr>
        <w:t>absolute</w:t>
      </w:r>
      <w:r w:rsidRPr="00F65EC9">
        <w:t xml:space="preserve"> exposure.</w:t>
      </w:r>
    </w:p>
  </w:footnote>
  <w:footnote w:id="96">
    <w:p w14:paraId="518D1DD1" w14:textId="66BEEC22" w:rsidR="001B7662" w:rsidRPr="00F65EC9" w:rsidRDefault="00A208A5">
      <w:pPr>
        <w:pStyle w:val="FootnoteText"/>
      </w:pPr>
      <w:r w:rsidRPr="005E2159">
        <w:rPr>
          <w:rStyle w:val="FootnoteReference"/>
          <w:sz w:val="18"/>
        </w:rPr>
        <w:footnoteRef/>
      </w:r>
      <w:r w:rsidRPr="00F65EC9">
        <w:t xml:space="preserve"> For further comparisons of (US-based) exposure scores, see Gimbel et al. (2026). JSA </w:t>
      </w:r>
      <w:r w:rsidR="00AD7C91" w:rsidRPr="00F65EC9">
        <w:t>(</w:t>
      </w:r>
      <w:r w:rsidRPr="00F65EC9">
        <w:t>2025a, 33–34) also contains some discussion of other methods.</w:t>
      </w:r>
    </w:p>
  </w:footnote>
  <w:footnote w:id="97">
    <w:p w14:paraId="518D1DD2" w14:textId="77777777" w:rsidR="001B7662" w:rsidRPr="00F65EC9" w:rsidRDefault="00A208A5">
      <w:pPr>
        <w:pStyle w:val="FootnoteText"/>
      </w:pPr>
      <w:r w:rsidRPr="005E2159">
        <w:rPr>
          <w:rStyle w:val="FootnoteReference"/>
          <w:sz w:val="18"/>
        </w:rPr>
        <w:footnoteRef/>
      </w:r>
      <w:r w:rsidRPr="00F65EC9">
        <w:t xml:space="preserve"> This standardisation only partially addresses differences in the distribution of scores. The pre-standardised Anthropic observed exposure scores assign a minimum score of zero to more than half of all occupation codes, so its standardised scores are still not normally distributed.</w:t>
      </w:r>
    </w:p>
  </w:footnote>
  <w:footnote w:id="98">
    <w:p w14:paraId="518D1DD3" w14:textId="4575BBAD" w:rsidR="001B7662" w:rsidRPr="00F65EC9" w:rsidRDefault="00A208A5">
      <w:pPr>
        <w:pStyle w:val="FootnoteText"/>
      </w:pPr>
      <w:r w:rsidRPr="005E2159">
        <w:rPr>
          <w:rStyle w:val="FootnoteReference"/>
          <w:sz w:val="18"/>
        </w:rPr>
        <w:footnoteRef/>
      </w:r>
      <w:r w:rsidRPr="00F65EC9">
        <w:t xml:space="preserve"> ABS (2026a).</w:t>
      </w:r>
    </w:p>
  </w:footnote>
  <w:footnote w:id="99">
    <w:p w14:paraId="518D1DD4" w14:textId="77777777" w:rsidR="001B7662" w:rsidRPr="00F65EC9" w:rsidRDefault="00A208A5">
      <w:pPr>
        <w:pStyle w:val="FootnoteText"/>
      </w:pPr>
      <w:r w:rsidRPr="005E2159">
        <w:rPr>
          <w:rStyle w:val="FootnoteReference"/>
          <w:sz w:val="18"/>
        </w:rPr>
        <w:footnoteRef/>
      </w:r>
      <w:r w:rsidRPr="00F65EC9">
        <w:t xml:space="preserve"> February 2026 was the final issue of this publication, as the outputs from the Labour Force Survey are being revised. Employment-by-occupation data will resume publication in late 2026, using the new Occupation Standard Classification for Australia (ABS 2024) rather than ANZSCO.</w:t>
      </w:r>
    </w:p>
  </w:footnote>
  <w:footnote w:id="100">
    <w:p w14:paraId="518D1DD5" w14:textId="77777777" w:rsidR="001B7662" w:rsidRPr="00F65EC9" w:rsidRDefault="00A208A5">
      <w:pPr>
        <w:pStyle w:val="FootnoteText"/>
      </w:pPr>
      <w:r w:rsidRPr="005E2159">
        <w:rPr>
          <w:rStyle w:val="FootnoteReference"/>
          <w:sz w:val="18"/>
        </w:rPr>
        <w:footnoteRef/>
      </w:r>
      <w:r w:rsidRPr="00F65EC9">
        <w:t xml:space="preserve"> The data is collected in the quarters ending in February, May, August and November. JSA (2026a) produces smoothed (‘trended’) estimates of this data. We use the original, unsmoothed data.</w:t>
      </w:r>
    </w:p>
  </w:footnote>
  <w:footnote w:id="101">
    <w:p w14:paraId="518D1DD6" w14:textId="77777777" w:rsidR="001B7662" w:rsidRPr="00F65EC9" w:rsidRDefault="00A208A5">
      <w:pPr>
        <w:pStyle w:val="FootnoteText"/>
      </w:pPr>
      <w:r w:rsidRPr="005E2159">
        <w:rPr>
          <w:rStyle w:val="FootnoteReference"/>
          <w:sz w:val="18"/>
        </w:rPr>
        <w:footnoteRef/>
      </w:r>
      <w:r w:rsidRPr="00F65EC9">
        <w:t xml:space="preserve"> We test alternative ‘pre-treatment’ windows as part of our robustness tests.</w:t>
      </w:r>
    </w:p>
  </w:footnote>
  <w:footnote w:id="102">
    <w:p w14:paraId="518D1DD7" w14:textId="77777777" w:rsidR="001B7662" w:rsidRPr="00F65EC9" w:rsidRDefault="00A208A5">
      <w:pPr>
        <w:pStyle w:val="FootnoteText"/>
      </w:pPr>
      <w:r w:rsidRPr="005E2159">
        <w:rPr>
          <w:rStyle w:val="FootnoteReference"/>
          <w:sz w:val="18"/>
        </w:rPr>
        <w:footnoteRef/>
      </w:r>
      <w:r w:rsidRPr="00F65EC9">
        <w:t xml:space="preserve"> Using November 2022 as a date of treatment, based on the timing of the public release of ChatGPT, has been used in other studies on the labour market impacts of AI. Examples include Brynjolfsson et al. (2025), Klein Teeselink (2025) and Gimbel et al. (2025).</w:t>
      </w:r>
    </w:p>
  </w:footnote>
  <w:footnote w:id="103">
    <w:p w14:paraId="518D1DD8" w14:textId="6A52EC2F" w:rsidR="001B7662" w:rsidRPr="00F65EC9" w:rsidRDefault="00A208A5">
      <w:pPr>
        <w:pStyle w:val="FootnoteText"/>
      </w:pPr>
      <w:r w:rsidRPr="005E2159">
        <w:rPr>
          <w:rStyle w:val="FootnoteReference"/>
          <w:sz w:val="18"/>
        </w:rPr>
        <w:footnoteRef/>
      </w:r>
      <w:r w:rsidRPr="00F65EC9">
        <w:t xml:space="preserve"> ABS (2022a)</w:t>
      </w:r>
      <w:r w:rsidR="0063720F" w:rsidRPr="00F65EC9">
        <w:t>.</w:t>
      </w:r>
    </w:p>
  </w:footnote>
  <w:footnote w:id="104">
    <w:p w14:paraId="518D1DD9" w14:textId="50ADC831" w:rsidR="001B7662" w:rsidRPr="00F65EC9" w:rsidRDefault="00A208A5">
      <w:pPr>
        <w:pStyle w:val="FootnoteText"/>
      </w:pPr>
      <w:r w:rsidRPr="005E2159">
        <w:rPr>
          <w:rStyle w:val="FootnoteReference"/>
          <w:sz w:val="18"/>
        </w:rPr>
        <w:footnoteRef/>
      </w:r>
      <w:r w:rsidRPr="00F65EC9">
        <w:t xml:space="preserve"> This is the </w:t>
      </w:r>
      <w:r w:rsidRPr="00F65EC9">
        <w:rPr>
          <w:b/>
          <w:bCs/>
        </w:rPr>
        <w:t>parallel trends conditional on exposure</w:t>
      </w:r>
      <w:r w:rsidRPr="00F65EC9">
        <w:t xml:space="preserve"> assumption. This directly relates to our </w:t>
      </w:r>
      <w:r w:rsidRPr="00F65EC9">
        <w:rPr>
          <w:b/>
          <w:bCs/>
        </w:rPr>
        <w:t>core question</w:t>
      </w:r>
      <w:r w:rsidRPr="00F65EC9">
        <w:t xml:space="preserve"> from the </w:t>
      </w:r>
      <w:hyperlink w:anchor="introduction">
        <w:r w:rsidRPr="005E2159">
          <w:rPr>
            <w:rStyle w:val="Hyperlink"/>
            <w:sz w:val="18"/>
          </w:rPr>
          <w:t>Setting the scene</w:t>
        </w:r>
      </w:hyperlink>
      <w:r w:rsidRPr="00F65EC9">
        <w:t xml:space="preserve"> chapter</w:t>
      </w:r>
      <w:r w:rsidR="00F65EC9" w:rsidRPr="00F65EC9">
        <w:t>.</w:t>
      </w:r>
    </w:p>
  </w:footnote>
  <w:footnote w:id="105">
    <w:p w14:paraId="518D1DDA" w14:textId="35E5F2AB" w:rsidR="001B7662" w:rsidRPr="00F65EC9" w:rsidRDefault="00A208A5">
      <w:pPr>
        <w:pStyle w:val="FootnoteText"/>
      </w:pPr>
      <w:r w:rsidRPr="005E2159">
        <w:rPr>
          <w:rStyle w:val="FootnoteReference"/>
          <w:sz w:val="18"/>
        </w:rPr>
        <w:footnoteRef/>
      </w:r>
      <w:r w:rsidRPr="00F65EC9">
        <w:t xml:space="preserve"> Callaway et al. (2024).</w:t>
      </w:r>
    </w:p>
  </w:footnote>
  <w:footnote w:id="106">
    <w:p w14:paraId="518D1DDB" w14:textId="4E34AA1F" w:rsidR="001B7662" w:rsidRPr="00F65EC9" w:rsidRDefault="00A208A5">
      <w:pPr>
        <w:pStyle w:val="FootnoteText"/>
      </w:pPr>
      <w:r w:rsidRPr="005E2159">
        <w:rPr>
          <w:rStyle w:val="FootnoteReference"/>
          <w:sz w:val="18"/>
        </w:rPr>
        <w:footnoteRef/>
      </w:r>
      <w:r w:rsidRPr="00F65EC9">
        <w:t xml:space="preserve"> For example, Klein Teeselink </w:t>
      </w:r>
      <w:r w:rsidR="00E1308F" w:rsidRPr="00F65EC9">
        <w:t>(</w:t>
      </w:r>
      <w:r w:rsidRPr="00F65EC9">
        <w:t>2025</w:t>
      </w:r>
      <w:r w:rsidR="00E1308F" w:rsidRPr="00F65EC9">
        <w:t xml:space="preserve">) </w:t>
      </w:r>
      <w:r w:rsidR="003E438D" w:rsidRPr="00F65EC9">
        <w:t>and</w:t>
      </w:r>
      <w:r w:rsidRPr="00F65EC9">
        <w:t xml:space="preserve"> Johnston and Makridis </w:t>
      </w:r>
      <w:r w:rsidR="003E438D" w:rsidRPr="00F65EC9">
        <w:t>(</w:t>
      </w:r>
      <w:r w:rsidRPr="00F65EC9">
        <w:t>2026)</w:t>
      </w:r>
      <w:r w:rsidR="003E438D" w:rsidRPr="00F65EC9">
        <w:t>.</w:t>
      </w:r>
    </w:p>
  </w:footnote>
  <w:footnote w:id="107">
    <w:p w14:paraId="518D1DDC" w14:textId="556F3F87" w:rsidR="001B7662" w:rsidRPr="00F65EC9" w:rsidRDefault="00A208A5">
      <w:pPr>
        <w:pStyle w:val="FootnoteText"/>
      </w:pPr>
      <w:r w:rsidRPr="005E2159">
        <w:rPr>
          <w:rStyle w:val="FootnoteReference"/>
          <w:sz w:val="18"/>
        </w:rPr>
        <w:footnoteRef/>
      </w:r>
      <w:r w:rsidRPr="00F65EC9">
        <w:t xml:space="preserve"> We use the ‘fixest’ R package implementation of the fixed effects Poisson estimator to perform the estimation. See Bergé et al. </w:t>
      </w:r>
      <w:r w:rsidR="00BC7F3B" w:rsidRPr="00F65EC9">
        <w:t>(</w:t>
      </w:r>
      <w:r w:rsidRPr="00F65EC9">
        <w:t>2026).</w:t>
      </w:r>
    </w:p>
  </w:footnote>
  <w:footnote w:id="108">
    <w:p w14:paraId="518D1DDD" w14:textId="77777777" w:rsidR="001B7662" w:rsidRPr="00F65EC9" w:rsidRDefault="00A208A5">
      <w:pPr>
        <w:pStyle w:val="FootnoteText"/>
      </w:pPr>
      <w:r w:rsidRPr="005E2159">
        <w:rPr>
          <w:rStyle w:val="FootnoteReference"/>
          <w:sz w:val="18"/>
        </w:rPr>
        <w:footnoteRef/>
      </w:r>
      <w:r w:rsidRPr="00F65EC9">
        <w:t xml:space="preserve"> Heteroscedasticity refers to the fitted values of a model having residuals (difference from actual value) having non-uniform variance (spread). OLS models specifically require no heteroscedasticity for efficient and unbiased estimation, whereas </w:t>
      </w:r>
      <w:proofErr w:type="gramStart"/>
      <w:r w:rsidRPr="00F65EC9">
        <w:t>a number of</w:t>
      </w:r>
      <w:proofErr w:type="gramEnd"/>
      <w:r w:rsidRPr="00F65EC9">
        <w:t xml:space="preserve"> generalised linear models modify this assumption.</w:t>
      </w:r>
    </w:p>
  </w:footnote>
  <w:footnote w:id="109">
    <w:p w14:paraId="518D1DDE" w14:textId="77777777" w:rsidR="001B7662" w:rsidRPr="00F65EC9" w:rsidRDefault="00A208A5">
      <w:pPr>
        <w:pStyle w:val="FootnoteText"/>
      </w:pPr>
      <w:r w:rsidRPr="005E2159">
        <w:rPr>
          <w:rStyle w:val="FootnoteReference"/>
          <w:sz w:val="18"/>
        </w:rPr>
        <w:footnoteRef/>
      </w:r>
      <w:r w:rsidRPr="00F65EC9">
        <w:t xml:space="preserve"> See Chen and Roth (2024) for more discussion of the ‘logs with zeros’ issue.</w:t>
      </w:r>
    </w:p>
  </w:footnote>
  <w:footnote w:id="110">
    <w:p w14:paraId="518D1DDF" w14:textId="77777777" w:rsidR="001B7662" w:rsidRPr="00F65EC9" w:rsidRDefault="00A208A5">
      <w:pPr>
        <w:pStyle w:val="FootnoteText"/>
      </w:pPr>
      <w:r w:rsidRPr="005E2159">
        <w:rPr>
          <w:rStyle w:val="FootnoteReference"/>
          <w:sz w:val="18"/>
        </w:rPr>
        <w:footnoteRef/>
      </w:r>
      <w:r w:rsidRPr="00F65EC9">
        <w:t xml:space="preserve"> A true log transformation is not possible as </w:t>
      </w:r>
      <m:oMath>
        <m:r>
          <m:rPr>
            <m:sty m:val="p"/>
          </m:rPr>
          <w:rPr>
            <w:rFonts w:ascii="Cambria Math" w:hAnsi="Cambria Math"/>
          </w:rPr>
          <m:t>log</m:t>
        </m:r>
        <m:d>
          <m:dPr>
            <m:ctrlPr>
              <w:rPr>
                <w:rFonts w:ascii="Cambria Math" w:hAnsi="Cambria Math"/>
              </w:rPr>
            </m:ctrlPr>
          </m:dPr>
          <m:e>
            <m:r>
              <w:rPr>
                <w:rFonts w:ascii="Cambria Math" w:hAnsi="Cambria Math"/>
              </w:rPr>
              <m:t>0</m:t>
            </m:r>
          </m:e>
        </m:d>
      </m:oMath>
      <w:r w:rsidRPr="00F65EC9">
        <w:t xml:space="preserve"> is undefined and our data includes quarters with zero employment for some occupations. </w:t>
      </w:r>
      <m:oMath>
        <m:r>
          <m:rPr>
            <m:sty m:val="p"/>
          </m:rPr>
          <w:rPr>
            <w:rFonts w:ascii="Cambria Math" w:hAnsi="Cambria Math"/>
          </w:rPr>
          <m:t>log</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y</m:t>
            </m:r>
          </m:e>
        </m:d>
      </m:oMath>
      <w:r w:rsidRPr="00F65EC9">
        <w:t xml:space="preserve"> is defined for </w:t>
      </w:r>
      <m:oMath>
        <m:r>
          <w:rPr>
            <w:rFonts w:ascii="Cambria Math" w:hAnsi="Cambria Math"/>
          </w:rPr>
          <m:t>y</m:t>
        </m:r>
        <m:r>
          <m:rPr>
            <m:sty m:val="p"/>
          </m:rPr>
          <w:rPr>
            <w:rFonts w:ascii="Cambria Math" w:hAnsi="Cambria Math"/>
          </w:rPr>
          <m:t>=</m:t>
        </m:r>
        <m:r>
          <w:rPr>
            <w:rFonts w:ascii="Cambria Math" w:hAnsi="Cambria Math"/>
          </w:rPr>
          <m:t>0</m:t>
        </m:r>
      </m:oMath>
      <w:r w:rsidRPr="00F65EC9">
        <w:t xml:space="preserve"> and is a good approximation of </w:t>
      </w:r>
      <m:oMath>
        <m:r>
          <m:rPr>
            <m:sty m:val="p"/>
          </m:rPr>
          <w:rPr>
            <w:rFonts w:ascii="Cambria Math" w:hAnsi="Cambria Math"/>
          </w:rPr>
          <m:t>log</m:t>
        </m:r>
        <m:d>
          <m:dPr>
            <m:ctrlPr>
              <w:rPr>
                <w:rFonts w:ascii="Cambria Math" w:hAnsi="Cambria Math"/>
              </w:rPr>
            </m:ctrlPr>
          </m:dPr>
          <m:e>
            <m:r>
              <w:rPr>
                <w:rFonts w:ascii="Cambria Math" w:hAnsi="Cambria Math"/>
              </w:rPr>
              <m:t>y</m:t>
            </m:r>
          </m:e>
        </m:d>
      </m:oMath>
      <w:r w:rsidRPr="00F65EC9">
        <w:t xml:space="preserve"> for large </w:t>
      </w:r>
      <m:oMath>
        <m:r>
          <w:rPr>
            <w:rFonts w:ascii="Cambria Math" w:hAnsi="Cambria Math"/>
          </w:rPr>
          <m:t>y</m:t>
        </m:r>
      </m:oMath>
      <w:r w:rsidRPr="00F65EC9">
        <w:t>.</w:t>
      </w:r>
    </w:p>
  </w:footnote>
  <w:footnote w:id="111">
    <w:p w14:paraId="518D1DE0" w14:textId="77777777" w:rsidR="001B7662" w:rsidRPr="00F65EC9" w:rsidRDefault="00A208A5">
      <w:pPr>
        <w:pStyle w:val="FootnoteText"/>
      </w:pPr>
      <w:r w:rsidRPr="005E2159">
        <w:rPr>
          <w:rStyle w:val="FootnoteReference"/>
          <w:sz w:val="18"/>
        </w:rPr>
        <w:footnoteRef/>
      </w:r>
      <w:r w:rsidRPr="00F65EC9">
        <w:t xml:space="preserve"> The variation in size of occupations does enter the core equation through occupation fixed effects and as the outcome, but not in a way to increase the influence of larger occupations in determining the </w:t>
      </w:r>
      <m:oMath>
        <m:r>
          <w:rPr>
            <w:rFonts w:ascii="Cambria Math" w:hAnsi="Cambria Math"/>
          </w:rPr>
          <m:t>β</m:t>
        </m:r>
      </m:oMath>
      <w:r w:rsidRPr="00F65EC9">
        <w:t xml:space="preserve"> coefficients.</w:t>
      </w:r>
    </w:p>
  </w:footnote>
  <w:footnote w:id="112">
    <w:p w14:paraId="518D1DE1" w14:textId="77777777" w:rsidR="001B7662" w:rsidRPr="00F65EC9" w:rsidRDefault="00A208A5">
      <w:pPr>
        <w:pStyle w:val="FootnoteText"/>
      </w:pPr>
      <w:r w:rsidRPr="005E2159">
        <w:rPr>
          <w:rStyle w:val="FootnoteReference"/>
          <w:sz w:val="18"/>
        </w:rPr>
        <w:footnoteRef/>
      </w:r>
      <w:r w:rsidRPr="00F65EC9">
        <w:t xml:space="preserve"> p=0.019.</w:t>
      </w:r>
    </w:p>
  </w:footnote>
  <w:footnote w:id="113">
    <w:p w14:paraId="518D1DE2" w14:textId="77777777" w:rsidR="001B7662" w:rsidRPr="00F65EC9" w:rsidRDefault="00A208A5">
      <w:pPr>
        <w:pStyle w:val="FootnoteText"/>
      </w:pPr>
      <w:r w:rsidRPr="005E2159">
        <w:rPr>
          <w:rStyle w:val="FootnoteReference"/>
          <w:sz w:val="18"/>
        </w:rPr>
        <w:footnoteRef/>
      </w:r>
      <w:r w:rsidRPr="00F65EC9">
        <w:t xml:space="preserve"> p=0.057.</w:t>
      </w:r>
    </w:p>
  </w:footnote>
  <w:footnote w:id="114">
    <w:p w14:paraId="518D1DE3" w14:textId="77777777" w:rsidR="001B7662" w:rsidRPr="00F65EC9" w:rsidRDefault="00A208A5">
      <w:pPr>
        <w:pStyle w:val="FootnoteText"/>
      </w:pPr>
      <w:r w:rsidRPr="005E2159">
        <w:rPr>
          <w:rStyle w:val="FootnoteReference"/>
          <w:sz w:val="18"/>
        </w:rPr>
        <w:footnoteRef/>
      </w:r>
      <w:r w:rsidRPr="00F65EC9">
        <w:t xml:space="preserve"> p=0.026.</w:t>
      </w:r>
    </w:p>
  </w:footnote>
  <w:footnote w:id="115">
    <w:p w14:paraId="518D1DE4" w14:textId="27E4F6D6" w:rsidR="001B7662" w:rsidRPr="00F65EC9" w:rsidRDefault="00A208A5">
      <w:pPr>
        <w:pStyle w:val="FootnoteText"/>
      </w:pPr>
      <w:r w:rsidRPr="005E2159">
        <w:rPr>
          <w:rStyle w:val="FootnoteReference"/>
          <w:sz w:val="18"/>
        </w:rPr>
        <w:footnoteRef/>
      </w:r>
      <w:r w:rsidRPr="00F65EC9">
        <w:t xml:space="preserve"> There are only 10 quarters of data after February 2020 and before November 2022, meaning that it is not feasible to use a pre-treatment period which starts after the COVID-19 period while still retaining sufficient data for reliable estimation. We include a sensitivity test which truncates the end of the pre-treatment period </w:t>
      </w:r>
      <w:proofErr w:type="gramStart"/>
      <w:r w:rsidRPr="00F65EC9">
        <w:t>at</w:t>
      </w:r>
      <w:proofErr w:type="gramEnd"/>
      <w:r w:rsidRPr="00F65EC9">
        <w:t xml:space="preserve"> February 2020, and it produces estimates </w:t>
      </w:r>
      <w:proofErr w:type="gramStart"/>
      <w:r w:rsidRPr="00F65EC9">
        <w:t>similar to</w:t>
      </w:r>
      <w:proofErr w:type="gramEnd"/>
      <w:r w:rsidRPr="00F65EC9">
        <w:t xml:space="preserve"> the core model but with lower statistical significance and magnitude </w:t>
      </w:r>
      <w:r w:rsidR="00AF1CC3" w:rsidRPr="00F65EC9">
        <w:t xml:space="preserve">of </w:t>
      </w:r>
      <w:r w:rsidRPr="00F65EC9">
        <w:t xml:space="preserve">the </w:t>
      </w:r>
      <m:oMath>
        <m:r>
          <w:rPr>
            <w:rFonts w:ascii="Cambria Math" w:hAnsi="Cambria Math"/>
          </w:rPr>
          <m:t>Δβ</m:t>
        </m:r>
      </m:oMath>
      <w:r w:rsidRPr="00F65EC9">
        <w:t xml:space="preserve"> term. The estimate is larger and more precisely estimated when the COVID-19 period is included.</w:t>
      </w:r>
    </w:p>
  </w:footnote>
  <w:footnote w:id="116">
    <w:p w14:paraId="518D1DE5" w14:textId="77777777" w:rsidR="001B7662" w:rsidRPr="00F65EC9" w:rsidRDefault="00A208A5">
      <w:pPr>
        <w:pStyle w:val="FootnoteText"/>
      </w:pPr>
      <w:r w:rsidRPr="005E2159">
        <w:rPr>
          <w:rStyle w:val="FootnoteReference"/>
          <w:sz w:val="18"/>
        </w:rPr>
        <w:footnoteRef/>
      </w:r>
      <w:r w:rsidRPr="00F65EC9">
        <w:t xml:space="preserve"> While the unemployment rate may seem to be a crude proxy of the business cycle, the estimation procedure is only sensitive to movements in the unemployment rate. Assuming any constant non-accelerating inflation rate of unemployment (NAIRU) and measuring the unemployment rate relative to the NAIRU would produce identical estimates of </w:t>
      </w:r>
      <m:oMath>
        <m:sSubSup>
          <m:sSubSupPr>
            <m:ctrlPr>
              <w:rPr>
                <w:rFonts w:ascii="Cambria Math" w:hAnsi="Cambria Math"/>
              </w:rPr>
            </m:ctrlPr>
          </m:sSubSupPr>
          <m:e>
            <m:r>
              <w:rPr>
                <w:rFonts w:ascii="Cambria Math" w:hAnsi="Cambria Math"/>
              </w:rPr>
              <m:t>β</m:t>
            </m:r>
          </m:e>
          <m:sub>
            <m:r>
              <w:rPr>
                <w:rFonts w:ascii="Cambria Math" w:hAnsi="Cambria Math"/>
              </w:rPr>
              <m:t>i</m:t>
            </m:r>
          </m:sub>
          <m:sup>
            <m:r>
              <w:rPr>
                <w:rFonts w:ascii="Cambria Math" w:hAnsi="Cambria Math"/>
              </w:rPr>
              <m:t>U</m:t>
            </m:r>
          </m:sup>
        </m:sSubSup>
      </m:oMath>
      <w:r w:rsidRPr="00F65EC9">
        <w:t>.</w:t>
      </w:r>
    </w:p>
  </w:footnote>
  <w:footnote w:id="117">
    <w:p w14:paraId="518D1DE6" w14:textId="77777777" w:rsidR="001B7662" w:rsidRPr="00F65EC9" w:rsidRDefault="00A208A5">
      <w:pPr>
        <w:pStyle w:val="FootnoteText"/>
      </w:pPr>
      <w:r w:rsidRPr="005E2159">
        <w:rPr>
          <w:rStyle w:val="FootnoteReference"/>
          <w:sz w:val="18"/>
        </w:rPr>
        <w:footnoteRef/>
      </w:r>
      <w:r w:rsidRPr="00F65EC9">
        <w:t xml:space="preserve"> p=0.017.</w:t>
      </w:r>
    </w:p>
  </w:footnote>
  <w:footnote w:id="118">
    <w:p w14:paraId="518D1DE7" w14:textId="77777777" w:rsidR="001B7662" w:rsidRPr="00F65EC9" w:rsidRDefault="00A208A5">
      <w:pPr>
        <w:pStyle w:val="FootnoteText"/>
      </w:pPr>
      <w:r w:rsidRPr="005E2159">
        <w:rPr>
          <w:rStyle w:val="FootnoteReference"/>
          <w:sz w:val="18"/>
        </w:rPr>
        <w:footnoteRef/>
      </w:r>
      <w:r w:rsidRPr="00F65EC9">
        <w:t xml:space="preserve"> p=0.043.</w:t>
      </w:r>
    </w:p>
  </w:footnote>
  <w:footnote w:id="119">
    <w:p w14:paraId="518D1DE8" w14:textId="6D55BF24" w:rsidR="001B7662" w:rsidRPr="00F65EC9" w:rsidRDefault="00A208A5">
      <w:pPr>
        <w:pStyle w:val="FootnoteText"/>
      </w:pPr>
      <w:r w:rsidRPr="005E2159">
        <w:rPr>
          <w:rStyle w:val="FootnoteReference"/>
          <w:sz w:val="18"/>
        </w:rPr>
        <w:footnoteRef/>
      </w:r>
      <w:r w:rsidRPr="00F65EC9">
        <w:t xml:space="preserve"> </w:t>
      </w:r>
      <w:r w:rsidR="00D32FB4" w:rsidRPr="00F65EC9">
        <w:t xml:space="preserve">See </w:t>
      </w:r>
      <w:r w:rsidRPr="00F65EC9">
        <w:t>Duncan and Duncan (1955)</w:t>
      </w:r>
      <w:r w:rsidR="00D32FB4" w:rsidRPr="00F65EC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1D6D" w14:textId="77777777" w:rsidR="00A208A5" w:rsidRDefault="00A208A5" w:rsidP="00016D56">
    <w:pPr>
      <w:pStyle w:val="Header"/>
    </w:pPr>
    <w:r>
      <w:rPr>
        <w:noProof/>
      </w:rPr>
      <mc:AlternateContent>
        <mc:Choice Requires="wps">
          <w:drawing>
            <wp:anchor distT="0" distB="0" distL="114300" distR="114300" simplePos="0" relativeHeight="251658241" behindDoc="0" locked="0" layoutInCell="1" allowOverlap="1" wp14:anchorId="518D1D70" wp14:editId="518D1D71">
              <wp:simplePos x="0" y="0"/>
              <wp:positionH relativeFrom="column">
                <wp:posOffset>-452120</wp:posOffset>
              </wp:positionH>
              <wp:positionV relativeFrom="paragraph">
                <wp:posOffset>-2778760</wp:posOffset>
              </wp:positionV>
              <wp:extent cx="5895975" cy="190500"/>
              <wp:effectExtent l="0" t="0" r="9525" b="0"/>
              <wp:wrapNone/>
              <wp:docPr id="1955439636" name="Rectangle 1"/>
              <wp:cNvGraphicFramePr/>
              <a:graphic xmlns:a="http://schemas.openxmlformats.org/drawingml/2006/main">
                <a:graphicData uri="http://schemas.microsoft.com/office/word/2010/wordprocessingShape">
                  <wps:wsp>
                    <wps:cNvSpPr/>
                    <wps:spPr>
                      <a:xfrm>
                        <a:off x="0" y="0"/>
                        <a:ext cx="5895975" cy="190500"/>
                      </a:xfrm>
                      <a:prstGeom prst="rect">
                        <a:avLst/>
                      </a:prstGeom>
                      <a:solidFill>
                        <a:srgbClr val="40424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90D0B2E">
            <v:rect id="Rectangle 1" style="position:absolute;margin-left:-35.6pt;margin-top:-218.8pt;width:464.25pt;height: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04246" stroked="f" w14:anchorId="55D5EB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CE2C206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11157457"/>
    <w:multiLevelType w:val="multilevel"/>
    <w:tmpl w:val="548AA350"/>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5B42E34"/>
    <w:multiLevelType w:val="multilevel"/>
    <w:tmpl w:val="040C001D"/>
    <w:styleLink w:val="Defaultul"/>
    <w:lvl w:ilvl="0">
      <w:start w:val="1"/>
      <w:numFmt w:val="bullet"/>
      <w:lvlText w:val="•"/>
      <w:lvlJc w:val="left"/>
      <w:pPr>
        <w:ind w:left="360" w:hanging="360"/>
      </w:pPr>
      <w:rPr>
        <w:rFonts w:ascii="Times New Roman" w:hAnsi="Times New Roman" w:cs="Times New Roman" w:hint="default"/>
        <w:color w:val="943634" w:themeColor="accent2" w:themeShade="BF"/>
        <w:sz w:val="40"/>
      </w:rPr>
    </w:lvl>
    <w:lvl w:ilvl="1">
      <w:start w:val="1"/>
      <w:numFmt w:val="bullet"/>
      <w:lvlText w:val=""/>
      <w:lvlJc w:val="left"/>
      <w:pPr>
        <w:ind w:left="720" w:hanging="360"/>
      </w:pPr>
      <w:rPr>
        <w:rFonts w:ascii="Symbol" w:hAnsi="Symbol" w:cs="Times New Roman" w:hint="default"/>
        <w:color w:val="FF0000"/>
        <w:sz w:val="24"/>
      </w:rPr>
    </w:lvl>
    <w:lvl w:ilvl="2">
      <w:start w:val="1"/>
      <w:numFmt w:val="bullet"/>
      <w:lvlText w:val=""/>
      <w:lvlJc w:val="left"/>
      <w:pPr>
        <w:ind w:left="1080" w:hanging="360"/>
      </w:pPr>
      <w:rPr>
        <w:rFonts w:ascii="Symbol" w:hAnsi="Symbol" w:cs="Times New Roman" w:hint="default"/>
        <w:color w:val="92CDDC" w:themeColor="accent5" w:themeTint="99"/>
        <w:sz w:val="24"/>
      </w:rPr>
    </w:lvl>
    <w:lvl w:ilvl="3">
      <w:start w:val="1"/>
      <w:numFmt w:val="bullet"/>
      <w:lvlText w:val="à"/>
      <w:lvlJc w:val="left"/>
      <w:pPr>
        <w:ind w:left="1440" w:hanging="360"/>
      </w:pPr>
      <w:rPr>
        <w:rFonts w:ascii="Wingdings" w:hAnsi="Wingdings" w:cs="Times New Roman" w:hint="default"/>
        <w:color w:val="000000" w:themeColor="text1"/>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EA53E4C"/>
    <w:multiLevelType w:val="multilevel"/>
    <w:tmpl w:val="02500956"/>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24A70B7"/>
    <w:multiLevelType w:val="multilevel"/>
    <w:tmpl w:val="4B88F872"/>
    <w:styleLink w:val="Defaultol"/>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A96A34"/>
    <w:multiLevelType w:val="multilevel"/>
    <w:tmpl w:val="DE9A482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8191783"/>
    <w:multiLevelType w:val="multilevel"/>
    <w:tmpl w:val="4B88F8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num w:numId="1" w16cid:durableId="1539315709">
    <w:abstractNumId w:val="6"/>
  </w:num>
  <w:num w:numId="2" w16cid:durableId="1375154319">
    <w:abstractNumId w:val="2"/>
  </w:num>
  <w:num w:numId="3" w16cid:durableId="489449184">
    <w:abstractNumId w:val="4"/>
  </w:num>
  <w:num w:numId="4" w16cid:durableId="1618096227">
    <w:abstractNumId w:val="1"/>
  </w:num>
  <w:num w:numId="5" w16cid:durableId="1593397953">
    <w:abstractNumId w:val="3"/>
  </w:num>
  <w:num w:numId="6" w16cid:durableId="1732926391">
    <w:abstractNumId w:val="5"/>
  </w:num>
  <w:num w:numId="7" w16cid:durableId="450973072">
    <w:abstractNumId w:val="0"/>
  </w:num>
  <w:num w:numId="8" w16cid:durableId="1397704636">
    <w:abstractNumId w:val="0"/>
  </w:num>
  <w:num w:numId="9" w16cid:durableId="459343189">
    <w:abstractNumId w:val="0"/>
  </w:num>
  <w:num w:numId="10" w16cid:durableId="394162076">
    <w:abstractNumId w:val="0"/>
  </w:num>
  <w:num w:numId="11" w16cid:durableId="2040161691">
    <w:abstractNumId w:val="0"/>
  </w:num>
  <w:num w:numId="12" w16cid:durableId="135685792">
    <w:abstractNumId w:val="0"/>
  </w:num>
  <w:num w:numId="13" w16cid:durableId="562330561">
    <w:abstractNumId w:val="0"/>
  </w:num>
  <w:num w:numId="14" w16cid:durableId="1226644279">
    <w:abstractNumId w:val="0"/>
  </w:num>
  <w:num w:numId="15" w16cid:durableId="1065949629">
    <w:abstractNumId w:val="0"/>
  </w:num>
  <w:num w:numId="16" w16cid:durableId="134838804">
    <w:abstractNumId w:val="0"/>
  </w:num>
  <w:num w:numId="17" w16cid:durableId="772364005">
    <w:abstractNumId w:val="0"/>
  </w:num>
  <w:num w:numId="18" w16cid:durableId="1588610226">
    <w:abstractNumId w:val="0"/>
  </w:num>
  <w:num w:numId="19" w16cid:durableId="494804623">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662"/>
    <w:rsid w:val="0001616C"/>
    <w:rsid w:val="00040A32"/>
    <w:rsid w:val="00043A96"/>
    <w:rsid w:val="00046505"/>
    <w:rsid w:val="00047533"/>
    <w:rsid w:val="000565E8"/>
    <w:rsid w:val="00062102"/>
    <w:rsid w:val="0006698B"/>
    <w:rsid w:val="00075178"/>
    <w:rsid w:val="0008168B"/>
    <w:rsid w:val="00082F4E"/>
    <w:rsid w:val="000869B3"/>
    <w:rsid w:val="00094466"/>
    <w:rsid w:val="000966A1"/>
    <w:rsid w:val="00097255"/>
    <w:rsid w:val="000B571C"/>
    <w:rsid w:val="000C2122"/>
    <w:rsid w:val="000C3BDC"/>
    <w:rsid w:val="000D5FDA"/>
    <w:rsid w:val="000E046C"/>
    <w:rsid w:val="000E5D56"/>
    <w:rsid w:val="000F6A92"/>
    <w:rsid w:val="00103746"/>
    <w:rsid w:val="00107B50"/>
    <w:rsid w:val="001368C5"/>
    <w:rsid w:val="001439F9"/>
    <w:rsid w:val="00152FEC"/>
    <w:rsid w:val="001613A5"/>
    <w:rsid w:val="00161BA3"/>
    <w:rsid w:val="0016334D"/>
    <w:rsid w:val="0016361F"/>
    <w:rsid w:val="00182D43"/>
    <w:rsid w:val="00191223"/>
    <w:rsid w:val="00192602"/>
    <w:rsid w:val="00194AC6"/>
    <w:rsid w:val="00195BDA"/>
    <w:rsid w:val="001A7B81"/>
    <w:rsid w:val="001B72DD"/>
    <w:rsid w:val="001B7662"/>
    <w:rsid w:val="001E5B0C"/>
    <w:rsid w:val="001E64AE"/>
    <w:rsid w:val="0020606F"/>
    <w:rsid w:val="00225B77"/>
    <w:rsid w:val="00235861"/>
    <w:rsid w:val="0024024A"/>
    <w:rsid w:val="002405D9"/>
    <w:rsid w:val="0024169A"/>
    <w:rsid w:val="002439AB"/>
    <w:rsid w:val="0024699E"/>
    <w:rsid w:val="00251B79"/>
    <w:rsid w:val="002667C9"/>
    <w:rsid w:val="00274E2F"/>
    <w:rsid w:val="00280832"/>
    <w:rsid w:val="00283E65"/>
    <w:rsid w:val="002905FC"/>
    <w:rsid w:val="00291FA9"/>
    <w:rsid w:val="002B62A0"/>
    <w:rsid w:val="002B6474"/>
    <w:rsid w:val="002D089F"/>
    <w:rsid w:val="002D3CC3"/>
    <w:rsid w:val="002E03AC"/>
    <w:rsid w:val="002F10E8"/>
    <w:rsid w:val="002F185C"/>
    <w:rsid w:val="00304C76"/>
    <w:rsid w:val="003057BE"/>
    <w:rsid w:val="003250FF"/>
    <w:rsid w:val="00325391"/>
    <w:rsid w:val="003315BD"/>
    <w:rsid w:val="0036678B"/>
    <w:rsid w:val="00366801"/>
    <w:rsid w:val="0037725B"/>
    <w:rsid w:val="003A0CC1"/>
    <w:rsid w:val="003A6CCE"/>
    <w:rsid w:val="003C69B7"/>
    <w:rsid w:val="003C6F85"/>
    <w:rsid w:val="003E438D"/>
    <w:rsid w:val="00401D66"/>
    <w:rsid w:val="00403362"/>
    <w:rsid w:val="00415A4B"/>
    <w:rsid w:val="00415FE0"/>
    <w:rsid w:val="00420FCD"/>
    <w:rsid w:val="00423D5B"/>
    <w:rsid w:val="004279D9"/>
    <w:rsid w:val="00435217"/>
    <w:rsid w:val="0046396C"/>
    <w:rsid w:val="00466EC7"/>
    <w:rsid w:val="004724FF"/>
    <w:rsid w:val="0047357B"/>
    <w:rsid w:val="0048304D"/>
    <w:rsid w:val="0048400F"/>
    <w:rsid w:val="00490E73"/>
    <w:rsid w:val="00496B31"/>
    <w:rsid w:val="004A6A6D"/>
    <w:rsid w:val="004B05C3"/>
    <w:rsid w:val="004D4FF9"/>
    <w:rsid w:val="004D5C39"/>
    <w:rsid w:val="004D7620"/>
    <w:rsid w:val="004F085F"/>
    <w:rsid w:val="005162FE"/>
    <w:rsid w:val="00522143"/>
    <w:rsid w:val="00527DBC"/>
    <w:rsid w:val="00530CFC"/>
    <w:rsid w:val="005314EE"/>
    <w:rsid w:val="00536371"/>
    <w:rsid w:val="00556668"/>
    <w:rsid w:val="00570CA2"/>
    <w:rsid w:val="00571A35"/>
    <w:rsid w:val="00575061"/>
    <w:rsid w:val="00583D47"/>
    <w:rsid w:val="005A2C4D"/>
    <w:rsid w:val="005B686D"/>
    <w:rsid w:val="005C3230"/>
    <w:rsid w:val="005C7F68"/>
    <w:rsid w:val="005D7376"/>
    <w:rsid w:val="005E2159"/>
    <w:rsid w:val="005E6833"/>
    <w:rsid w:val="00612349"/>
    <w:rsid w:val="00612893"/>
    <w:rsid w:val="006144D8"/>
    <w:rsid w:val="0063181C"/>
    <w:rsid w:val="00635F28"/>
    <w:rsid w:val="0063720F"/>
    <w:rsid w:val="00657F94"/>
    <w:rsid w:val="00676E20"/>
    <w:rsid w:val="00696685"/>
    <w:rsid w:val="006A000E"/>
    <w:rsid w:val="006B37CA"/>
    <w:rsid w:val="006C1190"/>
    <w:rsid w:val="006D2529"/>
    <w:rsid w:val="006F04A1"/>
    <w:rsid w:val="00701D0E"/>
    <w:rsid w:val="007100B0"/>
    <w:rsid w:val="00714B94"/>
    <w:rsid w:val="00714FB0"/>
    <w:rsid w:val="0071776C"/>
    <w:rsid w:val="00717893"/>
    <w:rsid w:val="00720DB0"/>
    <w:rsid w:val="0072239C"/>
    <w:rsid w:val="00750DDE"/>
    <w:rsid w:val="00757C7C"/>
    <w:rsid w:val="00760B8C"/>
    <w:rsid w:val="007679AB"/>
    <w:rsid w:val="00774DF1"/>
    <w:rsid w:val="007B4BD2"/>
    <w:rsid w:val="007B6CE1"/>
    <w:rsid w:val="007C1F5E"/>
    <w:rsid w:val="007C31E8"/>
    <w:rsid w:val="007C3512"/>
    <w:rsid w:val="007D4DC9"/>
    <w:rsid w:val="007F1BE8"/>
    <w:rsid w:val="007F4243"/>
    <w:rsid w:val="00803D99"/>
    <w:rsid w:val="00816FB7"/>
    <w:rsid w:val="008230B9"/>
    <w:rsid w:val="008410F4"/>
    <w:rsid w:val="00846A76"/>
    <w:rsid w:val="00851041"/>
    <w:rsid w:val="00857E2A"/>
    <w:rsid w:val="0086052E"/>
    <w:rsid w:val="0087593D"/>
    <w:rsid w:val="008A15D5"/>
    <w:rsid w:val="008A5ED4"/>
    <w:rsid w:val="008C2118"/>
    <w:rsid w:val="008C2144"/>
    <w:rsid w:val="008D0B7B"/>
    <w:rsid w:val="008E3722"/>
    <w:rsid w:val="008F182D"/>
    <w:rsid w:val="008F2F5B"/>
    <w:rsid w:val="008F3540"/>
    <w:rsid w:val="00905E3C"/>
    <w:rsid w:val="00940AC9"/>
    <w:rsid w:val="0095384D"/>
    <w:rsid w:val="0096455D"/>
    <w:rsid w:val="00991FE1"/>
    <w:rsid w:val="009A1037"/>
    <w:rsid w:val="009C4E82"/>
    <w:rsid w:val="009D6B8C"/>
    <w:rsid w:val="009D6FE8"/>
    <w:rsid w:val="009D7BA3"/>
    <w:rsid w:val="009E157A"/>
    <w:rsid w:val="00A01CFA"/>
    <w:rsid w:val="00A208A5"/>
    <w:rsid w:val="00A23A18"/>
    <w:rsid w:val="00A33C92"/>
    <w:rsid w:val="00A406DF"/>
    <w:rsid w:val="00A41BB3"/>
    <w:rsid w:val="00A550F0"/>
    <w:rsid w:val="00A7425F"/>
    <w:rsid w:val="00A74F86"/>
    <w:rsid w:val="00A82E34"/>
    <w:rsid w:val="00A836AD"/>
    <w:rsid w:val="00A83D54"/>
    <w:rsid w:val="00A8556D"/>
    <w:rsid w:val="00A86FB9"/>
    <w:rsid w:val="00AA038C"/>
    <w:rsid w:val="00AC292D"/>
    <w:rsid w:val="00AC2BCE"/>
    <w:rsid w:val="00AD3B18"/>
    <w:rsid w:val="00AD7C91"/>
    <w:rsid w:val="00AF0E18"/>
    <w:rsid w:val="00AF1CC3"/>
    <w:rsid w:val="00AF1D3A"/>
    <w:rsid w:val="00AF34CF"/>
    <w:rsid w:val="00AF5090"/>
    <w:rsid w:val="00B06662"/>
    <w:rsid w:val="00B16444"/>
    <w:rsid w:val="00B54235"/>
    <w:rsid w:val="00B61EFE"/>
    <w:rsid w:val="00B90572"/>
    <w:rsid w:val="00BA7138"/>
    <w:rsid w:val="00BB3130"/>
    <w:rsid w:val="00BB6460"/>
    <w:rsid w:val="00BC7F3B"/>
    <w:rsid w:val="00BD04A2"/>
    <w:rsid w:val="00BD4F7E"/>
    <w:rsid w:val="00BD6753"/>
    <w:rsid w:val="00BD79A1"/>
    <w:rsid w:val="00BE6885"/>
    <w:rsid w:val="00C078D0"/>
    <w:rsid w:val="00C27469"/>
    <w:rsid w:val="00C37E6B"/>
    <w:rsid w:val="00C63A74"/>
    <w:rsid w:val="00C82C83"/>
    <w:rsid w:val="00C9057E"/>
    <w:rsid w:val="00C92042"/>
    <w:rsid w:val="00C95A33"/>
    <w:rsid w:val="00CA4FDE"/>
    <w:rsid w:val="00CA5C29"/>
    <w:rsid w:val="00CE11B0"/>
    <w:rsid w:val="00CE41D6"/>
    <w:rsid w:val="00CF7C59"/>
    <w:rsid w:val="00D14C7C"/>
    <w:rsid w:val="00D32FB4"/>
    <w:rsid w:val="00D36CF0"/>
    <w:rsid w:val="00D37646"/>
    <w:rsid w:val="00D53CE7"/>
    <w:rsid w:val="00D65CA6"/>
    <w:rsid w:val="00D7198A"/>
    <w:rsid w:val="00D8324E"/>
    <w:rsid w:val="00D832F2"/>
    <w:rsid w:val="00D8490D"/>
    <w:rsid w:val="00DC5F35"/>
    <w:rsid w:val="00DD0315"/>
    <w:rsid w:val="00DD0BBE"/>
    <w:rsid w:val="00DD443C"/>
    <w:rsid w:val="00DE0ED4"/>
    <w:rsid w:val="00E02A16"/>
    <w:rsid w:val="00E046C0"/>
    <w:rsid w:val="00E12E28"/>
    <w:rsid w:val="00E1308F"/>
    <w:rsid w:val="00E3441D"/>
    <w:rsid w:val="00E532BA"/>
    <w:rsid w:val="00E57EFB"/>
    <w:rsid w:val="00E6361E"/>
    <w:rsid w:val="00E73957"/>
    <w:rsid w:val="00E840B5"/>
    <w:rsid w:val="00E86D2F"/>
    <w:rsid w:val="00EA1909"/>
    <w:rsid w:val="00EA4F16"/>
    <w:rsid w:val="00EB2515"/>
    <w:rsid w:val="00EB381E"/>
    <w:rsid w:val="00EB4361"/>
    <w:rsid w:val="00EC74CF"/>
    <w:rsid w:val="00EC7E30"/>
    <w:rsid w:val="00ED1926"/>
    <w:rsid w:val="00EE169C"/>
    <w:rsid w:val="00EE5BF2"/>
    <w:rsid w:val="00EE5C46"/>
    <w:rsid w:val="00EF10E2"/>
    <w:rsid w:val="00EF1ED3"/>
    <w:rsid w:val="00F06AE6"/>
    <w:rsid w:val="00F354B3"/>
    <w:rsid w:val="00F54457"/>
    <w:rsid w:val="00F611BE"/>
    <w:rsid w:val="00F65EC9"/>
    <w:rsid w:val="00F675AB"/>
    <w:rsid w:val="00F74B82"/>
    <w:rsid w:val="00F77FD9"/>
    <w:rsid w:val="00FA3CF9"/>
    <w:rsid w:val="00FA4A3A"/>
    <w:rsid w:val="00FB41A7"/>
    <w:rsid w:val="00FB513F"/>
    <w:rsid w:val="00FC2520"/>
    <w:rsid w:val="00FD3D02"/>
    <w:rsid w:val="00FD5A06"/>
    <w:rsid w:val="00FD5E6D"/>
    <w:rsid w:val="00FE5497"/>
    <w:rsid w:val="00FF3B02"/>
    <w:rsid w:val="00FF6BF9"/>
    <w:rsid w:val="7AFB53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D18D1"/>
  <w15:docId w15:val="{B74527D7-6CA8-4182-94CA-9078595F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qFormat="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B1D"/>
    <w:pPr>
      <w:spacing w:after="120" w:line="252" w:lineRule="auto"/>
    </w:pPr>
    <w:rPr>
      <w:rFonts w:ascii="Aptos Display" w:eastAsia="Calibri" w:hAnsi="Aptos Display" w:cs="Arial"/>
      <w:sz w:val="22"/>
      <w:szCs w:val="22"/>
      <w:lang w:val="en-AU"/>
    </w:rPr>
  </w:style>
  <w:style w:type="paragraph" w:styleId="Heading1">
    <w:name w:val="heading 1"/>
    <w:basedOn w:val="Normal"/>
    <w:next w:val="BodyText"/>
    <w:uiPriority w:val="9"/>
    <w:qFormat/>
    <w:rsid w:val="00C62C32"/>
    <w:pPr>
      <w:keepNext/>
      <w:keepLines/>
      <w:spacing w:before="600" w:line="240" w:lineRule="auto"/>
      <w:outlineLvl w:val="0"/>
    </w:pPr>
    <w:rPr>
      <w:rFonts w:eastAsia="Times New Roman" w:cs="Times New Roman"/>
      <w:b/>
      <w:color w:val="5D7A38"/>
      <w:sz w:val="48"/>
      <w:szCs w:val="24"/>
    </w:rPr>
  </w:style>
  <w:style w:type="paragraph" w:styleId="Heading2">
    <w:name w:val="heading 2"/>
    <w:basedOn w:val="Normal"/>
    <w:next w:val="BodyText"/>
    <w:uiPriority w:val="9"/>
    <w:unhideWhenUsed/>
    <w:qFormat/>
    <w:rsid w:val="00C62C32"/>
    <w:pPr>
      <w:keepNext/>
      <w:keepLines/>
      <w:spacing w:before="180" w:after="60" w:line="240" w:lineRule="auto"/>
      <w:outlineLvl w:val="1"/>
    </w:pPr>
    <w:rPr>
      <w:rFonts w:eastAsia="Times New Roman" w:cs="Times New Roman"/>
      <w:b/>
      <w:color w:val="404246"/>
      <w:sz w:val="32"/>
      <w:szCs w:val="20"/>
    </w:rPr>
  </w:style>
  <w:style w:type="paragraph" w:styleId="Heading3">
    <w:name w:val="heading 3"/>
    <w:basedOn w:val="Normal"/>
    <w:next w:val="BodyText"/>
    <w:uiPriority w:val="9"/>
    <w:unhideWhenUsed/>
    <w:qFormat/>
    <w:rsid w:val="00C62C32"/>
    <w:pPr>
      <w:keepNext/>
      <w:keepLines/>
      <w:spacing w:before="120" w:after="60" w:line="240" w:lineRule="auto"/>
      <w:outlineLvl w:val="2"/>
    </w:pPr>
    <w:rPr>
      <w:rFonts w:ascii="Aptos SemiBold" w:eastAsia="Times New Roman" w:hAnsi="Aptos SemiBold" w:cs="Times New Roman"/>
      <w:color w:val="62165C"/>
      <w:sz w:val="28"/>
      <w:szCs w:val="18"/>
    </w:rPr>
  </w:style>
  <w:style w:type="paragraph" w:styleId="Heading4">
    <w:name w:val="heading 4"/>
    <w:basedOn w:val="Normal"/>
    <w:next w:val="BodyText"/>
    <w:uiPriority w:val="9"/>
    <w:unhideWhenUsed/>
    <w:qFormat/>
    <w:rsid w:val="00185A41"/>
    <w:pPr>
      <w:keepNext/>
      <w:keepLines/>
      <w:spacing w:before="240" w:after="0" w:line="240" w:lineRule="auto"/>
      <w:outlineLvl w:val="3"/>
    </w:pPr>
    <w:rPr>
      <w:rFonts w:ascii="Aptos SemiBold" w:eastAsia="Times New Roman" w:hAnsi="Aptos SemiBold" w:cs="Times New Roman"/>
      <w:iCs/>
      <w:color w:val="0D2C6C"/>
      <w:sz w:val="28"/>
    </w:rPr>
  </w:style>
  <w:style w:type="paragraph" w:styleId="Heading5">
    <w:name w:val="heading 5"/>
    <w:basedOn w:val="Normal"/>
    <w:next w:val="BodyText"/>
    <w:uiPriority w:val="9"/>
    <w:unhideWhenUsed/>
    <w:qFormat/>
    <w:rsid w:val="00C408FB"/>
    <w:pPr>
      <w:keepNext/>
      <w:keepLines/>
      <w:spacing w:before="240" w:after="0"/>
      <w:outlineLvl w:val="4"/>
    </w:pPr>
    <w:rPr>
      <w:rFonts w:eastAsia="Times New Roman" w:cs="Times New Roman"/>
      <w:b/>
      <w:color w:val="404246"/>
    </w:rPr>
  </w:style>
  <w:style w:type="paragraph" w:styleId="Heading6">
    <w:name w:val="heading 6"/>
    <w:basedOn w:val="Normal"/>
    <w:next w:val="BodyText"/>
    <w:uiPriority w:val="9"/>
    <w:unhideWhenUsed/>
    <w:qFormat/>
    <w:rsid w:val="00C408FB"/>
    <w:pPr>
      <w:keepNext/>
      <w:keepLines/>
      <w:spacing w:before="240" w:after="0"/>
      <w:outlineLvl w:val="5"/>
    </w:pPr>
    <w:rPr>
      <w:rFonts w:ascii="Aptos SemiBold" w:eastAsia="Times New Roman" w:hAnsi="Aptos SemiBold" w:cs="Times New Roman"/>
      <w:color w:val="5D7A38"/>
    </w:rPr>
  </w:style>
  <w:style w:type="paragraph" w:styleId="Heading7">
    <w:name w:val="heading 7"/>
    <w:basedOn w:val="Normal"/>
    <w:next w:val="BodyText"/>
    <w:uiPriority w:val="9"/>
    <w:unhideWhenUsed/>
    <w:qFormat/>
    <w:rsid w:val="009137D8"/>
    <w:pPr>
      <w:keepNext/>
      <w:keepLines/>
      <w:numPr>
        <w:ilvl w:val="6"/>
        <w:numId w:val="1"/>
      </w:numPr>
      <w:spacing w:before="200" w:after="0"/>
      <w:outlineLvl w:val="6"/>
    </w:pPr>
    <w:rPr>
      <w:rFonts w:asciiTheme="majorHAnsi" w:eastAsiaTheme="majorEastAsia" w:hAnsiTheme="majorHAnsi" w:cstheme="majorBidi"/>
      <w:color w:val="000000" w:themeColor="text1"/>
    </w:rPr>
  </w:style>
  <w:style w:type="paragraph" w:styleId="Heading8">
    <w:name w:val="heading 8"/>
    <w:basedOn w:val="Normal"/>
    <w:next w:val="BodyText"/>
    <w:uiPriority w:val="9"/>
    <w:unhideWhenUsed/>
    <w:qFormat/>
    <w:rsid w:val="009137D8"/>
    <w:pPr>
      <w:keepNext/>
      <w:keepLines/>
      <w:numPr>
        <w:ilvl w:val="7"/>
        <w:numId w:val="1"/>
      </w:numPr>
      <w:spacing w:before="200" w:after="0"/>
      <w:outlineLvl w:val="7"/>
    </w:pPr>
    <w:rPr>
      <w:rFonts w:asciiTheme="majorHAnsi" w:eastAsiaTheme="majorEastAsia" w:hAnsiTheme="majorHAnsi" w:cstheme="majorBidi"/>
      <w:color w:val="000000" w:themeColor="text1"/>
    </w:rPr>
  </w:style>
  <w:style w:type="paragraph" w:styleId="Heading9">
    <w:name w:val="heading 9"/>
    <w:basedOn w:val="Normal"/>
    <w:next w:val="BodyText"/>
    <w:uiPriority w:val="9"/>
    <w:unhideWhenUsed/>
    <w:qFormat/>
    <w:rsid w:val="009137D8"/>
    <w:pPr>
      <w:keepNext/>
      <w:keepLines/>
      <w:numPr>
        <w:ilvl w:val="8"/>
        <w:numId w:val="1"/>
      </w:numPr>
      <w:spacing w:before="200" w:after="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FirstParagraph"/>
    <w:link w:val="BodyTextChar"/>
    <w:qFormat/>
    <w:rsid w:val="00A26B1D"/>
  </w:style>
  <w:style w:type="paragraph" w:customStyle="1" w:styleId="FirstParagraph">
    <w:name w:val="First Paragraph"/>
    <w:basedOn w:val="Normal"/>
    <w:next w:val="BodyText"/>
    <w:qFormat/>
    <w:rsid w:val="00232A11"/>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7"/>
    <w:qFormat/>
    <w:rsid w:val="00EC07E9"/>
    <w:pPr>
      <w:spacing w:before="3040" w:after="0" w:line="240" w:lineRule="auto"/>
      <w:ind w:left="1276"/>
    </w:pPr>
    <w:rPr>
      <w:rFonts w:ascii="Aptos SemiBold" w:eastAsiaTheme="majorEastAsia" w:hAnsi="Aptos SemiBold" w:cstheme="majorBidi"/>
      <w:b/>
      <w:noProof/>
      <w:color w:val="404246"/>
      <w:spacing w:val="-10"/>
      <w:kern w:val="28"/>
      <w:sz w:val="72"/>
      <w:szCs w:val="56"/>
      <w:lang w:eastAsia="en-AU"/>
    </w:rPr>
  </w:style>
  <w:style w:type="paragraph" w:styleId="Subtitle">
    <w:name w:val="Subtitle"/>
    <w:basedOn w:val="Title"/>
    <w:next w:val="BodyText"/>
    <w:link w:val="SubtitleChar"/>
    <w:uiPriority w:val="8"/>
    <w:qFormat/>
    <w:rsid w:val="00933FB7"/>
    <w:pPr>
      <w:spacing w:before="240"/>
    </w:pPr>
    <w:rPr>
      <w:rFonts w:ascii="Aptos Display" w:eastAsiaTheme="minorEastAsia" w:hAnsi="Aptos Display" w:cstheme="minorBidi"/>
      <w:b w:val="0"/>
      <w:bCs/>
      <w:color w:val="98AB64"/>
      <w:spacing w:val="15"/>
      <w:sz w:val="40"/>
    </w:rPr>
  </w:style>
  <w:style w:type="paragraph" w:customStyle="1" w:styleId="Author">
    <w:name w:val="Author"/>
    <w:next w:val="BodyText"/>
    <w:qFormat/>
    <w:pPr>
      <w:keepNext/>
      <w:keepLines/>
      <w:jc w:val="center"/>
    </w:pPr>
  </w:style>
  <w:style w:type="paragraph" w:styleId="Date">
    <w:name w:val="Date"/>
    <w:basedOn w:val="Subtitle"/>
    <w:next w:val="BodyText"/>
    <w:qFormat/>
    <w:rsid w:val="00C01FC4"/>
    <w:rPr>
      <w:sz w:val="28"/>
      <w:szCs w:val="44"/>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rsid w:val="00302E86"/>
    <w:pPr>
      <w:spacing w:line="240" w:lineRule="auto"/>
    </w:pPr>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rsid w:val="00B676EA"/>
    <w:pPr>
      <w:spacing w:after="0" w:line="204" w:lineRule="auto"/>
    </w:pPr>
    <w:rPr>
      <w:sz w:val="18"/>
      <w:szCs w:val="18"/>
    </w:rPr>
  </w:style>
  <w:style w:type="table" w:customStyle="1" w:styleId="Table">
    <w:name w:val="Table"/>
    <w:semiHidden/>
    <w:unhideWhenUsed/>
    <w:qFormat/>
    <w:rsid w:val="00A33FE1"/>
    <w:tblPr>
      <w:tblStyleRow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rPr>
        <w:b/>
      </w:rPr>
      <w:tblPr>
        <w:jc w:val="center"/>
      </w:tblPr>
      <w:trPr>
        <w:jc w:val="center"/>
      </w:trPr>
      <w:tcPr>
        <w:tcBorders>
          <w:bottom w:val="single" w:sz="4" w:space="0" w:color="000000" w:themeColor="text1"/>
        </w:tcBorders>
      </w:tcPr>
    </w:tblStylePr>
    <w:tblStylePr w:type="firstCol">
      <w:tblPr/>
      <w:tcPr>
        <w:tcBorders>
          <w:right w:val="single" w:sz="4" w:space="0" w:color="000000" w:themeColor="text1"/>
        </w:tcBorders>
        <w:shd w:val="clear" w:color="auto" w:fill="auto"/>
      </w:tcPr>
    </w:tblStylePr>
    <w:tblStylePr w:type="band1Horz">
      <w:tblPr/>
      <w:tcPr>
        <w:shd w:val="clear" w:color="auto" w:fill="EEECE1" w:themeFill="background2"/>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rsid w:val="00987045"/>
    <w:pPr>
      <w:spacing w:before="240" w:after="40" w:line="240" w:lineRule="auto"/>
    </w:pPr>
    <w:rPr>
      <w:b/>
      <w:iCs/>
      <w:szCs w:val="18"/>
    </w:rPr>
  </w:style>
  <w:style w:type="paragraph" w:customStyle="1" w:styleId="TableCaption">
    <w:name w:val="Table Caption"/>
    <w:basedOn w:val="Caption"/>
    <w:rsid w:val="00193FD6"/>
    <w:pPr>
      <w:keepNext/>
      <w:keepLines/>
    </w:pPr>
  </w:style>
  <w:style w:type="paragraph" w:customStyle="1" w:styleId="ImageCaption">
    <w:name w:val="Image Caption"/>
    <w:basedOn w:val="Caption"/>
    <w:rsid w:val="00B6504C"/>
    <w:pPr>
      <w:keepNext/>
      <w:keepLines/>
      <w:widowControl w:val="0"/>
      <w:spacing w:line="192" w:lineRule="auto"/>
    </w:pPr>
  </w:style>
  <w:style w:type="paragraph" w:customStyle="1" w:styleId="Figure">
    <w:name w:val="Figure"/>
    <w:basedOn w:val="Normal"/>
    <w:rsid w:val="009B2D46"/>
    <w:pPr>
      <w:keepNext/>
      <w:keepLines/>
      <w:spacing w:before="60"/>
      <w:jc w:val="center"/>
    </w:pPr>
  </w:style>
  <w:style w:type="paragraph" w:customStyle="1" w:styleId="CaptionedFigure">
    <w:name w:val="Captioned Figure"/>
    <w:basedOn w:val="Figure"/>
    <w:rsid w:val="00A33FE1"/>
    <w:pPr>
      <w:keepNext w:val="0"/>
      <w:keepLines w:val="0"/>
      <w:widowControl w:val="0"/>
    </w:pPr>
  </w:style>
  <w:style w:type="character" w:customStyle="1" w:styleId="CaptionChar">
    <w:name w:val="Caption Char"/>
    <w:basedOn w:val="DefaultParagraphFont"/>
    <w:link w:val="Caption"/>
    <w:rsid w:val="00987045"/>
    <w:rPr>
      <w:rFonts w:ascii="Aptos Display" w:eastAsia="Calibri" w:hAnsi="Aptos Display" w:cs="Arial"/>
      <w:b/>
      <w:iCs/>
      <w:sz w:val="22"/>
      <w:szCs w:val="18"/>
      <w:lang w:val="en-AU"/>
    </w:rPr>
  </w:style>
  <w:style w:type="character" w:customStyle="1" w:styleId="VerbatimChar">
    <w:name w:val="Verbatim Char"/>
    <w:basedOn w:val="CaptionChar"/>
    <w:link w:val="SourceCode"/>
    <w:rsid w:val="009137D8"/>
    <w:rPr>
      <w:rFonts w:ascii="Consolas" w:eastAsia="Calibri" w:hAnsi="Consolas" w:cs="Arial"/>
      <w:b/>
      <w:iCs/>
      <w:color w:val="C00000"/>
      <w:sz w:val="22"/>
      <w:szCs w:val="18"/>
      <w:u w:val="none"/>
      <w:bdr w:val="none" w:sz="0" w:space="0" w:color="auto"/>
      <w:shd w:val="clear" w:color="auto" w:fill="F2F2F2" w:themeFill="background1" w:themeFillShade="F2"/>
      <w:lang w:val="en-AU"/>
    </w:rPr>
  </w:style>
  <w:style w:type="character" w:styleId="FootnoteReference">
    <w:name w:val="footnote reference"/>
    <w:basedOn w:val="CaptionChar"/>
    <w:rsid w:val="00730729"/>
    <w:rPr>
      <w:rFonts w:ascii="Aptos Display" w:eastAsia="Calibri" w:hAnsi="Aptos Display" w:cs="Arial"/>
      <w:b w:val="0"/>
      <w:iCs/>
      <w:sz w:val="22"/>
      <w:szCs w:val="18"/>
      <w:vertAlign w:val="superscript"/>
      <w:lang w:val="en-AU"/>
    </w:rPr>
  </w:style>
  <w:style w:type="character" w:styleId="Hyperlink">
    <w:name w:val="Hyperlink"/>
    <w:basedOn w:val="CaptionChar"/>
    <w:uiPriority w:val="99"/>
    <w:qFormat/>
    <w:rsid w:val="00827677"/>
    <w:rPr>
      <w:rFonts w:ascii="Aptos Display" w:eastAsia="Calibri" w:hAnsi="Aptos Display" w:cs="Arial"/>
      <w:b w:val="0"/>
      <w:bCs/>
      <w:iCs/>
      <w:color w:val="4F81BD" w:themeColor="accent1"/>
      <w:sz w:val="22"/>
      <w:szCs w:val="18"/>
      <w:u w:val="single"/>
      <w:lang w:val="en-AU"/>
    </w:rPr>
  </w:style>
  <w:style w:type="paragraph" w:styleId="TOCHeading">
    <w:name w:val="TOC Heading"/>
    <w:basedOn w:val="Heading1"/>
    <w:next w:val="BodyText"/>
    <w:uiPriority w:val="39"/>
    <w:unhideWhenUsed/>
    <w:qFormat/>
    <w:rsid w:val="00A331A6"/>
    <w:pPr>
      <w:spacing w:before="0"/>
      <w:outlineLvl w:val="9"/>
    </w:pPr>
    <w:rPr>
      <w:rFonts w:eastAsiaTheme="minorEastAsia" w:cstheme="minorBidi"/>
      <w:bCs/>
      <w:szCs w:val="54"/>
    </w:rPr>
  </w:style>
  <w:style w:type="character" w:customStyle="1" w:styleId="BodyTextChar">
    <w:name w:val="Body Text Char"/>
    <w:basedOn w:val="DefaultParagraphFont"/>
    <w:link w:val="BodyText"/>
    <w:rsid w:val="00A26B1D"/>
    <w:rPr>
      <w:rFonts w:ascii="Aptos Display" w:eastAsia="Calibri" w:hAnsi="Aptos Display" w:cs="Arial"/>
      <w:sz w:val="22"/>
      <w:szCs w:val="22"/>
      <w:lang w:val="en-AU"/>
    </w:rPr>
  </w:style>
  <w:style w:type="paragraph" w:styleId="ListParagraph">
    <w:name w:val="List Paragraph"/>
    <w:basedOn w:val="Normal"/>
    <w:rsid w:val="005E0C3D"/>
    <w:pPr>
      <w:ind w:left="720"/>
      <w:contextualSpacing/>
    </w:pPr>
  </w:style>
  <w:style w:type="numbering" w:customStyle="1" w:styleId="Defaultul">
    <w:name w:val="Default ul"/>
    <w:basedOn w:val="NoList"/>
    <w:uiPriority w:val="99"/>
    <w:rsid w:val="005E0C3D"/>
    <w:pPr>
      <w:numPr>
        <w:numId w:val="2"/>
      </w:numPr>
    </w:pPr>
  </w:style>
  <w:style w:type="numbering" w:customStyle="1" w:styleId="Defaultol">
    <w:name w:val="Default ol"/>
    <w:basedOn w:val="NoList"/>
    <w:uiPriority w:val="99"/>
    <w:rsid w:val="005E0C3D"/>
    <w:pPr>
      <w:numPr>
        <w:numId w:val="3"/>
      </w:numPr>
    </w:pPr>
  </w:style>
  <w:style w:type="paragraph" w:styleId="Footer">
    <w:name w:val="footer"/>
    <w:basedOn w:val="Normal"/>
    <w:link w:val="FooterChar"/>
    <w:uiPriority w:val="99"/>
    <w:unhideWhenUsed/>
    <w:rsid w:val="00676DF8"/>
    <w:pPr>
      <w:tabs>
        <w:tab w:val="center" w:pos="4536"/>
        <w:tab w:val="right" w:pos="9072"/>
      </w:tabs>
      <w:spacing w:after="0"/>
    </w:pPr>
  </w:style>
  <w:style w:type="character" w:customStyle="1" w:styleId="FooterChar">
    <w:name w:val="Footer Char"/>
    <w:basedOn w:val="DefaultParagraphFont"/>
    <w:link w:val="Footer"/>
    <w:uiPriority w:val="99"/>
    <w:rsid w:val="00676DF8"/>
  </w:style>
  <w:style w:type="character" w:styleId="PageNumber">
    <w:name w:val="page number"/>
    <w:basedOn w:val="DefaultParagraphFont"/>
    <w:semiHidden/>
    <w:unhideWhenUsed/>
    <w:rsid w:val="00676DF8"/>
  </w:style>
  <w:style w:type="paragraph" w:styleId="Header">
    <w:name w:val="header"/>
    <w:basedOn w:val="Normal"/>
    <w:link w:val="HeaderChar"/>
    <w:unhideWhenUsed/>
    <w:rsid w:val="003F65B2"/>
    <w:pPr>
      <w:tabs>
        <w:tab w:val="center" w:pos="4536"/>
        <w:tab w:val="right" w:pos="9072"/>
      </w:tabs>
      <w:spacing w:after="0"/>
    </w:pPr>
  </w:style>
  <w:style w:type="character" w:customStyle="1" w:styleId="HeaderChar">
    <w:name w:val="Header Char"/>
    <w:basedOn w:val="DefaultParagraphFont"/>
    <w:link w:val="Header"/>
    <w:rsid w:val="003F65B2"/>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eastAsia="Calibri" w:hAnsi="Consolas" w:cs="Arial"/>
      <w:b w:val="0"/>
      <w:iCs/>
      <w:color w:val="204A87"/>
      <w:sz w:val="22"/>
      <w:szCs w:val="18"/>
      <w:u w:val="none"/>
      <w:bdr w:val="none" w:sz="0" w:space="0" w:color="auto"/>
      <w:shd w:val="clear" w:color="auto" w:fill="F8F8F8"/>
      <w:lang w:val="en-AU"/>
    </w:rPr>
  </w:style>
  <w:style w:type="character" w:customStyle="1" w:styleId="DataTypeTok">
    <w:name w:val="DataTypeTok"/>
    <w:basedOn w:val="VerbatimChar"/>
    <w:rPr>
      <w:rFonts w:ascii="Consolas" w:eastAsia="Calibri" w:hAnsi="Consolas" w:cs="Arial"/>
      <w:b/>
      <w:iCs/>
      <w:color w:val="204A87"/>
      <w:sz w:val="22"/>
      <w:szCs w:val="18"/>
      <w:u w:val="none"/>
      <w:bdr w:val="none" w:sz="0" w:space="0" w:color="auto"/>
      <w:shd w:val="clear" w:color="auto" w:fill="F8F8F8"/>
      <w:lang w:val="en-AU"/>
    </w:rPr>
  </w:style>
  <w:style w:type="character" w:customStyle="1" w:styleId="DecValTok">
    <w:name w:val="DecValTok"/>
    <w:basedOn w:val="VerbatimChar"/>
    <w:rPr>
      <w:rFonts w:ascii="Consolas" w:eastAsia="Calibri" w:hAnsi="Consolas" w:cs="Arial"/>
      <w:b/>
      <w:iCs/>
      <w:color w:val="0000CF"/>
      <w:sz w:val="22"/>
      <w:szCs w:val="18"/>
      <w:u w:val="none"/>
      <w:bdr w:val="none" w:sz="0" w:space="0" w:color="auto"/>
      <w:shd w:val="clear" w:color="auto" w:fill="F8F8F8"/>
      <w:lang w:val="en-AU"/>
    </w:rPr>
  </w:style>
  <w:style w:type="character" w:customStyle="1" w:styleId="BaseNTok">
    <w:name w:val="BaseNTok"/>
    <w:basedOn w:val="VerbatimChar"/>
    <w:rPr>
      <w:rFonts w:ascii="Consolas" w:eastAsia="Calibri" w:hAnsi="Consolas" w:cs="Arial"/>
      <w:b/>
      <w:iCs/>
      <w:color w:val="0000CF"/>
      <w:sz w:val="22"/>
      <w:szCs w:val="18"/>
      <w:u w:val="none"/>
      <w:bdr w:val="none" w:sz="0" w:space="0" w:color="auto"/>
      <w:shd w:val="clear" w:color="auto" w:fill="F8F8F8"/>
      <w:lang w:val="en-AU"/>
    </w:rPr>
  </w:style>
  <w:style w:type="character" w:customStyle="1" w:styleId="FloatTok">
    <w:name w:val="FloatTok"/>
    <w:basedOn w:val="VerbatimChar"/>
    <w:rPr>
      <w:rFonts w:ascii="Consolas" w:eastAsia="Calibri" w:hAnsi="Consolas" w:cs="Arial"/>
      <w:b/>
      <w:iCs/>
      <w:color w:val="0000CF"/>
      <w:sz w:val="22"/>
      <w:szCs w:val="18"/>
      <w:u w:val="none"/>
      <w:bdr w:val="none" w:sz="0" w:space="0" w:color="auto"/>
      <w:shd w:val="clear" w:color="auto" w:fill="F8F8F8"/>
      <w:lang w:val="en-AU"/>
    </w:rPr>
  </w:style>
  <w:style w:type="character" w:customStyle="1" w:styleId="ConstantTok">
    <w:name w:val="ConstantTok"/>
    <w:basedOn w:val="VerbatimChar"/>
    <w:rPr>
      <w:rFonts w:ascii="Consolas" w:eastAsia="Calibri" w:hAnsi="Consolas" w:cs="Arial"/>
      <w:b/>
      <w:iCs/>
      <w:color w:val="8F5902"/>
      <w:sz w:val="22"/>
      <w:szCs w:val="18"/>
      <w:u w:val="none"/>
      <w:bdr w:val="none" w:sz="0" w:space="0" w:color="auto"/>
      <w:shd w:val="clear" w:color="auto" w:fill="F8F8F8"/>
      <w:lang w:val="en-AU"/>
    </w:rPr>
  </w:style>
  <w:style w:type="character" w:customStyle="1" w:styleId="CharTok">
    <w:name w:val="CharTok"/>
    <w:basedOn w:val="VerbatimChar"/>
    <w:rPr>
      <w:rFonts w:ascii="Consolas" w:eastAsia="Calibri" w:hAnsi="Consolas" w:cs="Arial"/>
      <w:b/>
      <w:iCs/>
      <w:color w:val="4E9A06"/>
      <w:sz w:val="22"/>
      <w:szCs w:val="18"/>
      <w:u w:val="none"/>
      <w:bdr w:val="none" w:sz="0" w:space="0" w:color="auto"/>
      <w:shd w:val="clear" w:color="auto" w:fill="F8F8F8"/>
      <w:lang w:val="en-AU"/>
    </w:rPr>
  </w:style>
  <w:style w:type="character" w:customStyle="1" w:styleId="SpecialCharTok">
    <w:name w:val="SpecialCharTok"/>
    <w:basedOn w:val="VerbatimChar"/>
    <w:rPr>
      <w:rFonts w:ascii="Consolas" w:eastAsia="Calibri" w:hAnsi="Consolas" w:cs="Arial"/>
      <w:b w:val="0"/>
      <w:iCs/>
      <w:color w:val="CE5C00"/>
      <w:sz w:val="22"/>
      <w:szCs w:val="18"/>
      <w:u w:val="none"/>
      <w:bdr w:val="none" w:sz="0" w:space="0" w:color="auto"/>
      <w:shd w:val="clear" w:color="auto" w:fill="F8F8F8"/>
      <w:lang w:val="en-AU"/>
    </w:rPr>
  </w:style>
  <w:style w:type="character" w:customStyle="1" w:styleId="StringTok">
    <w:name w:val="StringTok"/>
    <w:basedOn w:val="VerbatimChar"/>
    <w:rPr>
      <w:rFonts w:ascii="Consolas" w:eastAsia="Calibri" w:hAnsi="Consolas" w:cs="Arial"/>
      <w:b/>
      <w:iCs/>
      <w:color w:val="4E9A06"/>
      <w:sz w:val="22"/>
      <w:szCs w:val="18"/>
      <w:u w:val="none"/>
      <w:bdr w:val="none" w:sz="0" w:space="0" w:color="auto"/>
      <w:shd w:val="clear" w:color="auto" w:fill="F8F8F8"/>
      <w:lang w:val="en-AU"/>
    </w:rPr>
  </w:style>
  <w:style w:type="character" w:customStyle="1" w:styleId="VerbatimStringTok">
    <w:name w:val="VerbatimStringTok"/>
    <w:basedOn w:val="VerbatimChar"/>
    <w:rPr>
      <w:rFonts w:ascii="Consolas" w:eastAsia="Calibri" w:hAnsi="Consolas" w:cs="Arial"/>
      <w:b/>
      <w:iCs/>
      <w:color w:val="4E9A06"/>
      <w:sz w:val="22"/>
      <w:szCs w:val="18"/>
      <w:u w:val="none"/>
      <w:bdr w:val="none" w:sz="0" w:space="0" w:color="auto"/>
      <w:shd w:val="clear" w:color="auto" w:fill="F8F8F8"/>
      <w:lang w:val="en-AU"/>
    </w:rPr>
  </w:style>
  <w:style w:type="character" w:customStyle="1" w:styleId="SpecialStringTok">
    <w:name w:val="SpecialStringTok"/>
    <w:basedOn w:val="VerbatimChar"/>
    <w:rPr>
      <w:rFonts w:ascii="Consolas" w:eastAsia="Calibri" w:hAnsi="Consolas" w:cs="Arial"/>
      <w:b/>
      <w:iCs/>
      <w:color w:val="4E9A06"/>
      <w:sz w:val="22"/>
      <w:szCs w:val="18"/>
      <w:u w:val="none"/>
      <w:bdr w:val="none" w:sz="0" w:space="0" w:color="auto"/>
      <w:shd w:val="clear" w:color="auto" w:fill="F8F8F8"/>
      <w:lang w:val="en-AU"/>
    </w:rPr>
  </w:style>
  <w:style w:type="character" w:customStyle="1" w:styleId="ImportTok">
    <w:name w:val="ImportTok"/>
    <w:basedOn w:val="VerbatimChar"/>
    <w:rPr>
      <w:rFonts w:ascii="Consolas" w:eastAsia="Calibri" w:hAnsi="Consolas" w:cs="Arial"/>
      <w:b/>
      <w:iCs/>
      <w:color w:val="C00000"/>
      <w:sz w:val="22"/>
      <w:szCs w:val="18"/>
      <w:u w:val="none"/>
      <w:bdr w:val="none" w:sz="0" w:space="0" w:color="auto"/>
      <w:shd w:val="clear" w:color="auto" w:fill="F8F8F8"/>
      <w:lang w:val="en-AU"/>
    </w:rPr>
  </w:style>
  <w:style w:type="character" w:customStyle="1" w:styleId="CommentTok">
    <w:name w:val="CommentTok"/>
    <w:basedOn w:val="VerbatimChar"/>
    <w:rPr>
      <w:rFonts w:ascii="Consolas" w:eastAsia="Calibri" w:hAnsi="Consolas" w:cs="Arial"/>
      <w:b/>
      <w:i/>
      <w:iCs/>
      <w:color w:val="8F5902"/>
      <w:sz w:val="22"/>
      <w:szCs w:val="18"/>
      <w:u w:val="none"/>
      <w:bdr w:val="none" w:sz="0" w:space="0" w:color="auto"/>
      <w:shd w:val="clear" w:color="auto" w:fill="F8F8F8"/>
      <w:lang w:val="en-AU"/>
    </w:rPr>
  </w:style>
  <w:style w:type="character" w:customStyle="1" w:styleId="DocumentationTok">
    <w:name w:val="DocumentationTok"/>
    <w:basedOn w:val="VerbatimChar"/>
    <w:rPr>
      <w:rFonts w:ascii="Consolas" w:eastAsia="Calibri" w:hAnsi="Consolas" w:cs="Arial"/>
      <w:b w:val="0"/>
      <w:i/>
      <w:iCs/>
      <w:color w:val="8F5902"/>
      <w:sz w:val="22"/>
      <w:szCs w:val="18"/>
      <w:u w:val="none"/>
      <w:bdr w:val="none" w:sz="0" w:space="0" w:color="auto"/>
      <w:shd w:val="clear" w:color="auto" w:fill="F8F8F8"/>
      <w:lang w:val="en-AU"/>
    </w:rPr>
  </w:style>
  <w:style w:type="character" w:customStyle="1" w:styleId="AnnotationTok">
    <w:name w:val="AnnotationTok"/>
    <w:basedOn w:val="VerbatimChar"/>
    <w:rPr>
      <w:rFonts w:ascii="Consolas" w:eastAsia="Calibri" w:hAnsi="Consolas" w:cs="Arial"/>
      <w:b w:val="0"/>
      <w:i/>
      <w:iCs/>
      <w:color w:val="8F5902"/>
      <w:sz w:val="22"/>
      <w:szCs w:val="18"/>
      <w:u w:val="none"/>
      <w:bdr w:val="none" w:sz="0" w:space="0" w:color="auto"/>
      <w:shd w:val="clear" w:color="auto" w:fill="F8F8F8"/>
      <w:lang w:val="en-AU"/>
    </w:rPr>
  </w:style>
  <w:style w:type="character" w:customStyle="1" w:styleId="CommentVarTok">
    <w:name w:val="CommentVarTok"/>
    <w:basedOn w:val="VerbatimChar"/>
    <w:rPr>
      <w:rFonts w:ascii="Consolas" w:eastAsia="Calibri" w:hAnsi="Consolas" w:cs="Arial"/>
      <w:b w:val="0"/>
      <w:i/>
      <w:iCs/>
      <w:color w:val="8F5902"/>
      <w:sz w:val="22"/>
      <w:szCs w:val="18"/>
      <w:u w:val="none"/>
      <w:bdr w:val="none" w:sz="0" w:space="0" w:color="auto"/>
      <w:shd w:val="clear" w:color="auto" w:fill="F8F8F8"/>
      <w:lang w:val="en-AU"/>
    </w:rPr>
  </w:style>
  <w:style w:type="character" w:customStyle="1" w:styleId="OtherTok">
    <w:name w:val="OtherTok"/>
    <w:basedOn w:val="VerbatimChar"/>
    <w:rPr>
      <w:rFonts w:ascii="Consolas" w:eastAsia="Calibri" w:hAnsi="Consolas" w:cs="Arial"/>
      <w:b/>
      <w:iCs/>
      <w:color w:val="8F5902"/>
      <w:sz w:val="22"/>
      <w:szCs w:val="18"/>
      <w:u w:val="none"/>
      <w:bdr w:val="none" w:sz="0" w:space="0" w:color="auto"/>
      <w:shd w:val="clear" w:color="auto" w:fill="F8F8F8"/>
      <w:lang w:val="en-AU"/>
    </w:rPr>
  </w:style>
  <w:style w:type="character" w:customStyle="1" w:styleId="FunctionTok">
    <w:name w:val="FunctionTok"/>
    <w:basedOn w:val="VerbatimChar"/>
    <w:rPr>
      <w:rFonts w:ascii="Consolas" w:eastAsia="Calibri" w:hAnsi="Consolas" w:cs="Arial"/>
      <w:b w:val="0"/>
      <w:iCs/>
      <w:color w:val="204A87"/>
      <w:sz w:val="22"/>
      <w:szCs w:val="18"/>
      <w:u w:val="none"/>
      <w:bdr w:val="none" w:sz="0" w:space="0" w:color="auto"/>
      <w:shd w:val="clear" w:color="auto" w:fill="F8F8F8"/>
      <w:lang w:val="en-AU"/>
    </w:rPr>
  </w:style>
  <w:style w:type="character" w:customStyle="1" w:styleId="VariableTok">
    <w:name w:val="VariableTok"/>
    <w:basedOn w:val="VerbatimChar"/>
    <w:rPr>
      <w:rFonts w:ascii="Consolas" w:eastAsia="Calibri" w:hAnsi="Consolas" w:cs="Arial"/>
      <w:b/>
      <w:iCs/>
      <w:color w:val="000000"/>
      <w:sz w:val="22"/>
      <w:szCs w:val="18"/>
      <w:u w:val="none"/>
      <w:bdr w:val="none" w:sz="0" w:space="0" w:color="auto"/>
      <w:shd w:val="clear" w:color="auto" w:fill="F8F8F8"/>
      <w:lang w:val="en-AU"/>
    </w:rPr>
  </w:style>
  <w:style w:type="character" w:customStyle="1" w:styleId="ControlFlowTok">
    <w:name w:val="ControlFlowTok"/>
    <w:basedOn w:val="VerbatimChar"/>
    <w:rPr>
      <w:rFonts w:ascii="Consolas" w:eastAsia="Calibri" w:hAnsi="Consolas" w:cs="Arial"/>
      <w:b w:val="0"/>
      <w:iCs/>
      <w:color w:val="204A87"/>
      <w:sz w:val="22"/>
      <w:szCs w:val="18"/>
      <w:u w:val="none"/>
      <w:bdr w:val="none" w:sz="0" w:space="0" w:color="auto"/>
      <w:shd w:val="clear" w:color="auto" w:fill="F8F8F8"/>
      <w:lang w:val="en-AU"/>
    </w:rPr>
  </w:style>
  <w:style w:type="character" w:customStyle="1" w:styleId="OperatorTok">
    <w:name w:val="OperatorTok"/>
    <w:basedOn w:val="VerbatimChar"/>
    <w:rPr>
      <w:rFonts w:ascii="Consolas" w:eastAsia="Calibri" w:hAnsi="Consolas" w:cs="Arial"/>
      <w:b w:val="0"/>
      <w:iCs/>
      <w:color w:val="CE5C00"/>
      <w:sz w:val="22"/>
      <w:szCs w:val="18"/>
      <w:u w:val="none"/>
      <w:bdr w:val="none" w:sz="0" w:space="0" w:color="auto"/>
      <w:shd w:val="clear" w:color="auto" w:fill="F8F8F8"/>
      <w:lang w:val="en-AU"/>
    </w:rPr>
  </w:style>
  <w:style w:type="character" w:customStyle="1" w:styleId="BuiltInTok">
    <w:name w:val="BuiltInTok"/>
    <w:basedOn w:val="VerbatimChar"/>
    <w:rPr>
      <w:rFonts w:ascii="Consolas" w:eastAsia="Calibri" w:hAnsi="Consolas" w:cs="Arial"/>
      <w:b/>
      <w:iCs/>
      <w:color w:val="C00000"/>
      <w:sz w:val="22"/>
      <w:szCs w:val="18"/>
      <w:u w:val="none"/>
      <w:bdr w:val="none" w:sz="0" w:space="0" w:color="auto"/>
      <w:shd w:val="clear" w:color="auto" w:fill="F8F8F8"/>
      <w:lang w:val="en-AU"/>
    </w:rPr>
  </w:style>
  <w:style w:type="character" w:customStyle="1" w:styleId="ExtensionTok">
    <w:name w:val="ExtensionTok"/>
    <w:basedOn w:val="VerbatimChar"/>
    <w:rPr>
      <w:rFonts w:ascii="Consolas" w:eastAsia="Calibri" w:hAnsi="Consolas" w:cs="Arial"/>
      <w:b/>
      <w:iCs/>
      <w:color w:val="C00000"/>
      <w:sz w:val="22"/>
      <w:szCs w:val="18"/>
      <w:u w:val="none"/>
      <w:bdr w:val="none" w:sz="0" w:space="0" w:color="auto"/>
      <w:shd w:val="clear" w:color="auto" w:fill="F8F8F8"/>
      <w:lang w:val="en-AU"/>
    </w:rPr>
  </w:style>
  <w:style w:type="character" w:customStyle="1" w:styleId="PreprocessorTok">
    <w:name w:val="PreprocessorTok"/>
    <w:basedOn w:val="VerbatimChar"/>
    <w:rPr>
      <w:rFonts w:ascii="Consolas" w:eastAsia="Calibri" w:hAnsi="Consolas" w:cs="Arial"/>
      <w:b/>
      <w:i/>
      <w:iCs/>
      <w:color w:val="8F5902"/>
      <w:sz w:val="22"/>
      <w:szCs w:val="18"/>
      <w:u w:val="none"/>
      <w:bdr w:val="none" w:sz="0" w:space="0" w:color="auto"/>
      <w:shd w:val="clear" w:color="auto" w:fill="F8F8F8"/>
      <w:lang w:val="en-AU"/>
    </w:rPr>
  </w:style>
  <w:style w:type="character" w:customStyle="1" w:styleId="AttributeTok">
    <w:name w:val="AttributeTok"/>
    <w:basedOn w:val="VerbatimChar"/>
    <w:rPr>
      <w:rFonts w:ascii="Consolas" w:eastAsia="Calibri" w:hAnsi="Consolas" w:cs="Arial"/>
      <w:b/>
      <w:iCs/>
      <w:color w:val="204A87"/>
      <w:sz w:val="22"/>
      <w:szCs w:val="18"/>
      <w:u w:val="none"/>
      <w:bdr w:val="none" w:sz="0" w:space="0" w:color="auto"/>
      <w:shd w:val="clear" w:color="auto" w:fill="F8F8F8"/>
      <w:lang w:val="en-AU"/>
    </w:rPr>
  </w:style>
  <w:style w:type="character" w:customStyle="1" w:styleId="RegionMarkerTok">
    <w:name w:val="RegionMarkerTok"/>
    <w:basedOn w:val="VerbatimChar"/>
    <w:rPr>
      <w:rFonts w:ascii="Consolas" w:eastAsia="Calibri" w:hAnsi="Consolas" w:cs="Arial"/>
      <w:b/>
      <w:iCs/>
      <w:color w:val="C00000"/>
      <w:sz w:val="22"/>
      <w:szCs w:val="18"/>
      <w:u w:val="none"/>
      <w:bdr w:val="none" w:sz="0" w:space="0" w:color="auto"/>
      <w:shd w:val="clear" w:color="auto" w:fill="F8F8F8"/>
      <w:lang w:val="en-AU"/>
    </w:rPr>
  </w:style>
  <w:style w:type="character" w:customStyle="1" w:styleId="InformationTok">
    <w:name w:val="InformationTok"/>
    <w:basedOn w:val="VerbatimChar"/>
    <w:rPr>
      <w:rFonts w:ascii="Consolas" w:eastAsia="Calibri" w:hAnsi="Consolas" w:cs="Arial"/>
      <w:b w:val="0"/>
      <w:i/>
      <w:iCs/>
      <w:color w:val="8F5902"/>
      <w:sz w:val="22"/>
      <w:szCs w:val="18"/>
      <w:u w:val="none"/>
      <w:bdr w:val="none" w:sz="0" w:space="0" w:color="auto"/>
      <w:shd w:val="clear" w:color="auto" w:fill="F8F8F8"/>
      <w:lang w:val="en-AU"/>
    </w:rPr>
  </w:style>
  <w:style w:type="character" w:customStyle="1" w:styleId="WarningTok">
    <w:name w:val="WarningTok"/>
    <w:basedOn w:val="VerbatimChar"/>
    <w:rPr>
      <w:rFonts w:ascii="Consolas" w:eastAsia="Calibri" w:hAnsi="Consolas" w:cs="Arial"/>
      <w:b w:val="0"/>
      <w:i/>
      <w:iCs/>
      <w:color w:val="8F5902"/>
      <w:sz w:val="22"/>
      <w:szCs w:val="18"/>
      <w:u w:val="none"/>
      <w:bdr w:val="none" w:sz="0" w:space="0" w:color="auto"/>
      <w:shd w:val="clear" w:color="auto" w:fill="F8F8F8"/>
      <w:lang w:val="en-AU"/>
    </w:rPr>
  </w:style>
  <w:style w:type="character" w:customStyle="1" w:styleId="AlertTok">
    <w:name w:val="AlertTok"/>
    <w:basedOn w:val="VerbatimChar"/>
    <w:rPr>
      <w:rFonts w:ascii="Consolas" w:eastAsia="Calibri" w:hAnsi="Consolas" w:cs="Arial"/>
      <w:b/>
      <w:iCs/>
      <w:color w:val="EF2929"/>
      <w:sz w:val="22"/>
      <w:szCs w:val="18"/>
      <w:u w:val="none"/>
      <w:bdr w:val="none" w:sz="0" w:space="0" w:color="auto"/>
      <w:shd w:val="clear" w:color="auto" w:fill="F8F8F8"/>
      <w:lang w:val="en-AU"/>
    </w:rPr>
  </w:style>
  <w:style w:type="character" w:customStyle="1" w:styleId="ErrorTok">
    <w:name w:val="ErrorTok"/>
    <w:basedOn w:val="VerbatimChar"/>
    <w:rPr>
      <w:rFonts w:ascii="Consolas" w:eastAsia="Calibri" w:hAnsi="Consolas" w:cs="Arial"/>
      <w:b w:val="0"/>
      <w:iCs/>
      <w:color w:val="A40000"/>
      <w:sz w:val="22"/>
      <w:szCs w:val="18"/>
      <w:u w:val="none"/>
      <w:bdr w:val="none" w:sz="0" w:space="0" w:color="auto"/>
      <w:shd w:val="clear" w:color="auto" w:fill="F8F8F8"/>
      <w:lang w:val="en-AU"/>
    </w:rPr>
  </w:style>
  <w:style w:type="character" w:customStyle="1" w:styleId="NormalTok">
    <w:name w:val="NormalTok"/>
    <w:basedOn w:val="VerbatimChar"/>
    <w:rPr>
      <w:rFonts w:ascii="Consolas" w:eastAsia="Calibri" w:hAnsi="Consolas" w:cs="Arial"/>
      <w:b/>
      <w:iCs/>
      <w:color w:val="C00000"/>
      <w:sz w:val="22"/>
      <w:szCs w:val="18"/>
      <w:u w:val="none"/>
      <w:bdr w:val="none" w:sz="0" w:space="0" w:color="auto"/>
      <w:shd w:val="clear" w:color="auto" w:fill="F8F8F8"/>
      <w:lang w:val="en-AU"/>
    </w:rPr>
  </w:style>
  <w:style w:type="paragraph" w:styleId="TOC2">
    <w:name w:val="toc 2"/>
    <w:basedOn w:val="Normal"/>
    <w:next w:val="Normal"/>
    <w:autoRedefine/>
    <w:uiPriority w:val="39"/>
    <w:unhideWhenUsed/>
    <w:rsid w:val="00511C86"/>
    <w:pPr>
      <w:tabs>
        <w:tab w:val="right" w:leader="dot" w:pos="9016"/>
      </w:tabs>
      <w:spacing w:after="0" w:line="240" w:lineRule="auto"/>
      <w:ind w:left="221"/>
    </w:pPr>
    <w:rPr>
      <w:rFonts w:eastAsiaTheme="minorHAnsi" w:cstheme="minorBidi"/>
      <w:noProof/>
    </w:rPr>
  </w:style>
  <w:style w:type="paragraph" w:styleId="TOC3">
    <w:name w:val="toc 3"/>
    <w:basedOn w:val="Normal"/>
    <w:next w:val="Normal"/>
    <w:autoRedefine/>
    <w:uiPriority w:val="39"/>
    <w:unhideWhenUsed/>
    <w:rsid w:val="00511C86"/>
    <w:pPr>
      <w:tabs>
        <w:tab w:val="right" w:leader="dot" w:pos="9016"/>
      </w:tabs>
      <w:spacing w:after="0" w:line="240" w:lineRule="auto"/>
      <w:ind w:left="442"/>
    </w:pPr>
    <w:rPr>
      <w:rFonts w:eastAsiaTheme="minorHAnsi" w:cstheme="minorBidi"/>
      <w:noProof/>
    </w:rPr>
  </w:style>
  <w:style w:type="character" w:styleId="PlaceholderText">
    <w:name w:val="Placeholder Text"/>
    <w:basedOn w:val="DefaultParagraphFont"/>
    <w:semiHidden/>
    <w:rsid w:val="009858F7"/>
    <w:rPr>
      <w:color w:val="666666"/>
    </w:rPr>
  </w:style>
  <w:style w:type="table" w:customStyle="1" w:styleId="DESE">
    <w:name w:val="DESE"/>
    <w:basedOn w:val="TableNormal"/>
    <w:uiPriority w:val="99"/>
    <w:rsid w:val="00642F82"/>
    <w:pPr>
      <w:spacing w:before="100" w:beforeAutospacing="1" w:after="100" w:afterAutospacing="1"/>
    </w:pPr>
    <w:rPr>
      <w:rFonts w:ascii="Aptos Display" w:hAnsi="Aptos Display"/>
      <w:sz w:val="22"/>
      <w:szCs w:val="22"/>
      <w:lang w:val="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Aptos Display" w:hAnsi="Aptos Display"/>
        <w:b/>
        <w:color w:val="FFFFFF"/>
      </w:rPr>
      <w:tblPr/>
      <w:tcPr>
        <w:shd w:val="clear" w:color="auto" w:fill="5D7A38"/>
      </w:tc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2F4B57"/>
    <w:pPr>
      <w:numPr>
        <w:numId w:val="4"/>
      </w:numPr>
      <w:spacing w:line="360" w:lineRule="auto"/>
    </w:pPr>
  </w:style>
  <w:style w:type="paragraph" w:styleId="ListBullet">
    <w:name w:val="List Bullet"/>
    <w:basedOn w:val="ListParagraph"/>
    <w:uiPriority w:val="99"/>
    <w:unhideWhenUsed/>
    <w:qFormat/>
    <w:rsid w:val="00B46F82"/>
    <w:pPr>
      <w:numPr>
        <w:numId w:val="5"/>
      </w:numPr>
      <w:spacing w:line="360" w:lineRule="auto"/>
    </w:pPr>
  </w:style>
  <w:style w:type="paragraph" w:styleId="List">
    <w:name w:val="List"/>
    <w:basedOn w:val="ListBullet"/>
    <w:uiPriority w:val="99"/>
    <w:unhideWhenUsed/>
    <w:qFormat/>
    <w:rsid w:val="00DB4809"/>
    <w:pPr>
      <w:numPr>
        <w:numId w:val="6"/>
      </w:numPr>
      <w:ind w:left="0" w:firstLine="0"/>
    </w:pPr>
  </w:style>
  <w:style w:type="character" w:styleId="Strong">
    <w:name w:val="Strong"/>
    <w:basedOn w:val="DefaultParagraphFont"/>
    <w:rsid w:val="00631A32"/>
    <w:rPr>
      <w:b/>
      <w:bCs/>
    </w:rPr>
  </w:style>
  <w:style w:type="paragraph" w:styleId="Quote">
    <w:name w:val="Quote"/>
    <w:basedOn w:val="Normal"/>
    <w:next w:val="Normal"/>
    <w:link w:val="QuoteChar"/>
    <w:uiPriority w:val="29"/>
    <w:qFormat/>
    <w:rsid w:val="00717CE3"/>
    <w:pPr>
      <w:spacing w:before="200" w:after="160"/>
      <w:ind w:left="862" w:right="862"/>
      <w:jc w:val="center"/>
    </w:pPr>
    <w:rPr>
      <w:rFonts w:eastAsiaTheme="minorHAnsi" w:cstheme="minorBidi"/>
      <w:iCs/>
      <w:color w:val="595959" w:themeColor="text1" w:themeTint="A6"/>
    </w:rPr>
  </w:style>
  <w:style w:type="character" w:customStyle="1" w:styleId="QuoteChar">
    <w:name w:val="Quote Char"/>
    <w:basedOn w:val="DefaultParagraphFont"/>
    <w:link w:val="Quote"/>
    <w:uiPriority w:val="29"/>
    <w:rsid w:val="00717CE3"/>
    <w:rPr>
      <w:rFonts w:ascii="Aptos Display" w:hAnsi="Aptos Display"/>
      <w:iCs/>
      <w:color w:val="595959" w:themeColor="text1" w:themeTint="A6"/>
      <w:sz w:val="22"/>
      <w:szCs w:val="22"/>
      <w:lang w:val="en-AU"/>
    </w:rPr>
  </w:style>
  <w:style w:type="paragraph" w:customStyle="1" w:styleId="Source">
    <w:name w:val="Source"/>
    <w:basedOn w:val="Normal"/>
    <w:link w:val="SourceChar"/>
    <w:qFormat/>
    <w:rsid w:val="000B3A00"/>
    <w:pPr>
      <w:spacing w:after="240" w:line="240" w:lineRule="auto"/>
    </w:pPr>
    <w:rPr>
      <w:i/>
      <w:iCs/>
      <w:color w:val="404246"/>
      <w:sz w:val="16"/>
    </w:rPr>
  </w:style>
  <w:style w:type="character" w:customStyle="1" w:styleId="SourceChar">
    <w:name w:val="Source Char"/>
    <w:basedOn w:val="DefaultParagraphFont"/>
    <w:link w:val="Source"/>
    <w:rsid w:val="000B3A00"/>
    <w:rPr>
      <w:rFonts w:ascii="Aptos Display" w:eastAsia="Calibri" w:hAnsi="Aptos Display" w:cs="Arial"/>
      <w:i/>
      <w:iCs/>
      <w:color w:val="404246"/>
      <w:sz w:val="16"/>
      <w:szCs w:val="22"/>
      <w:lang w:val="en-AU"/>
    </w:rPr>
  </w:style>
  <w:style w:type="character" w:customStyle="1" w:styleId="TitleChar">
    <w:name w:val="Title Char"/>
    <w:basedOn w:val="DefaultParagraphFont"/>
    <w:link w:val="Title"/>
    <w:uiPriority w:val="7"/>
    <w:rsid w:val="00EC07E9"/>
    <w:rPr>
      <w:rFonts w:ascii="Aptos SemiBold" w:eastAsiaTheme="majorEastAsia" w:hAnsi="Aptos SemiBold" w:cstheme="majorBidi"/>
      <w:b/>
      <w:noProof/>
      <w:color w:val="404246"/>
      <w:spacing w:val="-10"/>
      <w:kern w:val="28"/>
      <w:sz w:val="72"/>
      <w:szCs w:val="56"/>
      <w:lang w:val="en-AU" w:eastAsia="en-AU"/>
    </w:rPr>
  </w:style>
  <w:style w:type="character" w:customStyle="1" w:styleId="SubtitleChar">
    <w:name w:val="Subtitle Char"/>
    <w:basedOn w:val="DefaultParagraphFont"/>
    <w:link w:val="Subtitle"/>
    <w:uiPriority w:val="8"/>
    <w:rsid w:val="00933FB7"/>
    <w:rPr>
      <w:rFonts w:ascii="Aptos Display" w:eastAsiaTheme="minorEastAsia" w:hAnsi="Aptos Display"/>
      <w:bCs/>
      <w:noProof/>
      <w:color w:val="98AB64"/>
      <w:spacing w:val="15"/>
      <w:kern w:val="28"/>
      <w:sz w:val="40"/>
      <w:szCs w:val="56"/>
      <w:lang w:val="en-AU" w:eastAsia="en-AU"/>
    </w:rPr>
  </w:style>
  <w:style w:type="paragraph" w:styleId="TOC1">
    <w:name w:val="toc 1"/>
    <w:basedOn w:val="Normal"/>
    <w:next w:val="Normal"/>
    <w:autoRedefine/>
    <w:uiPriority w:val="39"/>
    <w:unhideWhenUsed/>
    <w:rsid w:val="00511C86"/>
    <w:pPr>
      <w:tabs>
        <w:tab w:val="right" w:leader="dot" w:pos="9060"/>
      </w:tabs>
      <w:spacing w:before="240" w:after="0" w:line="240" w:lineRule="auto"/>
    </w:pPr>
    <w:rPr>
      <w:b/>
      <w:noProof/>
    </w:rPr>
  </w:style>
  <w:style w:type="table" w:styleId="TableGrid">
    <w:name w:val="Table Grid"/>
    <w:basedOn w:val="TableNormal"/>
    <w:rsid w:val="00D93EC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rsid w:val="00041DD3"/>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mpactNormal">
    <w:name w:val="Compact Normal"/>
    <w:basedOn w:val="Normal"/>
    <w:link w:val="CompactNormalChar"/>
    <w:qFormat/>
    <w:rsid w:val="00A26B1D"/>
  </w:style>
  <w:style w:type="character" w:customStyle="1" w:styleId="CompactNormalChar">
    <w:name w:val="Compact Normal Char"/>
    <w:basedOn w:val="DefaultParagraphFont"/>
    <w:link w:val="CompactNormal"/>
    <w:rsid w:val="00A26B1D"/>
    <w:rPr>
      <w:rFonts w:ascii="Aptos Display" w:eastAsia="Calibri" w:hAnsi="Aptos Display" w:cs="Arial"/>
      <w:sz w:val="22"/>
      <w:szCs w:val="22"/>
      <w:lang w:val="en-AU"/>
    </w:rPr>
  </w:style>
  <w:style w:type="paragraph" w:styleId="Revision">
    <w:name w:val="Revision"/>
    <w:hidden/>
    <w:semiHidden/>
    <w:rsid w:val="002D089F"/>
    <w:pPr>
      <w:spacing w:after="0"/>
    </w:pPr>
    <w:rPr>
      <w:rFonts w:ascii="Aptos Display" w:eastAsia="Calibri" w:hAnsi="Aptos Display" w:cs="Arial"/>
      <w:sz w:val="22"/>
      <w:szCs w:val="22"/>
      <w:lang w:val="en-AU"/>
    </w:rPr>
  </w:style>
  <w:style w:type="character" w:styleId="CommentReference">
    <w:name w:val="annotation reference"/>
    <w:basedOn w:val="DefaultParagraphFont"/>
    <w:semiHidden/>
    <w:unhideWhenUsed/>
    <w:rsid w:val="00CF7C59"/>
    <w:rPr>
      <w:sz w:val="16"/>
      <w:szCs w:val="16"/>
    </w:rPr>
  </w:style>
  <w:style w:type="paragraph" w:styleId="CommentText">
    <w:name w:val="annotation text"/>
    <w:basedOn w:val="Normal"/>
    <w:link w:val="CommentTextChar"/>
    <w:unhideWhenUsed/>
    <w:rsid w:val="00CF7C59"/>
    <w:pPr>
      <w:spacing w:line="240" w:lineRule="auto"/>
    </w:pPr>
    <w:rPr>
      <w:sz w:val="20"/>
      <w:szCs w:val="20"/>
    </w:rPr>
  </w:style>
  <w:style w:type="character" w:customStyle="1" w:styleId="CommentTextChar">
    <w:name w:val="Comment Text Char"/>
    <w:basedOn w:val="DefaultParagraphFont"/>
    <w:link w:val="CommentText"/>
    <w:rsid w:val="00CF7C59"/>
    <w:rPr>
      <w:rFonts w:ascii="Aptos Display" w:eastAsia="Calibri" w:hAnsi="Aptos Display" w:cs="Arial"/>
      <w:sz w:val="20"/>
      <w:szCs w:val="20"/>
      <w:lang w:val="en-AU"/>
    </w:rPr>
  </w:style>
  <w:style w:type="paragraph" w:styleId="CommentSubject">
    <w:name w:val="annotation subject"/>
    <w:basedOn w:val="CommentText"/>
    <w:next w:val="CommentText"/>
    <w:link w:val="CommentSubjectChar"/>
    <w:semiHidden/>
    <w:unhideWhenUsed/>
    <w:rsid w:val="00CF7C59"/>
    <w:rPr>
      <w:b/>
      <w:bCs/>
    </w:rPr>
  </w:style>
  <w:style w:type="character" w:customStyle="1" w:styleId="CommentSubjectChar">
    <w:name w:val="Comment Subject Char"/>
    <w:basedOn w:val="CommentTextChar"/>
    <w:link w:val="CommentSubject"/>
    <w:semiHidden/>
    <w:rsid w:val="00CF7C59"/>
    <w:rPr>
      <w:rFonts w:ascii="Aptos Display" w:eastAsia="Calibri" w:hAnsi="Aptos Display" w:cs="Arial"/>
      <w:b/>
      <w:bCs/>
      <w:sz w:val="20"/>
      <w:szCs w:val="20"/>
      <w:lang w:val="en-AU"/>
    </w:rPr>
  </w:style>
  <w:style w:type="character" w:styleId="FollowedHyperlink">
    <w:name w:val="FollowedHyperlink"/>
    <w:basedOn w:val="DefaultParagraphFont"/>
    <w:semiHidden/>
    <w:unhideWhenUsed/>
    <w:rsid w:val="00AC2BCE"/>
    <w:rPr>
      <w:color w:val="800080" w:themeColor="followedHyperlink"/>
      <w:u w:val="single"/>
    </w:rPr>
  </w:style>
  <w:style w:type="character" w:styleId="Mention">
    <w:name w:val="Mention"/>
    <w:basedOn w:val="DefaultParagraphFont"/>
    <w:uiPriority w:val="99"/>
    <w:unhideWhenUsed/>
    <w:rsid w:val="000465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1797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50.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hyperlink" Target="https://doi.org/10.1007/s12651-013-0128-z" TargetMode="External"/><Relationship Id="rId68" Type="http://schemas.openxmlformats.org/officeDocument/2006/relationships/hyperlink" Target="https://macromostly.substack.com/p/measuring-grad-unemployment-properly" TargetMode="External"/><Relationship Id="rId84" Type="http://schemas.openxmlformats.org/officeDocument/2006/relationships/hyperlink" Target="https://doi.org/10.1111/j.1467-8462.1993.tb00810.x" TargetMode="External"/><Relationship Id="rId89" Type="http://schemas.openxmlformats.org/officeDocument/2006/relationships/hyperlink" Target="https://drive.google.com/file/d/1wbDNJspPly7ZjV1oWpSSX0Ti68KGCeN_/view" TargetMode="External"/><Relationship Id="rId112" Type="http://schemas.openxmlformats.org/officeDocument/2006/relationships/image" Target="media/image45.png"/><Relationship Id="rId16" Type="http://schemas.openxmlformats.org/officeDocument/2006/relationships/image" Target="media/image4.png"/><Relationship Id="rId107" Type="http://schemas.openxmlformats.org/officeDocument/2006/relationships/hyperlink" Target="https://www.axios.com/2025/05/28/ai-jobs-white-collar-unemployment-anthropic" TargetMode="External"/><Relationship Id="rId11" Type="http://schemas.openxmlformats.org/officeDocument/2006/relationships/image" Target="media/image1.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hyperlink" Target="https://www.abs.gov.au/statistics/labour/employment-and-unemployment/labour-force-australia-detailed/feb-2026" TargetMode="External"/><Relationship Id="rId74" Type="http://schemas.openxmlformats.org/officeDocument/2006/relationships/hyperlink" Target="https://www.nber.org/system/files/working_papers/w32117/w32117.pdf" TargetMode="External"/><Relationship Id="rId79" Type="http://schemas.openxmlformats.org/officeDocument/2006/relationships/hyperlink" Target="https://comms.industry.gov.au/pub/pubType/EO/pubID/zzzz69f148bd05a4b578/interface.html" TargetMode="External"/><Relationship Id="rId102" Type="http://schemas.openxmlformats.org/officeDocument/2006/relationships/hyperlink" Target="https://www.anthropic.com/research/labor-market-impacts" TargetMode="External"/><Relationship Id="rId5" Type="http://schemas.openxmlformats.org/officeDocument/2006/relationships/numbering" Target="numbering.xml"/><Relationship Id="rId90" Type="http://schemas.openxmlformats.org/officeDocument/2006/relationships/hyperlink" Target="https://www.nber.org/papers/w33777" TargetMode="External"/><Relationship Id="rId95" Type="http://schemas.openxmlformats.org/officeDocument/2006/relationships/hyperlink" Target="https://www.jobsandskills.gov.au/data/labour-force-trending" TargetMode="Externa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hyperlink" Target="https://academic.oup.com/qje/article-abstract/139/3/1399/7630187" TargetMode="External"/><Relationship Id="rId69" Type="http://schemas.openxmlformats.org/officeDocument/2006/relationships/hyperlink" Target="https://www.nber.org/papers/w24235" TargetMode="External"/><Relationship Id="rId113" Type="http://schemas.openxmlformats.org/officeDocument/2006/relationships/image" Target="media/image46.png"/><Relationship Id="rId118" Type="http://schemas.openxmlformats.org/officeDocument/2006/relationships/image" Target="media/image51.png"/><Relationship Id="rId80" Type="http://schemas.openxmlformats.org/officeDocument/2006/relationships/hyperlink" Target="https://doi.org/10.2307/2088328" TargetMode="External"/><Relationship Id="rId85" Type="http://schemas.openxmlformats.org/officeDocument/2006/relationships/hyperlink" Target="https://doi.org/10.1002/smj.3286" TargetMode="External"/><Relationship Id="rId12" Type="http://schemas.openxmlformats.org/officeDocument/2006/relationships/hyperlink" Target="https://creativecommons.org/licenses/by/4.0/" TargetMode="Externa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hyperlink" Target="https://www.abs.gov.au/media-centre/media-statements/modernising-labour-force-survey-april-2026" TargetMode="External"/><Relationship Id="rId103" Type="http://schemas.openxmlformats.org/officeDocument/2006/relationships/hyperlink" Target="https://doi.org/10.54394/00033279" TargetMode="External"/><Relationship Id="rId108" Type="http://schemas.openxmlformats.org/officeDocument/2006/relationships/hyperlink" Target="https://www.bloomberg.com/news/articles/2024-10-02/ai-can-only-do-5-of-jobs-says-mit-economist-who-fears-crash" TargetMode="External"/><Relationship Id="rId54" Type="http://schemas.openxmlformats.org/officeDocument/2006/relationships/hyperlink" Target="https://www.abs.gov.au/statistics/detailed-methodology-information/concepts-sources-methods/labour-statistics-concepts-sources-and-methods/2021/concepts-and-sources/labour-force-framework" TargetMode="External"/><Relationship Id="rId70" Type="http://schemas.openxmlformats.org/officeDocument/2006/relationships/hyperlink" Target="https://doi.org/10.1111/1467-8462.70047" TargetMode="External"/><Relationship Id="rId75" Type="http://schemas.openxmlformats.org/officeDocument/2006/relationships/hyperlink" Target="https://dx.doi.org/10.2139/ssrn.5384519" TargetMode="External"/><Relationship Id="rId91" Type="http://schemas.openxmlformats.org/officeDocument/2006/relationships/hyperlink" Target="https://www.abc.net.au/news/2026-03-12/australian-tech-atlassian-cuts-1600-jobs-from-global-workforce/106445334" TargetMode="External"/><Relationship Id="rId96" Type="http://schemas.openxmlformats.org/officeDocument/2006/relationships/hyperlink" Target="https://www.jobsandskills.gov.au/data/internet-vacancy-index"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47.png"/><Relationship Id="rId119" Type="http://schemas.openxmlformats.org/officeDocument/2006/relationships/footer" Target="footer1.xml"/><Relationship Id="rId44" Type="http://schemas.openxmlformats.org/officeDocument/2006/relationships/image" Target="media/image32.png"/><Relationship Id="rId60" Type="http://schemas.openxmlformats.org/officeDocument/2006/relationships/hyperlink" Target="https://doi.org/10.1093/epolic/eiae042" TargetMode="External"/><Relationship Id="rId65" Type="http://schemas.openxmlformats.org/officeDocument/2006/relationships/hyperlink" Target="https://doi.org/10.1162/003355303322552801" TargetMode="External"/><Relationship Id="rId81" Type="http://schemas.openxmlformats.org/officeDocument/2006/relationships/hyperlink" Target="https://eig.org/ai-and-jobs-the-final-word/" TargetMode="External"/><Relationship Id="rId86" Type="http://schemas.openxmlformats.org/officeDocument/2006/relationships/hyperlink" Target="https://www.nber.org/system/files/working_papers/w34639/w34639.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reativecommons.org/licenses/by/4.0/legalcode" TargetMode="Externa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42.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hyperlink" Target="https://www.abs.gov.au/statistics/classifications/anzsco-australian-and-new-zealand-standard-classification-occupations/2022/conceptual-basis-anzsco" TargetMode="External"/><Relationship Id="rId76" Type="http://schemas.openxmlformats.org/officeDocument/2006/relationships/hyperlink" Target="https://doi.org/10.1093/qje/qjad054" TargetMode="External"/><Relationship Id="rId97" Type="http://schemas.openxmlformats.org/officeDocument/2006/relationships/hyperlink" Target="https://dx.doi.org/10.2139/ssrn.5516798" TargetMode="External"/><Relationship Id="rId104" Type="http://schemas.openxmlformats.org/officeDocument/2006/relationships/hyperlink" Target="https://arxiv.org/abs/2509.15265" TargetMode="External"/><Relationship Id="rId120"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www.abs.gov.au/system/files/documents/b148083d79e89d2e287eb9ddd2410f6c/Borland%2C%20Coelli%20-%20The%20Australian%20labour%20market%20and%20the%20digital%20economy.pdf" TargetMode="External"/><Relationship Id="rId92" Type="http://schemas.openxmlformats.org/officeDocument/2006/relationships/hyperlink" Target="https://dx.doi.org/10.2139/ssrn.6460358" TargetMode="Externa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hyperlink" Target="https://doi.org/10.1093/jeea/jvaf023" TargetMode="External"/><Relationship Id="rId87" Type="http://schemas.openxmlformats.org/officeDocument/2006/relationships/hyperlink" Target="https://budgetlab.yale.edu/research/labor-market-ai-exposure-what-do-we-know" TargetMode="External"/><Relationship Id="rId110" Type="http://schemas.openxmlformats.org/officeDocument/2006/relationships/image" Target="media/image43.png"/><Relationship Id="rId115" Type="http://schemas.openxmlformats.org/officeDocument/2006/relationships/image" Target="media/image48.png"/><Relationship Id="rId61" Type="http://schemas.openxmlformats.org/officeDocument/2006/relationships/hyperlink" Target="https://doi.org/10.1257/jep.33.2.3" TargetMode="External"/><Relationship Id="rId82" Type="http://schemas.openxmlformats.org/officeDocument/2006/relationships/hyperlink" Target="https://arxiv.org/pdf/2303.10130" TargetMode="Externa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hyperlink" Target="https://www.abs.gov.au/statistics/classifications/osca-occupation-standard-classification-australia/latest-release" TargetMode="External"/><Relationship Id="rId77" Type="http://schemas.openxmlformats.org/officeDocument/2006/relationships/hyperlink" Target="https://www.nber.org/system/files/working_papers/w33323/w33323.pdf" TargetMode="External"/><Relationship Id="rId100" Type="http://schemas.openxmlformats.org/officeDocument/2006/relationships/hyperlink" Target="https://www.nber.org/books-and-chapters/economics-transformative-ai/how-adaptable-are-american-workers-ai-induced-job-displacement" TargetMode="External"/><Relationship Id="rId105" Type="http://schemas.openxmlformats.org/officeDocument/2006/relationships/hyperlink" Target="https://doi.org/10.1162/rest.88.4.641" TargetMode="External"/><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hyperlink" Target="https://digitaleconomy.stanford.edu/publications/canaries-in-the-coal-mine/" TargetMode="External"/><Relationship Id="rId93" Type="http://schemas.openxmlformats.org/officeDocument/2006/relationships/hyperlink" Target="https://www.jobsandskills.gov.au/publications/our-gen-ai-transition-final-release" TargetMode="External"/><Relationship Id="rId98" Type="http://schemas.openxmlformats.org/officeDocument/2006/relationships/hyperlink" Target="https://www.brookings.edu/articles/research-on-ai-and-the-labor-market-is-still-in-the-first-inning/" TargetMode="Externa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hyperlink" Target="https://arxiv.org/abs/2601.21749" TargetMode="External"/><Relationship Id="rId116" Type="http://schemas.openxmlformats.org/officeDocument/2006/relationships/image" Target="media/image49.pn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hyperlink" Target="https://doi.org/10.1111/1475-4932.12601" TargetMode="External"/><Relationship Id="rId83" Type="http://schemas.openxmlformats.org/officeDocument/2006/relationships/hyperlink" Target="https://www.ben-evans.com/benedictevans/2026/5/24/ai-job-exposure" TargetMode="External"/><Relationship Id="rId88" Type="http://schemas.openxmlformats.org/officeDocument/2006/relationships/hyperlink" Target="https://budgetlab.yale.edu/research/evaluating-impact-ai-labor-market-current-state-affairs" TargetMode="External"/><Relationship Id="rId111" Type="http://schemas.openxmlformats.org/officeDocument/2006/relationships/image" Target="media/image44.png"/><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hyperlink" Target="https://www.abs.gov.au/statistics/labour/employment-and-unemployment/labour-force-australia/feb-2026" TargetMode="External"/><Relationship Id="rId106" Type="http://schemas.openxmlformats.org/officeDocument/2006/relationships/hyperlink" Target="https://www.seek.com.au/about/news/article/labour-market-mismatch-indicator" TargetMode="External"/><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hyperlink" Target="https://e61.in/wp-content/uploads/2024/10/Non-competes-RN-20241014.pdf" TargetMode="External"/><Relationship Id="rId78" Type="http://schemas.openxmlformats.org/officeDocument/2006/relationships/hyperlink" Target="https://www.rba.gov.au/publications/bulletin/2018/jun/labour-market-outcomes-for-younger-people.html" TargetMode="External"/><Relationship Id="rId94" Type="http://schemas.openxmlformats.org/officeDocument/2006/relationships/hyperlink" Target="https://www.jobsandskills.gov.au/publications/generative-ai-capacity-study-report" TargetMode="External"/><Relationship Id="rId99" Type="http://schemas.openxmlformats.org/officeDocument/2006/relationships/hyperlink" Target="https://ssrn.com/abstract=6787638" TargetMode="External"/><Relationship Id="rId101" Type="http://schemas.openxmlformats.org/officeDocument/2006/relationships/hyperlink" Target="https://ajle.org/index.php/ajle_home/article/view/303" TargetMode="External"/><Relationship Id="rId1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8EC10EDC5A2946BA9DE9A5CCD4DCAA" ma:contentTypeVersion="14" ma:contentTypeDescription="Create a new document." ma:contentTypeScope="" ma:versionID="c2036285d8446f134d62b66e6616ed8d">
  <xsd:schema xmlns:xsd="http://www.w3.org/2001/XMLSchema" xmlns:xs="http://www.w3.org/2001/XMLSchema" xmlns:p="http://schemas.microsoft.com/office/2006/metadata/properties" xmlns:ns2="509681b1-de9d-4022-82a5-71e44ac75f66" xmlns:ns3="f93cb5d7-1a5e-454c-82f2-ac641d56233e" targetNamespace="http://schemas.microsoft.com/office/2006/metadata/properties" ma:root="true" ma:fieldsID="e8a4a2e98be32731a7305a3e7acc70d8" ns2:_="" ns3:_="">
    <xsd:import namespace="509681b1-de9d-4022-82a5-71e44ac75f66"/>
    <xsd:import namespace="f93cb5d7-1a5e-454c-82f2-ac641d5623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ID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681b1-de9d-4022-82a5-71e44ac75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IDNumber" ma:index="20" nillable="true" ma:displayName="ID Number" ma:format="Dropdown" ma:indexed="true" ma:internalName="IDNumber" ma:percentage="FALSE">
      <xsd:simpleType>
        <xsd:restriction base="dms:Number"/>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3cb5d7-1a5e-454c-82f2-ac641d5623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69eb49-c89b-459d-afbe-c4c28a2ce2a5}" ma:internalName="TaxCatchAll" ma:showField="CatchAllData" ma:web="f93cb5d7-1a5e-454c-82f2-ac641d5623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DNumber xmlns="509681b1-de9d-4022-82a5-71e44ac75f66" xsi:nil="true"/>
    <lcf76f155ced4ddcb4097134ff3c332f xmlns="509681b1-de9d-4022-82a5-71e44ac75f66">
      <Terms xmlns="http://schemas.microsoft.com/office/infopath/2007/PartnerControls"/>
    </lcf76f155ced4ddcb4097134ff3c332f>
    <TaxCatchAll xmlns="f93cb5d7-1a5e-454c-82f2-ac641d56233e" xsi:nil="true"/>
  </documentManagement>
</p:properties>
</file>

<file path=customXml/itemProps1.xml><?xml version="1.0" encoding="utf-8"?>
<ds:datastoreItem xmlns:ds="http://schemas.openxmlformats.org/officeDocument/2006/customXml" ds:itemID="{389F0BD0-6291-46A3-BE30-BA5CEED6C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681b1-de9d-4022-82a5-71e44ac75f66"/>
    <ds:schemaRef ds:uri="f93cb5d7-1a5e-454c-82f2-ac641d562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0317C1-C3E5-427A-ABC9-17DCB51137E9}">
  <ds:schemaRefs>
    <ds:schemaRef ds:uri="http://schemas.openxmlformats.org/officeDocument/2006/bibliography"/>
  </ds:schemaRefs>
</ds:datastoreItem>
</file>

<file path=customXml/itemProps3.xml><?xml version="1.0" encoding="utf-8"?>
<ds:datastoreItem xmlns:ds="http://schemas.openxmlformats.org/officeDocument/2006/customXml" ds:itemID="{717DCB11-C9DC-4295-B2DF-544B24C02D73}">
  <ds:schemaRefs>
    <ds:schemaRef ds:uri="http://schemas.microsoft.com/sharepoint/v3/contenttype/forms"/>
  </ds:schemaRefs>
</ds:datastoreItem>
</file>

<file path=customXml/itemProps4.xml><?xml version="1.0" encoding="utf-8"?>
<ds:datastoreItem xmlns:ds="http://schemas.openxmlformats.org/officeDocument/2006/customXml" ds:itemID="{7607FC82-0C88-445C-A7F3-5074C7FDEC4C}">
  <ds:schemaRefs>
    <ds:schemaRef ds:uri="http://schemas.microsoft.com/office/2006/metadata/properties"/>
    <ds:schemaRef ds:uri="http://schemas.microsoft.com/office/infopath/2007/PartnerControls"/>
    <ds:schemaRef ds:uri="509681b1-de9d-4022-82a5-71e44ac75f66"/>
    <ds:schemaRef ds:uri="f93cb5d7-1a5e-454c-82f2-ac641d56233e"/>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84</Pages>
  <Words>28425</Words>
  <Characters>160890</Characters>
  <Application>Microsoft Office Word</Application>
  <DocSecurity>0</DocSecurity>
  <Lines>2726</Lines>
  <Paragraphs>1175</Paragraphs>
  <ScaleCrop>false</ScaleCrop>
  <Company/>
  <LinksUpToDate>false</LinksUpToDate>
  <CharactersWithSpaces>188140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and employment in Australia</dc:title>
  <dc:creator>COWGILL,Matt</dc:creator>
  <cp:keywords/>
  <cp:lastModifiedBy>Liz Wakerly</cp:lastModifiedBy>
  <cp:revision>158</cp:revision>
  <cp:lastPrinted>2026-07-02T00:04:00Z</cp:lastPrinted>
  <dcterms:created xsi:type="dcterms:W3CDTF">2026-06-25T08:21:00Z</dcterms:created>
  <dcterms:modified xsi:type="dcterms:W3CDTF">2026-07-02T00:05:00Z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AI-citations.bib</vt:lpwstr>
  </property>
  <property fmtid="{D5CDD505-2E9C-101B-9397-08002B2CF9AE}" pid="3" name="csl">
    <vt:lpwstr>style-manual-australian-government.csl</vt:lpwstr>
  </property>
  <property fmtid="{D5CDD505-2E9C-101B-9397-08002B2CF9AE}" pid="4" name="date">
    <vt:lpwstr>June 2026</vt:lpwstr>
  </property>
  <property fmtid="{D5CDD505-2E9C-101B-9397-08002B2CF9AE}" pid="5" name="editor_options">
    <vt:lpwstr/>
  </property>
  <property fmtid="{D5CDD505-2E9C-101B-9397-08002B2CF9AE}" pid="6" name="output">
    <vt:lpwstr/>
  </property>
  <property fmtid="{D5CDD505-2E9C-101B-9397-08002B2CF9AE}" pid="7" name="subtitle">
    <vt:lpwstr>Monitoring framework and evidence to date</vt:lpwstr>
  </property>
  <property fmtid="{D5CDD505-2E9C-101B-9397-08002B2CF9AE}" pid="8" name="MSIP_Label_79d889eb-932f-4752-8739-64d25806ef64_SetDate">
    <vt:lpwstr>2026-06-04T01:54:18Z</vt:lpwstr>
  </property>
  <property fmtid="{D5CDD505-2E9C-101B-9397-08002B2CF9AE}" pid="9" name="MediaServiceImageTags">
    <vt:lpwstr/>
  </property>
  <property fmtid="{D5CDD505-2E9C-101B-9397-08002B2CF9AE}" pid="10" name="ContentTypeId">
    <vt:lpwstr>0x010100EE8EC10EDC5A2946BA9DE9A5CCD4DCAA</vt:lpwstr>
  </property>
  <property fmtid="{D5CDD505-2E9C-101B-9397-08002B2CF9AE}" pid="11" name="MSIP_Label_79d889eb-932f-4752-8739-64d25806ef64_Name">
    <vt:lpwstr>79d889eb-932f-4752-8739-64d25806ef64</vt:lpwstr>
  </property>
  <property fmtid="{D5CDD505-2E9C-101B-9397-08002B2CF9AE}" pid="12" name="MSIP_Label_79d889eb-932f-4752-8739-64d25806ef64_Enabled">
    <vt:lpwstr>true</vt:lpwstr>
  </property>
  <property fmtid="{D5CDD505-2E9C-101B-9397-08002B2CF9AE}" pid="13" name="MSIP_Label_79d889eb-932f-4752-8739-64d25806ef64_Tag">
    <vt:lpwstr>10, 0, 1, 1</vt:lpwstr>
  </property>
  <property fmtid="{D5CDD505-2E9C-101B-9397-08002B2CF9AE}" pid="14" name="MSIP_Label_79d889eb-932f-4752-8739-64d25806ef64_Method">
    <vt:lpwstr>Privileged</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869e0f68-419f-4972-aa5b-e0ff1447e7d2</vt:lpwstr>
  </property>
  <property fmtid="{D5CDD505-2E9C-101B-9397-08002B2CF9AE}" pid="17" name="MSIP_Label_79d889eb-932f-4752-8739-64d25806ef64_ContentBits">
    <vt:lpwstr>0</vt:lpwstr>
  </property>
</Properties>
</file>