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A44C" w14:textId="77777777" w:rsidR="009642A7" w:rsidRPr="003F63AA" w:rsidRDefault="009642A7" w:rsidP="009642A7">
      <w:pPr>
        <w:spacing w:after="0"/>
        <w:rPr>
          <w:rFonts w:ascii="Calibri" w:eastAsia="Times New Roman" w:hAnsi="Calibri" w:cs="Times New Roman"/>
          <w:sz w:val="22"/>
          <w:szCs w:val="22"/>
        </w:rPr>
      </w:pPr>
      <w:r w:rsidRPr="003F63AA">
        <w:rPr>
          <w:rFonts w:ascii="Calibri" w:eastAsia="Times New Roman" w:hAnsi="Calibri" w:cs="Times New Roman"/>
          <w:noProof/>
          <w:sz w:val="22"/>
          <w:szCs w:val="22"/>
        </w:rPr>
        <w:drawing>
          <wp:inline distT="0" distB="0" distL="0" distR="0" wp14:anchorId="3198BCD8" wp14:editId="4B91685C">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3F63AA">
        <w:rPr>
          <w:rFonts w:ascii="Calibri" w:eastAsia="Times New Roman" w:hAnsi="Calibri" w:cs="Times New Roman"/>
          <w:noProof/>
          <w:sz w:val="22"/>
          <w:szCs w:val="22"/>
        </w:rPr>
        <w:drawing>
          <wp:anchor distT="0" distB="0" distL="114300" distR="114300" simplePos="0" relativeHeight="251658240" behindDoc="1" locked="0" layoutInCell="1" allowOverlap="1" wp14:anchorId="245D6C9D" wp14:editId="2F1C78AF">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0"/>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669AB653" w14:textId="77777777" w:rsidR="009642A7" w:rsidRPr="003F63AA" w:rsidRDefault="009642A7" w:rsidP="009642A7">
      <w:pPr>
        <w:spacing w:before="3240" w:after="0"/>
        <w:ind w:left="1276"/>
        <w:rPr>
          <w:rFonts w:ascii="Aptos" w:eastAsia="Times New Roman" w:hAnsi="Aptos" w:cs="Times New Roman"/>
          <w:b/>
          <w:color w:val="404246"/>
          <w:spacing w:val="-10"/>
          <w:kern w:val="28"/>
          <w:sz w:val="60"/>
          <w:szCs w:val="56"/>
          <w:lang w:eastAsia="en-AU"/>
        </w:rPr>
      </w:pPr>
      <w:r w:rsidRPr="003F63AA">
        <w:rPr>
          <w:rFonts w:ascii="Aptos" w:eastAsia="Times New Roman" w:hAnsi="Aptos" w:cs="Times New Roman"/>
          <w:b/>
          <w:color w:val="404246"/>
          <w:spacing w:val="-10"/>
          <w:kern w:val="28"/>
          <w:sz w:val="60"/>
          <w:szCs w:val="56"/>
          <w:lang w:eastAsia="en-AU"/>
        </w:rPr>
        <w:t>Trends in Federal Enterprise Bargaining</w:t>
      </w:r>
    </w:p>
    <w:p w14:paraId="58516944" w14:textId="624DCAA5" w:rsidR="009642A7" w:rsidRPr="003F63AA" w:rsidRDefault="009642A7" w:rsidP="009642A7">
      <w:pPr>
        <w:numPr>
          <w:ilvl w:val="1"/>
          <w:numId w:val="0"/>
        </w:numPr>
        <w:spacing w:before="240" w:after="0" w:line="276" w:lineRule="auto"/>
        <w:ind w:left="1276"/>
        <w:rPr>
          <w:rFonts w:ascii="Aptos" w:eastAsia="Times New Roman" w:hAnsi="Aptos" w:cs="Arial"/>
          <w:color w:val="789B4A"/>
          <w:spacing w:val="15"/>
          <w:sz w:val="40"/>
          <w:szCs w:val="22"/>
          <w:lang w:eastAsia="en-AU"/>
        </w:rPr>
      </w:pPr>
      <w:r>
        <w:rPr>
          <w:rFonts w:ascii="Aptos" w:eastAsia="Times New Roman" w:hAnsi="Aptos" w:cs="Arial"/>
          <w:color w:val="789B4A"/>
          <w:spacing w:val="15"/>
          <w:sz w:val="40"/>
          <w:szCs w:val="22"/>
          <w:lang w:eastAsia="en-AU"/>
        </w:rPr>
        <w:t>June</w:t>
      </w:r>
      <w:r w:rsidRPr="003F63AA">
        <w:rPr>
          <w:rFonts w:ascii="Aptos" w:eastAsia="Times New Roman" w:hAnsi="Aptos" w:cs="Arial"/>
          <w:color w:val="789B4A"/>
          <w:spacing w:val="15"/>
          <w:sz w:val="40"/>
          <w:szCs w:val="22"/>
          <w:lang w:eastAsia="en-AU"/>
        </w:rPr>
        <w:t xml:space="preserve"> quarter 2025</w:t>
      </w:r>
    </w:p>
    <w:p w14:paraId="46402ABF" w14:textId="77777777" w:rsidR="009642A7" w:rsidRPr="003F63AA" w:rsidRDefault="009642A7" w:rsidP="009642A7">
      <w:pPr>
        <w:spacing w:after="0"/>
        <w:rPr>
          <w:rFonts w:ascii="Aptos" w:eastAsia="Times New Roman" w:hAnsi="Aptos" w:cs="Times New Roman"/>
          <w:sz w:val="22"/>
          <w:szCs w:val="22"/>
          <w:lang w:eastAsia="en-AU"/>
        </w:rPr>
      </w:pPr>
    </w:p>
    <w:p w14:paraId="26B4C172" w14:textId="77777777" w:rsidR="009642A7" w:rsidRPr="003F63AA" w:rsidRDefault="009642A7" w:rsidP="009642A7">
      <w:pPr>
        <w:spacing w:after="0"/>
        <w:rPr>
          <w:rFonts w:ascii="Aptos" w:eastAsia="Times New Roman" w:hAnsi="Aptos" w:cs="Times New Roman"/>
          <w:sz w:val="22"/>
          <w:szCs w:val="22"/>
          <w:lang w:eastAsia="en-AU"/>
        </w:rPr>
      </w:pPr>
    </w:p>
    <w:p w14:paraId="7F6E0701" w14:textId="77777777" w:rsidR="009642A7" w:rsidRPr="003F63AA" w:rsidRDefault="009642A7" w:rsidP="009642A7">
      <w:pPr>
        <w:spacing w:after="0"/>
        <w:rPr>
          <w:rFonts w:ascii="Aptos" w:eastAsia="Times New Roman" w:hAnsi="Aptos" w:cs="Times New Roman"/>
          <w:sz w:val="22"/>
          <w:szCs w:val="22"/>
          <w:lang w:eastAsia="en-AU"/>
        </w:rPr>
      </w:pPr>
      <w:bookmarkStart w:id="0" w:name="_Toc30065222"/>
    </w:p>
    <w:p w14:paraId="3B0FB457" w14:textId="77777777" w:rsidR="009642A7" w:rsidRPr="003F63AA" w:rsidRDefault="009642A7" w:rsidP="009642A7">
      <w:pPr>
        <w:spacing w:after="0"/>
        <w:rPr>
          <w:rFonts w:ascii="Aptos" w:eastAsia="Times New Roman" w:hAnsi="Aptos" w:cs="Times New Roman"/>
          <w:sz w:val="22"/>
          <w:szCs w:val="22"/>
        </w:rPr>
      </w:pPr>
    </w:p>
    <w:p w14:paraId="64863490" w14:textId="77777777" w:rsidR="009642A7" w:rsidRPr="003F63AA" w:rsidRDefault="009642A7" w:rsidP="009642A7">
      <w:pPr>
        <w:spacing w:after="0"/>
        <w:rPr>
          <w:rFonts w:ascii="Aptos" w:eastAsia="Times New Roman" w:hAnsi="Aptos" w:cs="Times New Roman"/>
          <w:sz w:val="22"/>
          <w:szCs w:val="22"/>
        </w:rPr>
      </w:pPr>
    </w:p>
    <w:p w14:paraId="0B9B52AE" w14:textId="77777777" w:rsidR="009642A7" w:rsidRPr="003F63AA" w:rsidRDefault="009642A7" w:rsidP="009642A7">
      <w:pPr>
        <w:spacing w:after="0"/>
        <w:rPr>
          <w:rFonts w:ascii="Aptos" w:eastAsia="Times New Roman" w:hAnsi="Aptos" w:cs="Times New Roman"/>
          <w:sz w:val="22"/>
          <w:szCs w:val="22"/>
        </w:rPr>
      </w:pPr>
    </w:p>
    <w:p w14:paraId="60BF92EF" w14:textId="77777777" w:rsidR="009642A7" w:rsidRPr="003F63AA" w:rsidRDefault="009642A7" w:rsidP="009642A7">
      <w:pPr>
        <w:spacing w:after="0"/>
        <w:rPr>
          <w:rFonts w:ascii="Aptos" w:eastAsia="Times New Roman" w:hAnsi="Aptos" w:cs="Times New Roman"/>
          <w:sz w:val="22"/>
          <w:szCs w:val="22"/>
        </w:rPr>
      </w:pPr>
    </w:p>
    <w:p w14:paraId="3074BDBB" w14:textId="77777777" w:rsidR="009642A7" w:rsidRPr="003F63AA" w:rsidRDefault="009642A7" w:rsidP="009642A7">
      <w:pPr>
        <w:spacing w:after="0"/>
        <w:rPr>
          <w:rFonts w:ascii="Aptos" w:eastAsia="Times New Roman" w:hAnsi="Aptos" w:cs="Times New Roman"/>
          <w:sz w:val="22"/>
          <w:szCs w:val="22"/>
        </w:rPr>
      </w:pPr>
    </w:p>
    <w:p w14:paraId="099F7FC9" w14:textId="77777777" w:rsidR="009642A7" w:rsidRPr="003F63AA" w:rsidRDefault="009642A7" w:rsidP="009642A7">
      <w:pPr>
        <w:spacing w:after="0"/>
        <w:rPr>
          <w:rFonts w:ascii="Aptos" w:eastAsia="Times New Roman" w:hAnsi="Aptos" w:cs="Times New Roman"/>
          <w:sz w:val="22"/>
          <w:szCs w:val="22"/>
        </w:rPr>
      </w:pPr>
    </w:p>
    <w:p w14:paraId="46F5F51F" w14:textId="77777777" w:rsidR="009642A7" w:rsidRPr="003F63AA" w:rsidRDefault="009642A7" w:rsidP="009642A7">
      <w:pPr>
        <w:spacing w:after="0"/>
        <w:rPr>
          <w:rFonts w:ascii="Aptos" w:eastAsia="Times New Roman" w:hAnsi="Aptos" w:cs="Times New Roman"/>
          <w:sz w:val="22"/>
          <w:szCs w:val="22"/>
        </w:rPr>
      </w:pPr>
    </w:p>
    <w:p w14:paraId="64C97B74" w14:textId="77777777" w:rsidR="009642A7" w:rsidRPr="003F63AA" w:rsidRDefault="009642A7" w:rsidP="009642A7">
      <w:pPr>
        <w:spacing w:after="0"/>
        <w:rPr>
          <w:rFonts w:ascii="Aptos" w:eastAsia="Times New Roman" w:hAnsi="Aptos" w:cs="Times New Roman"/>
          <w:sz w:val="22"/>
          <w:szCs w:val="22"/>
        </w:rPr>
      </w:pPr>
    </w:p>
    <w:p w14:paraId="2091FF23" w14:textId="77777777" w:rsidR="009642A7" w:rsidRPr="003F63AA" w:rsidRDefault="009642A7" w:rsidP="009642A7">
      <w:pPr>
        <w:spacing w:after="0"/>
        <w:rPr>
          <w:rFonts w:ascii="Aptos" w:eastAsia="Times New Roman" w:hAnsi="Aptos" w:cs="Times New Roman"/>
          <w:sz w:val="22"/>
          <w:szCs w:val="22"/>
        </w:rPr>
      </w:pPr>
    </w:p>
    <w:p w14:paraId="1BF5AE12" w14:textId="77777777" w:rsidR="009642A7" w:rsidRPr="003F63AA" w:rsidRDefault="009642A7" w:rsidP="009642A7">
      <w:pPr>
        <w:spacing w:after="0"/>
        <w:rPr>
          <w:rFonts w:ascii="Aptos" w:eastAsia="Times New Roman" w:hAnsi="Aptos" w:cs="Times New Roman"/>
          <w:sz w:val="22"/>
          <w:szCs w:val="22"/>
        </w:rPr>
      </w:pPr>
    </w:p>
    <w:p w14:paraId="3B239F89" w14:textId="77777777" w:rsidR="009642A7" w:rsidRPr="003F63AA" w:rsidRDefault="009642A7" w:rsidP="009642A7">
      <w:pPr>
        <w:spacing w:after="0"/>
        <w:rPr>
          <w:rFonts w:ascii="Aptos" w:eastAsia="Times New Roman" w:hAnsi="Aptos" w:cs="Times New Roman"/>
          <w:sz w:val="22"/>
          <w:szCs w:val="22"/>
        </w:rPr>
      </w:pPr>
    </w:p>
    <w:p w14:paraId="60AC310C" w14:textId="77777777" w:rsidR="009642A7" w:rsidRPr="003F63AA" w:rsidRDefault="009642A7" w:rsidP="009642A7">
      <w:pPr>
        <w:spacing w:after="0"/>
        <w:rPr>
          <w:rFonts w:ascii="Aptos" w:eastAsia="Times New Roman" w:hAnsi="Aptos" w:cs="Times New Roman"/>
          <w:sz w:val="22"/>
          <w:szCs w:val="22"/>
        </w:rPr>
      </w:pPr>
    </w:p>
    <w:p w14:paraId="48E270E0" w14:textId="77777777" w:rsidR="009642A7" w:rsidRPr="003F63AA" w:rsidRDefault="009642A7" w:rsidP="009642A7">
      <w:pP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With the exception of the Commonwealth Coat of Arms, the Department’s logo, any material protected by a trade mark and where otherwise noted all material presented in this document is provided under a </w:t>
      </w:r>
      <w:hyperlink r:id="rId11" w:history="1">
        <w:r w:rsidRPr="003F63AA">
          <w:rPr>
            <w:rFonts w:ascii="Aptos" w:eastAsia="Times New Roman" w:hAnsi="Aptos" w:cs="Times New Roman"/>
            <w:color w:val="165788"/>
            <w:sz w:val="22"/>
            <w:szCs w:val="22"/>
            <w:u w:val="single"/>
          </w:rPr>
          <w:t>Creative Commons Attribution 4.0 International</w:t>
        </w:r>
      </w:hyperlink>
      <w:r w:rsidRPr="003F63AA">
        <w:rPr>
          <w:rFonts w:ascii="Aptos" w:eastAsia="Times New Roman" w:hAnsi="Aptos" w:cs="Times New Roman"/>
          <w:sz w:val="22"/>
          <w:szCs w:val="22"/>
        </w:rPr>
        <w:t xml:space="preserve"> (https://creativecommons.org/licenses/by/4.0/) </w:t>
      </w:r>
      <w:proofErr w:type="spellStart"/>
      <w:r w:rsidRPr="003F63AA">
        <w:rPr>
          <w:rFonts w:ascii="Aptos" w:eastAsia="Times New Roman" w:hAnsi="Aptos" w:cs="Times New Roman"/>
          <w:sz w:val="22"/>
          <w:szCs w:val="22"/>
        </w:rPr>
        <w:t>licence</w:t>
      </w:r>
      <w:proofErr w:type="spellEnd"/>
      <w:r w:rsidRPr="003F63AA">
        <w:rPr>
          <w:rFonts w:ascii="Aptos" w:eastAsia="Times New Roman" w:hAnsi="Aptos" w:cs="Times New Roman"/>
          <w:sz w:val="22"/>
          <w:szCs w:val="22"/>
        </w:rPr>
        <w:t>.</w:t>
      </w:r>
    </w:p>
    <w:p w14:paraId="32112136" w14:textId="77777777" w:rsidR="009642A7" w:rsidRPr="003F63AA" w:rsidRDefault="009642A7" w:rsidP="009642A7">
      <w:pP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The details of the relevant </w:t>
      </w:r>
      <w:proofErr w:type="spellStart"/>
      <w:r w:rsidRPr="003F63AA">
        <w:rPr>
          <w:rFonts w:ascii="Aptos" w:eastAsia="Times New Roman" w:hAnsi="Aptos" w:cs="Times New Roman"/>
          <w:sz w:val="22"/>
          <w:szCs w:val="22"/>
        </w:rPr>
        <w:t>licence</w:t>
      </w:r>
      <w:proofErr w:type="spellEnd"/>
      <w:r w:rsidRPr="003F63AA">
        <w:rPr>
          <w:rFonts w:ascii="Aptos" w:eastAsia="Times New Roman" w:hAnsi="Aptos" w:cs="Times New Roman"/>
          <w:sz w:val="22"/>
          <w:szCs w:val="22"/>
        </w:rPr>
        <w:t xml:space="preserve"> conditions are available on the Creative Commons website (accessible using the links provided) as is the full legal code for the </w:t>
      </w:r>
      <w:hyperlink r:id="rId12" w:history="1">
        <w:r w:rsidRPr="003F63AA">
          <w:rPr>
            <w:rFonts w:ascii="Aptos" w:eastAsia="Times New Roman" w:hAnsi="Aptos" w:cs="Times New Roman"/>
            <w:color w:val="165788"/>
            <w:sz w:val="22"/>
            <w:szCs w:val="22"/>
            <w:u w:val="single"/>
          </w:rPr>
          <w:t>CC BY 4.0 International</w:t>
        </w:r>
      </w:hyperlink>
      <w:r w:rsidRPr="003F63AA">
        <w:rPr>
          <w:rFonts w:ascii="Aptos" w:eastAsia="Times New Roman" w:hAnsi="Aptos" w:cs="Times New Roman"/>
          <w:sz w:val="22"/>
          <w:szCs w:val="22"/>
        </w:rPr>
        <w:t xml:space="preserve"> (https://creativecommons.org/licenses/by/4.0/legalcode)</w:t>
      </w:r>
      <w:r w:rsidRPr="003F63AA">
        <w:rPr>
          <w:rFonts w:ascii="Aptos" w:eastAsia="Times New Roman" w:hAnsi="Aptos" w:cs="Times New Roman"/>
          <w:sz w:val="22"/>
          <w:szCs w:val="22"/>
        </w:rPr>
        <w:br/>
      </w:r>
    </w:p>
    <w:p w14:paraId="5633D44E" w14:textId="77777777" w:rsidR="009642A7" w:rsidRPr="003F63AA" w:rsidRDefault="009642A7" w:rsidP="009642A7">
      <w:pP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The document must be attributed as the Trends in Federal Enterprise Bargaining Report, Department of Employment and Workplace Relations. </w:t>
      </w:r>
    </w:p>
    <w:p w14:paraId="1D649D50" w14:textId="77777777" w:rsidR="009642A7" w:rsidRPr="003F63AA" w:rsidRDefault="009642A7" w:rsidP="009642A7">
      <w:pPr>
        <w:pStyle w:val="Heading1"/>
        <w:numPr>
          <w:ilvl w:val="0"/>
          <w:numId w:val="0"/>
        </w:numPr>
        <w:ind w:left="360" w:hanging="360"/>
        <w:rPr>
          <w:rFonts w:ascii="Aptos" w:eastAsia="Times New Roman" w:hAnsi="Aptos" w:cs="Times New Roman"/>
          <w:b w:val="0"/>
          <w:color w:val="auto"/>
          <w:sz w:val="22"/>
          <w:szCs w:val="22"/>
        </w:rPr>
      </w:pPr>
      <w:r w:rsidRPr="003F63AA">
        <w:rPr>
          <w:rFonts w:ascii="Aptos" w:eastAsia="Times New Roman" w:hAnsi="Aptos" w:cs="Times New Roman"/>
          <w:color w:val="auto"/>
          <w:sz w:val="36"/>
          <w:szCs w:val="28"/>
        </w:rPr>
        <w:lastRenderedPageBreak/>
        <w:t>Table of Contents</w:t>
      </w:r>
    </w:p>
    <w:p w14:paraId="37F3CBE6" w14:textId="69022C82" w:rsidR="009642A7" w:rsidRPr="003F63AA" w:rsidRDefault="009642A7" w:rsidP="009642A7">
      <w:pPr>
        <w:pStyle w:val="BlockText"/>
        <w:rPr>
          <w:rFonts w:ascii="Aptos" w:hAnsi="Aptos"/>
        </w:rPr>
      </w:pPr>
      <w:r w:rsidRPr="003F63AA">
        <w:rPr>
          <w:rFonts w:ascii="Aptos" w:hAnsi="Aptos"/>
        </w:rPr>
        <w:t xml:space="preserve">Table 1: Average Annualised Wage Increases for agreements approved in the </w:t>
      </w:r>
      <w:r w:rsidR="00302594">
        <w:rPr>
          <w:rFonts w:ascii="Aptos" w:hAnsi="Aptos"/>
        </w:rPr>
        <w:t>June</w:t>
      </w:r>
      <w:r w:rsidRPr="003F63AA">
        <w:rPr>
          <w:rFonts w:ascii="Aptos" w:hAnsi="Aptos"/>
        </w:rPr>
        <w:t xml:space="preserve"> quarter 202</w:t>
      </w:r>
      <w:r>
        <w:rPr>
          <w:rFonts w:ascii="Aptos" w:hAnsi="Aptos"/>
        </w:rPr>
        <w:t>5</w:t>
      </w:r>
      <w:r w:rsidRPr="003F63AA">
        <w:rPr>
          <w:rFonts w:ascii="Aptos" w:hAnsi="Aptos"/>
        </w:rPr>
        <w:tab/>
      </w:r>
      <w:r w:rsidRPr="003F63AA">
        <w:rPr>
          <w:rFonts w:ascii="Aptos" w:hAnsi="Aptos"/>
        </w:rPr>
        <w:tab/>
        <w:t>4</w:t>
      </w:r>
    </w:p>
    <w:p w14:paraId="1EE1F51F" w14:textId="6D047559" w:rsidR="009642A7" w:rsidRPr="003F63AA" w:rsidRDefault="009642A7" w:rsidP="009642A7">
      <w:pPr>
        <w:pStyle w:val="BlockText"/>
        <w:rPr>
          <w:rFonts w:ascii="Aptos" w:hAnsi="Aptos"/>
        </w:rPr>
      </w:pPr>
      <w:r w:rsidRPr="003F63AA">
        <w:rPr>
          <w:rFonts w:ascii="Aptos" w:hAnsi="Aptos"/>
        </w:rPr>
        <w:t>Table 2: Average Annualised Wage Increases for agreements current on 3</w:t>
      </w:r>
      <w:r w:rsidR="00302594">
        <w:rPr>
          <w:rFonts w:ascii="Aptos" w:hAnsi="Aptos"/>
        </w:rPr>
        <w:t>0</w:t>
      </w:r>
      <w:r w:rsidRPr="003F63AA">
        <w:rPr>
          <w:rFonts w:ascii="Aptos" w:hAnsi="Aptos"/>
        </w:rPr>
        <w:t xml:space="preserve"> </w:t>
      </w:r>
      <w:r w:rsidR="00302594">
        <w:rPr>
          <w:rFonts w:ascii="Aptos" w:hAnsi="Aptos"/>
        </w:rPr>
        <w:t>June</w:t>
      </w:r>
      <w:r w:rsidRPr="003F63AA">
        <w:rPr>
          <w:rFonts w:ascii="Aptos" w:hAnsi="Aptos"/>
        </w:rPr>
        <w:t xml:space="preserve"> 202</w:t>
      </w:r>
      <w:r>
        <w:rPr>
          <w:rFonts w:ascii="Aptos" w:hAnsi="Aptos"/>
        </w:rPr>
        <w:t>5</w:t>
      </w:r>
      <w:r w:rsidRPr="003F63AA">
        <w:rPr>
          <w:rFonts w:ascii="Aptos" w:hAnsi="Aptos"/>
          <w:webHidden/>
        </w:rPr>
        <w:tab/>
      </w:r>
      <w:r w:rsidRPr="003F63AA">
        <w:rPr>
          <w:rFonts w:ascii="Aptos" w:hAnsi="Aptos"/>
        </w:rPr>
        <w:tab/>
      </w:r>
      <w:r w:rsidRPr="003F63AA">
        <w:rPr>
          <w:rFonts w:ascii="Aptos" w:hAnsi="Aptos"/>
        </w:rPr>
        <w:tab/>
        <w:t>4</w:t>
      </w:r>
    </w:p>
    <w:p w14:paraId="5D857370" w14:textId="77777777" w:rsidR="009642A7" w:rsidRPr="003F63AA" w:rsidRDefault="009642A7" w:rsidP="009642A7">
      <w:pPr>
        <w:pStyle w:val="BlockText"/>
        <w:rPr>
          <w:rFonts w:ascii="Aptos" w:hAnsi="Aptos"/>
        </w:rPr>
      </w:pPr>
      <w:r w:rsidRPr="003F63AA">
        <w:rPr>
          <w:rFonts w:ascii="Aptos" w:hAnsi="Aptos"/>
        </w:rPr>
        <w:t>Table 3: Agreements approved in the quarter, by sector</w:t>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r>
      <w:r w:rsidRPr="003F63AA">
        <w:rPr>
          <w:rFonts w:ascii="Aptos" w:hAnsi="Aptos"/>
          <w:webHidden/>
        </w:rPr>
        <w:tab/>
        <w:t>17</w:t>
      </w:r>
    </w:p>
    <w:p w14:paraId="63AA6CF9" w14:textId="77777777" w:rsidR="009642A7" w:rsidRPr="003F63AA" w:rsidRDefault="009642A7" w:rsidP="009642A7">
      <w:pPr>
        <w:pStyle w:val="BlockText"/>
        <w:rPr>
          <w:rFonts w:ascii="Aptos" w:hAnsi="Aptos"/>
        </w:rPr>
      </w:pPr>
      <w:hyperlink w:anchor="_Toc153798055" w:history="1">
        <w:r w:rsidRPr="003F63AA">
          <w:rPr>
            <w:rStyle w:val="Hyperlink"/>
            <w:rFonts w:ascii="Aptos" w:hAnsi="Aptos"/>
            <w:color w:val="auto"/>
          </w:rPr>
          <w:t>Table 4: Agreements current on the last day of the quarter, by sector</w:t>
        </w:r>
        <w:r w:rsidRPr="003F63AA">
          <w:rPr>
            <w:rStyle w:val="Hyperlink"/>
            <w:rFonts w:ascii="Aptos" w:hAnsi="Aptos"/>
            <w:webHidden/>
            <w:color w:val="auto"/>
          </w:rPr>
          <w:tab/>
        </w:r>
      </w:hyperlink>
      <w:r w:rsidRPr="003F63AA">
        <w:rPr>
          <w:rFonts w:ascii="Aptos" w:hAnsi="Aptos"/>
        </w:rPr>
        <w:tab/>
      </w:r>
      <w:r w:rsidRPr="003F63AA">
        <w:rPr>
          <w:rFonts w:ascii="Aptos" w:hAnsi="Aptos"/>
        </w:rPr>
        <w:tab/>
      </w:r>
      <w:r w:rsidRPr="003F63AA">
        <w:rPr>
          <w:rFonts w:ascii="Aptos" w:hAnsi="Aptos"/>
        </w:rPr>
        <w:tab/>
      </w:r>
      <w:r w:rsidRPr="003F63AA">
        <w:rPr>
          <w:rFonts w:ascii="Aptos" w:hAnsi="Aptos"/>
        </w:rPr>
        <w:tab/>
        <w:t>18</w:t>
      </w:r>
    </w:p>
    <w:p w14:paraId="1C236BC5" w14:textId="77777777" w:rsidR="009642A7" w:rsidRPr="003F63AA" w:rsidRDefault="009642A7" w:rsidP="009642A7">
      <w:pPr>
        <w:pStyle w:val="BlockText"/>
        <w:rPr>
          <w:rFonts w:ascii="Aptos" w:hAnsi="Aptos"/>
        </w:rPr>
      </w:pPr>
      <w:hyperlink w:anchor="_Toc153798056" w:history="1">
        <w:r w:rsidRPr="003F63AA">
          <w:rPr>
            <w:rStyle w:val="Hyperlink"/>
            <w:rFonts w:ascii="Aptos" w:hAnsi="Aptos"/>
            <w:color w:val="auto"/>
          </w:rPr>
          <w:t>Table 5: Agreements approved in the quarter, by agreement type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1</w:t>
        </w:r>
      </w:hyperlink>
      <w:r w:rsidRPr="003F63AA">
        <w:rPr>
          <w:rStyle w:val="Hyperlink"/>
          <w:rFonts w:ascii="Aptos" w:hAnsi="Aptos"/>
          <w:color w:val="auto"/>
        </w:rPr>
        <w:t>9</w:t>
      </w:r>
    </w:p>
    <w:p w14:paraId="15EA19D8" w14:textId="77777777" w:rsidR="009642A7" w:rsidRPr="003F63AA" w:rsidRDefault="009642A7" w:rsidP="009642A7">
      <w:pPr>
        <w:pStyle w:val="BlockText"/>
        <w:rPr>
          <w:rFonts w:ascii="Aptos" w:hAnsi="Aptos"/>
        </w:rPr>
      </w:pPr>
      <w:hyperlink w:anchor="_Toc153798057" w:history="1">
        <w:r w:rsidRPr="003F63AA">
          <w:rPr>
            <w:rStyle w:val="Hyperlink"/>
            <w:rFonts w:ascii="Aptos" w:hAnsi="Aptos"/>
            <w:color w:val="auto"/>
          </w:rPr>
          <w:t>Table 6: Agreements current on the last day of the quarter, by agreement type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hyperlink>
      <w:r w:rsidRPr="003F63AA">
        <w:rPr>
          <w:rStyle w:val="Hyperlink"/>
          <w:rFonts w:ascii="Aptos" w:hAnsi="Aptos"/>
          <w:color w:val="auto"/>
        </w:rPr>
        <w:t>20</w:t>
      </w:r>
    </w:p>
    <w:p w14:paraId="50EE2C90" w14:textId="77777777" w:rsidR="009642A7" w:rsidRPr="003F63AA" w:rsidRDefault="009642A7" w:rsidP="009642A7">
      <w:pPr>
        <w:pStyle w:val="BlockText"/>
        <w:rPr>
          <w:rFonts w:ascii="Aptos" w:hAnsi="Aptos"/>
        </w:rPr>
      </w:pPr>
      <w:hyperlink w:anchor="_Toc153798058" w:history="1">
        <w:r w:rsidRPr="003F63AA">
          <w:rPr>
            <w:rStyle w:val="Hyperlink"/>
            <w:rFonts w:ascii="Aptos" w:hAnsi="Aptos"/>
            <w:color w:val="auto"/>
          </w:rPr>
          <w:t>Table 7: Agreements approved in the quarter, by ANZSIC Division</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2</w:t>
        </w:r>
      </w:hyperlink>
      <w:r w:rsidRPr="003F63AA">
        <w:rPr>
          <w:rStyle w:val="Hyperlink"/>
          <w:rFonts w:ascii="Aptos" w:hAnsi="Aptos"/>
          <w:color w:val="auto"/>
        </w:rPr>
        <w:t>2</w:t>
      </w:r>
    </w:p>
    <w:p w14:paraId="5C3079E3" w14:textId="77777777" w:rsidR="009642A7" w:rsidRPr="003F63AA" w:rsidRDefault="009642A7" w:rsidP="009642A7">
      <w:pPr>
        <w:pStyle w:val="BlockText"/>
        <w:rPr>
          <w:rFonts w:ascii="Aptos" w:hAnsi="Aptos"/>
        </w:rPr>
      </w:pPr>
      <w:hyperlink w:anchor="_Toc153798059" w:history="1">
        <w:r w:rsidRPr="003F63AA">
          <w:rPr>
            <w:rStyle w:val="Hyperlink"/>
            <w:rFonts w:ascii="Aptos" w:hAnsi="Aptos"/>
            <w:color w:val="auto"/>
          </w:rPr>
          <w:t>Table 8: Agreements current on the last day of the quarter, by ANZSIC Division</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2</w:t>
        </w:r>
      </w:hyperlink>
      <w:r w:rsidRPr="003F63AA">
        <w:rPr>
          <w:rStyle w:val="Hyperlink"/>
          <w:rFonts w:ascii="Aptos" w:hAnsi="Aptos"/>
          <w:color w:val="auto"/>
        </w:rPr>
        <w:t>6</w:t>
      </w:r>
    </w:p>
    <w:p w14:paraId="4AC0D0AE" w14:textId="77777777" w:rsidR="009642A7" w:rsidRPr="003F63AA" w:rsidRDefault="009642A7" w:rsidP="009642A7">
      <w:pPr>
        <w:pStyle w:val="BlockText"/>
        <w:rPr>
          <w:rFonts w:ascii="Aptos" w:hAnsi="Aptos"/>
        </w:rPr>
      </w:pPr>
      <w:hyperlink w:anchor="_Toc153798060" w:history="1">
        <w:r w:rsidRPr="003F63AA">
          <w:rPr>
            <w:rStyle w:val="Hyperlink"/>
            <w:rFonts w:ascii="Aptos" w:hAnsi="Aptos"/>
            <w:color w:val="auto"/>
          </w:rPr>
          <w:t>Table 9: Agreements by ANZSIC Division, expiring by quarter</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hyperlink>
      <w:r w:rsidRPr="003F63AA">
        <w:rPr>
          <w:rStyle w:val="Hyperlink"/>
          <w:rFonts w:ascii="Aptos" w:hAnsi="Aptos"/>
          <w:color w:val="auto"/>
        </w:rPr>
        <w:t>30</w:t>
      </w:r>
    </w:p>
    <w:p w14:paraId="62128D88" w14:textId="77777777" w:rsidR="009642A7" w:rsidRPr="003F63AA" w:rsidRDefault="009642A7" w:rsidP="009642A7">
      <w:pPr>
        <w:pStyle w:val="BlockText"/>
        <w:rPr>
          <w:rFonts w:ascii="Aptos" w:hAnsi="Aptos"/>
        </w:rPr>
      </w:pPr>
      <w:hyperlink w:anchor="_Toc153798061" w:history="1">
        <w:r w:rsidRPr="003F63AA">
          <w:rPr>
            <w:rStyle w:val="Hyperlink"/>
            <w:rFonts w:ascii="Aptos" w:hAnsi="Aptos"/>
            <w:color w:val="auto"/>
          </w:rPr>
          <w:t>Table 10: Agreements approved in the quarter, by state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3</w:t>
        </w:r>
      </w:hyperlink>
      <w:r w:rsidRPr="003F63AA">
        <w:rPr>
          <w:rStyle w:val="Hyperlink"/>
          <w:rFonts w:ascii="Aptos" w:hAnsi="Aptos"/>
          <w:color w:val="auto"/>
        </w:rPr>
        <w:t>3</w:t>
      </w:r>
    </w:p>
    <w:p w14:paraId="7CCC90F0" w14:textId="77777777" w:rsidR="009642A7" w:rsidRPr="003F63AA" w:rsidRDefault="009642A7" w:rsidP="009642A7">
      <w:pPr>
        <w:pStyle w:val="BlockText"/>
        <w:rPr>
          <w:rFonts w:ascii="Aptos" w:hAnsi="Aptos"/>
        </w:rPr>
      </w:pPr>
      <w:hyperlink w:anchor="_Toc153798062" w:history="1">
        <w:r w:rsidRPr="003F63AA">
          <w:rPr>
            <w:rStyle w:val="Hyperlink"/>
            <w:rFonts w:ascii="Aptos" w:hAnsi="Aptos"/>
            <w:color w:val="auto"/>
          </w:rPr>
          <w:t>Table 11: Agreements current on the last day of the quarter, by state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3</w:t>
        </w:r>
      </w:hyperlink>
      <w:r w:rsidRPr="003F63AA">
        <w:rPr>
          <w:rStyle w:val="Hyperlink"/>
          <w:rFonts w:ascii="Aptos" w:hAnsi="Aptos"/>
          <w:color w:val="auto"/>
        </w:rPr>
        <w:t>5</w:t>
      </w:r>
    </w:p>
    <w:p w14:paraId="4EE15507" w14:textId="77777777" w:rsidR="009642A7" w:rsidRPr="003F63AA" w:rsidRDefault="009642A7" w:rsidP="009642A7">
      <w:pPr>
        <w:pStyle w:val="BlockText"/>
        <w:rPr>
          <w:rFonts w:ascii="Aptos" w:hAnsi="Aptos"/>
        </w:rPr>
      </w:pPr>
      <w:hyperlink w:anchor="_Toc153798063">
        <w:r w:rsidRPr="003F63AA">
          <w:rPr>
            <w:rStyle w:val="Hyperlink"/>
            <w:rFonts w:ascii="Aptos" w:hAnsi="Aptos"/>
            <w:color w:val="auto"/>
          </w:rPr>
          <w:t>Table 12a: Agreements approved in the quarter – non-quantifiable wage increases, by reason</w:t>
        </w:r>
      </w:hyperlink>
      <w:r w:rsidRPr="003F63AA">
        <w:tab/>
      </w:r>
      <w:r w:rsidRPr="003F63AA">
        <w:tab/>
      </w:r>
      <w:r w:rsidRPr="003F63AA">
        <w:rPr>
          <w:rFonts w:ascii="Aptos" w:hAnsi="Aptos"/>
        </w:rPr>
        <w:t>37</w:t>
      </w:r>
    </w:p>
    <w:p w14:paraId="3587C18A" w14:textId="77777777" w:rsidR="009642A7" w:rsidRPr="003F63AA" w:rsidRDefault="009642A7" w:rsidP="009642A7">
      <w:pPr>
        <w:pStyle w:val="BlockText"/>
        <w:rPr>
          <w:rFonts w:ascii="Aptos" w:hAnsi="Aptos"/>
        </w:rPr>
      </w:pPr>
      <w:hyperlink w:anchor="_Toc153798070" w:history="1">
        <w:r w:rsidRPr="003F63AA">
          <w:rPr>
            <w:rStyle w:val="Hyperlink"/>
            <w:rFonts w:ascii="Aptos" w:hAnsi="Aptos"/>
            <w:color w:val="auto"/>
          </w:rPr>
          <w:t>Table 12b: Agreements approved in the quarter – quantifiable wage increases</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hyperlink>
      <w:r w:rsidRPr="003F63AA">
        <w:rPr>
          <w:rStyle w:val="Hyperlink"/>
          <w:rFonts w:ascii="Aptos" w:hAnsi="Aptos"/>
          <w:color w:val="auto"/>
        </w:rPr>
        <w:t>40</w:t>
      </w:r>
    </w:p>
    <w:p w14:paraId="3418965D" w14:textId="77777777" w:rsidR="009642A7" w:rsidRPr="003F63AA" w:rsidRDefault="009642A7" w:rsidP="009642A7">
      <w:pPr>
        <w:pStyle w:val="BlockText"/>
        <w:rPr>
          <w:rFonts w:ascii="Aptos" w:hAnsi="Aptos"/>
        </w:rPr>
      </w:pPr>
      <w:hyperlink w:anchor="_Toc153798071" w:history="1">
        <w:r w:rsidRPr="003F63AA">
          <w:rPr>
            <w:rStyle w:val="Hyperlink"/>
            <w:rFonts w:ascii="Aptos" w:hAnsi="Aptos"/>
            <w:color w:val="auto"/>
          </w:rPr>
          <w:t>Table 13: Agreements approved in the quarter by union coverage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4</w:t>
        </w:r>
      </w:hyperlink>
      <w:r w:rsidRPr="003F63AA">
        <w:rPr>
          <w:rStyle w:val="Hyperlink"/>
          <w:rFonts w:ascii="Aptos" w:hAnsi="Aptos"/>
          <w:color w:val="auto"/>
        </w:rPr>
        <w:t>1</w:t>
      </w:r>
    </w:p>
    <w:p w14:paraId="2E4D2F59" w14:textId="77777777" w:rsidR="009642A7" w:rsidRPr="003F63AA" w:rsidRDefault="009642A7" w:rsidP="009642A7">
      <w:pPr>
        <w:pStyle w:val="BlockText"/>
        <w:rPr>
          <w:rFonts w:ascii="Aptos" w:hAnsi="Aptos"/>
        </w:rPr>
      </w:pPr>
      <w:hyperlink w:anchor="_Toc153798072" w:history="1">
        <w:r w:rsidRPr="003F63AA">
          <w:rPr>
            <w:rStyle w:val="Hyperlink"/>
            <w:rFonts w:ascii="Aptos" w:hAnsi="Aptos"/>
            <w:color w:val="auto"/>
          </w:rPr>
          <w:t>Table 14: Agreements current on the last day of the quarter by union coverage</w:t>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r>
        <w:r w:rsidRPr="003F63AA">
          <w:rPr>
            <w:rStyle w:val="Hyperlink"/>
            <w:rFonts w:ascii="Aptos" w:hAnsi="Aptos"/>
            <w:webHidden/>
            <w:color w:val="auto"/>
          </w:rPr>
          <w:tab/>
          <w:t>4</w:t>
        </w:r>
      </w:hyperlink>
      <w:r w:rsidRPr="003F63AA">
        <w:rPr>
          <w:rStyle w:val="Hyperlink"/>
          <w:rFonts w:ascii="Aptos" w:hAnsi="Aptos"/>
          <w:color w:val="auto"/>
        </w:rPr>
        <w:t>2</w:t>
      </w:r>
    </w:p>
    <w:p w14:paraId="621E40B2" w14:textId="1FA05B6A" w:rsidR="009642A7" w:rsidRPr="003F63AA" w:rsidRDefault="009642A7" w:rsidP="009642A7">
      <w:pPr>
        <w:pStyle w:val="BlockText"/>
        <w:rPr>
          <w:rFonts w:ascii="Aptos" w:hAnsi="Aptos"/>
        </w:rPr>
      </w:pPr>
      <w:hyperlink w:anchor="_Toc153798073" w:history="1">
        <w:r w:rsidRPr="003F63AA">
          <w:rPr>
            <w:rStyle w:val="Hyperlink"/>
            <w:rFonts w:ascii="Aptos" w:hAnsi="Aptos"/>
            <w:color w:val="auto"/>
          </w:rPr>
          <w:t>Table 15</w:t>
        </w:r>
        <w:proofErr w:type="gramStart"/>
        <w:r w:rsidRPr="003F63AA">
          <w:rPr>
            <w:rStyle w:val="Hyperlink"/>
            <w:rFonts w:ascii="Aptos" w:hAnsi="Aptos"/>
            <w:color w:val="auto"/>
          </w:rPr>
          <w:t>: Agreements</w:t>
        </w:r>
        <w:proofErr w:type="gramEnd"/>
        <w:r w:rsidRPr="003F63AA">
          <w:rPr>
            <w:rStyle w:val="Hyperlink"/>
            <w:rFonts w:ascii="Aptos" w:hAnsi="Aptos"/>
            <w:color w:val="auto"/>
          </w:rPr>
          <w:t xml:space="preserve"> </w:t>
        </w:r>
        <w:proofErr w:type="gramStart"/>
        <w:r w:rsidRPr="003F63AA">
          <w:rPr>
            <w:rStyle w:val="Hyperlink"/>
            <w:rFonts w:ascii="Aptos" w:hAnsi="Aptos"/>
            <w:color w:val="auto"/>
          </w:rPr>
          <w:t>approved</w:t>
        </w:r>
        <w:proofErr w:type="gramEnd"/>
        <w:r w:rsidRPr="003F63AA">
          <w:rPr>
            <w:rStyle w:val="Hyperlink"/>
            <w:rFonts w:ascii="Aptos" w:hAnsi="Aptos"/>
            <w:color w:val="auto"/>
          </w:rPr>
          <w:t xml:space="preserve"> in the </w:t>
        </w:r>
        <w:r w:rsidR="00EF7FDD">
          <w:rPr>
            <w:rStyle w:val="Hyperlink"/>
            <w:rFonts w:ascii="Aptos" w:hAnsi="Aptos"/>
            <w:color w:val="auto"/>
          </w:rPr>
          <w:t>June</w:t>
        </w:r>
        <w:r w:rsidRPr="003F63AA">
          <w:rPr>
            <w:rStyle w:val="Hyperlink"/>
            <w:rFonts w:ascii="Aptos" w:hAnsi="Aptos"/>
            <w:color w:val="auto"/>
          </w:rPr>
          <w:t xml:space="preserve"> quarter 202</w:t>
        </w:r>
        <w:r>
          <w:rPr>
            <w:rStyle w:val="Hyperlink"/>
            <w:rFonts w:ascii="Aptos" w:hAnsi="Aptos"/>
            <w:color w:val="auto"/>
          </w:rPr>
          <w:t>5</w:t>
        </w:r>
        <w:r w:rsidRPr="003F63AA">
          <w:rPr>
            <w:rStyle w:val="Hyperlink"/>
            <w:rFonts w:ascii="Aptos" w:hAnsi="Aptos"/>
            <w:color w:val="auto"/>
          </w:rPr>
          <w:t xml:space="preserve"> covering 2,000 employees or more</w:t>
        </w:r>
        <w:r w:rsidRPr="003F63AA">
          <w:rPr>
            <w:rStyle w:val="Hyperlink"/>
            <w:rFonts w:ascii="Aptos" w:hAnsi="Aptos"/>
            <w:webHidden/>
            <w:color w:val="auto"/>
          </w:rPr>
          <w:tab/>
        </w:r>
        <w:r w:rsidRPr="003F63AA">
          <w:rPr>
            <w:rStyle w:val="Hyperlink"/>
            <w:rFonts w:ascii="Aptos" w:hAnsi="Aptos"/>
            <w:webHidden/>
            <w:color w:val="auto"/>
          </w:rPr>
          <w:tab/>
        </w:r>
        <w:r w:rsidR="00EF7FDD">
          <w:rPr>
            <w:rStyle w:val="Hyperlink"/>
            <w:rFonts w:ascii="Aptos" w:hAnsi="Aptos"/>
            <w:webHidden/>
            <w:color w:val="auto"/>
          </w:rPr>
          <w:tab/>
        </w:r>
        <w:r w:rsidRPr="003F63AA">
          <w:rPr>
            <w:rStyle w:val="Hyperlink"/>
            <w:rFonts w:ascii="Aptos" w:hAnsi="Aptos"/>
            <w:webHidden/>
            <w:color w:val="auto"/>
          </w:rPr>
          <w:t>4</w:t>
        </w:r>
      </w:hyperlink>
      <w:r w:rsidRPr="003F63AA">
        <w:rPr>
          <w:rStyle w:val="Hyperlink"/>
          <w:rFonts w:ascii="Aptos" w:hAnsi="Aptos"/>
          <w:color w:val="auto"/>
        </w:rPr>
        <w:t>3</w:t>
      </w:r>
    </w:p>
    <w:p w14:paraId="3DA4E4ED" w14:textId="7E6FBC86" w:rsidR="009642A7" w:rsidRPr="003F63AA" w:rsidRDefault="009642A7" w:rsidP="009642A7">
      <w:pPr>
        <w:pStyle w:val="BlockText"/>
        <w:rPr>
          <w:rFonts w:ascii="Aptos" w:hAnsi="Aptos"/>
        </w:rPr>
      </w:pPr>
      <w:hyperlink w:anchor="_Toc153798074" w:history="1">
        <w:r w:rsidRPr="003F63AA">
          <w:rPr>
            <w:rStyle w:val="Hyperlink"/>
            <w:rFonts w:ascii="Aptos" w:hAnsi="Aptos"/>
            <w:color w:val="auto"/>
          </w:rPr>
          <w:t>Table 16</w:t>
        </w:r>
        <w:proofErr w:type="gramStart"/>
        <w:r w:rsidRPr="003F63AA">
          <w:rPr>
            <w:rStyle w:val="Hyperlink"/>
            <w:rFonts w:ascii="Aptos" w:hAnsi="Aptos"/>
            <w:color w:val="auto"/>
          </w:rPr>
          <w:t>: Agreements</w:t>
        </w:r>
        <w:proofErr w:type="gramEnd"/>
        <w:r w:rsidRPr="003F63AA">
          <w:rPr>
            <w:rStyle w:val="Hyperlink"/>
            <w:rFonts w:ascii="Aptos" w:hAnsi="Aptos"/>
            <w:color w:val="auto"/>
          </w:rPr>
          <w:t xml:space="preserve"> </w:t>
        </w:r>
        <w:proofErr w:type="gramStart"/>
        <w:r w:rsidRPr="003F63AA">
          <w:rPr>
            <w:rStyle w:val="Hyperlink"/>
            <w:rFonts w:ascii="Aptos" w:hAnsi="Aptos"/>
            <w:color w:val="auto"/>
          </w:rPr>
          <w:t>approved</w:t>
        </w:r>
        <w:proofErr w:type="gramEnd"/>
        <w:r w:rsidRPr="003F63AA">
          <w:rPr>
            <w:rStyle w:val="Hyperlink"/>
            <w:rFonts w:ascii="Aptos" w:hAnsi="Aptos"/>
            <w:color w:val="auto"/>
          </w:rPr>
          <w:t xml:space="preserve"> in the </w:t>
        </w:r>
        <w:r w:rsidR="00EF7FDD">
          <w:rPr>
            <w:rStyle w:val="Hyperlink"/>
            <w:rFonts w:ascii="Aptos" w:hAnsi="Aptos"/>
            <w:color w:val="auto"/>
          </w:rPr>
          <w:t>June</w:t>
        </w:r>
        <w:r w:rsidRPr="003F63AA">
          <w:rPr>
            <w:rStyle w:val="Hyperlink"/>
            <w:rFonts w:ascii="Aptos" w:hAnsi="Aptos"/>
            <w:color w:val="auto"/>
          </w:rPr>
          <w:t xml:space="preserve"> quarter 202</w:t>
        </w:r>
        <w:r>
          <w:rPr>
            <w:rStyle w:val="Hyperlink"/>
            <w:rFonts w:ascii="Aptos" w:hAnsi="Aptos"/>
            <w:color w:val="auto"/>
          </w:rPr>
          <w:t>5</w:t>
        </w:r>
        <w:r w:rsidRPr="003F63AA">
          <w:rPr>
            <w:rStyle w:val="Hyperlink"/>
            <w:rFonts w:ascii="Aptos" w:hAnsi="Aptos"/>
            <w:color w:val="auto"/>
          </w:rPr>
          <w:t xml:space="preserve"> by state and ANZSIC division</w:t>
        </w:r>
      </w:hyperlink>
      <w:r w:rsidRPr="003F63AA">
        <w:rPr>
          <w:rFonts w:ascii="Aptos" w:hAnsi="Aptos"/>
        </w:rPr>
        <w:t xml:space="preserve"> </w:t>
      </w:r>
      <w:r w:rsidRPr="003F63AA">
        <w:rPr>
          <w:rFonts w:ascii="Aptos" w:hAnsi="Aptos"/>
        </w:rPr>
        <w:tab/>
      </w:r>
      <w:r w:rsidRPr="003F63AA">
        <w:rPr>
          <w:rFonts w:ascii="Aptos" w:hAnsi="Aptos"/>
        </w:rPr>
        <w:tab/>
      </w:r>
      <w:r w:rsidRPr="003F63AA">
        <w:rPr>
          <w:rFonts w:ascii="Aptos" w:hAnsi="Aptos"/>
        </w:rPr>
        <w:tab/>
        <w:t>44</w:t>
      </w:r>
    </w:p>
    <w:p w14:paraId="79EF2007" w14:textId="0FB038CD" w:rsidR="009642A7" w:rsidRPr="003F63AA" w:rsidRDefault="009642A7" w:rsidP="009642A7">
      <w:pPr>
        <w:pStyle w:val="BlockText"/>
        <w:rPr>
          <w:rFonts w:ascii="Aptos" w:hAnsi="Aptos"/>
        </w:rPr>
      </w:pPr>
      <w:hyperlink w:anchor="_Toc153798075" w:history="1">
        <w:r w:rsidRPr="003F63AA">
          <w:rPr>
            <w:rStyle w:val="Hyperlink"/>
            <w:rFonts w:ascii="Aptos" w:hAnsi="Aptos"/>
            <w:color w:val="auto"/>
          </w:rPr>
          <w:t xml:space="preserve">Table 17: Agreements current on the last day of the </w:t>
        </w:r>
        <w:r w:rsidR="00EF7FDD">
          <w:rPr>
            <w:rStyle w:val="Hyperlink"/>
            <w:rFonts w:ascii="Aptos" w:hAnsi="Aptos"/>
            <w:color w:val="auto"/>
          </w:rPr>
          <w:t>June</w:t>
        </w:r>
        <w:r w:rsidRPr="003F63AA">
          <w:rPr>
            <w:rStyle w:val="Hyperlink"/>
            <w:rFonts w:ascii="Aptos" w:hAnsi="Aptos"/>
            <w:color w:val="auto"/>
          </w:rPr>
          <w:t xml:space="preserve"> quarter 202</w:t>
        </w:r>
        <w:r>
          <w:rPr>
            <w:rStyle w:val="Hyperlink"/>
            <w:rFonts w:ascii="Aptos" w:hAnsi="Aptos"/>
            <w:color w:val="auto"/>
          </w:rPr>
          <w:t>5</w:t>
        </w:r>
        <w:r w:rsidRPr="003F63AA">
          <w:rPr>
            <w:rStyle w:val="Hyperlink"/>
            <w:rFonts w:ascii="Aptos" w:hAnsi="Aptos"/>
            <w:color w:val="auto"/>
          </w:rPr>
          <w:t xml:space="preserve"> by state and ANZSIC division</w:t>
        </w:r>
        <w:r w:rsidRPr="003F63AA">
          <w:rPr>
            <w:rStyle w:val="Hyperlink"/>
            <w:rFonts w:ascii="Aptos" w:hAnsi="Aptos"/>
            <w:webHidden/>
            <w:color w:val="auto"/>
          </w:rPr>
          <w:tab/>
        </w:r>
      </w:hyperlink>
      <w:r>
        <w:tab/>
      </w:r>
      <w:r w:rsidRPr="003F63AA">
        <w:rPr>
          <w:rStyle w:val="Hyperlink"/>
          <w:rFonts w:ascii="Aptos" w:hAnsi="Aptos"/>
          <w:color w:val="auto"/>
        </w:rPr>
        <w:t>48</w:t>
      </w:r>
    </w:p>
    <w:p w14:paraId="65AC94C4" w14:textId="77777777" w:rsidR="009642A7" w:rsidRPr="003F63AA" w:rsidRDefault="009642A7" w:rsidP="009642A7">
      <w:pPr>
        <w:pStyle w:val="BlockText"/>
        <w:rPr>
          <w:rFonts w:ascii="Aptos" w:hAnsi="Aptos"/>
        </w:rPr>
      </w:pPr>
      <w:r w:rsidRPr="003F63AA">
        <w:rPr>
          <w:rFonts w:ascii="Aptos" w:hAnsi="Aptos"/>
        </w:rPr>
        <w:t>Trends Technical Notes</w:t>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r>
      <w:r w:rsidRPr="003F63AA">
        <w:rPr>
          <w:rFonts w:ascii="Aptos" w:hAnsi="Aptos"/>
        </w:rPr>
        <w:tab/>
        <w:t>52</w:t>
      </w:r>
      <w:r w:rsidRPr="003F63AA">
        <w:rPr>
          <w:rFonts w:ascii="Aptos" w:hAnsi="Aptos"/>
        </w:rPr>
        <w:br w:type="page"/>
      </w:r>
    </w:p>
    <w:p w14:paraId="28D41685" w14:textId="77777777" w:rsidR="009642A7" w:rsidRPr="003F63AA" w:rsidRDefault="009642A7" w:rsidP="009642A7">
      <w:pPr>
        <w:spacing w:after="0"/>
        <w:rPr>
          <w:rFonts w:ascii="Aptos" w:eastAsia="Times New Roman" w:hAnsi="Aptos" w:cs="Times New Roman"/>
          <w:sz w:val="22"/>
          <w:szCs w:val="22"/>
        </w:rPr>
        <w:sectPr w:rsidR="009642A7" w:rsidRPr="003F63AA" w:rsidSect="009642A7">
          <w:footerReference w:type="default" r:id="rId13"/>
          <w:type w:val="continuous"/>
          <w:pgSz w:w="11907" w:h="16839" w:code="9"/>
          <w:pgMar w:top="1418" w:right="851" w:bottom="1134" w:left="992" w:header="709" w:footer="1009" w:gutter="0"/>
          <w:cols w:space="720"/>
          <w:docGrid w:linePitch="326"/>
        </w:sectPr>
      </w:pPr>
    </w:p>
    <w:bookmarkEnd w:id="0"/>
    <w:p w14:paraId="6B70B4B2" w14:textId="77777777" w:rsidR="009642A7" w:rsidRPr="006B5AF0" w:rsidRDefault="009642A7" w:rsidP="006B5AF0"/>
    <w:p w14:paraId="5DD0FC56" w14:textId="77777777" w:rsidR="009642A7" w:rsidRPr="003F63AA" w:rsidRDefault="009642A7" w:rsidP="009642A7">
      <w:pPr>
        <w:spacing w:after="240"/>
        <w:contextualSpacing/>
        <w:outlineLvl w:val="0"/>
        <w:rPr>
          <w:rFonts w:ascii="Aptos" w:eastAsia="Times New Roman" w:hAnsi="Aptos" w:cs="Arial"/>
          <w:b/>
          <w:bCs/>
          <w:sz w:val="36"/>
          <w:szCs w:val="28"/>
        </w:rPr>
      </w:pPr>
      <w:bookmarkStart w:id="1" w:name="_Toc153798030"/>
      <w:r w:rsidRPr="003F63AA">
        <w:rPr>
          <w:rFonts w:ascii="Aptos" w:eastAsia="Times New Roman" w:hAnsi="Aptos" w:cs="Arial"/>
          <w:b/>
          <w:bCs/>
          <w:sz w:val="36"/>
          <w:szCs w:val="28"/>
        </w:rPr>
        <w:t>Further Information</w:t>
      </w:r>
      <w:bookmarkEnd w:id="1"/>
    </w:p>
    <w:bookmarkStart w:id="2" w:name="_Hlk139879443"/>
    <w:p w14:paraId="356D49D5" w14:textId="77777777" w:rsidR="009642A7" w:rsidRPr="003F63AA" w:rsidRDefault="009642A7" w:rsidP="009642A7">
      <w:pPr>
        <w:spacing w:after="0"/>
        <w:rPr>
          <w:rFonts w:ascii="Aptos" w:eastAsia="Times New Roman" w:hAnsi="Aptos" w:cs="Times New Roman"/>
          <w:sz w:val="22"/>
          <w:szCs w:val="22"/>
        </w:rPr>
      </w:pPr>
      <w:r w:rsidRPr="003F63AA">
        <w:rPr>
          <w:rFonts w:ascii="Aptos" w:eastAsia="Times New Roman" w:hAnsi="Aptos" w:cs="Times New Roman"/>
          <w:sz w:val="22"/>
          <w:szCs w:val="22"/>
        </w:rPr>
        <w:fldChar w:fldCharType="begin"/>
      </w:r>
      <w:r w:rsidRPr="003F63AA">
        <w:rPr>
          <w:rFonts w:ascii="Aptos" w:eastAsia="Times New Roman" w:hAnsi="Aptos" w:cs="Times New Roman"/>
          <w:sz w:val="22"/>
          <w:szCs w:val="22"/>
        </w:rPr>
        <w:instrText xml:space="preserve"> HYPERLINK "https://www.dewr.gov.au/enterprise-agreements-data/trends-federal-enterprise-bargaining" </w:instrText>
      </w:r>
      <w:r w:rsidRPr="003F63AA">
        <w:rPr>
          <w:rFonts w:ascii="Aptos" w:eastAsia="Times New Roman" w:hAnsi="Aptos" w:cs="Times New Roman"/>
          <w:sz w:val="22"/>
          <w:szCs w:val="22"/>
        </w:rPr>
      </w:r>
      <w:r w:rsidRPr="003F63AA">
        <w:rPr>
          <w:rFonts w:ascii="Aptos" w:eastAsia="Times New Roman" w:hAnsi="Aptos" w:cs="Times New Roman"/>
          <w:sz w:val="22"/>
          <w:szCs w:val="22"/>
        </w:rPr>
        <w:fldChar w:fldCharType="separate"/>
      </w:r>
      <w:r w:rsidRPr="003F63AA">
        <w:rPr>
          <w:rFonts w:ascii="Aptos" w:eastAsia="Times New Roman" w:hAnsi="Aptos" w:cs="Times New Roman"/>
          <w:color w:val="165788"/>
          <w:sz w:val="22"/>
          <w:szCs w:val="22"/>
          <w:u w:val="single"/>
        </w:rPr>
        <w:t>Trends in Federal Enterprise Bargaining</w:t>
      </w:r>
      <w:r w:rsidRPr="003F63AA">
        <w:rPr>
          <w:rFonts w:ascii="Aptos" w:eastAsia="Times New Roman" w:hAnsi="Aptos" w:cs="Times New Roman"/>
          <w:sz w:val="22"/>
          <w:szCs w:val="22"/>
        </w:rPr>
        <w:fldChar w:fldCharType="end"/>
      </w:r>
      <w:bookmarkEnd w:id="2"/>
      <w:r w:rsidRPr="003F63AA">
        <w:rPr>
          <w:rFonts w:ascii="Aptos" w:eastAsia="Times New Roman" w:hAnsi="Aptos" w:cs="Times New Roman"/>
          <w:sz w:val="22"/>
          <w:szCs w:val="22"/>
        </w:rPr>
        <w:t xml:space="preserve"> is available online at: </w:t>
      </w:r>
      <w:r w:rsidRPr="003F63AA">
        <w:rPr>
          <w:rFonts w:ascii="Aptos" w:eastAsia="Times New Roman" w:hAnsi="Aptos" w:cs="Times New Roman"/>
          <w:sz w:val="22"/>
          <w:szCs w:val="22"/>
        </w:rPr>
        <w:br/>
        <w:t xml:space="preserve">https://www.dewr.gov.au/enterprise-agreements-data/trends-federal-enterprise-bargaining. </w:t>
      </w:r>
      <w:r w:rsidRPr="003F63AA">
        <w:rPr>
          <w:rFonts w:ascii="Aptos" w:eastAsia="Times New Roman" w:hAnsi="Aptos" w:cs="Times New Roman"/>
          <w:sz w:val="22"/>
          <w:szCs w:val="22"/>
        </w:rPr>
        <w:br/>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3CB63B02" w14:textId="77777777" w:rsidR="009642A7" w:rsidRPr="003F63AA" w:rsidRDefault="009642A7" w:rsidP="009642A7">
      <w:pPr>
        <w:spacing w:after="360"/>
        <w:rPr>
          <w:rFonts w:ascii="Aptos" w:eastAsia="Times New Roman" w:hAnsi="Aptos" w:cs="Times New Roman"/>
          <w:sz w:val="22"/>
          <w:szCs w:val="22"/>
        </w:rPr>
      </w:pPr>
      <w:r w:rsidRPr="003F63AA">
        <w:rPr>
          <w:rFonts w:ascii="Aptos" w:eastAsia="Times New Roman" w:hAnsi="Aptos" w:cs="Times New Roman"/>
          <w:sz w:val="22"/>
          <w:szCs w:val="22"/>
        </w:rPr>
        <w:t xml:space="preserve">For other queries, please contact </w:t>
      </w:r>
      <w:hyperlink r:id="rId14" w:history="1">
        <w:r w:rsidRPr="003F63AA">
          <w:rPr>
            <w:rFonts w:ascii="Aptos" w:eastAsia="Times New Roman" w:hAnsi="Aptos" w:cs="Times New Roman"/>
            <w:color w:val="165788"/>
            <w:sz w:val="22"/>
            <w:szCs w:val="22"/>
            <w:u w:val="single"/>
          </w:rPr>
          <w:t>EBTrends@dewr.gov.au</w:t>
        </w:r>
      </w:hyperlink>
      <w:r w:rsidRPr="003F63AA">
        <w:rPr>
          <w:rFonts w:ascii="Aptos" w:eastAsia="Times New Roman" w:hAnsi="Aptos" w:cs="Times New Roman"/>
          <w:sz w:val="22"/>
          <w:szCs w:val="22"/>
        </w:rPr>
        <w:t xml:space="preserve"> </w:t>
      </w:r>
    </w:p>
    <w:p w14:paraId="36029245" w14:textId="77777777" w:rsidR="009642A7" w:rsidRPr="003F63AA" w:rsidRDefault="009642A7" w:rsidP="009642A7">
      <w:pPr>
        <w:pBdr>
          <w:top w:val="single" w:sz="4" w:space="1" w:color="auto"/>
          <w:left w:val="single" w:sz="4" w:space="4" w:color="auto"/>
          <w:bottom w:val="single" w:sz="4" w:space="1" w:color="auto"/>
          <w:right w:val="single" w:sz="4" w:space="4" w:color="auto"/>
        </w:pBdr>
        <w:spacing w:before="200" w:after="0"/>
        <w:outlineLvl w:val="1"/>
        <w:rPr>
          <w:rFonts w:ascii="Aptos" w:eastAsia="Times New Roman" w:hAnsi="Aptos" w:cs="Times New Roman"/>
          <w:b/>
          <w:bCs/>
          <w:sz w:val="28"/>
          <w:szCs w:val="26"/>
        </w:rPr>
      </w:pPr>
      <w:bookmarkStart w:id="3" w:name="_Toc153798031"/>
      <w:r w:rsidRPr="003F63AA">
        <w:rPr>
          <w:rFonts w:ascii="Aptos" w:eastAsia="Times New Roman" w:hAnsi="Aptos" w:cs="Times New Roman"/>
          <w:b/>
          <w:bCs/>
          <w:sz w:val="28"/>
          <w:szCs w:val="26"/>
        </w:rPr>
        <w:t>Disclaimer</w:t>
      </w:r>
      <w:bookmarkEnd w:id="3"/>
    </w:p>
    <w:p w14:paraId="1BB2330A" w14:textId="77777777" w:rsidR="009642A7" w:rsidRPr="003F63AA" w:rsidRDefault="009642A7" w:rsidP="009642A7">
      <w:pPr>
        <w:pBdr>
          <w:top w:val="single" w:sz="4" w:space="1" w:color="auto"/>
          <w:left w:val="single" w:sz="4" w:space="4" w:color="auto"/>
          <w:bottom w:val="single" w:sz="4" w:space="1" w:color="auto"/>
          <w:right w:val="single" w:sz="4" w:space="4" w:color="auto"/>
        </w:pBdr>
        <w:spacing w:after="0"/>
        <w:rPr>
          <w:rFonts w:ascii="Aptos" w:eastAsia="Times New Roman" w:hAnsi="Aptos" w:cs="Times New Roman"/>
          <w:sz w:val="22"/>
          <w:szCs w:val="22"/>
        </w:rPr>
      </w:pPr>
      <w:r w:rsidRPr="003F63AA">
        <w:rPr>
          <w:rFonts w:ascii="Aptos" w:eastAsia="Times New Roman" w:hAnsi="Aptos" w:cs="Times New Roman"/>
          <w:sz w:val="22"/>
          <w:szCs w:val="22"/>
        </w:rPr>
        <w:t xml:space="preserve">The Commonwealth, its employees, officers and </w:t>
      </w:r>
      <w:proofErr w:type="gramStart"/>
      <w:r w:rsidRPr="003F63AA">
        <w:rPr>
          <w:rFonts w:ascii="Aptos" w:eastAsia="Times New Roman" w:hAnsi="Aptos" w:cs="Times New Roman"/>
          <w:sz w:val="22"/>
          <w:szCs w:val="22"/>
        </w:rPr>
        <w:t>agents</w:t>
      </w:r>
      <w:proofErr w:type="gramEnd"/>
      <w:r w:rsidRPr="003F63AA">
        <w:rPr>
          <w:rFonts w:ascii="Aptos" w:eastAsia="Times New Roman" w:hAnsi="Aptos" w:cs="Times New Roman"/>
          <w:sz w:val="22"/>
          <w:szCs w:val="22"/>
        </w:rPr>
        <w:t xml:space="preserve">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w:t>
      </w:r>
      <w:proofErr w:type="gramStart"/>
      <w:r w:rsidRPr="003F63AA">
        <w:rPr>
          <w:rFonts w:ascii="Aptos" w:eastAsia="Times New Roman" w:hAnsi="Aptos" w:cs="Times New Roman"/>
          <w:sz w:val="22"/>
          <w:szCs w:val="22"/>
        </w:rPr>
        <w:t>as a result of</w:t>
      </w:r>
      <w:proofErr w:type="gramEnd"/>
      <w:r w:rsidRPr="003F63AA">
        <w:rPr>
          <w:rFonts w:ascii="Aptos" w:eastAsia="Times New Roman" w:hAnsi="Aptos" w:cs="Times New Roman"/>
          <w:sz w:val="22"/>
          <w:szCs w:val="22"/>
        </w:rPr>
        <w:t xml:space="preserve"> any errors or omissions contained in this document.</w:t>
      </w:r>
    </w:p>
    <w:p w14:paraId="1E5CD589" w14:textId="77777777" w:rsidR="009642A7" w:rsidRPr="003F63AA" w:rsidRDefault="009642A7" w:rsidP="009642A7">
      <w:r w:rsidRPr="003F63AA">
        <w:rPr>
          <w:rFonts w:ascii="Aptos" w:eastAsia="Times New Roman" w:hAnsi="Aptos" w:cs="Times New Roman"/>
          <w:sz w:val="22"/>
          <w:szCs w:val="22"/>
        </w:rPr>
        <w:t>© 2025 Commonwealth of Australia.</w:t>
      </w:r>
    </w:p>
    <w:p w14:paraId="6A78A682" w14:textId="77777777" w:rsidR="009642A7" w:rsidRPr="003F63AA" w:rsidRDefault="009642A7" w:rsidP="009642A7">
      <w:pPr>
        <w:rPr>
          <w:rFonts w:ascii="Aptos" w:eastAsia="Aptos" w:hAnsi="Aptos" w:cs="Aptos"/>
          <w:b/>
          <w:color w:val="000000"/>
          <w:sz w:val="36"/>
          <w:szCs w:val="36"/>
        </w:rPr>
      </w:pPr>
      <w:r w:rsidRPr="003F63AA">
        <w:rPr>
          <w:rFonts w:ascii="Aptos" w:eastAsia="Aptos" w:hAnsi="Aptos" w:cs="Aptos"/>
          <w:b/>
          <w:color w:val="000000"/>
          <w:sz w:val="36"/>
          <w:szCs w:val="36"/>
        </w:rPr>
        <w:br w:type="page"/>
      </w:r>
    </w:p>
    <w:p w14:paraId="39439CD6" w14:textId="77777777" w:rsidR="00AB0A8C" w:rsidRDefault="007639BC">
      <w:pPr>
        <w:pBdr>
          <w:top w:val="none" w:sz="0" w:space="0" w:color="000000"/>
          <w:left w:val="none" w:sz="0" w:space="0" w:color="000000"/>
          <w:bottom w:val="none" w:sz="0" w:space="0" w:color="000000"/>
          <w:right w:val="none" w:sz="0" w:space="0" w:color="000000"/>
        </w:pBdr>
        <w:spacing w:after="240"/>
        <w:jc w:val="center"/>
      </w:pPr>
      <w:r>
        <w:rPr>
          <w:rFonts w:ascii="Aptos" w:eastAsia="Aptos" w:hAnsi="Aptos" w:cs="Aptos"/>
          <w:b/>
          <w:color w:val="000000"/>
          <w:sz w:val="36"/>
          <w:szCs w:val="36"/>
        </w:rPr>
        <w:lastRenderedPageBreak/>
        <w:t>Trends in Federal Enterprise Bargaining Report</w:t>
      </w:r>
    </w:p>
    <w:p w14:paraId="71E488BE" w14:textId="77777777" w:rsidR="00AB0A8C" w:rsidRDefault="007639BC">
      <w:pPr>
        <w:pBdr>
          <w:top w:val="none" w:sz="0" w:space="0" w:color="000000"/>
          <w:left w:val="none" w:sz="0" w:space="0" w:color="000000"/>
          <w:bottom w:val="none" w:sz="0" w:space="0" w:color="000000"/>
          <w:right w:val="none" w:sz="0" w:space="0" w:color="000000"/>
        </w:pBdr>
        <w:spacing w:after="240"/>
        <w:jc w:val="center"/>
      </w:pPr>
      <w:r>
        <w:rPr>
          <w:rFonts w:ascii="Aptos" w:eastAsia="Aptos" w:hAnsi="Aptos" w:cs="Aptos"/>
          <w:b/>
          <w:color w:val="000000"/>
          <w:sz w:val="36"/>
          <w:szCs w:val="36"/>
        </w:rPr>
        <w:t>Initial Tables</w:t>
      </w:r>
    </w:p>
    <w:p w14:paraId="675EDA68" w14:textId="7480AF0B"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Table 1 - Average Annualised Wage Increases for agreements approved in the June </w:t>
      </w:r>
      <w:proofErr w:type="gramStart"/>
      <w:r>
        <w:rPr>
          <w:rFonts w:ascii="Aptos" w:eastAsia="Aptos" w:hAnsi="Aptos" w:cs="Aptos"/>
          <w:b/>
          <w:color w:val="000000"/>
        </w:rPr>
        <w:t>quarter</w:t>
      </w:r>
      <w:proofErr w:type="gramEnd"/>
      <w:r>
        <w:rPr>
          <w:rFonts w:ascii="Aptos" w:eastAsia="Aptos" w:hAnsi="Aptos" w:cs="Aptos"/>
          <w:b/>
          <w:color w:val="000000"/>
        </w:rPr>
        <w:t xml:space="preserve"> 2025 </w:t>
      </w:r>
      <w:r w:rsidR="00996C7F">
        <w:rPr>
          <w:rFonts w:ascii="Aptos" w:eastAsia="Aptos" w:hAnsi="Aptos" w:cs="Aptos"/>
          <w:b/>
          <w:color w:val="000000"/>
        </w:rPr>
        <w:t xml:space="preserve">that </w:t>
      </w:r>
      <w:r>
        <w:rPr>
          <w:rFonts w:ascii="Aptos" w:eastAsia="Aptos" w:hAnsi="Aptos" w:cs="Aptos"/>
          <w:b/>
          <w:color w:val="000000"/>
        </w:rPr>
        <w:t>contained quantifiable wage increases (816 agreements)</w:t>
      </w:r>
    </w:p>
    <w:tbl>
      <w:tblPr>
        <w:tblW w:w="0" w:type="auto"/>
        <w:jc w:val="center"/>
        <w:tblLayout w:type="fixed"/>
        <w:tblLook w:val="0420" w:firstRow="1" w:lastRow="0" w:firstColumn="0" w:lastColumn="0" w:noHBand="0" w:noVBand="1"/>
      </w:tblPr>
      <w:tblGrid>
        <w:gridCol w:w="2835"/>
        <w:gridCol w:w="2268"/>
        <w:gridCol w:w="2268"/>
        <w:gridCol w:w="2268"/>
      </w:tblGrid>
      <w:tr w:rsidR="00AB0A8C" w14:paraId="50AB4737" w14:textId="77777777">
        <w:trPr>
          <w:tblHeader/>
          <w:jc w:val="center"/>
        </w:trPr>
        <w:tc>
          <w:tcPr>
            <w:tcW w:w="2835"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EDAB8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2"/>
                <w:szCs w:val="22"/>
              </w:rPr>
            </w:pPr>
            <w:r>
              <w:rPr>
                <w:rFonts w:ascii="Aptos" w:eastAsia="Aptos" w:hAnsi="Aptos" w:cs="Aptos"/>
                <w:b/>
                <w:color w:val="FFFFFF"/>
                <w:sz w:val="22"/>
                <w:szCs w:val="22"/>
              </w:rPr>
              <w:t>Enterprise agreements approved in the quarter</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D991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Pr>
                <w:rFonts w:ascii="Aptos" w:eastAsia="Aptos" w:hAnsi="Aptos" w:cs="Aptos"/>
                <w:b/>
                <w:color w:val="FFFFFF"/>
                <w:sz w:val="22"/>
                <w:szCs w:val="22"/>
              </w:rPr>
              <w:t>March quarter 2025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AA6F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Pr>
                <w:rFonts w:ascii="Aptos" w:eastAsia="Aptos" w:hAnsi="Aptos" w:cs="Aptos"/>
                <w:b/>
                <w:color w:val="FFFFFF"/>
                <w:sz w:val="22"/>
                <w:szCs w:val="22"/>
              </w:rPr>
              <w:t>June quarter 2025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7BF6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Pr>
                <w:rFonts w:ascii="Aptos" w:eastAsia="Aptos" w:hAnsi="Aptos" w:cs="Aptos"/>
                <w:b/>
                <w:color w:val="FFFFFF"/>
                <w:sz w:val="22"/>
                <w:szCs w:val="22"/>
              </w:rPr>
              <w:t>Change (% Points)</w:t>
            </w:r>
          </w:p>
        </w:tc>
      </w:tr>
      <w:tr w:rsidR="00AB0A8C" w14:paraId="13871612" w14:textId="77777777">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7D8DA"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Pr>
                <w:rFonts w:ascii="Aptos" w:eastAsia="Aptos" w:hAnsi="Aptos" w:cs="Aptos"/>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7152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3.8</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3AA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4.2</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90E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0.4</w:t>
            </w:r>
          </w:p>
        </w:tc>
      </w:tr>
      <w:tr w:rsidR="00AB0A8C" w14:paraId="448989FC" w14:textId="77777777">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666DD"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Pr>
                <w:rFonts w:ascii="Aptos" w:eastAsia="Aptos" w:hAnsi="Aptos" w:cs="Aptos"/>
                <w:b/>
                <w:color w:val="000000"/>
                <w:sz w:val="22"/>
                <w:szCs w:val="22"/>
              </w:rPr>
              <w:t>Public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4FA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3.5</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FBF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3.9</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037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0.4</w:t>
            </w:r>
          </w:p>
        </w:tc>
      </w:tr>
      <w:tr w:rsidR="00AB0A8C" w14:paraId="5F924E95" w14:textId="77777777">
        <w:trPr>
          <w:jc w:val="center"/>
        </w:trPr>
        <w:tc>
          <w:tcPr>
            <w:tcW w:w="2835"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7F6B26"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Pr>
                <w:rFonts w:ascii="Aptos" w:eastAsia="Aptos" w:hAnsi="Aptos" w:cs="Aptos"/>
                <w:b/>
                <w:color w:val="000000"/>
                <w:sz w:val="22"/>
                <w:szCs w:val="22"/>
              </w:rPr>
              <w:t>Private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E92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3.9</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748E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4.3</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0407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0.4</w:t>
            </w:r>
          </w:p>
        </w:tc>
      </w:tr>
    </w:tbl>
    <w:p w14:paraId="0ADDA2EB" w14:textId="6FB284C6" w:rsidR="00AB0A8C" w:rsidRDefault="007639BC">
      <w:pPr>
        <w:pBdr>
          <w:top w:val="none" w:sz="0" w:space="0" w:color="000000"/>
          <w:left w:val="none" w:sz="0" w:space="0" w:color="000000"/>
          <w:bottom w:val="none" w:sz="0" w:space="0" w:color="000000"/>
          <w:right w:val="none" w:sz="0" w:space="0" w:color="000000"/>
        </w:pBdr>
        <w:spacing w:before="1200" w:after="240"/>
      </w:pPr>
      <w:r>
        <w:rPr>
          <w:rFonts w:ascii="Aptos" w:eastAsia="Aptos" w:hAnsi="Aptos" w:cs="Aptos"/>
          <w:b/>
          <w:color w:val="000000"/>
        </w:rPr>
        <w:t xml:space="preserve">Table 2 - Average Annualised Wage Increases for agreements current on </w:t>
      </w:r>
      <w:r w:rsidR="00795E9E">
        <w:rPr>
          <w:rFonts w:ascii="Aptos" w:eastAsia="Aptos" w:hAnsi="Aptos" w:cs="Aptos"/>
          <w:b/>
          <w:color w:val="000000"/>
        </w:rPr>
        <w:t xml:space="preserve">30 </w:t>
      </w:r>
      <w:r>
        <w:rPr>
          <w:rFonts w:ascii="Aptos" w:eastAsia="Aptos" w:hAnsi="Aptos" w:cs="Aptos"/>
          <w:b/>
          <w:color w:val="000000"/>
        </w:rPr>
        <w:t xml:space="preserve">June 2025 </w:t>
      </w:r>
      <w:r w:rsidR="00996C7F">
        <w:rPr>
          <w:rFonts w:ascii="Aptos" w:eastAsia="Aptos" w:hAnsi="Aptos" w:cs="Aptos"/>
          <w:b/>
          <w:color w:val="000000"/>
        </w:rPr>
        <w:t xml:space="preserve">that </w:t>
      </w:r>
      <w:r>
        <w:rPr>
          <w:rFonts w:ascii="Aptos" w:eastAsia="Aptos" w:hAnsi="Aptos" w:cs="Aptos"/>
          <w:b/>
          <w:color w:val="000000"/>
        </w:rPr>
        <w:t>contained quantifiable wage increases (8,838 agreements)</w:t>
      </w:r>
    </w:p>
    <w:tbl>
      <w:tblPr>
        <w:tblW w:w="0" w:type="auto"/>
        <w:jc w:val="center"/>
        <w:tblLayout w:type="fixed"/>
        <w:tblLook w:val="0420" w:firstRow="1" w:lastRow="0" w:firstColumn="0" w:lastColumn="0" w:noHBand="0" w:noVBand="1"/>
      </w:tblPr>
      <w:tblGrid>
        <w:gridCol w:w="2835"/>
        <w:gridCol w:w="2268"/>
        <w:gridCol w:w="2268"/>
        <w:gridCol w:w="2268"/>
      </w:tblGrid>
      <w:tr w:rsidR="00AB0A8C" w14:paraId="6D7005BD" w14:textId="77777777">
        <w:trPr>
          <w:tblHeader/>
          <w:jc w:val="center"/>
        </w:trPr>
        <w:tc>
          <w:tcPr>
            <w:tcW w:w="2835"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BFBD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2"/>
                <w:szCs w:val="22"/>
              </w:rPr>
            </w:pPr>
            <w:r>
              <w:rPr>
                <w:rFonts w:ascii="Aptos" w:eastAsia="Aptos" w:hAnsi="Aptos" w:cs="Aptos"/>
                <w:b/>
                <w:color w:val="FFFFFF"/>
                <w:sz w:val="22"/>
                <w:szCs w:val="22"/>
              </w:rPr>
              <w:t>All current enterprise agreements</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D017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Pr>
                <w:rFonts w:ascii="Aptos" w:eastAsia="Aptos" w:hAnsi="Aptos" w:cs="Aptos"/>
                <w:b/>
                <w:color w:val="FFFFFF"/>
                <w:sz w:val="22"/>
                <w:szCs w:val="22"/>
              </w:rPr>
              <w:t>March quarter 2025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1FF3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Pr>
                <w:rFonts w:ascii="Aptos" w:eastAsia="Aptos" w:hAnsi="Aptos" w:cs="Aptos"/>
                <w:b/>
                <w:color w:val="FFFFFF"/>
                <w:sz w:val="22"/>
                <w:szCs w:val="22"/>
              </w:rPr>
              <w:t>June quarter 2025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C707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2"/>
                <w:szCs w:val="22"/>
              </w:rPr>
            </w:pPr>
            <w:r>
              <w:rPr>
                <w:rFonts w:ascii="Aptos" w:eastAsia="Aptos" w:hAnsi="Aptos" w:cs="Aptos"/>
                <w:b/>
                <w:color w:val="FFFFFF"/>
                <w:sz w:val="22"/>
                <w:szCs w:val="22"/>
              </w:rPr>
              <w:t>Change (% Points)</w:t>
            </w:r>
          </w:p>
        </w:tc>
      </w:tr>
      <w:tr w:rsidR="00AB0A8C" w14:paraId="7B420EC5" w14:textId="77777777">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90BA8"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Pr>
                <w:rFonts w:ascii="Aptos" w:eastAsia="Aptos" w:hAnsi="Aptos" w:cs="Aptos"/>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130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3.8</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743C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3.8</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045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0.0</w:t>
            </w:r>
          </w:p>
        </w:tc>
      </w:tr>
      <w:tr w:rsidR="00AB0A8C" w14:paraId="6B3F626A" w14:textId="77777777">
        <w:trPr>
          <w:jc w:val="center"/>
        </w:trPr>
        <w:tc>
          <w:tcPr>
            <w:tcW w:w="283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DA3CA"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Pr>
                <w:rFonts w:ascii="Aptos" w:eastAsia="Aptos" w:hAnsi="Aptos" w:cs="Aptos"/>
                <w:b/>
                <w:color w:val="000000"/>
                <w:sz w:val="22"/>
                <w:szCs w:val="22"/>
              </w:rPr>
              <w:t>Public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138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3.9</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34D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3.9</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487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0.0</w:t>
            </w:r>
          </w:p>
        </w:tc>
      </w:tr>
      <w:tr w:rsidR="00AB0A8C" w14:paraId="5212586D" w14:textId="77777777">
        <w:trPr>
          <w:jc w:val="center"/>
        </w:trPr>
        <w:tc>
          <w:tcPr>
            <w:tcW w:w="2835"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F7C1C"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2"/>
                <w:szCs w:val="22"/>
              </w:rPr>
            </w:pPr>
            <w:r>
              <w:rPr>
                <w:rFonts w:ascii="Aptos" w:eastAsia="Aptos" w:hAnsi="Aptos" w:cs="Aptos"/>
                <w:b/>
                <w:color w:val="000000"/>
                <w:sz w:val="22"/>
                <w:szCs w:val="22"/>
              </w:rPr>
              <w:t>Private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924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3.6</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966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3.7</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F1A3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2"/>
                <w:szCs w:val="22"/>
              </w:rPr>
            </w:pPr>
            <w:r>
              <w:rPr>
                <w:rFonts w:ascii="Aptos" w:eastAsia="Aptos" w:hAnsi="Aptos" w:cs="Aptos"/>
                <w:color w:val="000000"/>
                <w:sz w:val="22"/>
                <w:szCs w:val="22"/>
              </w:rPr>
              <w:t>0.1</w:t>
            </w:r>
          </w:p>
        </w:tc>
      </w:tr>
    </w:tbl>
    <w:p w14:paraId="24D721E5" w14:textId="77777777" w:rsidR="00AB0A8C" w:rsidRDefault="007639BC">
      <w:r>
        <w:br w:type="page"/>
      </w:r>
    </w:p>
    <w:p w14:paraId="6C3C0EE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1. Wages growth under federal enterprise agreements June quarter 2025 - </w:t>
      </w:r>
      <w:r>
        <w:rPr>
          <w:rFonts w:ascii="Aptos" w:eastAsia="Aptos" w:hAnsi="Aptos" w:cs="Aptos"/>
          <w:b/>
          <w:i/>
          <w:color w:val="000000"/>
          <w:sz w:val="28"/>
          <w:szCs w:val="28"/>
        </w:rPr>
        <w:t>Tables 1 and 2 in Trends report</w:t>
      </w:r>
    </w:p>
    <w:p w14:paraId="571597E7" w14:textId="6F70A366"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The Average Annualised Wage Increase (AAWI) for federal agreements approved in the June quarter 2025 was 4.2%. This compares </w:t>
      </w:r>
      <w:r w:rsidR="007B5D16">
        <w:rPr>
          <w:rFonts w:ascii="Aptos" w:eastAsia="Aptos" w:hAnsi="Aptos" w:cs="Aptos"/>
          <w:color w:val="000000"/>
          <w:sz w:val="22"/>
          <w:szCs w:val="22"/>
        </w:rPr>
        <w:t>with 3.8</w:t>
      </w:r>
      <w:r>
        <w:rPr>
          <w:rFonts w:ascii="Aptos" w:eastAsia="Aptos" w:hAnsi="Aptos" w:cs="Aptos"/>
          <w:color w:val="000000"/>
          <w:sz w:val="22"/>
          <w:szCs w:val="22"/>
        </w:rPr>
        <w:t>% in the March quarter 2025, 4.0% in the June quarter 2024, and the five-year average of 3.4% (June quarter 2020 to June quarter 2025).</w:t>
      </w:r>
      <w:r w:rsidR="006B27F5">
        <w:rPr>
          <w:rStyle w:val="FootnoteReference"/>
          <w:rFonts w:ascii="Aptos" w:eastAsia="Aptos" w:hAnsi="Aptos" w:cs="Aptos"/>
          <w:color w:val="000000"/>
          <w:sz w:val="22"/>
          <w:szCs w:val="22"/>
        </w:rPr>
        <w:footnoteReference w:id="1"/>
      </w:r>
    </w:p>
    <w:p w14:paraId="727151DB" w14:textId="37BEBFD6"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For the June quarter 2025, the calculated AAWI of 4.2% is based on 816 agreements with quantifiable wage increases, covering 136,900 employees. This was 83.9% of the 973 agreements approved in the quarter, covering 74.0% of the 184,900 employees covered by all approved agreements.</w:t>
      </w:r>
      <w:r w:rsidR="006B27F5">
        <w:rPr>
          <w:rStyle w:val="FootnoteReference"/>
          <w:rFonts w:ascii="Aptos" w:eastAsia="Aptos" w:hAnsi="Aptos" w:cs="Aptos"/>
          <w:color w:val="000000"/>
          <w:sz w:val="22"/>
          <w:szCs w:val="22"/>
        </w:rPr>
        <w:footnoteReference w:id="2"/>
      </w:r>
      <w:r>
        <w:rPr>
          <w:rFonts w:ascii="Aptos" w:eastAsia="Aptos" w:hAnsi="Aptos" w:cs="Aptos"/>
          <w:color w:val="FF0000"/>
          <w:sz w:val="20"/>
          <w:szCs w:val="20"/>
        </w:rPr>
        <w:t xml:space="preserve"> </w:t>
      </w:r>
    </w:p>
    <w:p w14:paraId="005E2FB4" w14:textId="464A054A"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For the 8,838 enterprise agreements (covering 1,796,</w:t>
      </w:r>
      <w:r w:rsidR="009771DA">
        <w:rPr>
          <w:rFonts w:ascii="Aptos" w:eastAsia="Aptos" w:hAnsi="Aptos" w:cs="Aptos"/>
          <w:color w:val="000000"/>
          <w:sz w:val="22"/>
          <w:szCs w:val="22"/>
        </w:rPr>
        <w:t xml:space="preserve">700 </w:t>
      </w:r>
      <w:r>
        <w:rPr>
          <w:rFonts w:ascii="Aptos" w:eastAsia="Aptos" w:hAnsi="Aptos" w:cs="Aptos"/>
          <w:color w:val="000000"/>
          <w:sz w:val="22"/>
          <w:szCs w:val="22"/>
        </w:rPr>
        <w:t xml:space="preserve">employees) current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2025 (agreements that have not passed the nominal expiry date and have not been terminated) that had a quantifiable wage increase, the AAWI was 3.8%. This compares with 3.8% in the March quarter 2025 and 3.4% in the June quarter 2024.</w:t>
      </w:r>
    </w:p>
    <w:p w14:paraId="3858CAA8"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2. Enterprise agreements - proportions of employees covered</w:t>
      </w:r>
    </w:p>
    <w:p w14:paraId="416366B3" w14:textId="6B6B7D59"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Federal </w:t>
      </w:r>
      <w:r>
        <w:rPr>
          <w:rFonts w:ascii="Aptos" w:eastAsia="Aptos" w:hAnsi="Aptos" w:cs="Aptos"/>
          <w:color w:val="000000"/>
          <w:sz w:val="22"/>
          <w:szCs w:val="22"/>
          <w:u w:val="single"/>
        </w:rPr>
        <w:t xml:space="preserve">and </w:t>
      </w:r>
      <w:r>
        <w:rPr>
          <w:rFonts w:ascii="Aptos" w:eastAsia="Aptos" w:hAnsi="Aptos" w:cs="Aptos"/>
          <w:color w:val="000000"/>
          <w:sz w:val="22"/>
          <w:szCs w:val="22"/>
        </w:rPr>
        <w:t>state enterprise agreements covered 34.0% of all Australian employees in May 2023 (latest available data).</w:t>
      </w:r>
      <w:r w:rsidR="006B27F5">
        <w:rPr>
          <w:rStyle w:val="FootnoteReference"/>
          <w:rFonts w:ascii="Aptos" w:eastAsia="Aptos" w:hAnsi="Aptos" w:cs="Aptos"/>
          <w:color w:val="000000"/>
          <w:sz w:val="22"/>
          <w:szCs w:val="22"/>
        </w:rPr>
        <w:footnoteReference w:id="3"/>
      </w:r>
    </w:p>
    <w:p w14:paraId="1D67B6D3" w14:textId="77777777" w:rsidR="00AB0A8C" w:rsidRDefault="007639BC">
      <w:r>
        <w:br w:type="page"/>
      </w:r>
    </w:p>
    <w:p w14:paraId="2EDD6F4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3. Comparison of AAWI, ABS Wage Price Index (WPI) and ABS Consumer Price Index (CPI)</w:t>
      </w:r>
    </w:p>
    <w:p w14:paraId="0003D516" w14:textId="6CC14544" w:rsidR="00AB0A8C" w:rsidRPr="009642A7"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1 </w:t>
      </w:r>
      <w:r w:rsidR="009642A7">
        <w:rPr>
          <w:rFonts w:ascii="Aptos" w:eastAsia="Aptos" w:hAnsi="Aptos" w:cs="Aptos"/>
          <w:b/>
          <w:color w:val="000000"/>
        </w:rPr>
        <w:t>–</w:t>
      </w:r>
      <w:r>
        <w:rPr>
          <w:rFonts w:ascii="Aptos" w:eastAsia="Aptos" w:hAnsi="Aptos" w:cs="Aptos"/>
          <w:b/>
          <w:color w:val="000000"/>
        </w:rPr>
        <w:t xml:space="preserve"> </w:t>
      </w:r>
      <w:r w:rsidR="009642A7" w:rsidRPr="009642A7">
        <w:rPr>
          <w:rFonts w:ascii="Aptos" w:eastAsia="Aptos" w:hAnsi="Aptos" w:cs="Aptos"/>
          <w:b/>
        </w:rPr>
        <w:t>Wage growth outpaced inflation for the seventh consecutive quarter in June</w:t>
      </w:r>
    </w:p>
    <w:p w14:paraId="2E1266F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Annual changes in quarterly AAWI for approved agreements, WPI and CPI (%)</w:t>
      </w:r>
    </w:p>
    <w:p w14:paraId="1305C205" w14:textId="77777777" w:rsidR="00AB0A8C" w:rsidRDefault="007639BC">
      <w:pPr>
        <w:pStyle w:val="Figure"/>
      </w:pPr>
      <w:r>
        <w:rPr>
          <w:noProof/>
        </w:rPr>
        <w:drawing>
          <wp:inline distT="0" distB="0" distL="0" distR="0" wp14:anchorId="5AFC3465" wp14:editId="1872E7F3">
            <wp:extent cx="64008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5" cstate="print"/>
                    <a:stretch>
                      <a:fillRect/>
                    </a:stretch>
                  </pic:blipFill>
                  <pic:spPr bwMode="auto">
                    <a:xfrm>
                      <a:off x="0" y="0"/>
                      <a:ext cx="88900" cy="50800"/>
                    </a:xfrm>
                    <a:prstGeom prst="rect">
                      <a:avLst/>
                    </a:prstGeom>
                    <a:noFill/>
                  </pic:spPr>
                </pic:pic>
              </a:graphicData>
            </a:graphic>
          </wp:inline>
        </w:drawing>
      </w:r>
    </w:p>
    <w:p w14:paraId="5EF0ED6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0"/>
          <w:szCs w:val="20"/>
        </w:rPr>
        <w:t xml:space="preserve">Sources: </w:t>
      </w:r>
      <w:r>
        <w:rPr>
          <w:rFonts w:ascii="Aptos" w:eastAsia="Aptos" w:hAnsi="Aptos" w:cs="Aptos"/>
          <w:color w:val="000000"/>
          <w:sz w:val="20"/>
          <w:szCs w:val="20"/>
        </w:rPr>
        <w:t xml:space="preserve">Department of Employment and Workplace Relations, Workplace Agreements Database; ABS, </w:t>
      </w:r>
      <w:r>
        <w:rPr>
          <w:rFonts w:ascii="Aptos" w:eastAsia="Aptos" w:hAnsi="Aptos" w:cs="Aptos"/>
          <w:i/>
          <w:color w:val="000000"/>
          <w:sz w:val="20"/>
          <w:szCs w:val="20"/>
        </w:rPr>
        <w:t xml:space="preserve">Consumer Price Index, Australia, </w:t>
      </w:r>
      <w:r>
        <w:rPr>
          <w:rFonts w:ascii="Aptos" w:eastAsia="Aptos" w:hAnsi="Aptos" w:cs="Aptos"/>
          <w:color w:val="000000"/>
          <w:sz w:val="20"/>
          <w:szCs w:val="20"/>
        </w:rPr>
        <w:t xml:space="preserve">June 2025; ABS, </w:t>
      </w:r>
      <w:r>
        <w:rPr>
          <w:rFonts w:ascii="Aptos" w:eastAsia="Aptos" w:hAnsi="Aptos" w:cs="Aptos"/>
          <w:i/>
          <w:color w:val="000000"/>
          <w:sz w:val="20"/>
          <w:szCs w:val="20"/>
        </w:rPr>
        <w:t xml:space="preserve">Wage Price Index, Australia, </w:t>
      </w:r>
      <w:r>
        <w:rPr>
          <w:rFonts w:ascii="Aptos" w:eastAsia="Aptos" w:hAnsi="Aptos" w:cs="Aptos"/>
          <w:color w:val="000000"/>
          <w:sz w:val="20"/>
          <w:szCs w:val="20"/>
        </w:rPr>
        <w:t>June 2025.</w:t>
      </w: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AB0A8C" w14:paraId="53B2BF46" w14:textId="77777777">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D077B9" w14:textId="77777777" w:rsidR="00AB0A8C" w:rsidRDefault="00AB0A8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DDA8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67E6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2D440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7F3B3"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CD91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22B7E"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B414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4766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1FCC1A"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5C421"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A21926"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ABCDF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9BD60"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Jun-25</w:t>
            </w:r>
          </w:p>
        </w:tc>
      </w:tr>
      <w:tr w:rsidR="00AB0A8C" w14:paraId="1789A459"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0D18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1D2A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0AF82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EE5CE"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2F06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6E17E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6F8DE"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D6263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5672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2DBB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4F80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C86A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77C0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E08F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r>
      <w:tr w:rsidR="00AB0A8C" w14:paraId="364F7AE7"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2B6E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WPI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FD48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9D8C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DFC9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F424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F9F4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F153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D49A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E61F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0BDE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164B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1088C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B45A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B127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r>
      <w:tr w:rsidR="00AB0A8C" w14:paraId="67DBAF04"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2AC17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CPI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BD78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6.1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7465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7.3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1F5E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7.8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2B22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7.0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A832F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6.0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B90B0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5.4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99DD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59B3E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65FA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9F99B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9402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FBC7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DEAF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2.1</w:t>
            </w:r>
          </w:p>
        </w:tc>
      </w:tr>
    </w:tbl>
    <w:p w14:paraId="71D60983" w14:textId="77777777" w:rsidR="00AB0A8C" w:rsidRDefault="007639BC">
      <w:r>
        <w:br w:type="page"/>
      </w:r>
    </w:p>
    <w:p w14:paraId="3B37D75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4. AAWI - agreements approved in the June quarter 2025 and agreements current as </w:t>
      </w:r>
      <w:proofErr w:type="gramStart"/>
      <w:r>
        <w:rPr>
          <w:rFonts w:ascii="Aptos" w:eastAsia="Aptos" w:hAnsi="Aptos" w:cs="Aptos"/>
          <w:b/>
          <w:color w:val="000000"/>
          <w:sz w:val="28"/>
          <w:szCs w:val="28"/>
        </w:rPr>
        <w:t>at</w:t>
      </w:r>
      <w:proofErr w:type="gramEnd"/>
      <w:r>
        <w:rPr>
          <w:rFonts w:ascii="Aptos" w:eastAsia="Aptos" w:hAnsi="Aptos" w:cs="Aptos"/>
          <w:b/>
          <w:color w:val="000000"/>
          <w:sz w:val="28"/>
          <w:szCs w:val="28"/>
        </w:rPr>
        <w:t xml:space="preserve"> 30 June 2025 - </w:t>
      </w:r>
      <w:r>
        <w:rPr>
          <w:rFonts w:ascii="Aptos" w:eastAsia="Aptos" w:hAnsi="Aptos" w:cs="Aptos"/>
          <w:b/>
          <w:i/>
          <w:color w:val="000000"/>
          <w:sz w:val="28"/>
          <w:szCs w:val="28"/>
        </w:rPr>
        <w:t>Tables 3, 4, 7 and 8 in Trends report</w:t>
      </w:r>
    </w:p>
    <w:p w14:paraId="684DA622" w14:textId="20B9BB48"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2 </w:t>
      </w:r>
      <w:r w:rsidR="009642A7">
        <w:rPr>
          <w:rFonts w:ascii="Aptos" w:eastAsia="Aptos" w:hAnsi="Aptos" w:cs="Aptos"/>
          <w:b/>
          <w:color w:val="000000"/>
        </w:rPr>
        <w:t>–</w:t>
      </w:r>
      <w:r w:rsidR="00A976C0" w:rsidRPr="00A976C0">
        <w:rPr>
          <w:rFonts w:ascii="Aptos" w:eastAsia="Aptos" w:hAnsi="Aptos" w:cs="Aptos"/>
          <w:b/>
        </w:rPr>
        <w:t xml:space="preserve">The </w:t>
      </w:r>
      <w:r w:rsidR="00A976C0">
        <w:rPr>
          <w:rFonts w:ascii="Aptos" w:eastAsia="Aptos" w:hAnsi="Aptos" w:cs="Aptos"/>
          <w:b/>
        </w:rPr>
        <w:t>overall</w:t>
      </w:r>
      <w:r w:rsidR="00A976C0" w:rsidRPr="00A976C0">
        <w:rPr>
          <w:rFonts w:ascii="Aptos" w:eastAsia="Aptos" w:hAnsi="Aptos" w:cs="Aptos"/>
          <w:b/>
        </w:rPr>
        <w:t xml:space="preserve"> AAWI for current agreements remained </w:t>
      </w:r>
      <w:r w:rsidR="00524E17">
        <w:rPr>
          <w:rFonts w:ascii="Aptos" w:eastAsia="Aptos" w:hAnsi="Aptos" w:cs="Aptos"/>
          <w:b/>
        </w:rPr>
        <w:t xml:space="preserve">at </w:t>
      </w:r>
      <w:r w:rsidR="00E31FA9">
        <w:rPr>
          <w:rFonts w:ascii="Aptos" w:eastAsia="Aptos" w:hAnsi="Aptos" w:cs="Aptos"/>
          <w:b/>
        </w:rPr>
        <w:t xml:space="preserve">its </w:t>
      </w:r>
      <w:r w:rsidR="00111A64">
        <w:rPr>
          <w:rFonts w:ascii="Aptos" w:eastAsia="Aptos" w:hAnsi="Aptos" w:cs="Aptos"/>
          <w:b/>
        </w:rPr>
        <w:t>recent</w:t>
      </w:r>
      <w:r w:rsidR="00E31FA9">
        <w:rPr>
          <w:rFonts w:ascii="Aptos" w:eastAsia="Aptos" w:hAnsi="Aptos" w:cs="Aptos"/>
          <w:b/>
        </w:rPr>
        <w:t xml:space="preserve"> high</w:t>
      </w:r>
      <w:r w:rsidR="00524E17" w:rsidRPr="00A976C0">
        <w:rPr>
          <w:rFonts w:ascii="Aptos" w:eastAsia="Aptos" w:hAnsi="Aptos" w:cs="Aptos"/>
          <w:b/>
        </w:rPr>
        <w:t xml:space="preserve"> </w:t>
      </w:r>
      <w:r w:rsidR="00A976C0" w:rsidRPr="00A976C0">
        <w:rPr>
          <w:rFonts w:ascii="Aptos" w:eastAsia="Aptos" w:hAnsi="Aptos" w:cs="Aptos"/>
          <w:b/>
        </w:rPr>
        <w:t>in June</w:t>
      </w:r>
    </w:p>
    <w:p w14:paraId="05EB4BA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Quarterly AAWI for approved and current agreements (%)</w:t>
      </w:r>
    </w:p>
    <w:p w14:paraId="2EC235B0" w14:textId="77777777" w:rsidR="00AB0A8C" w:rsidRDefault="007639BC">
      <w:pPr>
        <w:pStyle w:val="Figure"/>
      </w:pPr>
      <w:r>
        <w:rPr>
          <w:noProof/>
        </w:rPr>
        <w:drawing>
          <wp:inline distT="0" distB="0" distL="0" distR="0" wp14:anchorId="0B392647" wp14:editId="2A7E32D5">
            <wp:extent cx="6400800"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6" cstate="print"/>
                    <a:stretch>
                      <a:fillRect/>
                    </a:stretch>
                  </pic:blipFill>
                  <pic:spPr bwMode="auto">
                    <a:xfrm>
                      <a:off x="0" y="0"/>
                      <a:ext cx="88900" cy="50800"/>
                    </a:xfrm>
                    <a:prstGeom prst="rect">
                      <a:avLst/>
                    </a:prstGeom>
                    <a:noFill/>
                  </pic:spPr>
                </pic:pic>
              </a:graphicData>
            </a:graphic>
          </wp:inline>
        </w:drawing>
      </w:r>
    </w:p>
    <w:p w14:paraId="6B92699E" w14:textId="10527301"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AB0A8C" w14:paraId="46D545A7"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AB394" w14:textId="77777777" w:rsidR="00AB0A8C" w:rsidRDefault="00AB0A8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8253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93AF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93E6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CA3C1"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2F9E0"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9139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25702"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0D3E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2EE9A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6EBF0"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60D43"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78A3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E801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Jun-25</w:t>
            </w:r>
          </w:p>
        </w:tc>
      </w:tr>
      <w:tr w:rsidR="00AB0A8C" w14:paraId="1D66F8B3"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DDFA3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44AE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A216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F09A6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0329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0B3A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78D28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15C1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77A9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15987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85EE6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6FC7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F68E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7FDF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r>
      <w:tr w:rsidR="00AB0A8C" w14:paraId="46C38E12"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FAA3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0F85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4C41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B3FBD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D0BA7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D9DB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8BB2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0345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596E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BABF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1AAA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BB24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33858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6017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r>
    </w:tbl>
    <w:p w14:paraId="572E1FD4"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rPr>
        <w:t>Approved agreements</w:t>
      </w:r>
    </w:p>
    <w:p w14:paraId="1F87F94F"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color w:val="000000"/>
          <w:sz w:val="22"/>
          <w:szCs w:val="22"/>
        </w:rPr>
        <w:t>There were 973 agreements approved in the June quarter 2025, of which 816 contained wage increases that could be quantified.</w:t>
      </w:r>
    </w:p>
    <w:p w14:paraId="3E7417C0"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color w:val="000000"/>
          <w:sz w:val="22"/>
          <w:szCs w:val="22"/>
        </w:rPr>
        <w:t>The AAWI for agreements approved in the June quarter 2025 was 4.2%, compared with 3.8% in the March quarter 2025 and 4.0% in the June quarter 2024.</w:t>
      </w:r>
    </w:p>
    <w:p w14:paraId="06C0089B"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color w:val="000000"/>
          <w:sz w:val="22"/>
          <w:szCs w:val="22"/>
        </w:rPr>
        <w:t>The industries with the highest AAWIs were Construction (5.7%), Health Care and Social Assistance (4.5%) and Electricity, Gas, Water and Waste Services (4.5%).</w:t>
      </w:r>
    </w:p>
    <w:p w14:paraId="1016CC59"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color w:val="000000"/>
          <w:sz w:val="22"/>
          <w:szCs w:val="22"/>
        </w:rPr>
        <w:t>The industries with the lowest AAWIs were Information Media and Telecommunications (2.2%), Administrative and Support Services (2.9%) and Rental, Hiring and Real Estate Services (3.1%).</w:t>
      </w:r>
    </w:p>
    <w:p w14:paraId="55AA21FC"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rPr>
        <w:t>Current agreements</w:t>
      </w:r>
    </w:p>
    <w:p w14:paraId="7AE6AE77" w14:textId="77777777"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color w:val="000000"/>
          <w:sz w:val="22"/>
          <w:szCs w:val="22"/>
        </w:rPr>
        <w:t xml:space="preserve">There were 11,302 agreements current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2025, of which 8,838 contained quantifiable wage increases.</w:t>
      </w:r>
    </w:p>
    <w:p w14:paraId="7EBFF6F9" w14:textId="2F466F24" w:rsidR="00AB0A8C" w:rsidRDefault="007639BC" w:rsidP="004D22CE">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color w:val="000000"/>
          <w:sz w:val="22"/>
          <w:szCs w:val="22"/>
        </w:rPr>
        <w:t xml:space="preserve">The AAWI for agreements current (not expired or terminated)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2025 was 3.8%, compared with 3.8%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March 2025 and 3.4%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2024.</w:t>
      </w:r>
    </w:p>
    <w:p w14:paraId="2572B674" w14:textId="77777777" w:rsidR="00AB0A8C" w:rsidRDefault="007639BC">
      <w:r>
        <w:br w:type="page"/>
      </w:r>
    </w:p>
    <w:p w14:paraId="3CCE4DB1" w14:textId="4612A988"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5. Private sector wages growth - June quarter 2025 - </w:t>
      </w:r>
      <w:r>
        <w:rPr>
          <w:rFonts w:ascii="Aptos" w:eastAsia="Aptos" w:hAnsi="Aptos" w:cs="Aptos"/>
          <w:b/>
          <w:i/>
          <w:color w:val="000000"/>
          <w:sz w:val="28"/>
          <w:szCs w:val="28"/>
        </w:rPr>
        <w:t>Tables 3 and 4 in Trends report</w:t>
      </w:r>
    </w:p>
    <w:p w14:paraId="51875910" w14:textId="65FBAF51"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3 </w:t>
      </w:r>
      <w:r w:rsidR="009642A7">
        <w:rPr>
          <w:rFonts w:ascii="Aptos" w:eastAsia="Aptos" w:hAnsi="Aptos" w:cs="Aptos"/>
          <w:b/>
          <w:color w:val="000000"/>
        </w:rPr>
        <w:t>–</w:t>
      </w:r>
      <w:r>
        <w:rPr>
          <w:rFonts w:ascii="Aptos" w:eastAsia="Aptos" w:hAnsi="Aptos" w:cs="Aptos"/>
          <w:b/>
          <w:color w:val="000000"/>
        </w:rPr>
        <w:t xml:space="preserve"> </w:t>
      </w:r>
      <w:r w:rsidR="009642A7" w:rsidRPr="009642A7">
        <w:rPr>
          <w:rFonts w:ascii="Aptos" w:eastAsia="Aptos" w:hAnsi="Aptos" w:cs="Aptos"/>
          <w:b/>
        </w:rPr>
        <w:t xml:space="preserve">The private sector AAWI for </w:t>
      </w:r>
      <w:r w:rsidR="00016FDA">
        <w:rPr>
          <w:rFonts w:ascii="Aptos" w:eastAsia="Aptos" w:hAnsi="Aptos" w:cs="Aptos"/>
          <w:b/>
        </w:rPr>
        <w:t>approved</w:t>
      </w:r>
      <w:r w:rsidR="00016FDA" w:rsidRPr="009642A7">
        <w:rPr>
          <w:rFonts w:ascii="Aptos" w:eastAsia="Aptos" w:hAnsi="Aptos" w:cs="Aptos"/>
          <w:b/>
        </w:rPr>
        <w:t xml:space="preserve"> </w:t>
      </w:r>
      <w:r w:rsidR="009642A7" w:rsidRPr="009642A7">
        <w:rPr>
          <w:rFonts w:ascii="Aptos" w:eastAsia="Aptos" w:hAnsi="Aptos" w:cs="Aptos"/>
          <w:b/>
        </w:rPr>
        <w:t xml:space="preserve">agreements </w:t>
      </w:r>
      <w:r w:rsidR="004C6226">
        <w:rPr>
          <w:rFonts w:ascii="Aptos" w:eastAsia="Aptos" w:hAnsi="Aptos" w:cs="Aptos"/>
          <w:b/>
        </w:rPr>
        <w:t xml:space="preserve">in June </w:t>
      </w:r>
      <w:r w:rsidR="00AD43F9">
        <w:rPr>
          <w:rFonts w:ascii="Aptos" w:eastAsia="Aptos" w:hAnsi="Aptos" w:cs="Aptos"/>
          <w:b/>
        </w:rPr>
        <w:t>was the highest since</w:t>
      </w:r>
      <w:r w:rsidR="0090088A">
        <w:rPr>
          <w:rFonts w:ascii="Aptos" w:eastAsia="Aptos" w:hAnsi="Aptos" w:cs="Aptos"/>
          <w:b/>
        </w:rPr>
        <w:t xml:space="preserve"> 2009</w:t>
      </w:r>
      <w:r w:rsidR="009642A7" w:rsidRPr="009642A7">
        <w:rPr>
          <w:rFonts w:ascii="Aptos" w:eastAsia="Aptos" w:hAnsi="Aptos" w:cs="Aptos"/>
          <w:b/>
        </w:rPr>
        <w:t xml:space="preserve"> </w:t>
      </w:r>
    </w:p>
    <w:p w14:paraId="5070ABE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Quarterly AAWI for private sector approved and current agreements (%)</w:t>
      </w:r>
    </w:p>
    <w:p w14:paraId="0D7EB441" w14:textId="77777777" w:rsidR="00AB0A8C" w:rsidRDefault="007639BC">
      <w:pPr>
        <w:pStyle w:val="Figure"/>
      </w:pPr>
      <w:r>
        <w:rPr>
          <w:noProof/>
        </w:rPr>
        <w:drawing>
          <wp:inline distT="0" distB="0" distL="0" distR="0" wp14:anchorId="4670E255" wp14:editId="73A79F42">
            <wp:extent cx="6400800" cy="365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7" cstate="print"/>
                    <a:stretch>
                      <a:fillRect/>
                    </a:stretch>
                  </pic:blipFill>
                  <pic:spPr bwMode="auto">
                    <a:xfrm>
                      <a:off x="0" y="0"/>
                      <a:ext cx="88900" cy="50800"/>
                    </a:xfrm>
                    <a:prstGeom prst="rect">
                      <a:avLst/>
                    </a:prstGeom>
                    <a:noFill/>
                  </pic:spPr>
                </pic:pic>
              </a:graphicData>
            </a:graphic>
          </wp:inline>
        </w:drawing>
      </w:r>
    </w:p>
    <w:p w14:paraId="50D5C91A" w14:textId="0381B608"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AB0A8C" w14:paraId="4FCB2CC4"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90B9B8" w14:textId="77777777" w:rsidR="00AB0A8C" w:rsidRDefault="00AB0A8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1A86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173C9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CEC6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874E45"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26EC7"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F0AD9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0903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A3CD7"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CE54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511E9"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D032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F5546"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7314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Jun-25</w:t>
            </w:r>
          </w:p>
        </w:tc>
      </w:tr>
      <w:tr w:rsidR="00AB0A8C" w14:paraId="2CA2F314"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1344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BFF9F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E52E9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39BAC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F9FF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69871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71A4C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B2B2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34E4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0100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4BD6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2196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5D5E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6C6D1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4.3</w:t>
            </w:r>
          </w:p>
        </w:tc>
      </w:tr>
      <w:tr w:rsidR="00AB0A8C" w14:paraId="71D618B0"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54131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C53F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EB81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4987D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D77D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B04B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0AE5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CC22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3149C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7470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9DCB0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83168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3EEF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457B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r>
    </w:tbl>
    <w:p w14:paraId="3D7E18E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The AAWI for private sector agreements approved in the June quarter 2025 was 4.3%, compared with 3.9% in the March quarter 2025 and 4.0% in the June quarter 2024.</w:t>
      </w:r>
    </w:p>
    <w:p w14:paraId="298DAD8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Large quantifiable private sector agreements approved in the June quarter 2025 include:</w:t>
      </w:r>
    </w:p>
    <w:p w14:paraId="316D6039" w14:textId="0E80D732" w:rsidR="00AB0A8C" w:rsidRPr="006B27F5" w:rsidRDefault="007639BC" w:rsidP="00BD6A47">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6B27F5">
        <w:rPr>
          <w:rFonts w:ascii="Aptos" w:eastAsia="Aptos" w:hAnsi="Aptos" w:cs="Aptos"/>
          <w:i/>
          <w:sz w:val="22"/>
          <w:szCs w:val="22"/>
        </w:rPr>
        <w:t xml:space="preserve">Independent Schools (Teachers) Cooperative Multi-Enterprise Agreement 2025 </w:t>
      </w:r>
      <w:r w:rsidRPr="006B27F5">
        <w:rPr>
          <w:rFonts w:ascii="Aptos" w:eastAsia="Aptos" w:hAnsi="Aptos" w:cs="Aptos"/>
          <w:sz w:val="22"/>
          <w:szCs w:val="22"/>
        </w:rPr>
        <w:t>(20,803</w:t>
      </w:r>
      <w:r w:rsidR="00633CE2">
        <w:rPr>
          <w:rFonts w:ascii="Aptos" w:eastAsia="Aptos" w:hAnsi="Aptos" w:cs="Aptos"/>
          <w:sz w:val="22"/>
          <w:szCs w:val="22"/>
        </w:rPr>
        <w:t> </w:t>
      </w:r>
      <w:r w:rsidRPr="006B27F5">
        <w:rPr>
          <w:rFonts w:ascii="Aptos" w:eastAsia="Aptos" w:hAnsi="Aptos" w:cs="Aptos"/>
          <w:sz w:val="22"/>
          <w:szCs w:val="22"/>
        </w:rPr>
        <w:t xml:space="preserve">employees), with an AAWI of </w:t>
      </w:r>
      <w:proofErr w:type="gramStart"/>
      <w:r w:rsidRPr="006B27F5">
        <w:rPr>
          <w:rFonts w:ascii="Aptos" w:eastAsia="Aptos" w:hAnsi="Aptos" w:cs="Aptos"/>
          <w:sz w:val="22"/>
          <w:szCs w:val="22"/>
        </w:rPr>
        <w:t>4.3%;</w:t>
      </w:r>
      <w:proofErr w:type="gramEnd"/>
    </w:p>
    <w:p w14:paraId="4C1139FB" w14:textId="77777777" w:rsidR="00AB0A8C" w:rsidRPr="006B27F5" w:rsidRDefault="007639BC" w:rsidP="00BD6A47">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6B27F5">
        <w:rPr>
          <w:rFonts w:ascii="Aptos" w:eastAsia="Aptos" w:hAnsi="Aptos" w:cs="Aptos"/>
          <w:i/>
          <w:sz w:val="22"/>
          <w:szCs w:val="22"/>
        </w:rPr>
        <w:t xml:space="preserve">Ramsay Health Care New South Wales Nurses and Midwives Enterprise Agreement 2023-2026 </w:t>
      </w:r>
      <w:r w:rsidRPr="006B27F5">
        <w:rPr>
          <w:rFonts w:ascii="Aptos" w:eastAsia="Aptos" w:hAnsi="Aptos" w:cs="Aptos"/>
          <w:sz w:val="22"/>
          <w:szCs w:val="22"/>
        </w:rPr>
        <w:t>(4,917 employees), with an AAWI of 9.9%; and</w:t>
      </w:r>
    </w:p>
    <w:p w14:paraId="0E6CC5BF" w14:textId="6FB32276" w:rsidR="00AB0A8C" w:rsidRDefault="007639BC" w:rsidP="00BD6A47">
      <w:pPr>
        <w:pStyle w:val="ListParagraph"/>
        <w:numPr>
          <w:ilvl w:val="0"/>
          <w:numId w:val="4"/>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6B27F5">
        <w:rPr>
          <w:rFonts w:ascii="Aptos" w:eastAsia="Aptos" w:hAnsi="Aptos" w:cs="Aptos"/>
          <w:i/>
          <w:sz w:val="22"/>
          <w:szCs w:val="22"/>
        </w:rPr>
        <w:t xml:space="preserve">Anglicare Aged Care Enterprise Agreement 2025 </w:t>
      </w:r>
      <w:r w:rsidRPr="006B27F5">
        <w:rPr>
          <w:rFonts w:ascii="Aptos" w:eastAsia="Aptos" w:hAnsi="Aptos" w:cs="Aptos"/>
          <w:sz w:val="22"/>
          <w:szCs w:val="22"/>
        </w:rPr>
        <w:t>(3,648 employees), with an AAWI of 2.7%.</w:t>
      </w:r>
      <w:r>
        <w:br w:type="page"/>
      </w:r>
    </w:p>
    <w:p w14:paraId="7DEAFA0A"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6. Public sector wages growth - June quarter 2025 - </w:t>
      </w:r>
      <w:r>
        <w:rPr>
          <w:rFonts w:ascii="Aptos" w:eastAsia="Aptos" w:hAnsi="Aptos" w:cs="Aptos"/>
          <w:b/>
          <w:i/>
          <w:color w:val="000000"/>
          <w:sz w:val="28"/>
          <w:szCs w:val="28"/>
        </w:rPr>
        <w:t>Tables 3 and 4 in the Trends report</w:t>
      </w:r>
    </w:p>
    <w:p w14:paraId="3A8740AD" w14:textId="417756EA"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4 </w:t>
      </w:r>
      <w:r w:rsidR="009642A7">
        <w:rPr>
          <w:rFonts w:ascii="Aptos" w:eastAsia="Aptos" w:hAnsi="Aptos" w:cs="Aptos"/>
          <w:b/>
          <w:color w:val="000000"/>
        </w:rPr>
        <w:t>–</w:t>
      </w:r>
      <w:r>
        <w:rPr>
          <w:rFonts w:ascii="Aptos" w:eastAsia="Aptos" w:hAnsi="Aptos" w:cs="Aptos"/>
          <w:b/>
          <w:color w:val="000000"/>
        </w:rPr>
        <w:t xml:space="preserve"> </w:t>
      </w:r>
      <w:r w:rsidR="009642A7" w:rsidRPr="009642A7">
        <w:rPr>
          <w:rFonts w:ascii="Aptos" w:eastAsia="Aptos" w:hAnsi="Aptos" w:cs="Aptos"/>
          <w:b/>
        </w:rPr>
        <w:t>The public sector AAWI for current agreements remained steady in June</w:t>
      </w:r>
    </w:p>
    <w:p w14:paraId="71C90E2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Quarterly AAWI for public sector approved and current agreements (%)</w:t>
      </w:r>
    </w:p>
    <w:p w14:paraId="4931D2AD" w14:textId="77777777" w:rsidR="00AB0A8C" w:rsidRDefault="007639BC">
      <w:pPr>
        <w:pStyle w:val="Figure"/>
      </w:pPr>
      <w:r>
        <w:rPr>
          <w:noProof/>
        </w:rPr>
        <w:drawing>
          <wp:inline distT="0" distB="0" distL="0" distR="0" wp14:anchorId="009592A7" wp14:editId="0527C4E6">
            <wp:extent cx="64008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8" cstate="print"/>
                    <a:stretch>
                      <a:fillRect/>
                    </a:stretch>
                  </pic:blipFill>
                  <pic:spPr bwMode="auto">
                    <a:xfrm>
                      <a:off x="0" y="0"/>
                      <a:ext cx="88900" cy="50800"/>
                    </a:xfrm>
                    <a:prstGeom prst="rect">
                      <a:avLst/>
                    </a:prstGeom>
                    <a:noFill/>
                  </pic:spPr>
                </pic:pic>
              </a:graphicData>
            </a:graphic>
          </wp:inline>
        </w:drawing>
      </w:r>
    </w:p>
    <w:p w14:paraId="176C1A48" w14:textId="22311132"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AB0A8C" w14:paraId="72DDD2DC"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8F10F" w14:textId="77777777" w:rsidR="00AB0A8C" w:rsidRDefault="00AB0A8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848912"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B28F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06D9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A1BF8"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FBD5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D011BE"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457D03"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D9D7E0"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B628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07B36"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3A541"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771E7"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962BE"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Jun-25</w:t>
            </w:r>
          </w:p>
        </w:tc>
      </w:tr>
      <w:tr w:rsidR="00AB0A8C" w14:paraId="598B860E"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EF445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Approved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1D639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29B9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97633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5344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2793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0A6B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7B63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5.2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6DEC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D875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D983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4D1F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5.4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6D63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55A7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r>
      <w:tr w:rsidR="00AB0A8C" w14:paraId="3E048960"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29B3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Current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29FF9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3F704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2B8E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BFB1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1C694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FFFDBE"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B6554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1D31E"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CEF6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9238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4B51B"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4961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EBC9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r>
    </w:tbl>
    <w:p w14:paraId="4F16F008"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The AAWI for public sector enterprise agreements approved in the June quarter 2025 was 3.9%, compared with 3.5% in the March quarter 2025 and 3.9% in the June quarter 2024.</w:t>
      </w:r>
    </w:p>
    <w:p w14:paraId="3E0339A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Large quantifiable public sector agreements approved in the June quarter 2025 include:</w:t>
      </w:r>
    </w:p>
    <w:p w14:paraId="4E724C52" w14:textId="77777777" w:rsidR="00AB0A8C" w:rsidRPr="006B27F5" w:rsidRDefault="007639BC" w:rsidP="00BD6A47">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6B27F5">
        <w:rPr>
          <w:rFonts w:ascii="Aptos" w:eastAsia="Aptos" w:hAnsi="Aptos" w:cs="Aptos"/>
          <w:i/>
          <w:sz w:val="22"/>
          <w:szCs w:val="22"/>
        </w:rPr>
        <w:t xml:space="preserve">Victoria Police (Police Officers, Protective Services Offices, Police Reservists and Police Recruits) Enterprise Agreement 2025 </w:t>
      </w:r>
      <w:r w:rsidRPr="006B27F5">
        <w:rPr>
          <w:rFonts w:ascii="Aptos" w:eastAsia="Aptos" w:hAnsi="Aptos" w:cs="Aptos"/>
          <w:sz w:val="22"/>
          <w:szCs w:val="22"/>
        </w:rPr>
        <w:t xml:space="preserve">(17,843 employees), with an AAWI of </w:t>
      </w:r>
      <w:proofErr w:type="gramStart"/>
      <w:r w:rsidRPr="006B27F5">
        <w:rPr>
          <w:rFonts w:ascii="Aptos" w:eastAsia="Aptos" w:hAnsi="Aptos" w:cs="Aptos"/>
          <w:sz w:val="22"/>
          <w:szCs w:val="22"/>
        </w:rPr>
        <w:t>4.1%;</w:t>
      </w:r>
      <w:proofErr w:type="gramEnd"/>
    </w:p>
    <w:p w14:paraId="11E6CB05" w14:textId="77777777" w:rsidR="00AB0A8C" w:rsidRPr="006B27F5" w:rsidRDefault="007639BC" w:rsidP="00BD6A47">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6B27F5">
        <w:rPr>
          <w:rFonts w:ascii="Aptos" w:eastAsia="Aptos" w:hAnsi="Aptos" w:cs="Aptos"/>
          <w:i/>
          <w:sz w:val="22"/>
          <w:szCs w:val="22"/>
        </w:rPr>
        <w:t xml:space="preserve">Victorian TAFE Teaching Staff Agreement 2024 </w:t>
      </w:r>
      <w:r w:rsidRPr="006B27F5">
        <w:rPr>
          <w:rFonts w:ascii="Aptos" w:eastAsia="Aptos" w:hAnsi="Aptos" w:cs="Aptos"/>
          <w:sz w:val="22"/>
          <w:szCs w:val="22"/>
        </w:rPr>
        <w:t>(4,960 employees), with an AAWI of 3.5%; and</w:t>
      </w:r>
    </w:p>
    <w:p w14:paraId="68676090" w14:textId="2CADCF48" w:rsidR="00AB0A8C" w:rsidRDefault="007639BC" w:rsidP="00BD6A47">
      <w:pPr>
        <w:pStyle w:val="ListParagraph"/>
        <w:numPr>
          <w:ilvl w:val="0"/>
          <w:numId w:val="5"/>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6B27F5">
        <w:rPr>
          <w:rFonts w:ascii="Aptos" w:eastAsia="Aptos" w:hAnsi="Aptos" w:cs="Aptos"/>
          <w:i/>
          <w:sz w:val="22"/>
          <w:szCs w:val="22"/>
        </w:rPr>
        <w:t xml:space="preserve">Essential Energy Enterprise Agreement 2024 </w:t>
      </w:r>
      <w:r w:rsidRPr="006B27F5">
        <w:rPr>
          <w:rFonts w:ascii="Aptos" w:eastAsia="Aptos" w:hAnsi="Aptos" w:cs="Aptos"/>
          <w:sz w:val="22"/>
          <w:szCs w:val="22"/>
        </w:rPr>
        <w:t>(3,353 employees), with an AAWI of 5.0%.</w:t>
      </w:r>
      <w:r>
        <w:br w:type="page"/>
      </w:r>
    </w:p>
    <w:p w14:paraId="60F0683A"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7. State and Territory wages growth - June quarter 2025 - </w:t>
      </w:r>
      <w:r>
        <w:rPr>
          <w:rFonts w:ascii="Aptos" w:eastAsia="Aptos" w:hAnsi="Aptos" w:cs="Aptos"/>
          <w:b/>
          <w:i/>
          <w:color w:val="000000"/>
          <w:sz w:val="28"/>
          <w:szCs w:val="28"/>
        </w:rPr>
        <w:t>Table 10 in Trends report</w:t>
      </w:r>
    </w:p>
    <w:p w14:paraId="01DB52D7" w14:textId="2F63EEE4"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5 </w:t>
      </w:r>
      <w:r w:rsidR="00BD6A47">
        <w:rPr>
          <w:rFonts w:ascii="Aptos" w:eastAsia="Aptos" w:hAnsi="Aptos" w:cs="Aptos"/>
          <w:b/>
          <w:color w:val="000000"/>
        </w:rPr>
        <w:t>–</w:t>
      </w:r>
      <w:r>
        <w:rPr>
          <w:rFonts w:ascii="Aptos" w:eastAsia="Aptos" w:hAnsi="Aptos" w:cs="Aptos"/>
          <w:b/>
          <w:color w:val="000000"/>
        </w:rPr>
        <w:t xml:space="preserve"> </w:t>
      </w:r>
      <w:r w:rsidR="00BD6A47" w:rsidRPr="00BD6A47">
        <w:rPr>
          <w:rFonts w:ascii="Aptos" w:eastAsia="Aptos" w:hAnsi="Aptos" w:cs="Aptos"/>
          <w:b/>
        </w:rPr>
        <w:t>New South Wales recorded the highest AAWI in June</w:t>
      </w:r>
      <w:r w:rsidR="000E0BB1">
        <w:rPr>
          <w:rFonts w:ascii="Aptos" w:eastAsia="Aptos" w:hAnsi="Aptos" w:cs="Aptos"/>
          <w:b/>
        </w:rPr>
        <w:t xml:space="preserve"> with 5.0%</w:t>
      </w:r>
    </w:p>
    <w:p w14:paraId="5605A672"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Quarterly AAWI for State and Territory approved agreements (%)</w:t>
      </w:r>
    </w:p>
    <w:p w14:paraId="162193E8" w14:textId="77777777" w:rsidR="006E1E33" w:rsidRDefault="006E1E33">
      <w:pPr>
        <w:pStyle w:val="Figure"/>
        <w:rPr>
          <w:noProof/>
        </w:rPr>
      </w:pPr>
    </w:p>
    <w:p w14:paraId="31CF40EE" w14:textId="499938B7" w:rsidR="00AB0A8C" w:rsidRDefault="007029FD">
      <w:pPr>
        <w:pStyle w:val="Figure"/>
      </w:pPr>
      <w:r>
        <w:rPr>
          <w:noProof/>
        </w:rPr>
        <w:drawing>
          <wp:inline distT="0" distB="0" distL="0" distR="0" wp14:anchorId="7F911026" wp14:editId="529C0781">
            <wp:extent cx="5443268" cy="3483610"/>
            <wp:effectExtent l="0" t="0" r="508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rotWithShape="1">
                    <a:blip r:embed="rId19" cstate="print"/>
                    <a:srcRect r="10712"/>
                    <a:stretch>
                      <a:fillRect/>
                    </a:stretch>
                  </pic:blipFill>
                  <pic:spPr bwMode="auto">
                    <a:xfrm>
                      <a:off x="0" y="0"/>
                      <a:ext cx="5444118" cy="3484154"/>
                    </a:xfrm>
                    <a:prstGeom prst="rect">
                      <a:avLst/>
                    </a:prstGeom>
                    <a:noFill/>
                    <a:ln>
                      <a:noFill/>
                    </a:ln>
                    <a:extLst>
                      <a:ext uri="{53640926-AAD7-44D8-BBD7-CCE9431645EC}">
                        <a14:shadowObscured xmlns:a14="http://schemas.microsoft.com/office/drawing/2010/main"/>
                      </a:ext>
                    </a:extLst>
                  </pic:spPr>
                </pic:pic>
              </a:graphicData>
            </a:graphic>
          </wp:inline>
        </w:drawing>
      </w:r>
    </w:p>
    <w:p w14:paraId="76FAA8F3" w14:textId="4F6D7F28"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tbl>
      <w:tblPr>
        <w:tblW w:w="10529" w:type="dxa"/>
        <w:jc w:val="center"/>
        <w:tblLayout w:type="fixed"/>
        <w:tblLook w:val="0420" w:firstRow="1" w:lastRow="0" w:firstColumn="0" w:lastColumn="0" w:noHBand="0" w:noVBand="1"/>
      </w:tblPr>
      <w:tblGrid>
        <w:gridCol w:w="1008"/>
        <w:gridCol w:w="952"/>
        <w:gridCol w:w="952"/>
        <w:gridCol w:w="952"/>
        <w:gridCol w:w="952"/>
        <w:gridCol w:w="952"/>
        <w:gridCol w:w="953"/>
        <w:gridCol w:w="952"/>
        <w:gridCol w:w="952"/>
        <w:gridCol w:w="952"/>
        <w:gridCol w:w="952"/>
      </w:tblGrid>
      <w:tr w:rsidR="006E1E33" w14:paraId="3A5BAD60" w14:textId="77777777" w:rsidTr="006E1E33">
        <w:trPr>
          <w:tblHeader/>
          <w:jc w:val="center"/>
        </w:trPr>
        <w:tc>
          <w:tcPr>
            <w:tcW w:w="1008"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05EDA"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38C51"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All states</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ABEF7"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ACT</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CE4C6"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NSW</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127A4"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NT</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DAA2C1"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QLD</w:t>
            </w:r>
          </w:p>
        </w:tc>
        <w:tc>
          <w:tcPr>
            <w:tcW w:w="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2C0C5"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SA</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A2CBF"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TAS</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35370"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VIC</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49E11"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WA</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0DCBA" w14:textId="77777777" w:rsidR="006E1E33" w:rsidRDefault="006E1E33">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Multi-state</w:t>
            </w:r>
          </w:p>
        </w:tc>
      </w:tr>
      <w:tr w:rsidR="006E1E33" w14:paraId="772E72DC" w14:textId="77777777" w:rsidTr="006E1E33">
        <w:trPr>
          <w:jc w:val="center"/>
        </w:trPr>
        <w:tc>
          <w:tcPr>
            <w:tcW w:w="100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708D3" w14:textId="36B41320"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AAWI</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A7566"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68F5D"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4.4</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6BD4D"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5.0</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8F6A2"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A7F84"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ABC8D"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4.3</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03FA4"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66F49"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B83544"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9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01AFE" w14:textId="77777777" w:rsidR="006E1E33" w:rsidRDefault="006E1E33">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4.1</w:t>
            </w:r>
          </w:p>
        </w:tc>
      </w:tr>
    </w:tbl>
    <w:p w14:paraId="4BF949EC" w14:textId="6029FFA2"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AAWI results for agreements approved in the June quarter 2025 were highest for agreements in N</w:t>
      </w:r>
      <w:r w:rsidR="00AF72EF">
        <w:rPr>
          <w:rFonts w:ascii="Aptos" w:eastAsia="Aptos" w:hAnsi="Aptos" w:cs="Aptos"/>
          <w:color w:val="000000"/>
          <w:sz w:val="22"/>
          <w:szCs w:val="22"/>
        </w:rPr>
        <w:t xml:space="preserve">ew </w:t>
      </w:r>
      <w:r>
        <w:rPr>
          <w:rFonts w:ascii="Aptos" w:eastAsia="Aptos" w:hAnsi="Aptos" w:cs="Aptos"/>
          <w:color w:val="000000"/>
          <w:sz w:val="22"/>
          <w:szCs w:val="22"/>
        </w:rPr>
        <w:t>S</w:t>
      </w:r>
      <w:r w:rsidR="00AF72EF">
        <w:rPr>
          <w:rFonts w:ascii="Aptos" w:eastAsia="Aptos" w:hAnsi="Aptos" w:cs="Aptos"/>
          <w:color w:val="000000"/>
          <w:sz w:val="22"/>
          <w:szCs w:val="22"/>
        </w:rPr>
        <w:t xml:space="preserve">outh </w:t>
      </w:r>
      <w:r>
        <w:rPr>
          <w:rFonts w:ascii="Aptos" w:eastAsia="Aptos" w:hAnsi="Aptos" w:cs="Aptos"/>
          <w:color w:val="000000"/>
          <w:sz w:val="22"/>
          <w:szCs w:val="22"/>
        </w:rPr>
        <w:t>W</w:t>
      </w:r>
      <w:r w:rsidR="00AF72EF">
        <w:rPr>
          <w:rFonts w:ascii="Aptos" w:eastAsia="Aptos" w:hAnsi="Aptos" w:cs="Aptos"/>
          <w:color w:val="000000"/>
          <w:sz w:val="22"/>
          <w:szCs w:val="22"/>
        </w:rPr>
        <w:t>ales</w:t>
      </w:r>
      <w:r>
        <w:rPr>
          <w:rFonts w:ascii="Aptos" w:eastAsia="Aptos" w:hAnsi="Aptos" w:cs="Aptos"/>
          <w:color w:val="000000"/>
          <w:sz w:val="22"/>
          <w:szCs w:val="22"/>
        </w:rPr>
        <w:t>, at 5</w:t>
      </w:r>
      <w:r w:rsidR="00631B2C">
        <w:rPr>
          <w:rFonts w:ascii="Aptos" w:eastAsia="Aptos" w:hAnsi="Aptos" w:cs="Aptos"/>
          <w:color w:val="000000"/>
          <w:sz w:val="22"/>
          <w:szCs w:val="22"/>
        </w:rPr>
        <w:t>.0</w:t>
      </w:r>
      <w:r>
        <w:rPr>
          <w:rFonts w:ascii="Aptos" w:eastAsia="Aptos" w:hAnsi="Aptos" w:cs="Aptos"/>
          <w:color w:val="000000"/>
          <w:sz w:val="22"/>
          <w:szCs w:val="22"/>
        </w:rPr>
        <w:t>%.</w:t>
      </w:r>
    </w:p>
    <w:p w14:paraId="3595C112" w14:textId="78ED4DEF"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Agreements approved in the June quarter 2025 in Q</w:t>
      </w:r>
      <w:r w:rsidR="00AF72EF">
        <w:rPr>
          <w:rFonts w:ascii="Aptos" w:eastAsia="Aptos" w:hAnsi="Aptos" w:cs="Aptos"/>
          <w:color w:val="000000"/>
          <w:sz w:val="22"/>
          <w:szCs w:val="22"/>
        </w:rPr>
        <w:t>ueensland</w:t>
      </w:r>
      <w:r>
        <w:rPr>
          <w:rFonts w:ascii="Aptos" w:eastAsia="Aptos" w:hAnsi="Aptos" w:cs="Aptos"/>
          <w:color w:val="000000"/>
          <w:sz w:val="22"/>
          <w:szCs w:val="22"/>
        </w:rPr>
        <w:t xml:space="preserve"> </w:t>
      </w:r>
      <w:r w:rsidR="00A925B3">
        <w:rPr>
          <w:rFonts w:ascii="Aptos" w:eastAsia="Aptos" w:hAnsi="Aptos" w:cs="Aptos"/>
          <w:color w:val="000000"/>
          <w:sz w:val="22"/>
          <w:szCs w:val="22"/>
        </w:rPr>
        <w:t xml:space="preserve">and Tasmania </w:t>
      </w:r>
      <w:r>
        <w:rPr>
          <w:rFonts w:ascii="Aptos" w:eastAsia="Aptos" w:hAnsi="Aptos" w:cs="Aptos"/>
          <w:color w:val="000000"/>
          <w:sz w:val="22"/>
          <w:szCs w:val="22"/>
        </w:rPr>
        <w:t>had the lowest AAWI of 3.5%.</w:t>
      </w:r>
    </w:p>
    <w:p w14:paraId="4D1C9D50" w14:textId="77777777" w:rsidR="00AB0A8C" w:rsidRDefault="007639BC">
      <w:r>
        <w:br w:type="page"/>
      </w:r>
    </w:p>
    <w:p w14:paraId="5DCBF4BB" w14:textId="6CABFC2D"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8. Wages growth for agreements that cover union/s and agreements with no union/s covered</w:t>
      </w:r>
      <w:r w:rsidR="00AF72EF">
        <w:rPr>
          <w:rStyle w:val="FootnoteReference"/>
          <w:rFonts w:ascii="Aptos" w:eastAsia="Aptos" w:hAnsi="Aptos" w:cs="Aptos"/>
          <w:b/>
          <w:color w:val="000000"/>
          <w:sz w:val="28"/>
          <w:szCs w:val="28"/>
        </w:rPr>
        <w:footnoteReference w:id="4"/>
      </w:r>
      <w:r>
        <w:rPr>
          <w:rFonts w:ascii="Aptos" w:eastAsia="Aptos" w:hAnsi="Aptos" w:cs="Aptos"/>
          <w:color w:val="FF0000"/>
          <w:sz w:val="20"/>
          <w:szCs w:val="20"/>
        </w:rPr>
        <w:t xml:space="preserve"> </w:t>
      </w:r>
      <w:r>
        <w:rPr>
          <w:rFonts w:ascii="Aptos" w:eastAsia="Aptos" w:hAnsi="Aptos" w:cs="Aptos"/>
          <w:b/>
          <w:color w:val="000000"/>
          <w:sz w:val="28"/>
          <w:szCs w:val="28"/>
        </w:rPr>
        <w:t xml:space="preserve">- June quarter 2025 - </w:t>
      </w:r>
      <w:r>
        <w:rPr>
          <w:rFonts w:ascii="Aptos" w:eastAsia="Aptos" w:hAnsi="Aptos" w:cs="Aptos"/>
          <w:b/>
          <w:i/>
          <w:color w:val="000000"/>
          <w:sz w:val="28"/>
          <w:szCs w:val="28"/>
        </w:rPr>
        <w:t>Table 13 in Trends report</w:t>
      </w:r>
    </w:p>
    <w:p w14:paraId="74788EA2" w14:textId="6141395F"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6 </w:t>
      </w:r>
      <w:r w:rsidR="00BD6A47">
        <w:rPr>
          <w:rFonts w:ascii="Aptos" w:eastAsia="Aptos" w:hAnsi="Aptos" w:cs="Aptos"/>
          <w:b/>
          <w:color w:val="000000"/>
        </w:rPr>
        <w:t>–</w:t>
      </w:r>
      <w:r>
        <w:rPr>
          <w:rFonts w:ascii="Aptos" w:eastAsia="Aptos" w:hAnsi="Aptos" w:cs="Aptos"/>
          <w:b/>
          <w:color w:val="000000"/>
        </w:rPr>
        <w:t xml:space="preserve"> </w:t>
      </w:r>
      <w:r w:rsidR="00BD6A47" w:rsidRPr="00BD6A47">
        <w:rPr>
          <w:rFonts w:ascii="Aptos" w:eastAsia="Aptos" w:hAnsi="Aptos" w:cs="Aptos"/>
          <w:b/>
        </w:rPr>
        <w:t>The difference in wage outcomes between agreements that covered a union and agreements that did not cover a union increased in June</w:t>
      </w:r>
    </w:p>
    <w:p w14:paraId="5004E1D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Quarterly AAWI for union and non-union covered approved agreements (%)</w:t>
      </w:r>
    </w:p>
    <w:p w14:paraId="66592B8E" w14:textId="77777777" w:rsidR="00AB0A8C" w:rsidRDefault="007639BC">
      <w:pPr>
        <w:pStyle w:val="Figure"/>
      </w:pPr>
      <w:r>
        <w:rPr>
          <w:noProof/>
        </w:rPr>
        <w:drawing>
          <wp:inline distT="0" distB="0" distL="0" distR="0" wp14:anchorId="0A642889" wp14:editId="3F73BB27">
            <wp:extent cx="64008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20" cstate="print"/>
                    <a:stretch>
                      <a:fillRect/>
                    </a:stretch>
                  </pic:blipFill>
                  <pic:spPr bwMode="auto">
                    <a:xfrm>
                      <a:off x="0" y="0"/>
                      <a:ext cx="88900" cy="50800"/>
                    </a:xfrm>
                    <a:prstGeom prst="rect">
                      <a:avLst/>
                    </a:prstGeom>
                    <a:noFill/>
                  </pic:spPr>
                </pic:pic>
              </a:graphicData>
            </a:graphic>
          </wp:inline>
        </w:drawing>
      </w:r>
    </w:p>
    <w:p w14:paraId="05E8CBBE" w14:textId="354E7430"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tbl>
      <w:tblPr>
        <w:tblW w:w="0" w:type="auto"/>
        <w:jc w:val="center"/>
        <w:tblLayout w:type="fixed"/>
        <w:tblLook w:val="0420" w:firstRow="1" w:lastRow="0" w:firstColumn="0" w:lastColumn="0" w:noHBand="0" w:noVBand="1"/>
      </w:tblPr>
      <w:tblGrid>
        <w:gridCol w:w="1872"/>
        <w:gridCol w:w="720"/>
        <w:gridCol w:w="720"/>
        <w:gridCol w:w="720"/>
        <w:gridCol w:w="720"/>
        <w:gridCol w:w="720"/>
        <w:gridCol w:w="720"/>
        <w:gridCol w:w="720"/>
        <w:gridCol w:w="720"/>
        <w:gridCol w:w="720"/>
        <w:gridCol w:w="720"/>
        <w:gridCol w:w="720"/>
        <w:gridCol w:w="720"/>
        <w:gridCol w:w="720"/>
      </w:tblGrid>
      <w:tr w:rsidR="00AB0A8C" w14:paraId="605B3F17" w14:textId="77777777">
        <w:trPr>
          <w:tblHeader/>
          <w:jc w:val="center"/>
        </w:trPr>
        <w:tc>
          <w:tcPr>
            <w:tcW w:w="1872"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CF3BE" w14:textId="77777777" w:rsidR="00AB0A8C" w:rsidRDefault="00AB0A8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7F90F3"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87458"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44B67"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D9CE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A7A07"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B84C76"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A369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E06A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29BA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AEF40"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934F3"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15226"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497005"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Jun-25</w:t>
            </w:r>
          </w:p>
        </w:tc>
      </w:tr>
      <w:tr w:rsidR="00AB0A8C" w14:paraId="46666077"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9035F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2173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0BF4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769D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3ABB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FE3E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5D20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7459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56CA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6F2E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066E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8522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C3AE6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68D4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4.2</w:t>
            </w:r>
          </w:p>
        </w:tc>
      </w:tr>
      <w:tr w:rsidR="00AB0A8C" w14:paraId="550BB00D" w14:textId="77777777">
        <w:trPr>
          <w:jc w:val="center"/>
        </w:trPr>
        <w:tc>
          <w:tcPr>
            <w:tcW w:w="18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8F8B5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Non-Union AAWI</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0BDA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97D7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F6CE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129D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DF96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5293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B5CE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6F02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85F97"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7DFA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ABBB3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39497A"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49EC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3.0</w:t>
            </w:r>
          </w:p>
        </w:tc>
      </w:tr>
    </w:tbl>
    <w:p w14:paraId="3C6DBD50"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Agreements approved in the June quarter 2025 that formally covered unions had a combined AAWI of 4.2%, compared with 3.8% in the March quarter 2025 and 4.0% in the June quarter 2024.</w:t>
      </w:r>
    </w:p>
    <w:p w14:paraId="590470B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Agreements approved in the June quarter 2025 with no unions formally covered had a combined AAWI of 3.0%, compared with 3.2% in the March quarter 2025 and 3.0% in the June quarter 2024.</w:t>
      </w:r>
    </w:p>
    <w:p w14:paraId="1A640CD8" w14:textId="77777777" w:rsidR="00AB0A8C" w:rsidRDefault="007639BC">
      <w:r>
        <w:br w:type="page"/>
      </w:r>
    </w:p>
    <w:p w14:paraId="0B4D8C72"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9. Level of agreement making - June quarter 2025 and as </w:t>
      </w:r>
      <w:proofErr w:type="gramStart"/>
      <w:r>
        <w:rPr>
          <w:rFonts w:ascii="Aptos" w:eastAsia="Aptos" w:hAnsi="Aptos" w:cs="Aptos"/>
          <w:b/>
          <w:color w:val="000000"/>
          <w:sz w:val="28"/>
          <w:szCs w:val="28"/>
        </w:rPr>
        <w:t>at</w:t>
      </w:r>
      <w:proofErr w:type="gramEnd"/>
      <w:r>
        <w:rPr>
          <w:rFonts w:ascii="Aptos" w:eastAsia="Aptos" w:hAnsi="Aptos" w:cs="Aptos"/>
          <w:b/>
          <w:color w:val="000000"/>
          <w:sz w:val="28"/>
          <w:szCs w:val="28"/>
        </w:rPr>
        <w:t xml:space="preserve"> 30 June 2025 - </w:t>
      </w:r>
      <w:r>
        <w:rPr>
          <w:rFonts w:ascii="Aptos" w:eastAsia="Aptos" w:hAnsi="Aptos" w:cs="Aptos"/>
          <w:b/>
          <w:i/>
          <w:color w:val="000000"/>
          <w:sz w:val="28"/>
          <w:szCs w:val="28"/>
        </w:rPr>
        <w:t>Tables 3 and 4 in Trends report</w:t>
      </w:r>
    </w:p>
    <w:p w14:paraId="391199F3" w14:textId="3E3A9C3B" w:rsidR="00AB0A8C" w:rsidRPr="00BD6A47" w:rsidRDefault="007639BC">
      <w:pPr>
        <w:pBdr>
          <w:top w:val="none" w:sz="0" w:space="0" w:color="000000"/>
          <w:left w:val="none" w:sz="0" w:space="0" w:color="000000"/>
          <w:bottom w:val="none" w:sz="0" w:space="0" w:color="000000"/>
          <w:right w:val="none" w:sz="0" w:space="0" w:color="000000"/>
        </w:pBdr>
        <w:spacing w:before="120" w:after="240"/>
        <w:rPr>
          <w:b/>
        </w:rPr>
      </w:pPr>
      <w:r>
        <w:rPr>
          <w:rFonts w:ascii="Aptos" w:eastAsia="Aptos" w:hAnsi="Aptos" w:cs="Aptos"/>
          <w:b/>
          <w:color w:val="000000"/>
        </w:rPr>
        <w:t xml:space="preserve">Chart 7 </w:t>
      </w:r>
      <w:r w:rsidR="00BD6A47">
        <w:rPr>
          <w:rFonts w:ascii="Aptos" w:eastAsia="Aptos" w:hAnsi="Aptos" w:cs="Aptos"/>
          <w:b/>
          <w:color w:val="000000"/>
        </w:rPr>
        <w:t>–</w:t>
      </w:r>
      <w:r>
        <w:rPr>
          <w:rFonts w:ascii="Aptos" w:eastAsia="Aptos" w:hAnsi="Aptos" w:cs="Aptos"/>
          <w:b/>
          <w:color w:val="000000"/>
        </w:rPr>
        <w:t xml:space="preserve"> </w:t>
      </w:r>
      <w:r w:rsidR="00BD6A47" w:rsidRPr="00BD6A47">
        <w:rPr>
          <w:rFonts w:ascii="Aptos" w:eastAsia="Aptos" w:hAnsi="Aptos" w:cs="Aptos"/>
          <w:b/>
        </w:rPr>
        <w:t>Employees covered by approved agreements rose to 184,900 in June</w:t>
      </w:r>
    </w:p>
    <w:p w14:paraId="734BE36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Number of approved agreements and employees covered</w:t>
      </w:r>
    </w:p>
    <w:p w14:paraId="415EF3DA" w14:textId="77777777" w:rsidR="00AB0A8C" w:rsidRDefault="007639BC">
      <w:pPr>
        <w:pStyle w:val="Figure"/>
      </w:pPr>
      <w:r>
        <w:rPr>
          <w:noProof/>
        </w:rPr>
        <w:drawing>
          <wp:inline distT="0" distB="0" distL="0" distR="0" wp14:anchorId="55DFA786" wp14:editId="002AB027">
            <wp:extent cx="6400800" cy="3200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21" cstate="print"/>
                    <a:stretch>
                      <a:fillRect/>
                    </a:stretch>
                  </pic:blipFill>
                  <pic:spPr bwMode="auto">
                    <a:xfrm>
                      <a:off x="0" y="0"/>
                      <a:ext cx="88900" cy="44450"/>
                    </a:xfrm>
                    <a:prstGeom prst="rect">
                      <a:avLst/>
                    </a:prstGeom>
                    <a:noFill/>
                  </pic:spPr>
                </pic:pic>
              </a:graphicData>
            </a:graphic>
          </wp:inline>
        </w:drawing>
      </w:r>
    </w:p>
    <w:p w14:paraId="72BDD686" w14:textId="1DCC2CCE"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p w14:paraId="77DBB4D5"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There were 973 agreements (covering 184,900 employees) approved in the June quarter 2025, compared with 1,029 agreements (covering 168,500 employees) in the March quarter 2025 and 1,204 agreements (covering 275,500 employees) in the June quarter 2024.</w:t>
      </w:r>
    </w:p>
    <w:p w14:paraId="42B54DC8" w14:textId="77777777" w:rsidR="00AB0A8C" w:rsidRDefault="007639BC">
      <w:r>
        <w:br w:type="page"/>
      </w:r>
    </w:p>
    <w:p w14:paraId="4075DBFB" w14:textId="1D4F2E6D"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lastRenderedPageBreak/>
        <w:t xml:space="preserve">Chart 8 </w:t>
      </w:r>
      <w:r w:rsidR="00BD6A47">
        <w:rPr>
          <w:rFonts w:ascii="Aptos" w:eastAsia="Aptos" w:hAnsi="Aptos" w:cs="Aptos"/>
          <w:b/>
          <w:color w:val="000000"/>
        </w:rPr>
        <w:t>–</w:t>
      </w:r>
      <w:r>
        <w:rPr>
          <w:rFonts w:ascii="Aptos" w:eastAsia="Aptos" w:hAnsi="Aptos" w:cs="Aptos"/>
          <w:b/>
          <w:color w:val="000000"/>
        </w:rPr>
        <w:t xml:space="preserve"> </w:t>
      </w:r>
      <w:r w:rsidR="00BD6A47" w:rsidRPr="00BD6A47">
        <w:rPr>
          <w:rFonts w:ascii="Aptos" w:eastAsia="Aptos" w:hAnsi="Aptos" w:cs="Aptos"/>
          <w:b/>
        </w:rPr>
        <w:t>The number of employees covered by agreements reached 2.80 million in June</w:t>
      </w:r>
    </w:p>
    <w:p w14:paraId="0484FC5C" w14:textId="77777777" w:rsidR="00AB0A8C" w:rsidRDefault="007639BC">
      <w:pPr>
        <w:pStyle w:val="Figure"/>
      </w:pPr>
      <w:r>
        <w:rPr>
          <w:noProof/>
        </w:rPr>
        <w:drawing>
          <wp:inline distT="0" distB="0" distL="0" distR="0" wp14:anchorId="00B46DF0" wp14:editId="24EA3249">
            <wp:extent cx="6400800" cy="3200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22" cstate="print"/>
                    <a:stretch>
                      <a:fillRect/>
                    </a:stretch>
                  </pic:blipFill>
                  <pic:spPr bwMode="auto">
                    <a:xfrm>
                      <a:off x="0" y="0"/>
                      <a:ext cx="88900" cy="44450"/>
                    </a:xfrm>
                    <a:prstGeom prst="rect">
                      <a:avLst/>
                    </a:prstGeom>
                    <a:noFill/>
                  </pic:spPr>
                </pic:pic>
              </a:graphicData>
            </a:graphic>
          </wp:inline>
        </w:drawing>
      </w:r>
    </w:p>
    <w:p w14:paraId="7CD21688" w14:textId="3CDFACBC"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p w14:paraId="22B759B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There were 11,302 current (not expired or terminated) agreements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2025, compared with 11,104 agreements current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March 2025 and 10,430 agreements current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2024. </w:t>
      </w:r>
    </w:p>
    <w:p w14:paraId="6EF89F8F" w14:textId="78A9F6F4"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2025, employees covered by an agreement was 2.80 million, compared with 2.68 million employees covered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31 March 2025 and 2.21 million employees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2024. The number of employees covered by an agreement as </w:t>
      </w:r>
      <w:proofErr w:type="gramStart"/>
      <w:r>
        <w:rPr>
          <w:rFonts w:ascii="Aptos" w:eastAsia="Aptos" w:hAnsi="Aptos" w:cs="Aptos"/>
          <w:color w:val="000000"/>
          <w:sz w:val="22"/>
          <w:szCs w:val="22"/>
        </w:rPr>
        <w:t>at</w:t>
      </w:r>
      <w:proofErr w:type="gramEnd"/>
      <w:r>
        <w:rPr>
          <w:rFonts w:ascii="Aptos" w:eastAsia="Aptos" w:hAnsi="Aptos" w:cs="Aptos"/>
          <w:color w:val="000000"/>
          <w:sz w:val="22"/>
          <w:szCs w:val="22"/>
        </w:rPr>
        <w:t xml:space="preserve"> 30 June 2025 is the highest </w:t>
      </w:r>
      <w:r w:rsidR="00BD6A47">
        <w:rPr>
          <w:rFonts w:ascii="Aptos" w:eastAsia="Aptos" w:hAnsi="Aptos" w:cs="Aptos"/>
          <w:color w:val="000000"/>
          <w:sz w:val="22"/>
          <w:szCs w:val="22"/>
        </w:rPr>
        <w:t>on record</w:t>
      </w:r>
      <w:r>
        <w:rPr>
          <w:rFonts w:ascii="Aptos" w:eastAsia="Aptos" w:hAnsi="Aptos" w:cs="Aptos"/>
          <w:color w:val="000000"/>
          <w:sz w:val="22"/>
          <w:szCs w:val="22"/>
        </w:rPr>
        <w:t>.</w:t>
      </w:r>
    </w:p>
    <w:p w14:paraId="530E1CFF" w14:textId="77777777" w:rsidR="00AB0A8C" w:rsidRDefault="007639BC">
      <w:r>
        <w:br w:type="page"/>
      </w:r>
    </w:p>
    <w:p w14:paraId="5F7B39C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10. Non-quantifiable agreements - June quarter 2025 - </w:t>
      </w:r>
      <w:r>
        <w:rPr>
          <w:rFonts w:ascii="Aptos" w:eastAsia="Aptos" w:hAnsi="Aptos" w:cs="Aptos"/>
          <w:b/>
          <w:i/>
          <w:color w:val="000000"/>
          <w:sz w:val="28"/>
          <w:szCs w:val="28"/>
        </w:rPr>
        <w:t>Table 12a in Trends report</w:t>
      </w:r>
    </w:p>
    <w:p w14:paraId="15646AA7" w14:textId="26952B9A"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rPr>
        <w:t xml:space="preserve">Chart 9 </w:t>
      </w:r>
      <w:r w:rsidR="00BD6A47">
        <w:rPr>
          <w:rFonts w:ascii="Aptos" w:eastAsia="Aptos" w:hAnsi="Aptos" w:cs="Aptos"/>
          <w:b/>
          <w:color w:val="000000"/>
        </w:rPr>
        <w:t>–</w:t>
      </w:r>
      <w:r>
        <w:rPr>
          <w:rFonts w:ascii="Aptos" w:eastAsia="Aptos" w:hAnsi="Aptos" w:cs="Aptos"/>
          <w:b/>
          <w:color w:val="000000"/>
        </w:rPr>
        <w:t xml:space="preserve"> </w:t>
      </w:r>
      <w:r w:rsidR="00BD6A47" w:rsidRPr="00BD6A47">
        <w:rPr>
          <w:rFonts w:ascii="Aptos" w:eastAsia="Aptos" w:hAnsi="Aptos" w:cs="Aptos"/>
          <w:b/>
        </w:rPr>
        <w:t>Approved agreements with non-quantifiable wage increases covered around a quarter of employees in June</w:t>
      </w:r>
    </w:p>
    <w:p w14:paraId="485C369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Share of non-quantifiable agreements and employees of all approved agreements (%)</w:t>
      </w:r>
    </w:p>
    <w:p w14:paraId="14A772B0" w14:textId="77777777" w:rsidR="00AB0A8C" w:rsidRDefault="007639BC">
      <w:pPr>
        <w:pStyle w:val="Figure"/>
      </w:pPr>
      <w:r>
        <w:rPr>
          <w:noProof/>
        </w:rPr>
        <w:drawing>
          <wp:inline distT="0" distB="0" distL="0" distR="0" wp14:anchorId="4797CECE" wp14:editId="25E5A169">
            <wp:extent cx="6400800" cy="3657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23" cstate="print"/>
                    <a:stretch>
                      <a:fillRect/>
                    </a:stretch>
                  </pic:blipFill>
                  <pic:spPr bwMode="auto">
                    <a:xfrm>
                      <a:off x="0" y="0"/>
                      <a:ext cx="88900" cy="50800"/>
                    </a:xfrm>
                    <a:prstGeom prst="rect">
                      <a:avLst/>
                    </a:prstGeom>
                    <a:noFill/>
                  </pic:spPr>
                </pic:pic>
              </a:graphicData>
            </a:graphic>
          </wp:inline>
        </w:drawing>
      </w:r>
    </w:p>
    <w:p w14:paraId="76E77B03" w14:textId="6BF2703A"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tbl>
      <w:tblPr>
        <w:tblW w:w="0" w:type="auto"/>
        <w:jc w:val="center"/>
        <w:tblLayout w:type="fixed"/>
        <w:tblLook w:val="0420" w:firstRow="1" w:lastRow="0" w:firstColumn="0" w:lastColumn="0" w:noHBand="0" w:noVBand="1"/>
      </w:tblPr>
      <w:tblGrid>
        <w:gridCol w:w="1440"/>
        <w:gridCol w:w="720"/>
        <w:gridCol w:w="720"/>
        <w:gridCol w:w="720"/>
        <w:gridCol w:w="720"/>
        <w:gridCol w:w="720"/>
        <w:gridCol w:w="720"/>
        <w:gridCol w:w="720"/>
        <w:gridCol w:w="720"/>
        <w:gridCol w:w="720"/>
        <w:gridCol w:w="720"/>
        <w:gridCol w:w="720"/>
        <w:gridCol w:w="720"/>
        <w:gridCol w:w="720"/>
      </w:tblGrid>
      <w:tr w:rsidR="00AB0A8C" w14:paraId="034AA135" w14:textId="77777777">
        <w:trPr>
          <w:tblHeader/>
          <w:jc w:val="center"/>
        </w:trPr>
        <w:tc>
          <w:tcPr>
            <w:tcW w:w="1440"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672152" w14:textId="77777777" w:rsidR="00AB0A8C" w:rsidRDefault="00AB0A8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760AB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737E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9405D"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A6EB5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FC50C"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71FA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66D9CE"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BEA93F"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6FC801"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89A6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Sep-24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8BC5B"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Dec-24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EE5D1"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Mar-25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37F62" w14:textId="77777777" w:rsidR="00AB0A8C" w:rsidRDefault="007639BC">
            <w:pPr>
              <w:pBdr>
                <w:top w:val="none" w:sz="0" w:space="0" w:color="000000"/>
                <w:left w:val="none" w:sz="0" w:space="0" w:color="000000"/>
                <w:bottom w:val="none" w:sz="0" w:space="0" w:color="000000"/>
                <w:right w:val="none" w:sz="0" w:space="0" w:color="000000"/>
              </w:pBdr>
              <w:spacing w:after="0"/>
              <w:jc w:val="center"/>
              <w:rPr>
                <w:rFonts w:ascii="Arial" w:eastAsia="Arial" w:hAnsi="Arial" w:cs="Arial"/>
                <w:color w:val="000000"/>
                <w:sz w:val="18"/>
                <w:szCs w:val="18"/>
              </w:rPr>
            </w:pPr>
            <w:r>
              <w:rPr>
                <w:rFonts w:ascii="Arial" w:eastAsia="Arial" w:hAnsi="Arial" w:cs="Arial"/>
                <w:color w:val="000000"/>
                <w:sz w:val="18"/>
                <w:szCs w:val="18"/>
              </w:rPr>
              <w:t>Jun-25</w:t>
            </w:r>
          </w:p>
        </w:tc>
      </w:tr>
      <w:tr w:rsidR="00AB0A8C" w14:paraId="6C575365"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7101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Agreements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2530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15.5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6FA6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19.2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0D4E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19.5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45E1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14.5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4A465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A25A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19.8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02E5D6"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18.8</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3813E3"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22.5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FE0C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4003B1"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25.6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DA9AB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17.6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ED47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19.3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9E5F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16.1</w:t>
            </w:r>
          </w:p>
        </w:tc>
      </w:tr>
      <w:tr w:rsidR="00AB0A8C" w14:paraId="7B122D30" w14:textId="77777777">
        <w:trPr>
          <w:jc w:val="center"/>
        </w:trPr>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74BC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Employees</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9284A2"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48.3</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6FA0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17.9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24A0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29.7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E37EC"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21.7</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4229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24.9</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0BEA0"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38.4</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DAE9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48.2</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F5549"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23.1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178C1D"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48.1</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671005"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52.0</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E87B4"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38.6</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8CFD8"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25.5</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A67EF" w14:textId="77777777" w:rsidR="00AB0A8C" w:rsidRDefault="007639BC">
            <w:pPr>
              <w:pBdr>
                <w:top w:val="none" w:sz="0" w:space="0" w:color="000000"/>
                <w:left w:val="none" w:sz="0" w:space="0" w:color="000000"/>
                <w:bottom w:val="none" w:sz="0" w:space="0" w:color="000000"/>
                <w:right w:val="none" w:sz="0" w:space="0" w:color="000000"/>
              </w:pBdr>
              <w:spacing w:before="40" w:after="40"/>
              <w:ind w:left="40" w:right="40"/>
              <w:jc w:val="center"/>
              <w:rPr>
                <w:rFonts w:ascii="Arial" w:eastAsia="Arial" w:hAnsi="Arial" w:cs="Arial"/>
                <w:color w:val="000000"/>
                <w:sz w:val="18"/>
                <w:szCs w:val="18"/>
              </w:rPr>
            </w:pPr>
            <w:r>
              <w:rPr>
                <w:rFonts w:ascii="Arial" w:eastAsia="Arial" w:hAnsi="Arial" w:cs="Arial"/>
                <w:color w:val="000000"/>
                <w:sz w:val="18"/>
                <w:szCs w:val="18"/>
              </w:rPr>
              <w:t>26.0</w:t>
            </w:r>
          </w:p>
        </w:tc>
      </w:tr>
    </w:tbl>
    <w:p w14:paraId="035C83D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16.1% of agreements approved in the June quarter 2025, covering 26.0% of employees, did not contain quantifiable wage increases and are not included as part of the AAWI calculations. A non-quantifiable agreement is one that does not have consistent wage increases for all employees covered, or one in which wage adjustments are linked to other sources, such as the Fair Work Commission’s Annual Wage Review, Consumer Price Index (CPI) or Wage Price Index (WPI) movements.</w:t>
      </w:r>
    </w:p>
    <w:p w14:paraId="0F39F306" w14:textId="142A962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In the June quarter 2025, the t</w:t>
      </w:r>
      <w:r w:rsidR="005D47B7">
        <w:rPr>
          <w:rFonts w:ascii="Aptos" w:eastAsia="Aptos" w:hAnsi="Aptos" w:cs="Aptos"/>
          <w:color w:val="000000"/>
          <w:sz w:val="22"/>
          <w:szCs w:val="22"/>
        </w:rPr>
        <w:t xml:space="preserve">wo </w:t>
      </w:r>
      <w:r>
        <w:rPr>
          <w:rFonts w:ascii="Aptos" w:eastAsia="Aptos" w:hAnsi="Aptos" w:cs="Aptos"/>
          <w:color w:val="000000"/>
          <w:sz w:val="22"/>
          <w:szCs w:val="22"/>
        </w:rPr>
        <w:t>largest approved agreements that did not have quantifiable wage increases were:</w:t>
      </w:r>
    </w:p>
    <w:p w14:paraId="7C578E59" w14:textId="77777777" w:rsidR="00AB0A8C" w:rsidRPr="00AF72EF" w:rsidRDefault="007639BC" w:rsidP="00BD6A47">
      <w:pPr>
        <w:pStyle w:val="ListParagraph"/>
        <w:numPr>
          <w:ilvl w:val="0"/>
          <w:numId w:val="6"/>
        </w:numPr>
        <w:pBdr>
          <w:top w:val="none" w:sz="0" w:space="0" w:color="000000"/>
          <w:left w:val="none" w:sz="0" w:space="0" w:color="000000"/>
          <w:bottom w:val="none" w:sz="0" w:space="0" w:color="000000"/>
          <w:right w:val="none" w:sz="0" w:space="0" w:color="000000"/>
        </w:pBdr>
        <w:spacing w:before="120" w:after="240"/>
        <w:ind w:hanging="357"/>
        <w:contextualSpacing w:val="0"/>
      </w:pPr>
      <w:r w:rsidRPr="00AF72EF">
        <w:rPr>
          <w:rFonts w:ascii="Aptos" w:eastAsia="Aptos" w:hAnsi="Aptos" w:cs="Aptos"/>
          <w:i/>
          <w:sz w:val="22"/>
          <w:szCs w:val="22"/>
        </w:rPr>
        <w:t xml:space="preserve">Independent Schools NSW (Professional and Operational Staff) Cooperative Multi-Enterprise Agreement 2025 </w:t>
      </w:r>
      <w:r w:rsidRPr="00AF72EF">
        <w:rPr>
          <w:rFonts w:ascii="Aptos" w:eastAsia="Aptos" w:hAnsi="Aptos" w:cs="Aptos"/>
          <w:sz w:val="22"/>
          <w:szCs w:val="22"/>
        </w:rPr>
        <w:t>(19,871 employees):</w:t>
      </w:r>
    </w:p>
    <w:p w14:paraId="45FCEC03" w14:textId="77777777" w:rsidR="00AB0A8C" w:rsidRPr="00AF72EF" w:rsidRDefault="007639BC" w:rsidP="00BD6A47">
      <w:pPr>
        <w:pStyle w:val="ListParagraph"/>
        <w:numPr>
          <w:ilvl w:val="1"/>
          <w:numId w:val="6"/>
        </w:numPr>
        <w:pBdr>
          <w:top w:val="none" w:sz="0" w:space="0" w:color="000000"/>
          <w:left w:val="none" w:sz="0" w:space="0" w:color="000000"/>
          <w:bottom w:val="none" w:sz="0" w:space="0" w:color="000000"/>
          <w:right w:val="none" w:sz="0" w:space="0" w:color="000000"/>
        </w:pBdr>
        <w:spacing w:before="120" w:after="240"/>
        <w:ind w:hanging="357"/>
        <w:contextualSpacing w:val="0"/>
      </w:pPr>
      <w:r w:rsidRPr="00AF72EF">
        <w:rPr>
          <w:rFonts w:ascii="Aptos" w:eastAsia="Aptos" w:hAnsi="Aptos" w:cs="Aptos"/>
          <w:sz w:val="22"/>
          <w:szCs w:val="22"/>
        </w:rPr>
        <w:t>Inconsistent increase</w:t>
      </w:r>
    </w:p>
    <w:p w14:paraId="12F6F65A" w14:textId="77777777" w:rsidR="00AB0A8C" w:rsidRPr="00AF72EF" w:rsidRDefault="007639BC" w:rsidP="00BD6A47">
      <w:pPr>
        <w:pStyle w:val="ListParagraph"/>
        <w:numPr>
          <w:ilvl w:val="0"/>
          <w:numId w:val="6"/>
        </w:numPr>
        <w:pBdr>
          <w:top w:val="none" w:sz="0" w:space="0" w:color="000000"/>
          <w:left w:val="none" w:sz="0" w:space="0" w:color="000000"/>
          <w:bottom w:val="none" w:sz="0" w:space="0" w:color="000000"/>
          <w:right w:val="none" w:sz="0" w:space="0" w:color="000000"/>
        </w:pBdr>
        <w:spacing w:before="120" w:after="240"/>
        <w:ind w:hanging="357"/>
        <w:contextualSpacing w:val="0"/>
      </w:pPr>
      <w:r w:rsidRPr="00AF72EF">
        <w:rPr>
          <w:rFonts w:ascii="Aptos" w:eastAsia="Aptos" w:hAnsi="Aptos" w:cs="Aptos"/>
          <w:i/>
          <w:sz w:val="22"/>
          <w:szCs w:val="22"/>
        </w:rPr>
        <w:t xml:space="preserve">Epworth HealthCare Nurses and Midwives Enterprise Agreement 2024 </w:t>
      </w:r>
      <w:r w:rsidRPr="00AF72EF">
        <w:rPr>
          <w:rFonts w:ascii="Aptos" w:eastAsia="Aptos" w:hAnsi="Aptos" w:cs="Aptos"/>
          <w:sz w:val="22"/>
          <w:szCs w:val="22"/>
        </w:rPr>
        <w:t>(3,979 employees):</w:t>
      </w:r>
    </w:p>
    <w:p w14:paraId="3351308B" w14:textId="3DEEA8CC" w:rsidR="00AB0A8C" w:rsidRDefault="007639BC" w:rsidP="00BD6A47">
      <w:pPr>
        <w:pStyle w:val="ListParagraph"/>
        <w:numPr>
          <w:ilvl w:val="1"/>
          <w:numId w:val="6"/>
        </w:numPr>
        <w:pBdr>
          <w:top w:val="none" w:sz="0" w:space="0" w:color="000000"/>
          <w:left w:val="none" w:sz="0" w:space="0" w:color="000000"/>
          <w:bottom w:val="none" w:sz="0" w:space="0" w:color="000000"/>
          <w:right w:val="none" w:sz="0" w:space="0" w:color="000000"/>
        </w:pBdr>
        <w:spacing w:before="120" w:after="240"/>
        <w:ind w:hanging="357"/>
        <w:contextualSpacing w:val="0"/>
      </w:pPr>
      <w:r w:rsidRPr="00AF72EF">
        <w:rPr>
          <w:rFonts w:ascii="Aptos" w:eastAsia="Aptos" w:hAnsi="Aptos" w:cs="Aptos"/>
          <w:sz w:val="22"/>
          <w:szCs w:val="22"/>
        </w:rPr>
        <w:t>Inconsistent increase</w:t>
      </w:r>
      <w:r>
        <w:br w:type="page"/>
      </w:r>
    </w:p>
    <w:p w14:paraId="4CC02155"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NOTES</w:t>
      </w:r>
    </w:p>
    <w:p w14:paraId="7A3C6805" w14:textId="77777777" w:rsidR="00AB0A8C" w:rsidRDefault="007639BC" w:rsidP="00215BD3">
      <w:pPr>
        <w:pStyle w:val="ListParagraph"/>
        <w:numPr>
          <w:ilvl w:val="0"/>
          <w:numId w:val="8"/>
        </w:numPr>
        <w:pBdr>
          <w:top w:val="none" w:sz="0" w:space="0" w:color="000000"/>
          <w:left w:val="none" w:sz="0" w:space="0" w:color="000000"/>
          <w:bottom w:val="none" w:sz="0" w:space="0" w:color="000000"/>
          <w:right w:val="none" w:sz="0" w:space="0" w:color="000000"/>
        </w:pBdr>
        <w:spacing w:before="120" w:after="0"/>
        <w:ind w:hanging="357"/>
        <w:contextualSpacing w:val="0"/>
      </w:pPr>
      <w:r w:rsidRPr="00AF72EF">
        <w:rPr>
          <w:rFonts w:ascii="Aptos" w:eastAsia="Aptos" w:hAnsi="Aptos" w:cs="Aptos"/>
          <w:color w:val="000000"/>
          <w:sz w:val="22"/>
          <w:szCs w:val="22"/>
        </w:rPr>
        <w:t xml:space="preserve">All estimates are rounded and are subject to revision. Revisions have been made </w:t>
      </w:r>
      <w:proofErr w:type="gramStart"/>
      <w:r w:rsidRPr="00AF72EF">
        <w:rPr>
          <w:rFonts w:ascii="Aptos" w:eastAsia="Aptos" w:hAnsi="Aptos" w:cs="Aptos"/>
          <w:color w:val="000000"/>
          <w:sz w:val="22"/>
          <w:szCs w:val="22"/>
        </w:rPr>
        <w:t>to</w:t>
      </w:r>
      <w:proofErr w:type="gramEnd"/>
      <w:r w:rsidRPr="00AF72EF">
        <w:rPr>
          <w:rFonts w:ascii="Aptos" w:eastAsia="Aptos" w:hAnsi="Aptos" w:cs="Aptos"/>
          <w:color w:val="000000"/>
          <w:sz w:val="22"/>
          <w:szCs w:val="22"/>
        </w:rPr>
        <w:t xml:space="preserve"> historical series. AAWI data includes only increases to the base rate of pay and does not </w:t>
      </w:r>
      <w:proofErr w:type="gramStart"/>
      <w:r w:rsidRPr="00AF72EF">
        <w:rPr>
          <w:rFonts w:ascii="Aptos" w:eastAsia="Aptos" w:hAnsi="Aptos" w:cs="Aptos"/>
          <w:color w:val="000000"/>
          <w:sz w:val="22"/>
          <w:szCs w:val="22"/>
        </w:rPr>
        <w:t>take into account</w:t>
      </w:r>
      <w:proofErr w:type="gramEnd"/>
      <w:r w:rsidRPr="00AF72EF">
        <w:rPr>
          <w:rFonts w:ascii="Aptos" w:eastAsia="Aptos" w:hAnsi="Aptos" w:cs="Aptos"/>
          <w:color w:val="000000"/>
          <w:sz w:val="22"/>
          <w:szCs w:val="22"/>
        </w:rPr>
        <w:t xml:space="preserve"> allowances and bonus payments that are paid separately from the base wage.</w:t>
      </w:r>
    </w:p>
    <w:p w14:paraId="24436AC0" w14:textId="55F3F775" w:rsidR="00AB0A8C" w:rsidRDefault="007639BC" w:rsidP="00215BD3">
      <w:pPr>
        <w:pStyle w:val="ListParagraph"/>
        <w:numPr>
          <w:ilvl w:val="0"/>
          <w:numId w:val="8"/>
        </w:numPr>
        <w:pBdr>
          <w:top w:val="none" w:sz="0" w:space="0" w:color="000000"/>
          <w:left w:val="none" w:sz="0" w:space="0" w:color="000000"/>
          <w:bottom w:val="none" w:sz="0" w:space="0" w:color="000000"/>
          <w:right w:val="none" w:sz="0" w:space="0" w:color="000000"/>
        </w:pBdr>
        <w:spacing w:before="120" w:after="0"/>
        <w:ind w:hanging="357"/>
        <w:contextualSpacing w:val="0"/>
      </w:pPr>
      <w:r w:rsidRPr="00AF72EF">
        <w:rPr>
          <w:rFonts w:ascii="Aptos" w:eastAsia="Aptos" w:hAnsi="Aptos" w:cs="Aptos"/>
          <w:color w:val="000000"/>
          <w:sz w:val="22"/>
          <w:szCs w:val="22"/>
        </w:rPr>
        <w:t>For the June quarter 2025, the calculated AAWI of 4.2% is based on 816 agreements, covering 136,900 employees (that is, 83.9% of the 973 agreements approved in the quarter, covering 74.0% of the total 184,900 employees) with quantifiable wage increases (see Table 12b in the Trends report).</w:t>
      </w:r>
    </w:p>
    <w:p w14:paraId="4962FF1F" w14:textId="77777777" w:rsidR="00AB0A8C" w:rsidRDefault="007639BC" w:rsidP="00215BD3">
      <w:pPr>
        <w:pStyle w:val="ListParagraph"/>
        <w:numPr>
          <w:ilvl w:val="1"/>
          <w:numId w:val="9"/>
        </w:numPr>
        <w:pBdr>
          <w:top w:val="none" w:sz="0" w:space="0" w:color="000000"/>
          <w:left w:val="none" w:sz="0" w:space="0" w:color="000000"/>
          <w:bottom w:val="none" w:sz="0" w:space="0" w:color="000000"/>
          <w:right w:val="none" w:sz="0" w:space="0" w:color="000000"/>
        </w:pBdr>
        <w:spacing w:before="120" w:after="0"/>
        <w:contextualSpacing w:val="0"/>
      </w:pPr>
      <w:r w:rsidRPr="00AF72EF">
        <w:rPr>
          <w:rFonts w:ascii="Aptos" w:eastAsia="Aptos" w:hAnsi="Aptos" w:cs="Aptos"/>
          <w:color w:val="000000"/>
          <w:sz w:val="22"/>
          <w:szCs w:val="22"/>
        </w:rPr>
        <w:t>157 agreements (16.1% of the total 973 agreements) covering 48,000 employees (26.0% of the total 184,900 employees) have wage increases that could not be quantified. For example, an agreement would be non-quantifiable if different increases were given to different classifications, or increases were based on individual performance or business unit performance. Refer to Table 12a in the Trends report for related data.</w:t>
      </w:r>
    </w:p>
    <w:p w14:paraId="009921BB" w14:textId="77777777" w:rsidR="00AB0A8C" w:rsidRDefault="007639BC" w:rsidP="00215BD3">
      <w:pPr>
        <w:pStyle w:val="ListParagraph"/>
        <w:numPr>
          <w:ilvl w:val="0"/>
          <w:numId w:val="8"/>
        </w:numPr>
        <w:pBdr>
          <w:top w:val="none" w:sz="0" w:space="0" w:color="000000"/>
          <w:left w:val="none" w:sz="0" w:space="0" w:color="000000"/>
          <w:bottom w:val="none" w:sz="0" w:space="0" w:color="000000"/>
          <w:right w:val="none" w:sz="0" w:space="0" w:color="000000"/>
        </w:pBdr>
        <w:spacing w:before="120" w:after="0"/>
        <w:ind w:hanging="357"/>
        <w:contextualSpacing w:val="0"/>
      </w:pPr>
      <w:r w:rsidRPr="00AF72EF">
        <w:rPr>
          <w:rFonts w:ascii="Aptos" w:eastAsia="Aptos" w:hAnsi="Aptos" w:cs="Aptos"/>
          <w:color w:val="000000"/>
          <w:sz w:val="22"/>
          <w:szCs w:val="22"/>
        </w:rPr>
        <w:t xml:space="preserve">An agreement is identified as being 'union' where the decision approving the agreement notes in accordance with s.201(2) of the </w:t>
      </w:r>
      <w:r w:rsidRPr="00AF72EF">
        <w:rPr>
          <w:rFonts w:ascii="Aptos" w:eastAsia="Aptos" w:hAnsi="Aptos" w:cs="Aptos"/>
          <w:i/>
          <w:color w:val="000000"/>
          <w:sz w:val="22"/>
          <w:szCs w:val="22"/>
        </w:rPr>
        <w:t xml:space="preserve">Fair Work Act 2009 </w:t>
      </w:r>
      <w:r w:rsidRPr="00AF72EF">
        <w:rPr>
          <w:rFonts w:ascii="Aptos" w:eastAsia="Aptos" w:hAnsi="Aptos" w:cs="Aptos"/>
          <w:color w:val="000000"/>
          <w:sz w:val="22"/>
          <w:szCs w:val="22"/>
        </w:rPr>
        <w:t>that the agreement covers the union(s). A union must have given notice under s.183(1) that it wants the agreement to cover them. This data is an acceptable proxy for measuring bargaining involvement of unions.</w:t>
      </w:r>
    </w:p>
    <w:p w14:paraId="0DAFBE5B" w14:textId="77777777" w:rsidR="00AB0A8C" w:rsidRDefault="007639BC" w:rsidP="00215BD3">
      <w:pPr>
        <w:pStyle w:val="ListParagraph"/>
        <w:numPr>
          <w:ilvl w:val="0"/>
          <w:numId w:val="8"/>
        </w:numPr>
        <w:pBdr>
          <w:top w:val="none" w:sz="0" w:space="0" w:color="000000"/>
          <w:left w:val="none" w:sz="0" w:space="0" w:color="000000"/>
          <w:bottom w:val="none" w:sz="0" w:space="0" w:color="000000"/>
          <w:right w:val="none" w:sz="0" w:space="0" w:color="000000"/>
        </w:pBdr>
        <w:spacing w:before="120" w:after="0"/>
        <w:ind w:hanging="357"/>
        <w:contextualSpacing w:val="0"/>
      </w:pPr>
      <w:r w:rsidRPr="00AF72EF">
        <w:rPr>
          <w:rFonts w:ascii="Aptos" w:eastAsia="Aptos" w:hAnsi="Aptos" w:cs="Aptos"/>
          <w:color w:val="000000"/>
          <w:sz w:val="22"/>
          <w:szCs w:val="22"/>
        </w:rPr>
        <w:t>Context for wages growth in federally registered enterprise agreements:</w:t>
      </w:r>
    </w:p>
    <w:p w14:paraId="369E24C0" w14:textId="47094A6C" w:rsidR="00AB0A8C" w:rsidRDefault="007639BC" w:rsidP="00215BD3">
      <w:pPr>
        <w:pStyle w:val="ListParagraph"/>
        <w:numPr>
          <w:ilvl w:val="1"/>
          <w:numId w:val="10"/>
        </w:numPr>
        <w:pBdr>
          <w:top w:val="none" w:sz="0" w:space="0" w:color="000000"/>
          <w:left w:val="none" w:sz="0" w:space="0" w:color="000000"/>
          <w:bottom w:val="none" w:sz="0" w:space="0" w:color="000000"/>
          <w:right w:val="none" w:sz="0" w:space="0" w:color="000000"/>
        </w:pBdr>
        <w:spacing w:before="120" w:after="0"/>
        <w:contextualSpacing w:val="0"/>
      </w:pPr>
      <w:r w:rsidRPr="00AF72EF">
        <w:rPr>
          <w:rFonts w:ascii="Aptos" w:eastAsia="Aptos" w:hAnsi="Aptos" w:cs="Aptos"/>
          <w:color w:val="000000"/>
          <w:sz w:val="22"/>
          <w:szCs w:val="22"/>
        </w:rPr>
        <w:t xml:space="preserve">34.0% of all employees in Australia (as measured by the ABS </w:t>
      </w:r>
      <w:r w:rsidRPr="00AF72EF">
        <w:rPr>
          <w:rFonts w:ascii="Aptos" w:eastAsia="Aptos" w:hAnsi="Aptos" w:cs="Aptos"/>
          <w:i/>
          <w:color w:val="000000"/>
          <w:sz w:val="22"/>
          <w:szCs w:val="22"/>
        </w:rPr>
        <w:t xml:space="preserve">Employee Earnings and Hours </w:t>
      </w:r>
      <w:r w:rsidRPr="00AF72EF">
        <w:rPr>
          <w:rFonts w:ascii="Aptos" w:eastAsia="Aptos" w:hAnsi="Aptos" w:cs="Aptos"/>
          <w:color w:val="000000"/>
          <w:sz w:val="22"/>
          <w:szCs w:val="22"/>
        </w:rPr>
        <w:t xml:space="preserve">survey) had their pay set by an enterprise agreement as </w:t>
      </w:r>
      <w:proofErr w:type="gramStart"/>
      <w:r w:rsidRPr="00AF72EF">
        <w:rPr>
          <w:rFonts w:ascii="Aptos" w:eastAsia="Aptos" w:hAnsi="Aptos" w:cs="Aptos"/>
          <w:color w:val="000000"/>
          <w:sz w:val="22"/>
          <w:szCs w:val="22"/>
        </w:rPr>
        <w:t>at</w:t>
      </w:r>
      <w:proofErr w:type="gramEnd"/>
      <w:r w:rsidRPr="00AF72EF">
        <w:rPr>
          <w:rFonts w:ascii="Aptos" w:eastAsia="Aptos" w:hAnsi="Aptos" w:cs="Aptos"/>
          <w:color w:val="000000"/>
          <w:sz w:val="22"/>
          <w:szCs w:val="22"/>
        </w:rPr>
        <w:t xml:space="preserve"> May 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AB0A8C" w14:paraId="43DB90AE" w14:textId="7777777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F4BB6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FFFFFF"/>
                <w:sz w:val="20"/>
                <w:szCs w:val="20"/>
              </w:rPr>
            </w:pPr>
            <w:r>
              <w:rPr>
                <w:rFonts w:ascii="Arial" w:eastAsia="Arial" w:hAnsi="Arial"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C6DBFA"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F1D31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3B3DCC"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BE6FF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D8FFD5"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2023 (%)</w:t>
            </w:r>
          </w:p>
        </w:tc>
      </w:tr>
      <w:tr w:rsidR="00AB0A8C" w14:paraId="043E84A2"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A384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CF5AD"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99C1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587E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A89B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14C0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23.2</w:t>
            </w:r>
          </w:p>
        </w:tc>
      </w:tr>
      <w:tr w:rsidR="00AB0A8C" w14:paraId="361088B6"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2F764"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9AE8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9BDAC"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 xml:space="preserve">38.5 (across all collective </w:t>
            </w:r>
            <w:proofErr w:type="gramStart"/>
            <w:r>
              <w:rPr>
                <w:rFonts w:ascii="Arial" w:eastAsia="Arial" w:hAnsi="Arial" w:cs="Arial"/>
                <w:color w:val="000000"/>
                <w:sz w:val="16"/>
                <w:szCs w:val="16"/>
              </w:rPr>
              <w:t>agreements)*</w:t>
            </w:r>
            <w:proofErr w:type="gramEnd"/>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E4BB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BC2B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 xml:space="preserve">35.1 (across all collective </w:t>
            </w:r>
            <w:proofErr w:type="gramStart"/>
            <w:r>
              <w:rPr>
                <w:rFonts w:ascii="Arial" w:eastAsia="Arial" w:hAnsi="Arial" w:cs="Arial"/>
                <w:color w:val="000000"/>
                <w:sz w:val="16"/>
                <w:szCs w:val="16"/>
              </w:rPr>
              <w:t>agreements)*</w:t>
            </w:r>
            <w:proofErr w:type="gramEnd"/>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8A28C"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 xml:space="preserve">34.0 (across all collective </w:t>
            </w:r>
            <w:proofErr w:type="gramStart"/>
            <w:r>
              <w:rPr>
                <w:rFonts w:ascii="Arial" w:eastAsia="Arial" w:hAnsi="Arial" w:cs="Arial"/>
                <w:color w:val="000000"/>
                <w:sz w:val="16"/>
                <w:szCs w:val="16"/>
              </w:rPr>
              <w:t>agreements)*</w:t>
            </w:r>
            <w:proofErr w:type="gramEnd"/>
          </w:p>
        </w:tc>
      </w:tr>
      <w:tr w:rsidR="00AB0A8C" w14:paraId="4BAC473A"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97C45"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127D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2A64B"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6BC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CA327"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BF96B"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AB0A8C" w14:paraId="2BF53804"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54F3E"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DC8D4"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E358B"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90F1A"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55128"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736FB"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AB0A8C" w14:paraId="7D2033FC"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2BC74"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4A786"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BA36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8C3EA"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0E0DD"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F7DF6"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38.7</w:t>
            </w:r>
          </w:p>
        </w:tc>
      </w:tr>
      <w:tr w:rsidR="00AB0A8C" w14:paraId="17FA13E8" w14:textId="7777777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740C8"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D2AC6"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EB9E8"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EDA2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451C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214EF"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4.1</w:t>
            </w:r>
          </w:p>
        </w:tc>
      </w:tr>
    </w:tbl>
    <w:p w14:paraId="6FDA6127" w14:textId="77777777" w:rsidR="00AB0A8C" w:rsidRDefault="007639BC">
      <w:pPr>
        <w:pBdr>
          <w:top w:val="none" w:sz="0" w:space="0" w:color="000000"/>
          <w:left w:val="none" w:sz="0" w:space="0" w:color="000000"/>
          <w:bottom w:val="none" w:sz="0" w:space="0" w:color="000000"/>
          <w:right w:val="none" w:sz="0" w:space="0" w:color="000000"/>
        </w:pBdr>
        <w:spacing w:after="0"/>
      </w:pPr>
      <w:r>
        <w:rPr>
          <w:rFonts w:ascii="Aptos" w:eastAsia="Aptos" w:hAnsi="Aptos" w:cs="Aptos"/>
          <w:b/>
          <w:color w:val="000000"/>
          <w:sz w:val="20"/>
          <w:szCs w:val="20"/>
        </w:rPr>
        <w:t xml:space="preserve">Source: </w:t>
      </w:r>
      <w:r>
        <w:rPr>
          <w:rFonts w:ascii="Aptos" w:eastAsia="Aptos" w:hAnsi="Aptos" w:cs="Aptos"/>
          <w:color w:val="000000"/>
          <w:sz w:val="20"/>
          <w:szCs w:val="20"/>
        </w:rPr>
        <w:t xml:space="preserve">ABS, </w:t>
      </w:r>
      <w:r>
        <w:rPr>
          <w:rFonts w:ascii="Aptos" w:eastAsia="Aptos" w:hAnsi="Aptos" w:cs="Aptos"/>
          <w:i/>
          <w:color w:val="000000"/>
          <w:sz w:val="20"/>
          <w:szCs w:val="20"/>
        </w:rPr>
        <w:t xml:space="preserve">Employee Earnings and Hours </w:t>
      </w:r>
      <w:r>
        <w:rPr>
          <w:rFonts w:ascii="Aptos" w:eastAsia="Aptos" w:hAnsi="Aptos" w:cs="Aptos"/>
          <w:color w:val="000000"/>
          <w:sz w:val="20"/>
          <w:szCs w:val="20"/>
        </w:rPr>
        <w:t>(May 2014, May 2016, May 2018, May 2021 and May 2023), unpublished data, including revised data for the 2016 Award and all Collective Agreement categories released at the time of the 2018 data – all employees.</w:t>
      </w:r>
    </w:p>
    <w:p w14:paraId="27CE060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0"/>
          <w:szCs w:val="20"/>
        </w:rPr>
        <w:t xml:space="preserve">* For 2016, a comparable breakdown of the Collective Agreement category is not available. In 2018, </w:t>
      </w:r>
      <w:proofErr w:type="gramStart"/>
      <w:r>
        <w:rPr>
          <w:rFonts w:ascii="Aptos" w:eastAsia="Aptos" w:hAnsi="Aptos" w:cs="Aptos"/>
          <w:color w:val="000000"/>
          <w:sz w:val="20"/>
          <w:szCs w:val="20"/>
        </w:rPr>
        <w:t>the ABS</w:t>
      </w:r>
      <w:proofErr w:type="gramEnd"/>
      <w:r>
        <w:rPr>
          <w:rFonts w:ascii="Aptos" w:eastAsia="Aptos" w:hAnsi="Aptos" w:cs="Aptos"/>
          <w:color w:val="000000"/>
          <w:sz w:val="20"/>
          <w:szCs w:val="20"/>
        </w:rPr>
        <w:t xml:space="preserve">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25C969D9" w14:textId="77777777" w:rsidR="00AB0A8C" w:rsidRDefault="007639BC">
      <w:pPr>
        <w:pBdr>
          <w:top w:val="none" w:sz="0" w:space="0" w:color="000000"/>
          <w:left w:val="none" w:sz="0" w:space="0" w:color="000000"/>
          <w:bottom w:val="none" w:sz="0" w:space="0" w:color="000000"/>
          <w:right w:val="none" w:sz="0" w:space="0" w:color="000000"/>
        </w:pBdr>
        <w:spacing w:after="0"/>
      </w:pPr>
      <w:r>
        <w:rPr>
          <w:rFonts w:ascii="Aptos" w:eastAsia="Aptos" w:hAnsi="Aptos" w:cs="Aptos"/>
          <w:b/>
          <w:color w:val="000000"/>
          <w:sz w:val="20"/>
          <w:szCs w:val="20"/>
        </w:rPr>
        <w:t>Notes:</w:t>
      </w:r>
    </w:p>
    <w:p w14:paraId="3AEE6B9F" w14:textId="77777777" w:rsidR="00AB0A8C" w:rsidRDefault="007639BC" w:rsidP="00BD6A47">
      <w:pPr>
        <w:pStyle w:val="ListParagraph"/>
        <w:numPr>
          <w:ilvl w:val="0"/>
          <w:numId w:val="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color w:val="000000"/>
          <w:sz w:val="20"/>
          <w:szCs w:val="20"/>
        </w:rPr>
        <w:t xml:space="preserve">This table is not intended to be </w:t>
      </w:r>
      <w:proofErr w:type="spellStart"/>
      <w:r w:rsidRPr="00AF72EF">
        <w:rPr>
          <w:rFonts w:ascii="Aptos" w:eastAsia="Aptos" w:hAnsi="Aptos" w:cs="Aptos"/>
          <w:color w:val="000000"/>
          <w:sz w:val="20"/>
          <w:szCs w:val="20"/>
        </w:rPr>
        <w:t>analysed</w:t>
      </w:r>
      <w:proofErr w:type="spellEnd"/>
      <w:r w:rsidRPr="00AF72EF">
        <w:rPr>
          <w:rFonts w:ascii="Aptos" w:eastAsia="Aptos" w:hAnsi="Aptos" w:cs="Aptos"/>
          <w:color w:val="000000"/>
          <w:sz w:val="20"/>
          <w:szCs w:val="20"/>
        </w:rPr>
        <w:t xml:space="preserve"> as a time series. Figures are extracted from published and unpublished ABS, </w:t>
      </w:r>
      <w:r w:rsidRPr="00AF72EF">
        <w:rPr>
          <w:rFonts w:ascii="Aptos" w:eastAsia="Aptos" w:hAnsi="Aptos" w:cs="Aptos"/>
          <w:i/>
          <w:color w:val="000000"/>
          <w:sz w:val="20"/>
          <w:szCs w:val="20"/>
        </w:rPr>
        <w:t>Employee Earnings and Hours</w:t>
      </w:r>
      <w:r w:rsidRPr="00AF72EF">
        <w:rPr>
          <w:rFonts w:ascii="Aptos" w:eastAsia="Aptos" w:hAnsi="Aptos" w:cs="Aptos"/>
          <w:color w:val="000000"/>
          <w:sz w:val="20"/>
          <w:szCs w:val="20"/>
        </w:rPr>
        <w:t>. Disaggregation of revised 2016 data is not available.</w:t>
      </w:r>
    </w:p>
    <w:p w14:paraId="67A378AB" w14:textId="77777777" w:rsidR="00AB0A8C" w:rsidRDefault="007639BC" w:rsidP="00BD6A47">
      <w:pPr>
        <w:pStyle w:val="ListParagraph"/>
        <w:numPr>
          <w:ilvl w:val="0"/>
          <w:numId w:val="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color w:val="000000"/>
          <w:sz w:val="20"/>
          <w:szCs w:val="20"/>
        </w:rPr>
        <w:t xml:space="preserve">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t>
      </w:r>
      <w:proofErr w:type="gramStart"/>
      <w:r w:rsidRPr="00AF72EF">
        <w:rPr>
          <w:rFonts w:ascii="Aptos" w:eastAsia="Aptos" w:hAnsi="Aptos" w:cs="Aptos"/>
          <w:color w:val="000000"/>
          <w:sz w:val="20"/>
          <w:szCs w:val="20"/>
        </w:rPr>
        <w:t>whether or not</w:t>
      </w:r>
      <w:proofErr w:type="gramEnd"/>
      <w:r w:rsidRPr="00AF72EF">
        <w:rPr>
          <w:rFonts w:ascii="Aptos" w:eastAsia="Aptos" w:hAnsi="Aptos" w:cs="Aptos"/>
          <w:color w:val="000000"/>
          <w:sz w:val="20"/>
          <w:szCs w:val="20"/>
        </w:rPr>
        <w:t xml:space="preserve"> written, including where employees receive over-award payments.</w:t>
      </w:r>
    </w:p>
    <w:p w14:paraId="05592406" w14:textId="77777777" w:rsidR="00AB0A8C" w:rsidRDefault="00AB0A8C">
      <w:pPr>
        <w:sectPr w:rsidR="00AB0A8C">
          <w:type w:val="continuous"/>
          <w:pgSz w:w="11906" w:h="16838"/>
          <w:pgMar w:top="1008" w:right="1152" w:bottom="1008" w:left="1152" w:header="720" w:footer="720" w:gutter="0"/>
          <w:cols w:space="720"/>
        </w:sectPr>
      </w:pPr>
    </w:p>
    <w:p w14:paraId="47C79CDF"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3 - Agreements approved in the quarter by sector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7BED61AE"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D9F4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8C46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70B2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7B3A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748E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8B5B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30F5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43A8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9EF5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321B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567D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11F7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5D0F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1559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1490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E9FA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2FBF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DC31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639B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56DF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D6C9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F822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43BD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BBC8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0E49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38A6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6AB6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7CC11A7C"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C941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sector</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59D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5EB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CFF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F58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E57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DA7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C5D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621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098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FB0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3E7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F18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61F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071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1A8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DEB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A1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865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027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0AE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1DB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D47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89C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6A8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8C7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B3C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8EF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11E10CE2"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20C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7CB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761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1BD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DA8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6A8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E87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54D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C16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51A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474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3C8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17A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C92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F94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110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964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CCF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5B1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A86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109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257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EBA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54B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1B5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13B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4F2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C1F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37042D0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7E8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CC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F0B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376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F7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D3C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240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6A7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5DC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B82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857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086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E0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386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46D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94C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0E8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1C2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4B1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083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030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EB5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774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021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1B9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211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D57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10D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60F5D6A6"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4034A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3156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DA84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183B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B02E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E21A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31EC9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4F56A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BBCB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74827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BD584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F1A3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09B1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E191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8C77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D103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7D409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23D2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4D47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B6AB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F041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0807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275D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2CD4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E48C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F3EC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BC60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C70A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41.9</w:t>
            </w:r>
          </w:p>
        </w:tc>
      </w:tr>
      <w:tr w:rsidR="007639BC" w14:paraId="7DCE86F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3894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Private sector</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1A4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B23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598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272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CE2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CCE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B1B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8F5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E15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DC4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1A0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FCF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071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49E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EAC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BD4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C7C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C44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A70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87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2DA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01B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EA5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23E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3C8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704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082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935</w:t>
            </w:r>
          </w:p>
        </w:tc>
      </w:tr>
      <w:tr w:rsidR="007639BC" w14:paraId="65267D79"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C4E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DBA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80A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245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06F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EB2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43D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89B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751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FFC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DD8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354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ED1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22F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353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7DD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29E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819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D0B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1A7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741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5FD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8BE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9F5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213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6D4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5D3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DE9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r>
      <w:tr w:rsidR="007639BC" w14:paraId="3DA7950E"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879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914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476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10B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4DF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F38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5CA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1D4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208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D1F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E3C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882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189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36B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3B9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E8B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7B4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AE3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9AB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D27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4B5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FF1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021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8E6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52C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BD1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9DB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500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7639BC" w14:paraId="2CCC0F26"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0E12F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F9DE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D7CA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7BB49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CBFE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EB0D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76C8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F22A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6299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9865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6FE8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491A7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89B6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389E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2CA9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6D364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C85E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CBB4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E96B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C261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2B69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743F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AEAA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C425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EC95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340F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3F05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C8DC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143.0</w:t>
            </w:r>
          </w:p>
        </w:tc>
      </w:tr>
      <w:tr w:rsidR="007639BC" w14:paraId="57C20ACC"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6DFA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sectors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958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ECB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2D2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9D7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248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8EE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BDB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174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71A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147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50B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EB7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921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D51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0CE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419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4D8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765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005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F38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468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69A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155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9AC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B86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9CE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CD2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973</w:t>
            </w:r>
          </w:p>
        </w:tc>
      </w:tr>
      <w:tr w:rsidR="007639BC" w14:paraId="201A914A"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514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09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3E4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49A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AA8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30F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322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C13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AB6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9B5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435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E02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350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97E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600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EF2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9AC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BA0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6DB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87D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4BA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530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DCD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E3B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BDF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D94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49D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49B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15BAC8AD"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499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85A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2A2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EED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11F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AF4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604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A70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230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D6F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C83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BEB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A2F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D1D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983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B0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B56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CDC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162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BED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50B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F47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F28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AC0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1AC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AD0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BB6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572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4908E335"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B1468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EB6C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EAFA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5F8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58E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C98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1384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A42C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191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E62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A14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026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392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D89A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11A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46550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943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F355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DE91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4619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09A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214B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4BF1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85440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EFFF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E1D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A9D2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C1D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184.9</w:t>
            </w:r>
          </w:p>
        </w:tc>
      </w:tr>
    </w:tbl>
    <w:p w14:paraId="7501338E" w14:textId="4EC8494C" w:rsidR="00AB0A8C" w:rsidRDefault="007639BC">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 xml:space="preserve">Source: </w:t>
      </w:r>
      <w:r>
        <w:rPr>
          <w:rFonts w:ascii="Aptos" w:eastAsia="Aptos" w:hAnsi="Aptos" w:cs="Aptos"/>
          <w:color w:val="000000"/>
          <w:sz w:val="20"/>
          <w:szCs w:val="20"/>
        </w:rPr>
        <w:t>Department of Employment and Workplace Relations, Workplace Agreements Database.</w:t>
      </w:r>
    </w:p>
    <w:p w14:paraId="4A23BD7B"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34C97EBC" w14:textId="7F9B1D3F" w:rsidR="00AB0A8C" w:rsidRPr="00AF72EF" w:rsidRDefault="007639BC" w:rsidP="00BD6A47">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310FB6B5" w14:textId="2F9C964E" w:rsidR="00AB0A8C" w:rsidRPr="00AF72EF" w:rsidRDefault="007639BC" w:rsidP="00BD6A47">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42E11160" w14:textId="4BF6264E" w:rsidR="00AB0A8C" w:rsidRPr="00AF72EF" w:rsidRDefault="007639BC" w:rsidP="00BD6A47">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4F645EA0" w14:textId="1B538C1A" w:rsidR="00AB0A8C" w:rsidRPr="00AF72EF" w:rsidRDefault="007639BC" w:rsidP="00BD6A47">
      <w:pPr>
        <w:pStyle w:val="ListParagraph"/>
        <w:numPr>
          <w:ilvl w:val="0"/>
          <w:numId w:val="11"/>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7F8B70B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38 public sector agreements were approved in the June quarter 2025, covering 41,900 employees. The AAWI for these agreements was 3.9% and the average duration was 3.0 years.</w:t>
      </w:r>
    </w:p>
    <w:p w14:paraId="2370E62B" w14:textId="77777777" w:rsidR="00AB0A8C" w:rsidRDefault="007639BC">
      <w:r>
        <w:br w:type="page"/>
      </w:r>
    </w:p>
    <w:p w14:paraId="3D3ABB7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4 - Agreements current on the last day of the quarter, by sector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7C0EE41A"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3789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99F4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3C59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4DCE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F564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23E6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613C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6808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1B15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066B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6194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8AB8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E298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10AC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BABC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E166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3111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8784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F640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16C4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6A13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8D78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4810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B629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62F8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DE81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11EF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4672CDC0"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51B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sector</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7FD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5FC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89E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8C4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9CC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97A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C6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A31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B8C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5A4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765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CD6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DB8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CBE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09B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301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29F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1A7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6CE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F02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731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521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1A3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D0C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768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BD4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845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570</w:t>
            </w:r>
          </w:p>
        </w:tc>
      </w:tr>
      <w:tr w:rsidR="007639BC" w14:paraId="1427593A"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C29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DAE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0EC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D4A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160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AD9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F80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98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682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7A4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301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490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8EC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496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435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BD9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50C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4B9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9F0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FF6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9D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58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4BD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D23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168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EAF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18B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97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79F65B33"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6BE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0F9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710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C48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EF5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145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8F0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AD4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908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92C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E69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306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DBC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D93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6E3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46B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CA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9C6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3C1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4C5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25B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FCF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E7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7CA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9B9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E8C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E3C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342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2BA36BB6"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15BD2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070E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BFB7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FD99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901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CCC2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5E33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E0C01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371C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5255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AB04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DBA9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0F4B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C43F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B60AE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CC67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B14C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D889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2C6E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8C48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C1B7B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B282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530A6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C34B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414D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582A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898.6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7019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80C2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927.1</w:t>
            </w:r>
          </w:p>
        </w:tc>
      </w:tr>
      <w:tr w:rsidR="007639BC" w14:paraId="27C0D6B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6800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Private sector</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ACC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83A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8A1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D7D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918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9E0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9CB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10,902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EEB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DF9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EEA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644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A13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8F2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C19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A64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CC4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BE5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300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4C4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7AE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E57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9F7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0BE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10,285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A0C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D18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B4C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BBE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10,732</w:t>
            </w:r>
          </w:p>
        </w:tc>
      </w:tr>
      <w:tr w:rsidR="007639BC" w14:paraId="71CE530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9E8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CFF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B6F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976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78D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D79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C5B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FE8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A8A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B98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522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8CB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B96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ACA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8FB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0CB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7D8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670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761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532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7E7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A3A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90F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A64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1D6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B67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BDB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B99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1A48E44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3F3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427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082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CD1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86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DAF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F43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9AD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A0A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5DF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D99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F6D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04B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CBD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353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988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8C3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545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886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D13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F57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B29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CC0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C19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0D2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347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AFB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21C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513FECEF"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6AE95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85EF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49A6D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91F61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99EF5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7F14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405C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30AE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AD85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E543F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6E88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83AB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54EF0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61FB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EF3E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3DA65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2247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2CE7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AE3C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4A9A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1CAB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EC20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A2B2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9F41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A9BC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B59B7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1AFD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6AB2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1,874.2</w:t>
            </w:r>
          </w:p>
        </w:tc>
      </w:tr>
      <w:tr w:rsidR="007639BC" w14:paraId="1A608A91"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163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sectors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4DE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8C6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BC5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93C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76F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729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7BE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574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7A4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140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E38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A59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1C6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1E5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4ED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23E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2E1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456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63C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031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B76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D37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4D8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C11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477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8B3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889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11,302</w:t>
            </w:r>
          </w:p>
        </w:tc>
      </w:tr>
      <w:tr w:rsidR="007639BC" w14:paraId="4CBE409F"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090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13A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B2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AE3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800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387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D2B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F19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7D9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21E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B00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7BB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13F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23A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1A8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37A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908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B77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0B3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119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792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2BE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2BF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5F7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8B0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129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C73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DC7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3F7B80F0"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1F5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471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A29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483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460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027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D6B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ABD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EE6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CA8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B1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BBC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503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446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9F8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E0A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798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F08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609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C60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8D0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1A8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4A9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4BE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C12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885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2D8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79E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6CFB89BB"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0E439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4C25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E14B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B42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2D7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17C3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1,733.1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6B51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D80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385C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3BF30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1,739.0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69F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8C0E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1,791.0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CC3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38F5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FA2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D65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49C31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E532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2,142.0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8B41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00D3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73D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F68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2,209.2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726D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929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2,647.3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26A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9D8E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60BA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4AE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2,801.3</w:t>
            </w:r>
          </w:p>
        </w:tc>
      </w:tr>
    </w:tbl>
    <w:p w14:paraId="08DFB58F" w14:textId="74B0B58F"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0944F4B6"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2384BAC8" w14:textId="1A239FFB" w:rsidR="00AB0A8C" w:rsidRPr="00AF72EF" w:rsidRDefault="007639BC" w:rsidP="00BD6A47">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35FE4134" w14:textId="3238269F" w:rsidR="00AB0A8C" w:rsidRPr="00AF72EF" w:rsidRDefault="007639BC" w:rsidP="00BD6A47">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76184AB8" w14:textId="39AAFF47" w:rsidR="00AB0A8C" w:rsidRPr="00AF72EF" w:rsidRDefault="007639BC" w:rsidP="00BD6A47">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1CF76517" w14:textId="42A5A60E" w:rsidR="00AB0A8C" w:rsidRPr="00AF72EF" w:rsidRDefault="007639BC" w:rsidP="00BD6A47">
      <w:pPr>
        <w:pStyle w:val="ListParagraph"/>
        <w:numPr>
          <w:ilvl w:val="0"/>
          <w:numId w:val="12"/>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14ECF45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570 public sector agreements were current as </w:t>
      </w:r>
      <w:proofErr w:type="gramStart"/>
      <w:r>
        <w:rPr>
          <w:rFonts w:ascii="Aptos" w:eastAsia="Aptos" w:hAnsi="Aptos" w:cs="Aptos"/>
          <w:i/>
          <w:color w:val="000000"/>
          <w:sz w:val="22"/>
          <w:szCs w:val="22"/>
        </w:rPr>
        <w:t>at</w:t>
      </w:r>
      <w:proofErr w:type="gramEnd"/>
      <w:r>
        <w:rPr>
          <w:rFonts w:ascii="Aptos" w:eastAsia="Aptos" w:hAnsi="Aptos" w:cs="Aptos"/>
          <w:i/>
          <w:color w:val="000000"/>
          <w:sz w:val="22"/>
          <w:szCs w:val="22"/>
        </w:rPr>
        <w:t xml:space="preserve"> 30 June 2025, covering 927,100 employees. The AAWI for these agreements was 3.9% and the average duration was 2.9 years.</w:t>
      </w:r>
    </w:p>
    <w:p w14:paraId="6165FD6D" w14:textId="77777777" w:rsidR="00AB0A8C" w:rsidRDefault="007639BC">
      <w:r>
        <w:br w:type="page"/>
      </w:r>
    </w:p>
    <w:p w14:paraId="20B8204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5 - Agreements approved in the quarter by agreement type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256B5E98"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BC24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DBDB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7A1B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6DA7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CE45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5B3B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02AB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7AE3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7BA1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E722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2046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2A53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DBE0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3574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BB6B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0639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E7E9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E914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D2B1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F77E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B860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58F6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F03E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A52E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0299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CFD0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7A14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60625BFB"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18B2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41E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2A6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990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38C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8F4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7BF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6E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E25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793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966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DE6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208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8FC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EA0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47A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10E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E0C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7BD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2A2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8C5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275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92C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F6B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909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3B8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F19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DF6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914</w:t>
            </w:r>
          </w:p>
        </w:tc>
      </w:tr>
      <w:tr w:rsidR="007639BC" w14:paraId="39654DDC"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FA4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5B0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3A0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29D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7BF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F1E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3E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C52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AF2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569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C33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22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1F9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4D3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5B8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0ED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6F3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C3B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5C8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19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05E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909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386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C8E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B61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8BB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B20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91C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60998E45"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8C9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DEF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A71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A05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24D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205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BC4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6A0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B0C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E04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DE5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E02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566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0A8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3A2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631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51A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1E0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400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C1B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0B0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870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995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6C4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D42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B1D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597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030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06AD8816"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F3CE9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4A96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819B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4482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5E1B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3EC0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77E8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1B35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E7C0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D7DD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1CA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C366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4C472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537D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38D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82FB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0011B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B3AE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3C761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8A6D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92D7B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6B3B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E25F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70A9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2681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3AA44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BD6B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CDEA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134.6</w:t>
            </w:r>
          </w:p>
        </w:tc>
      </w:tr>
      <w:tr w:rsidR="007639BC" w14:paraId="4726D9D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4A76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7BE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159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29A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ED7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0ED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AC2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3A5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3B0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3C1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B5D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F9A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96D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1B0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FE9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8BC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75D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D81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8A4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C80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93B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142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7CE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1F7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C44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017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2DA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305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r>
      <w:tr w:rsidR="007639BC" w14:paraId="77B78733"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0CF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052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6A3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3A3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CE2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932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F95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424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1B3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F73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13B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6E0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F2A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7CD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992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300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2AF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3C4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404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C59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E5A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EF3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092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A77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B8D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B4A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08C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360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60514AD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AA1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104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462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6C4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96F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076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6B0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BF8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CA4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0C6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C46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B2E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544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8DD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E59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929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D6B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069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EBA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1CE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37C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1BB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1DE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839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3A4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373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AE3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A3A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r>
      <w:tr w:rsidR="007639BC" w14:paraId="7570E7B3"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B1CF9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7481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9A1D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6751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B3A3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9F96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56BB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6EA2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AAD1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E0828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FBA5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1BE9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D100C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1738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DD2D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2F26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E06F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1692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07C0E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8189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74E6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C0C64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8405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C9AE6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349C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7525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29FE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1158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r>
      <w:tr w:rsidR="007639BC" w14:paraId="588B5899"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75BC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C53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939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0C8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E94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680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C4D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FE6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581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BE1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ED5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D3E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AD3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5C4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7A8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A78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2E1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2E6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F5B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52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629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FCA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4FB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15A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BF6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A54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AFC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13F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7639BC" w14:paraId="68ACB33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2CD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5AB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FC2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56E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C74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3F1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B02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DC3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05E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415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66E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631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C10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E98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F71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42F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4FD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CE2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1BB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F38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E0D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152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94E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5DA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D2D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E0A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577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972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7639BC" w14:paraId="00BA82F5"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401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E22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A78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9B6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FDC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C7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EE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812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F41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A8F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BAC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85B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D07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180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82A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E13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03D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22A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7CA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D4D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85A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F3A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D0D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8D7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CE1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DB4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225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A0F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7133ED7D"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3E947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D1B00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5B07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35BA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4A895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84B8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948A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8AC1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20E7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69C6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FA38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695D8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3634E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9742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E3E3D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A8A8A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5A66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29B4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037E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0957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6902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9648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79A5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CF69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0F6EA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15C3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FA11D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8B47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48.0</w:t>
            </w:r>
          </w:p>
        </w:tc>
      </w:tr>
      <w:tr w:rsidR="007639BC" w14:paraId="288227BB"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2AB8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6AC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783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523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A9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3A4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6BF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793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0D1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C1A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EB9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76D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F02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B64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ABE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257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EFE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BD6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7A2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C72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057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1AD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A52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FB2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E54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AE0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19C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F7D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57C4819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AFF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852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C36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7B4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3C7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671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ADE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717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BDE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24E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A92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3E6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E39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DF9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EE9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AA7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9BB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C3D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961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6EA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DBE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2FA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8D6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C44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27E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F94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C8D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BCA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7639BC" w14:paraId="5815AD30"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B83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2AF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3EE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79A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DB5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C9D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DA4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B48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98F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2E7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60D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A06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435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F84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3B4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FD9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696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3FA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E41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CBD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C56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05A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62F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F38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9BA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4C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12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6DA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72027703"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A1F0C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9F53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6147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FB7A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A4BC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814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885C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639E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C025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6456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6060F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7572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A23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786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1FA9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A630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92BB8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314F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C044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0D65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ECAB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786C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D9F6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E2A5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E11F6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7FD0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7BE16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8345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7A091A12"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CA4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types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D15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686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F2B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116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12D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A16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D92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E13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97C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AB6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665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5F0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68D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113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5F3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C8A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A2C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7B6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54B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D41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0C9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8CA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EC4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E0A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3D2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A2B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308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973</w:t>
            </w:r>
          </w:p>
        </w:tc>
      </w:tr>
      <w:tr w:rsidR="007639BC" w14:paraId="3F25EC12"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A1F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47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64D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424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904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2F2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FB3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2DD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C34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433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7A7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ABE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8C7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C9D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AAB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188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3A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C8D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F36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898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156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BC3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511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DB7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21E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50B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4A9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AD9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25303B9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E44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EA9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FB9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813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333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A44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C6B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4AD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64C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41A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B51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7A2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FF5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C8A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BD9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D52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CF1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E8A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4D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8C7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458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614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C84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FAF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335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265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C0A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B3D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5BC967C9"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AE42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F6CE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C1D7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DAD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575B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1AF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EEF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B4AB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7D805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105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960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3AE9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E0E5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E98C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C99D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8C6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A119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ACA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22D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6287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017F5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031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A10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401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A15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ED8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FF7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45B1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184.9</w:t>
            </w:r>
          </w:p>
        </w:tc>
      </w:tr>
    </w:tbl>
    <w:p w14:paraId="589F6B0D" w14:textId="3A321DB2"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76DAB42D"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7240226F" w14:textId="79DF622A" w:rsidR="00AB0A8C" w:rsidRPr="00AF72EF" w:rsidRDefault="007639BC" w:rsidP="00BD6A47">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2175FC9B" w14:textId="0C9D969A" w:rsidR="00AB0A8C" w:rsidRPr="00AF72EF" w:rsidRDefault="007639BC" w:rsidP="00BD6A47">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46687896" w14:textId="0B48047B" w:rsidR="00AB0A8C" w:rsidRPr="00AF72EF" w:rsidRDefault="007639BC" w:rsidP="00BD6A47">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30E6E7C3" w14:textId="177BFB66" w:rsidR="00AB0A8C" w:rsidRPr="00AF72EF" w:rsidRDefault="007639BC" w:rsidP="00BD6A47">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2555F271" w14:textId="3D8CF5DF" w:rsidR="00AB0A8C" w:rsidRPr="00AF72EF" w:rsidRDefault="007639BC" w:rsidP="00BD6A47">
      <w:pPr>
        <w:pStyle w:val="ListParagraph"/>
        <w:numPr>
          <w:ilvl w:val="0"/>
          <w:numId w:val="13"/>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types - see 'Types of Enterprise Agreements' section in Technical Notes at the end of this report.</w:t>
      </w:r>
    </w:p>
    <w:p w14:paraId="0EBE21A9" w14:textId="3C8D185D" w:rsidR="00AB0A8C" w:rsidRDefault="007639BC" w:rsidP="00AF72EF">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lastRenderedPageBreak/>
        <w:t xml:space="preserve">How to read: </w:t>
      </w:r>
      <w:r>
        <w:rPr>
          <w:rFonts w:ascii="Aptos" w:eastAsia="Aptos" w:hAnsi="Aptos" w:cs="Aptos"/>
          <w:i/>
          <w:color w:val="000000"/>
          <w:sz w:val="22"/>
          <w:szCs w:val="22"/>
        </w:rPr>
        <w:t xml:space="preserve">914 single enterprise non-Greenfields agreements were approved in the June </w:t>
      </w:r>
      <w:proofErr w:type="gramStart"/>
      <w:r>
        <w:rPr>
          <w:rFonts w:ascii="Aptos" w:eastAsia="Aptos" w:hAnsi="Aptos" w:cs="Aptos"/>
          <w:i/>
          <w:color w:val="000000"/>
          <w:sz w:val="22"/>
          <w:szCs w:val="22"/>
        </w:rPr>
        <w:t>quarter</w:t>
      </w:r>
      <w:proofErr w:type="gramEnd"/>
      <w:r>
        <w:rPr>
          <w:rFonts w:ascii="Aptos" w:eastAsia="Aptos" w:hAnsi="Aptos" w:cs="Aptos"/>
          <w:i/>
          <w:color w:val="000000"/>
          <w:sz w:val="22"/>
          <w:szCs w:val="22"/>
        </w:rPr>
        <w:t xml:space="preserve"> 2025, covering 134,600 employees. The AAWI for these agreements was 4.2% and the average duration was 2.7 years.</w:t>
      </w:r>
      <w:r>
        <w:br w:type="page"/>
      </w:r>
    </w:p>
    <w:p w14:paraId="2F1E1A46"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6 - Agreements current on the last day of the quarter, by agreement type (June quarter 2022 to June quarter 2025)</w:t>
      </w:r>
    </w:p>
    <w:tbl>
      <w:tblPr>
        <w:tblW w:w="15646" w:type="dxa"/>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04629664" w14:textId="77777777" w:rsidTr="00215BD3">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E2CD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DFE7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B833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9FBC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FF73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FE07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6747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36C1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9F72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0083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B3B9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DE1B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C5D2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39F4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57D0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E043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7BA1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EF8F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707A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06CB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C3FA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7CCA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7B24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2E93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DE34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9899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4AB7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16034F54" w14:textId="77777777" w:rsidTr="00215BD3">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3027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E54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DAE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F5F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10,182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299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C36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10,074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234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787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617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A5A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A1E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FE4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C5C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4DA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96A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DF7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B65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D2D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9,271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A8B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C82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331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97A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A52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066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10,162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B7B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576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457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03F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10,639</w:t>
            </w:r>
          </w:p>
        </w:tc>
      </w:tr>
      <w:tr w:rsidR="007639BC" w14:paraId="12FBB4A8"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6F7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857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35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5E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50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905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B3B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8AA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14B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939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D39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CBD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D1B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024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6F1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E3F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F02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003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44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CD1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13F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E0C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0C1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042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CAF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19B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7F4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924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4E597BB4"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E48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DB9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E4E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A4D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B56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801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EE1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D17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F9A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0B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3C8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7CC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E48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958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51C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4CC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65E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36D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9A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C91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476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DDE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0B7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1F6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207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93E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CC7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119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3584B5D5"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EB8CA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7F71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23DB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956A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344E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A73C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B5EC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4460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3960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3280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7AF7A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7C2F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33DC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A324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1,706.9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AD45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4F241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28B7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16D9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2,001.5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914AA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E979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D3E5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2837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F715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EDBC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2,396.6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5BCA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82EC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2,446.1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AD93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F192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2,527.4</w:t>
            </w:r>
          </w:p>
        </w:tc>
      </w:tr>
      <w:tr w:rsidR="007639BC" w14:paraId="4418082D" w14:textId="77777777" w:rsidTr="00215BD3">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408D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677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83A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69E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5B3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536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C0A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8CF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44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5F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F31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250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8F3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BD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E8B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D86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A48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D05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9B9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6AA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E78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A55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1B4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0AB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D84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C14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980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D3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600</w:t>
            </w:r>
          </w:p>
        </w:tc>
      </w:tr>
      <w:tr w:rsidR="007639BC" w14:paraId="445D5752"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E71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F5C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4BC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534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7B2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9E1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4C2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862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9D5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BCB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617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4DF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7F4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A16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C16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6BE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AE1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CD4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087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F5A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E20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E2D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EDD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CBF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A1C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41A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DA9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734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11CFFAB7"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BC9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385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E4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ACA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962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017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ACC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AD6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E40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0B4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758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66C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583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ED2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CAF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ADA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058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BAD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A14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134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45E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0FA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654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892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902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13F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DF8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B05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5D3F8FFC"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D1FCD1"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DCE2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FA617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79AA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97B0F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6D80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E1B72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3BAD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80D34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352F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6513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BAAC0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66CA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8306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AB2B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A8C2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5A6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3F98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BF5B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1DC9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BB8C0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F7C9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02AE9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F10F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DD4B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A1E0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3C7E8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D032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26.2</w:t>
            </w:r>
          </w:p>
        </w:tc>
      </w:tr>
      <w:tr w:rsidR="007639BC" w14:paraId="432E9342" w14:textId="77777777" w:rsidTr="00215BD3">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838C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31F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96D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789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510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66E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CC9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C11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7F0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9F5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714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CCF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BE3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166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E5A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171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7E6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16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87A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419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776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200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D2A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4FD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AE5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84D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24A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457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r>
      <w:tr w:rsidR="007639BC" w14:paraId="300A0669"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434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27D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58D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755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954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96A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B07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DD7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458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188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B80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81D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4BD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632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5E3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4E8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8A2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8DD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BB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ECE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060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561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51E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DF3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E99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9F2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194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0FC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r>
      <w:tr w:rsidR="007639BC" w14:paraId="487E55ED"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4BF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D34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9D4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A82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E8A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641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C62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323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2FE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82C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81F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B32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856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507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532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C79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A4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591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E28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421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24A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EFF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AEA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841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3FA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FAC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987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1EB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588A7CD9"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B33F7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966D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050C8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BF27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6324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714D8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B86EC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7E21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DA22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58071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13C43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5B05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ED62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E4B7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D98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A8BB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33F5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554D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7BD40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812A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422EB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07C80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9267D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A5E0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90F0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6329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48B3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26E7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247.5</w:t>
            </w:r>
          </w:p>
        </w:tc>
      </w:tr>
      <w:tr w:rsidR="007639BC" w14:paraId="61409435" w14:textId="77777777" w:rsidTr="00215BD3">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E468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25D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A88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D8B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799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4A4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9FF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148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5E6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566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367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F2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44D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B04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760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B71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24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191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531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CB1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0D3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1B3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AA4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7DA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9D8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1CB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2CF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116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7639BC" w14:paraId="53112ED8"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29D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1E5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2F8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B5C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B1B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2ED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C9E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E76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F7F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C7F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24D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970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1D6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037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B6F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863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3E5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20D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476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B8A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27F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526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514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219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83D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5E6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F67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B53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0F0B509E"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EF9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70B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A8C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FB8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2AB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EA4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BE4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637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FD1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45D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1C4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AD5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3F0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739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7A9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370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22A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13D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F3B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0DE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1E8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13C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5AD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BE6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F00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E53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302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5A8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4ABD7967"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2069F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8E9E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747E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319D5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6D2F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C8E8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9EFFE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CC6A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2C2B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9CF6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A51A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E3F4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24E5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9081A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CB97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6D9E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6ADA4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44CF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DB346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77427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3EB02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F843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34DC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EDA7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4DCD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C74B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AF97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50E7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7164EAEB" w14:textId="77777777" w:rsidTr="00215BD3">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E732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Employee collective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610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3CD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182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8A4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2E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574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2C4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30A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177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337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5AE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18D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686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4EF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022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493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0C8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4D0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15A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56C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C7A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9FB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9F6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D15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5B6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672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B40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7639BC" w14:paraId="3FA097F0"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51C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201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12F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E2D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34D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214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29D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6DF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902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FEB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B41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370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90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FB2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DB4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515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45C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5A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C03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0B5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B1E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050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7D3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FCD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83F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ED7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EBE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829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7639BC" w14:paraId="6235050F"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19D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4F2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905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529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A68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639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867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675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41A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652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021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41C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6F1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316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045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4EC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811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04C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45E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0B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325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575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3E7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C19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2C9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843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010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3FD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r>
      <w:tr w:rsidR="007639BC" w14:paraId="258B8B8C"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0FFC7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566B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58A66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F4C0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82C9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83B5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E16F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6C5F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A3AD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3A23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8287B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9D8E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60CD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CA4C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EF61A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821F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0BF1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4B84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2915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27C84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3AD8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8ECE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9DA7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36D6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DFAF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6B92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DA35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5582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22B600DD" w14:textId="77777777" w:rsidTr="00215BD3">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7533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Employer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67A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7F5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F2A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DB5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31C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A0C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067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9D5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5F6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D4C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E6E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096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BEB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E3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332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455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F02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0E8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499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34C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AFB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CBB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C1F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44B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70F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FA9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DB6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40AE2DD2"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BD4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691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9FF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325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430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F97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43A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59B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BD1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BE1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060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2D6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F60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E4F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27F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095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EF8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398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B9F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582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A67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06B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E0A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E06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8CD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4FC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05A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478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7639BC" w14:paraId="0654EDBC"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09A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F4A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2E6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138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81D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316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311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216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0E8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620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1CA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217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FAC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623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E86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4D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C31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FEF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BF6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E89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ABB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7A0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DAB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3D1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BDD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CB7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BB4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44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0003F21B"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31084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179A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9BAD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63B8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A754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50511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4505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DFA80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3EDCE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AC7B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0FAB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3EA8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E32A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DA60C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C085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C857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E06D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E58A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0581B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4EEB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A5D9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8DD0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8234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3252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9BB6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466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CDFF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D1F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50E466FF" w14:textId="77777777" w:rsidTr="00215BD3">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6B96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Union collective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707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4A8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0D8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4CE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F97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349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538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35C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198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844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8EC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C33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E73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7F4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173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79B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7E0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6D7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D20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A2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5BA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9FE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835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B6B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5EB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5D7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D6F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7639BC" w14:paraId="0E9B46E2" w14:textId="77777777" w:rsidTr="00215BD3">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02D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CE6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546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9CC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888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A09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141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96C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266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B65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B22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830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70F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01C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170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7B1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60B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297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9C3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F63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40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21D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929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623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260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4A7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A2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ADB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r>
      <w:tr w:rsidR="007639BC" w14:paraId="6EC4D0C6"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B12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001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3B8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08C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457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5BD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113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08E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A24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CD0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38C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5D1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605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4F5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CA8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114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BD3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465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BF9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4DE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579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49A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F38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DAC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807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F3D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A19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083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w:t>
            </w:r>
          </w:p>
        </w:tc>
      </w:tr>
      <w:tr w:rsidR="007639BC" w14:paraId="3D2A1BD9" w14:textId="77777777" w:rsidTr="00215BD3">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8A391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BBDB7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DFA7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34F3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7736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7E6F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98B0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C8B8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68A9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34304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2D52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C803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2F4FD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1680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5C3F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ED241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8EF5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7F4D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CB99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C545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0F50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91DC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B207B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DE491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A7339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7273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B3D1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7E9B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r>
      <w:tr w:rsidR="007639BC" w14:paraId="6B204C37" w14:textId="77777777" w:rsidTr="00215BD3">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D20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types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041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A5F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A3B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35B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8F4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A99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183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61F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189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945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9B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2D6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C12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786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1EF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6C0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34C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97A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433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33B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120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BF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9A5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384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FF8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4B3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F07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11,302</w:t>
            </w:r>
          </w:p>
        </w:tc>
      </w:tr>
      <w:tr w:rsidR="007639BC" w14:paraId="5738192C" w14:textId="77777777" w:rsidTr="00215BD3">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8C5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DB2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644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B28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B76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B2B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89F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FC5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8FA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288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813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7D9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25C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575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64A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238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F04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15D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E7B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789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195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66E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148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4EA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034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2B7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043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EDE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6E0DB200" w14:textId="77777777" w:rsidTr="00215BD3">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A86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79E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587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E74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7E8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EAE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1A2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9A6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2FF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13F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C5C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AED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AAA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624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E3D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A30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1A8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B2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44A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302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041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B22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80E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EAD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FF9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2BE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2ED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4A9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2470DD0B" w14:textId="77777777" w:rsidTr="00215BD3">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72A2A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D60B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8E8C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05D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FD7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300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1,733.1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F09D8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876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505F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86FA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1,739.0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008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2DE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1,791.0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08A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5F8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7A3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0781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127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4A2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2,142.0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DDC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2F2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AEC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4BC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2,209.2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7DB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10E1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2,647.3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BEC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6E1A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CB7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56E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2,801.3</w:t>
            </w:r>
          </w:p>
        </w:tc>
      </w:tr>
    </w:tbl>
    <w:p w14:paraId="18DCB355" w14:textId="2FA9FB20"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65D89087"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2D386D96" w14:textId="7791F819" w:rsidR="00AB0A8C" w:rsidRPr="00AF72EF" w:rsidRDefault="007639BC" w:rsidP="00BD6A47">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68D0EC81" w14:textId="5F33DEF5" w:rsidR="00AB0A8C" w:rsidRPr="00AF72EF" w:rsidRDefault="007639BC" w:rsidP="00BD6A47">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320E08F9" w14:textId="7E20865D" w:rsidR="00AB0A8C" w:rsidRPr="00AF72EF" w:rsidRDefault="007639BC" w:rsidP="00BD6A47">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5F7B18D0" w14:textId="09927A2D" w:rsidR="00AB0A8C" w:rsidRPr="00AF72EF" w:rsidRDefault="007639BC" w:rsidP="00BD6A47">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1073D408" w14:textId="7AEEA97C" w:rsidR="00AB0A8C" w:rsidRPr="00AF72EF" w:rsidRDefault="007639BC" w:rsidP="00BD6A47">
      <w:pPr>
        <w:pStyle w:val="ListParagraph"/>
        <w:numPr>
          <w:ilvl w:val="0"/>
          <w:numId w:val="14"/>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types - see 'Types of Enterprise Agreements' section in Technical Notes at the end of this report.</w:t>
      </w:r>
    </w:p>
    <w:p w14:paraId="1D7338BA"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10,639 single enterprise non-Greenfields agreements were current as </w:t>
      </w:r>
      <w:proofErr w:type="gramStart"/>
      <w:r>
        <w:rPr>
          <w:rFonts w:ascii="Aptos" w:eastAsia="Aptos" w:hAnsi="Aptos" w:cs="Aptos"/>
          <w:i/>
          <w:color w:val="000000"/>
          <w:sz w:val="22"/>
          <w:szCs w:val="22"/>
        </w:rPr>
        <w:t>at</w:t>
      </w:r>
      <w:proofErr w:type="gramEnd"/>
      <w:r>
        <w:rPr>
          <w:rFonts w:ascii="Aptos" w:eastAsia="Aptos" w:hAnsi="Aptos" w:cs="Aptos"/>
          <w:i/>
          <w:color w:val="000000"/>
          <w:sz w:val="22"/>
          <w:szCs w:val="22"/>
        </w:rPr>
        <w:t xml:space="preserve"> 30 June 2025, covering 2,527,400 employees. The AAWI for these agreements was 3.7% and the average duration was 3.0 years.</w:t>
      </w:r>
    </w:p>
    <w:p w14:paraId="685403D8" w14:textId="77777777" w:rsidR="00AB0A8C" w:rsidRDefault="007639BC">
      <w:r>
        <w:br w:type="page"/>
      </w:r>
    </w:p>
    <w:p w14:paraId="7A24723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7 - Agreements approved in the quarter, by ANZSIC Division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227F6425"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3EDF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01E5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DF7E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09E1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14EF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2C92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0B36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2B1D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1452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9B03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D49C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7C10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95E8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0DAF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15F8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DC5C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D897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3015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B2A4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5EB6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7E80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2336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008B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0405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5768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526B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F4A5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1C1E31A3"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319E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D3F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F71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4B0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7FE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AC0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8E8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712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02E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3E1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CC1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B24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A0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612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389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104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841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D39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3D5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87B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464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8D6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C42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061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C10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159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871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47E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7639BC" w14:paraId="5AE8283D"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2F7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C0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D8E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451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3BC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CA9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2E1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19B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B4E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A1C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15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86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C39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56E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907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45A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B79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C3E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D54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A3F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B3F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17A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1E6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245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5D9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37B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D1E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C6F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033387F3"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C7F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4AA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041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679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38F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0D7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111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848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EF5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1BE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59D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AB7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F94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539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91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55A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7CE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A26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CC2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CCF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F05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33D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063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4CD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CF0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198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3C1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157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07D6842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F32CC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0A7E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AF76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6512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830F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F707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D779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4D0D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02E6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5000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3F750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7AA3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EDCA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6B44F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4229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2BBA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98978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FA4D3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7221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8123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2BD7A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FD51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3EA6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8C55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C33F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59C9C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9F9E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851D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r>
      <w:tr w:rsidR="007639BC" w14:paraId="6DEBF6D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992E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920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214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06C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FAB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29A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E38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F9B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034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A42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7FC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80B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EE5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6C8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4D5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D3E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4A8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5CC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E7F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693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755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E47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DA0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513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5B1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3A0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4E1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755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6D502535"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AB8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4B5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8C4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A26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401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2EE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090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2C8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A67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F7A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AA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606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C6D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AC9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628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A01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854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A6B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CBA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574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628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51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EFF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7BC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CFD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CB9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DF3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DB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623F1B6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048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6E0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EA5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CD4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E5B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15C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8AD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A68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0CD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427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5FA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0E2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094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8D0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BD3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6DE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7D1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1F3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A7E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06C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C4A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632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6F0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FBA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C8D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5A1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741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263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5619180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0B47B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C9FB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CD27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70953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1A33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2951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3728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81D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22EBF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C2F5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5DF8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1E6C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3DBB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3D53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BB88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72E0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1DF5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6DFB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4E6E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F3C5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FC0E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D761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C0FC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94F8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0356B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2239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178FC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F2A7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r>
      <w:tr w:rsidR="007639BC" w14:paraId="28F24614"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BCC5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569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5FB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C4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CB4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749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C80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B8E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B9F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03B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2A5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349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AE1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AF4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983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4E9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1AF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7A2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2A3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FEA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565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8C5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B19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A83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51C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0CA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4C6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5BA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w:t>
            </w:r>
          </w:p>
        </w:tc>
      </w:tr>
      <w:tr w:rsidR="007639BC" w14:paraId="6FD4AE00"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734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B49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F13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683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A0B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977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CE9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9A1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17D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E40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F20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416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C84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1B7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3C6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0BC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14E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488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4A1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A70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3B2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F74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2B6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C78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A11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602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303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F14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28203DBD"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418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3AD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766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9E4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453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631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119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748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6BB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BDE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5B2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5D6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BF5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DEF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BBB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9ED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166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FB0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11B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BA7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77E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307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250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731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EE7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C87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432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838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13698CD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ED4D6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BF6F2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17825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EFD0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2F944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5842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05D3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92E3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2BC6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76B0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5D9B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2653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5C8F6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F69C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D1DC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F60A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06FC6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0EE6E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BCBE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DF50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1C1A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2D57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755C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7AEB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B7F3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FCAA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30992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6FD5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r>
      <w:tr w:rsidR="007639BC" w14:paraId="4877E4DB"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4BC6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C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8E6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A42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B6E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9F7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2C4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F2E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B62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5B6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53B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F38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5EA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CA2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B4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DD8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C52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AE8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55D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091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F53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3C3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751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542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EFC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C59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7B9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E84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r>
      <w:tr w:rsidR="007639BC" w14:paraId="692A3370"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38B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BA9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468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948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498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C93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088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997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62B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5B3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473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064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92A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8CA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CB1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F1C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64B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A7C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126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51D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5E0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069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B55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989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236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E9C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689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34B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67A55A1E"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42D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24A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EBF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51D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C1D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365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78E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70B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D5D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D18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CE5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E7E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E9E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CCE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8A2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9DB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124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6C0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782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415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ED4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CB2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9BF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D2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FD6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944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833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C75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1C5A89D4"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7F1A3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1ECB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7423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87F3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8C436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01CB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F2C4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6608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6B6DD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61D0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79977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B398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F406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BC63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3511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EE6E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24BE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BD31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2EDE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1302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60EE6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A7191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7A9D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FC649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AC2B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FAB5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01B9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41B8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r>
      <w:tr w:rsidR="007639BC" w14:paraId="6DC1D9D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6654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8D5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A2F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3CC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91D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89B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098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79A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45D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FDD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3FC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EB0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2E5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63E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A0A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100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A64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C31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667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B09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2EF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077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7D8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23F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51F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E7D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AF5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BB9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r>
      <w:tr w:rsidR="007639BC" w14:paraId="08ADE853"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EAD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1E6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F48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682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4F4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B05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A7F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995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A1D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D78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0E5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AEA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1F5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5FE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03D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CA5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5B0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2A4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273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66A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E5F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37D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738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B66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E3A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3BC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07E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346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7639BC" w14:paraId="4E968AC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669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B54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056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D58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B45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CED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2A6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A7E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0D7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FED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6DE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D28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4DB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D39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FC6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07E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3F5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C18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617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DEB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0D5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C85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495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586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2ED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D24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34E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18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7639BC" w14:paraId="28806014"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791A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7A4E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26AC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AD41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BD175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3517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E10F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23B8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712B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9AE4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45E3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3E31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0A9B5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F6F0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6B29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240F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70D9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5815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3136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FE7D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0F2BB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0CF1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A66D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D1B0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65149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D311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4ECF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79F3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04D1ED6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F2B7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A95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58C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2AD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957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456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158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006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745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C85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A90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E70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69A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D78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6F5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1B2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623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B88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8B8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3DF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733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13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B2E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D91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989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E2C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D75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0C8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6D70E73D"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E16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ED7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049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4BF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593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40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A4B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FFB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B91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B9E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B6C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10F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D1E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A52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D2F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3CC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F55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13D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652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BED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64E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B3C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0CC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343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A5C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B39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446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874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7639BC" w14:paraId="21028E5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3F9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9BA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4E7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A05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E74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6C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EAB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19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AAE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E9E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CB2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D0A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727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FB9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D82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FB0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7FB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DEA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13D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2D0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AD9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982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25D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3D0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7C4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EE5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9FB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C4C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7639BC" w14:paraId="62625B0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1C09F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B7C2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B1F8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98E1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1C93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5192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68259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75FF3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CCF57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F296B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8C26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A04B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8DD8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AF0E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C98E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74EC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B04AE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357D1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0CD6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7B18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5BE7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C30E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0BD6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22E5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C41D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B754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3E14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9E56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r>
      <w:tr w:rsidR="007639BC" w14:paraId="620C694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B3A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48A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CC3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5D1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73E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8F6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B0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E97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137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09C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506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90A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BDC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231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256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93F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35B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947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7DE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58A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F93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18A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AE8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70F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E5E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914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2E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D02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452</w:t>
            </w:r>
          </w:p>
        </w:tc>
      </w:tr>
      <w:tr w:rsidR="007639BC" w14:paraId="05464ADD"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FB7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6AE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513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01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969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CC1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715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1E0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5E9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02F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9A9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DCB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1AE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87F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F60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236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9C4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984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166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A7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340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D44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1E3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55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40E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551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73A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4F1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r>
      <w:tr w:rsidR="007639BC" w14:paraId="684D58D9"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2BB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204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2AC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A6B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0D8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D63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3C5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CDF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C35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74E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F13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AB9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A82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786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7FD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24D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096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ADD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0B5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21C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99B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118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14F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945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C77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070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9FE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29D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7639BC" w14:paraId="5ABBB40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56744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B743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94F8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19EC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A2FDC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EE0E7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AE936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5A710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AFB8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54F3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0956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4C63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7F10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A42C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3D03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CDF3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0CB8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00D0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53A05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3C369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068B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34E9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E38B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7D6A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6327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DDB7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D56F8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2594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r>
      <w:tr w:rsidR="007639BC" w14:paraId="12DCC3B6"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F70E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Wholesale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E70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771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342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7E2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7DB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EB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A97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43A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223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12C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732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0EE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0C8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8E5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612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FC1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44B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4E9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61E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01C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731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282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54A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949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3BF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D11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1DD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7639BC" w14:paraId="23766354"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CE9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9FE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438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2D1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BB3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E6B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D19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1C0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8A1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06A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F2B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8F1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3FC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17D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D11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56C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CDD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56E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F57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DD4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AE1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86E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11B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5FE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2FF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EE8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8E5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E07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7639BC" w14:paraId="7DB8E69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D4B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2AF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599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F7C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180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5FC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716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7C8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5BA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2C6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EAA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4D3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94C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D01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A67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94A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5B7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C2F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6DF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C72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318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229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E14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24A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7A7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9DB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E8E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CF4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023EF7B1"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72FA2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F3BF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066B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5F19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6720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5BDD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4626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4566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8B5E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B185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5602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B067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76176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6DC9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DBEF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79A0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148A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1A98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4DB0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8B0F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D05A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2EAC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A970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5C00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962C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3442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E3F7E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A94E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r>
      <w:tr w:rsidR="007639BC" w14:paraId="055098B0"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B0EF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070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3DC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496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283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5A6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9EF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D9F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962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2FC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010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E33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265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EE6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B6D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5D1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4E8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B81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8C6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FE0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126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04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0C4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DEC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6AC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61A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A32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094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r>
      <w:tr w:rsidR="007639BC" w14:paraId="0CC2BBBD"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E45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15D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CB0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263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81C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A3D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710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345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9E1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A78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FC1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E10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3A9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3F4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541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5C5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27F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43A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452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815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54E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00E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0E5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F72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C1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2CB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9B2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0FF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r>
      <w:tr w:rsidR="007639BC" w14:paraId="44D0E75F"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8E7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E9F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AEE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2D4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0EF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A52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F73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861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2A9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F6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F55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967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2BE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7F1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0E1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2A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1C5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A52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7DB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B5C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DB8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BA6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DDF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31D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5D7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AF1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534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5A8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367917F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48EFE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29597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5A52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2AF02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4C2D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8CF5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A9E7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25E3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8BB0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FEAB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18D7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FF45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1DCE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8EC9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DD6F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1A32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0A8D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D7A39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AB84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18B8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6C8A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19BB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28BF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5027C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13A6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DA3F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CA70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499F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r>
      <w:tr w:rsidR="007639BC" w14:paraId="6B1E63C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9A35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595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EAB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EF4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B75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471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F98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3C3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4B0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BCB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E32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31D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1A3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756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DE2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EB3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F03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8E8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FED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DCB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176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A81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514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8CC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08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1F7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0D6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711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7639BC" w14:paraId="66BD7EA5"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6B7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F7E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277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15B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FF2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8D5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E02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3B4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4B5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171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34B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B8A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1DB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0E1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082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197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965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613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E25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9FB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F80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104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A8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1B1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275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0DB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788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7F4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2B22D14E"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74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BF0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09B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C05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BEF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C09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84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76F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F22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876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8FF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FE9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877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92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795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64D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ECA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D7E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6A8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5C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7F4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EFE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F9C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85F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28D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A8C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130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364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6B5C371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C4599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AD5E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FFF5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78D7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E6D09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DC69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D496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8B49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8ADD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696AC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3273A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8C28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E7BA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DB6E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285CE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802B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17B8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1D4C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197C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BE44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55227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18AA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59124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1E2C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913E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109B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262F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04E1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r>
      <w:tr w:rsidR="007639BC" w14:paraId="17CD5C10"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BB0A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46A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0CE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603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40A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092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0F3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D45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2E4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A9B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5DC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345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50E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74E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8B8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615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223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85E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48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9E8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9B5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63A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6E3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47A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332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97C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7FD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A9D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r>
      <w:tr w:rsidR="007639BC" w14:paraId="39CECFEE"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17D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B3D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1B3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15D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06D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00D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2F8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C38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842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780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BDD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FA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84B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410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220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EA7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C1C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D47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875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12A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82B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514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92D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E40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073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32D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D17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DC7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r>
      <w:tr w:rsidR="007639BC" w14:paraId="5B7ABEF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BBB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F0F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8A7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BE3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25D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950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807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573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F7C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8AE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C56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8DF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758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92E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8FD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FAE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70C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EAB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AFC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60E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BAF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F9D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BAF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EBD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751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32A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DBA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79D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590504B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FCCDC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6EAF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49A65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7E92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C506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97CD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AF74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1A35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8845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F104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55C2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06EA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6F50E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7E9C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5464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A39E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1646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A3C4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ADC3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41C5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548C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9AB5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27C7F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025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1106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37F8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5182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FBFC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r>
      <w:tr w:rsidR="007639BC" w14:paraId="6E463F08"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91A7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D48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356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27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5E5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F80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923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FC0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2C3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4A5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F8F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174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E9A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4D4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5B1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EA3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800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B8A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AF3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E4D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85E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E52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FD0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028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A00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DCA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BD7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54D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r>
      <w:tr w:rsidR="007639BC" w14:paraId="0D26DFA2"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D11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0E9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D85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0CD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95F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059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A47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BC2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944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8EE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A62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C62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8A7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E96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FB5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A33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F13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2BB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DB3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F7C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BE4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BAB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E86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299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7F9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127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83A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ACB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7639BC" w14:paraId="301C175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E11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BCE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E8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074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D8B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8F3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D6E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C3B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DA2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729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A82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3CF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EC5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22A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71B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FB8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60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844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B26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31D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F4C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141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BA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0CB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940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9E5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8C2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E8E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7639BC" w14:paraId="5319732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B801D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2AF5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211C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5C0F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D68E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1C18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EF30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24B7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9246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B6E4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6B17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668D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6045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497A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E0F3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B15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DD15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9096A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F0ECC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B91D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A639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F195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F55E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3C1A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3B22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6619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E35D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8BB7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32D7C822"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6264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E90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D7B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D2B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709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946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D7F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F2B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68B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AE2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1D6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105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ECA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AD9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D35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5AE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252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CB4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22D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C74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12E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64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A13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D17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A56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4A3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183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F0A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7639BC" w14:paraId="17DDC4C0"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586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C7D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5C3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730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11F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42B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C3D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144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C4F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040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990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1B1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1A9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DFD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8A7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1AA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481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6D1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D1F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723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213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89D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F3F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A9A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D0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194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913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58E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2123783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1C7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C2F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DAB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4B3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677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5D3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048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8A6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070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329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8CB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519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841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D95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C77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5F1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B3C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CE3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FB0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585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EEB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E6D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EE4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7F4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E49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AD2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AD3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2E6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0EF4AAB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C85BD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78B4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9F57B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F50C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E3EE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3C039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6336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2A4F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2887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DBC1C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A5041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9A03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77B6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92C3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759C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14C5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EB36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90A7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74228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5D0F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39A9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2D62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3605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6EDA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C871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C178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3D2E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28DE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1CD3B86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44C8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64B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977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D44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602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934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125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83D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CB8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57D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CAF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CFB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80D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515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8E4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DC6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C0D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F1B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1FE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A64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F9A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7A1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9EF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889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A27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973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90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D7E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7639BC" w14:paraId="137BE959"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72E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BE2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E2A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2D5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E25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30D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8B4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E68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0B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E92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9C8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9D7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6AF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395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C1B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0BE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819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C56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D3E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327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EE5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869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C41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320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6EC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B9D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B92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DE5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107C876E"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3C4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1E7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FC0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898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078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B5D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D31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F16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AFC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BA3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7E9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6DC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789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961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899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C75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173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7D5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8BC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AFF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79D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1C9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403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6F5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D08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D12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875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F26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7639BC" w14:paraId="6B2B0DB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64306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A17D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5FB1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27E4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7A58B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A949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6B28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FD04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B1BB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8455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D6FBF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8C85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D818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36F1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D3CB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386D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C9066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080B1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9E51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A903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0A3FF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4414A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DA5B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F388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BCC7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32AB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EC0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5496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7639BC" w14:paraId="22DB490B"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BA29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Professional, Scientific and Technical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435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2E4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EA3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346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594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88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10E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86E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23C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C69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7D6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9CA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56F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215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17F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D32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7BF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4EE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B74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B41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410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77F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8FE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98A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630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2C3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C41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7639BC" w14:paraId="31EE959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DFA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429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39A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806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E5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E7A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ACB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2B1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EE7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C55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1E9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BD7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84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96E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29A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218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387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505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BFD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3D4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E1C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809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BEB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13D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1D1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BB6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0B6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631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5257F0E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EC1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492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67C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F11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88E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A97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96E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027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631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ABB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84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7D1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705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1C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393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AEC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29D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2A4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70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DFE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0DD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484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C14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CC0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3D2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2BD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DFD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52C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167E638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C1AAA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DAA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339F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8B4A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AE21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46EC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FD503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FB26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F9F7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9A94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50CE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147B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DCDB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E8C4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D33B6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9B92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53D4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1748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3553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DACB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CA97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21E8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EC02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3214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5ABDF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377B9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8CF9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5895F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7639BC" w14:paraId="6B7BC2CB"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BBEA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062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545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B17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E5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094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FFC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22F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816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907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043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7C9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A72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A22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083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400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FC2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245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90B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AB9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50D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2B2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009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627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341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B94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6F3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7B0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r>
      <w:tr w:rsidR="007639BC" w14:paraId="2124DA90"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CD5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468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391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535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BEE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31A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C8B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ACC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82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DA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C80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4CB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62D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278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692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F3C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ADA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B6F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EE4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58D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74E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E1D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BA3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A79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88B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C28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008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458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45CF61B3"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184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658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8F0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1A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C1C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7D1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84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5D5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312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C3F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B24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22B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860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CCD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D00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B0B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6CA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17C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D8F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7CB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7A2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7AE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950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DA5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024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4F1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B2E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24B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07FF57D6"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E3E7C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3F3E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5E7D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F777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A7009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CF2E3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2D1A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5D5EA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0556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E3D0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B477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60F5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BA09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16F1E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4B5BD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0E81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9C080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EC58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1B22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F65D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6495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CDF8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B27A4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0977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3DCF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3BD3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354E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1606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r>
      <w:tr w:rsidR="007639BC" w14:paraId="28140E70"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D960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135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F56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60E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848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EFD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42E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414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1D0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E27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858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55C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0CB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7AD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B5D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572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6D4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89B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63E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179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86C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498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6AD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6A2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ACB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CC0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0ED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71F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r>
      <w:tr w:rsidR="007639BC" w14:paraId="23C77AE5"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AB9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02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44E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A01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FE4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BD9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6FF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E1B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B30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891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116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76B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02C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D96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ECE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70F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ABB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5DC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336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4E8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E19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02F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8C7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84D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5BE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222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8FD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B2B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7639BC" w14:paraId="0A6D7CC1"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25E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D63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061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638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E4F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B62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3DD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6AA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2D6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64C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37D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1BC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220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E6D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580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C4C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558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454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5C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BBC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E97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95D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18B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F1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D99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2CA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5DE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957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7055A203"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57B11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3068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15F3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296C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2E8F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53C7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2B50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C6655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2B8B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9E602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DCAD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F75F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0A72D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E3D4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63E5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5E4B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9372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A61D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CD14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A66A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4259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7F5A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CDC4B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00D18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7356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DA99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525B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826B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w:t>
            </w:r>
          </w:p>
        </w:tc>
      </w:tr>
      <w:tr w:rsidR="007639BC" w14:paraId="5EEE5C9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354E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FC6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69E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CE1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64F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10B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149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E0A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1B9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1CD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44D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E29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253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44C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A16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439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C73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C97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20D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AE5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A90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E22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DBE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C52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B56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2C0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D77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4C0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546F538E"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2FB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967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891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B86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004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D19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D0A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E63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E79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EDA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F69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310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EBD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92C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411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B00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95A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5F2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DC4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94B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849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B66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ACB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F0C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058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C8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753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BE0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7639BC" w14:paraId="1DC506EA"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541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BBC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AF0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0C9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AC0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701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FC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A90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DF0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EB7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FCE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87B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676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C45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301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259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07C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0D1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F1A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826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080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B99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11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32B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850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6B9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162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841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7B20416A"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A6FB6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0761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2DB5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8E20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7446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CE9BA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36C8B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BFB7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CB6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1F47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0D3D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F630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A51F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A9CF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92C5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BECC4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B014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0FD9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1523C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0998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249F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F8C6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E886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7307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00B7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7FD4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01369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9903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54.2</w:t>
            </w:r>
          </w:p>
        </w:tc>
      </w:tr>
      <w:tr w:rsidR="007639BC" w14:paraId="35B7BE2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7A72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FB1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A26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D5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235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110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905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FE8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7F8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4C7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432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0AE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C4D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0CD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A74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5BC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FC3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C0D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728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0F5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505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F3A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B3B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85E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B0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813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8BA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01A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r>
      <w:tr w:rsidR="007639BC" w14:paraId="571F2D0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726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957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044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9BF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599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E51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8C4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5EC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BCC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7B0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5E1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1FD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581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8E4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DC1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818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AD7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B8E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17F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CA2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406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91E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CFE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36D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CE4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601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EC3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184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7639BC" w14:paraId="51BBA5D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FD0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509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AB4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781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6BC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E5E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B04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734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77B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7E4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5FC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12C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381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0C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B9F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D1F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C84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96B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C63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526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62A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EFA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12C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6F5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A54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993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D13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C73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7639BC" w14:paraId="520D900F"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D62C2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68C8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DF06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12A9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0AD4B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8F61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A545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56B4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4BF6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377F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1B1F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93BD9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DC8F0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6835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E956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AA6B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F5F4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C232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14F25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A1A1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B64C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9863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38C7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4662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3AEFC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0E5D2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182D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A312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41.9</w:t>
            </w:r>
          </w:p>
        </w:tc>
      </w:tr>
      <w:tr w:rsidR="007639BC" w14:paraId="5C549D91"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C81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EE3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C86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79C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3CE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620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F51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4BB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959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D03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F8D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FB2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1B9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A43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970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BCF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21D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2AF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694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85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FBB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5CC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66B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FA7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ECA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8B7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643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F2D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r>
      <w:tr w:rsidR="007639BC" w14:paraId="5403547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DA0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0BD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5CF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CA7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2D2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FE9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FF0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D2D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D36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2C4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FC1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446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D0E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255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D44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AA8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42D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383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740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17E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2A0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897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C5A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E95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DAF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4A8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E83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4D0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27D4F2E0"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D80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8CA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E18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A52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B02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10B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D55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CDD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FFD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B1A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396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4D8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A2D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29B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040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505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60A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A97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92E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B13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1D1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55F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B0A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B09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A82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3E4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262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F80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6683147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763B8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D5FD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582F8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2568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1872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DB980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6395A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7073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03DF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9CA17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EB32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F515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45C5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C728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745B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4AA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AD42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E969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812D0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A9B4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89B9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A2D5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E4F6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C7C6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2725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C80A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5518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AAEE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0A0CDFF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B620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FA2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091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B0B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52A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306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EFC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CCB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AB2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F9C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910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93E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759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B9B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F13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9AF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332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D1E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0F6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3F7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953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2D0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E83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E4B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3B9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03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04F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39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7639BC" w14:paraId="30E3F21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9B3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066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049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C89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121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792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CC9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28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6C2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73F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893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B3E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9AB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8A1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9A6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696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450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3B0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8D6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0B9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F6A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EDB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7A6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EDC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481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A30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170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673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40555CCA"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BCF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CC4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88E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04A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576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35C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3EF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C1C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F51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DF5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CA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4A9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559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2AC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A9C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163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325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D9A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5A4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896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426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21C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609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C46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A3E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6FF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E2B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F91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14FBD64F"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D5864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8D23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A7A4D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6BCE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D760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AC75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1246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27050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F97C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3647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61D0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93C6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39A6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C4AD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3D3F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AD9D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8BB67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E2AE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5D4B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172D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3BD6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A41A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8DEA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7C212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0FE4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BFCE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6ECA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69B2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r>
      <w:tr w:rsidR="007639BC" w14:paraId="226D26BA"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944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All industries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E7D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36A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F63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BA3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08C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2F1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08A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C84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E12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C1E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06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B1D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D88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77A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867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2D2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081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CE7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F7A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F15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9B9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16C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A04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2F3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745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6EF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D34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973</w:t>
            </w:r>
          </w:p>
        </w:tc>
      </w:tr>
      <w:tr w:rsidR="007639BC" w14:paraId="338BC545"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367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60F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D2D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672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D97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A80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21F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EC6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462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348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410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B5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90C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CFC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609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C59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A1D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0E3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E5F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6F0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844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5AD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A10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D71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848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079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03E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947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61C6DDAF"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BAD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8B7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2AC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1DC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73D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1ED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00C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B17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B6F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63A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FE1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075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FBB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312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FA2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06E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2E5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EF7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95B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DE3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D2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16E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44C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3B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8C3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1F6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AD5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BAC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11B05CCE"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335B3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F22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1BF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F9D6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3F15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E2C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B32C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B669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9CA1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FB3D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8EEF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3DD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1DC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2B1F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9DA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1C0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8A9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6E5A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74A1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14B7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8CD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412F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92D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348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3D00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4127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63B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47FC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184.9</w:t>
            </w:r>
          </w:p>
        </w:tc>
      </w:tr>
    </w:tbl>
    <w:p w14:paraId="35E50B6D" w14:textId="2713BCB7"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2EF41E1B"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676F86A5" w14:textId="28C57571" w:rsidR="00AB0A8C" w:rsidRPr="00AF72EF" w:rsidRDefault="007639BC" w:rsidP="00BD6A47">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3C8D5796" w14:textId="0970A682" w:rsidR="00AB0A8C" w:rsidRPr="00AF72EF" w:rsidRDefault="007639BC" w:rsidP="00BD6A47">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1565E1B2" w14:textId="4B0003B4" w:rsidR="00AB0A8C" w:rsidRPr="00AF72EF" w:rsidRDefault="007639BC" w:rsidP="00BD6A47">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The Manufacturing category has been disaggregated into Metals and non-Metals industries.</w:t>
      </w:r>
    </w:p>
    <w:p w14:paraId="00903918" w14:textId="18498C55" w:rsidR="00AB0A8C" w:rsidRPr="00AF72EF" w:rsidRDefault="007639BC" w:rsidP="00BD6A47">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37EAEF83" w14:textId="545857EC" w:rsidR="00AB0A8C" w:rsidRPr="00AF72EF" w:rsidRDefault="007639BC" w:rsidP="00BD6A47">
      <w:pPr>
        <w:pStyle w:val="ListParagraph"/>
        <w:numPr>
          <w:ilvl w:val="0"/>
          <w:numId w:val="15"/>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729ED465"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9 Agriculture, Forestry and Fishing agreements were approved in the June </w:t>
      </w:r>
      <w:proofErr w:type="gramStart"/>
      <w:r>
        <w:rPr>
          <w:rFonts w:ascii="Aptos" w:eastAsia="Aptos" w:hAnsi="Aptos" w:cs="Aptos"/>
          <w:i/>
          <w:color w:val="000000"/>
          <w:sz w:val="22"/>
          <w:szCs w:val="22"/>
        </w:rPr>
        <w:t>quarter</w:t>
      </w:r>
      <w:proofErr w:type="gramEnd"/>
      <w:r>
        <w:rPr>
          <w:rFonts w:ascii="Aptos" w:eastAsia="Aptos" w:hAnsi="Aptos" w:cs="Aptos"/>
          <w:i/>
          <w:color w:val="000000"/>
          <w:sz w:val="22"/>
          <w:szCs w:val="22"/>
        </w:rPr>
        <w:t xml:space="preserve"> 2025, covering 900 employees. The AAWI for these agreements was 3.5% and the average duration was 2.9 years.</w:t>
      </w:r>
    </w:p>
    <w:p w14:paraId="52472DF0" w14:textId="77777777" w:rsidR="00AB0A8C" w:rsidRDefault="007639BC">
      <w:r>
        <w:br w:type="page"/>
      </w:r>
    </w:p>
    <w:p w14:paraId="0FBA24C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8 - Agreements current on the last day of the quarter, by ANZSIC Division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2F2E8734"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21E9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FEC3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8C97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A16B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A6FF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B002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5767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3133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7FBC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66F2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6257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CAD4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34E9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E565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68B9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9FAC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AE37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A6B1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FF53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3E8E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DA8E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9907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D044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F285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06F3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C71B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7943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2722F418"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0595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B17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5A3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7BB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3E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405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AEB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33B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EAF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B35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1E1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0DF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D05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1D2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7D3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113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3AA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0B5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9E3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070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B3F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978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41E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311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B14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426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E7A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7E5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r>
      <w:tr w:rsidR="007639BC" w14:paraId="5A98056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AF2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21B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E88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00A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94F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F97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DE0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D11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3ED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D71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07C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378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F48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060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B8A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D39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3E5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55F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DBC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F62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864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245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89F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AF3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11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B0F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DFF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4A2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68B69EA4"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4C8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11A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A6C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856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3F8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9C7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E4A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9DB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6A2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240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183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8FB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5BB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510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C9B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8A0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BC6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A66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E3F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C75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6B8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C58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56F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DD0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45E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035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CC7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4C7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3662FF97"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F0E04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D9EB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24B0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83D7A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F489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47A0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F308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9890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E5AA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DB19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76769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B07B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7D3A5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3387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F1652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C2B1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160E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3299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2FCE5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0B3E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6BF0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E9F4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62DE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ECB1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5E5D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3175C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814DA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8DF0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r>
      <w:tr w:rsidR="007639BC" w14:paraId="59C344B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F409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009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37E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47A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5E8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76E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326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8C4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AD6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C2D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025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703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DE4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B85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F0D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6C1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37D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B0B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310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008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030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D35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42D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6CD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996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366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BF5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77A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460</w:t>
            </w:r>
          </w:p>
        </w:tc>
      </w:tr>
      <w:tr w:rsidR="007639BC" w14:paraId="53EE06B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FF4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3F6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ED9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CA0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A17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419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90F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21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A94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F1C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A46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13E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A85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C52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325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382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6A8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41D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E0C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337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482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F10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64E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CC9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0DB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18E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5A7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676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7639BC" w14:paraId="4F259A72"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99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6F8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115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0A2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3A2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4B1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812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583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5A0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90F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55F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D60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B24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A95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478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AE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6FA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3AA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29A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7DA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680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BF2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6EE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663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1C5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FF8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F76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FD5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3DEAEFC3"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A2F44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826B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6076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A0FD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250B7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369C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1B7ED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DD49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4E47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0A89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5984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49F3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1866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0E5E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4A48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BB18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ABAB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E9D7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F733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9090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0DD4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96F4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3295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93D7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C86F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7085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CBE5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404D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63.3</w:t>
            </w:r>
          </w:p>
        </w:tc>
      </w:tr>
      <w:tr w:rsidR="007639BC" w14:paraId="33E0006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FCDC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E13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506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0AA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347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11C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689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CB5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1,864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7A6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3C4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98A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510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2F6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146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A5A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44B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D71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D04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1,985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A57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3D7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509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CA4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A48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ABA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00E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BD5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3D4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ADD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1,961</w:t>
            </w:r>
          </w:p>
        </w:tc>
      </w:tr>
      <w:tr w:rsidR="007639BC" w14:paraId="78EBB0D7"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BB1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C20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F02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E6F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FC0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987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B57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E0E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A95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674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2A1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9D7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C19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B5B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216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C57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362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CB6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C35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56A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715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91F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C86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1DE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D37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DE8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F09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172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53C00362"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C2E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C05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B07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A1D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2E4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49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794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742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B01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71E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953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85A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3F7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95C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C5C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6FA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63B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48B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2AC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F03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64A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691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443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F28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FA0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E86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A65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D82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6109F281"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4EABA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1D0D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94FE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E8A4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F0F3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B86D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46EE3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2E28A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D937C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3D82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D2539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DEAD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B26D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1140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F228C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12AF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EF72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051A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158.1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DC8A2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ADD6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16A3B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932E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770B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140C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3551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940D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E2F1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4F0F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162.1</w:t>
            </w:r>
          </w:p>
        </w:tc>
      </w:tr>
      <w:tr w:rsidR="007639BC" w14:paraId="63D0305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A925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86D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753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7F9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F3B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FEB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ACB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83B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5FB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474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691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B48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B6A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053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616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FFC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91D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A3C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5C8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6B9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A86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BD8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23D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021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3CF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D18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1AA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F81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1,326</w:t>
            </w:r>
          </w:p>
        </w:tc>
      </w:tr>
      <w:tr w:rsidR="007639BC" w14:paraId="6D203724"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AD9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E00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C13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3D3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F36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D3A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D13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D8B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5C1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2D2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DBF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FAC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E75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AA5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D97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766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B47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0FD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A1A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C24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7E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7F5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2F3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A2A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3B0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9CE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98F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5ED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21C5141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053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031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0CD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C7F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DB2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286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B9B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65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336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E83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A82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325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F49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CEF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FA1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C7A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B54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0C0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CBF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85C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17F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289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208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74C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F28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FA9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10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62B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7A154C91"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A126F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601B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10EA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F374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CACF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98030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B9F3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CE80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2FB5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4379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9D6DB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865A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5AE2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C289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2011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5C11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1D1C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D126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B83A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9642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77B3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345F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4508B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6D1A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9B65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8E9E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74AB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DFF0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118.6</w:t>
            </w:r>
          </w:p>
        </w:tc>
      </w:tr>
      <w:tr w:rsidR="007639BC" w14:paraId="01D7B7A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2751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390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CCC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D31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82F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D2B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00C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534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17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755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6F6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EA1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CF2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2B3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25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3A3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A50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164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13E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78C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C11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5A5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EAA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C51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FBC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09F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F00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401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635</w:t>
            </w:r>
          </w:p>
        </w:tc>
      </w:tr>
      <w:tr w:rsidR="007639BC" w14:paraId="4DDA7592"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E0B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52B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B55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6EA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902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406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C49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CC4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B5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230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38B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CE3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90D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EF7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6C6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79B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D27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D77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037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B11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C65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C87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898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900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6C4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DD0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698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924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5B28AD2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D31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6CA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DF1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5B2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241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A83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71B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E9A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4CD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77D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0E2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C31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80C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CF5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5A2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685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AD1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837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3C0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A99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DB6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7AC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0AF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7E0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849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A20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079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425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49740DEA"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87CE2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FC298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D1C9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2B38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1F43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79B3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F8160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72450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CF6E7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CCCE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2567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F072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6D810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FC3D1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BF86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8E0D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9F65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117E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403E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B5B7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536D9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9F1C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1E0F9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4916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DE1D3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3ED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78C67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6186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43.5</w:t>
            </w:r>
          </w:p>
        </w:tc>
      </w:tr>
      <w:tr w:rsidR="007639BC" w14:paraId="7F8086B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46AE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DDB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1B9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323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300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5DA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42E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0B3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8E3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41C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457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D59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9CF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FA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ABF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A9F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2F8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057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2E3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E32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760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B68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774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5FA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D62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25E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5C8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183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r>
      <w:tr w:rsidR="007639BC" w14:paraId="6ABEAA4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C77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DF7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B63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5DA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223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1F9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031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336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937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AAB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F1A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72C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E8D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E43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3F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95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C41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B3A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971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B4C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AA6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3DB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6D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BB7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CD2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0B1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88A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CCC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25F8AD9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888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7E4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D13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F32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0CA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C59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183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9D9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D3D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6F1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932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018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4DF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36C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E8A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F26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226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E1D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12C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AAB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40B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9C3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819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F95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4A3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DFA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CC5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5DF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55D82A1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2849C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A4366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C8141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B693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3E34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69A9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8AC0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FDCF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03F9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97DD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2200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72CB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F361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EB89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18F7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CBFA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6290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41DD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CEBE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607CA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9A451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5A69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9A29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2B85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A0447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7084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95C7C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1D15B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66.2</w:t>
            </w:r>
          </w:p>
        </w:tc>
      </w:tr>
      <w:tr w:rsidR="007639BC" w14:paraId="4FAA437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D459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Construction</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687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9E3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B8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B14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41B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0D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296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4,690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21D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D73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4,405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3E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00B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4,509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428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8FE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A72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C9C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07B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DFA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819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7D1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8CD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0C8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69D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6DF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8EA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CC9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62B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A3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3,927</w:t>
            </w:r>
          </w:p>
        </w:tc>
      </w:tr>
      <w:tr w:rsidR="007639BC" w14:paraId="31679878"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B6D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09F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202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C71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DA3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C33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655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7B7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4A0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F6F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451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EB2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15D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7F1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7D5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7C5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944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B19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E64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16B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7E6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556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4F6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0BA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033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567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539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302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r>
      <w:tr w:rsidR="007639BC" w14:paraId="5779DDA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113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182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534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7B7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5DB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570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72C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635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DEC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B5D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39D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51D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67D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7B9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141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E2D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611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56E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31A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F5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0F1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FC4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77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B95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BE7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6F5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739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8B9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10161FF7"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39DE61"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1539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53A20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7AE4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A15C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69C2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57AAC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404F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375B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AB56A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2954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8F7C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A409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FC3A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508C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3CB7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5A4B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03DF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A075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DAD5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4DEA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31835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8837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46C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8DEF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3D04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E0582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A319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117.0</w:t>
            </w:r>
          </w:p>
        </w:tc>
      </w:tr>
      <w:tr w:rsidR="007639BC" w14:paraId="17116B79"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D4FF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Wholesale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44B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BBD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DB5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108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245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F63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AC2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CF1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D24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E78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085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F02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7AE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868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ED2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C8F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531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A8D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A9E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700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D1D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58A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D2C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F10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48B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97E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8FD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r>
      <w:tr w:rsidR="007639BC" w14:paraId="135EF9CE"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4D1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BE5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27C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AA8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C60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471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A93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2AB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AFB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098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515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836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0F2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C6B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45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236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C0D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234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5A3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E1A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8C0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66D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534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E3F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AB6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C0E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908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81F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5982C81F"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221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2C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3F4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C27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598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779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1D5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0A5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526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D65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9DF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861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076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D54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13C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8ED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A67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992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9DD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2B9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4F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D23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7EE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5ED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81E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86E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07B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112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2BB3B2F5"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44389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3AA3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B1D2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F14E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57B5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ED05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EB47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291B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1D4A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B3F9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8298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2F585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5DA7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FD154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2669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9B3DF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A55B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AFCE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8ABB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56D1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B8936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FABCA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24AA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9DF0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12B9B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6AD4F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7969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D684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r>
      <w:tr w:rsidR="007639BC" w14:paraId="2B435160"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E51B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F7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6CD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70E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BA5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661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807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C5C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411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086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2F0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425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CA8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FEC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2CB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0CC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DE1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68A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CF4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6C0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846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222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8F8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0B5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D2B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424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402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A17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r>
      <w:tr w:rsidR="007639BC" w14:paraId="5EEEE874"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588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EBB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C52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7FB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B2B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1BB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2C7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7E9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441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486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9D1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990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67C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01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A3B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A91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BCE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14C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1D4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DA4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D34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4BD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950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101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2F3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4B2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AE5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B47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7DF3938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887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5FF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D56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3F1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D4D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A4D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47D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173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30E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EFF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C0E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469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916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AD2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CC0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234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6C6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981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784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C9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B44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CEB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1A3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B12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2B2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611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EBA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C9D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7639BC" w14:paraId="19E9ECF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6FC53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EE80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BD5E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CCC1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209E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7B29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EF1E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6BE0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A283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9AC30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399A9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EBAC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45A6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0055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CCD2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C6C4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6EEEC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CAF9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D06A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88D8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F7582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FE091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AF9C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0B69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E2AE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5E7F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5179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A0C6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388.4</w:t>
            </w:r>
          </w:p>
        </w:tc>
      </w:tr>
      <w:tr w:rsidR="007639BC" w14:paraId="07088B3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57D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E1E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620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7C3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A68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914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23C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B43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C70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794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B65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C5A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1B7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F69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000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669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79F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BFE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071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AFA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D54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D70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0F5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881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C34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440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750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05E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r>
      <w:tr w:rsidR="007639BC" w14:paraId="15E543A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25D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F71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250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296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F7B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F7E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78A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6D6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301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F35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7EA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E3B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656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985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54C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914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1C5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8D5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D6C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617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632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9EB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E33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E0C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666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AE4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3A5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771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0B49306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0ED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907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E43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9F9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D4B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488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54B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BAA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F8B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4D2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E52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D92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B25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E27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C15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6EB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84C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286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76D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CEE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55A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058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E47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AB5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A7D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B19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C35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510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61C97EC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D269E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35D3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03B1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BCA3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CC2F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53292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5FDC1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8C68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885B0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191E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B1BB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6F3C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8045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FC17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2E517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F7F3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43B6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B890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7E73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32CD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0659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ADD5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D8ACB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66C2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36B5B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E6FF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D59A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9FBA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22.4</w:t>
            </w:r>
          </w:p>
        </w:tc>
      </w:tr>
      <w:tr w:rsidR="007639BC" w14:paraId="22951930"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1067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F3F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49E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FE5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114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BDF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452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45C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1BB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29D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FD2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C8C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783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E7E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AC6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0CF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5AC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3E7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68C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D1E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F41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22A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02C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431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C0B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13F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FDC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8DF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1,292</w:t>
            </w:r>
          </w:p>
        </w:tc>
      </w:tr>
      <w:tr w:rsidR="007639BC" w14:paraId="6064245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40E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393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C1B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0B5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985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48F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A7A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BDF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D70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DB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E0F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42F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0C8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AE7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A57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AB2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234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254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254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E42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7E8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3F6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4E3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62F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71C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0F9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2FD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C53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4F8990D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2F2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DEA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EB2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673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7AA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198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C64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842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A54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F18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E21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9E0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695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E74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2C7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868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927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515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086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499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FAA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9C3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6B6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D5C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DC0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19C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704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16A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54E5BFE5"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870F7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69A71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3B18C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338A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5BE1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F205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CA21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6574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2EB07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3394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D6B3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A66E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FA05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B9F6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40CE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430B5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16EC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6FB0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CA482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3F72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0C69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414A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CF59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A7BE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4E0FF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C82B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4868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D14F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189.8</w:t>
            </w:r>
          </w:p>
        </w:tc>
      </w:tr>
      <w:tr w:rsidR="007639BC" w14:paraId="63BAEA6B"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FF8E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279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8B2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813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40D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8AC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128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860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5EB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D9E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45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16E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1A0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A78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908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8AB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748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843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A9E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302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AA4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1B1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EC9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B17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268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78D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EAD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DEA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r>
      <w:tr w:rsidR="007639BC" w14:paraId="4B2B3CD8"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FF8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14A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709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E57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DFD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84D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566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DD1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506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E99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1F0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9A8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26D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0D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3B9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FBD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061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C73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84B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79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C3E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0AD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D55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491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CB4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B11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A95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651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2BD5C0C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9FB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B2B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F9F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470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8A7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E99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E91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DDA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56A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E7E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C53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C41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12E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54A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3E1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113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7B4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93D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C66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29E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19E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719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A51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C6A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477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5E2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B46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A20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7446568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518A6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3771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14A9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37A2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63258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A39E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0B75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B96F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EBFB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2F6B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31B18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74E5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9C29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E8D6F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8CC9A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21F8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3E43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BC46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F2F2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4C9A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C9F7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160E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299C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61D1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B5541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675D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7FC59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CB7B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41.4</w:t>
            </w:r>
          </w:p>
        </w:tc>
      </w:tr>
      <w:tr w:rsidR="007639BC" w14:paraId="162C2B5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7312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2CF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F10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0B3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103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C18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510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112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A6B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88B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4BB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D87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69E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05C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B6C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9B9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6A6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7DD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D07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2FD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21B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334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0E1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A41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C02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13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497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17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r>
      <w:tr w:rsidR="007639BC" w14:paraId="7B258900"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6DC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65E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E69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1C7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F45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2FC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DBA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847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52A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211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DD2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9E6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B25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E04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140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FD8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E8E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D2D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866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9F5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8F1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388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E08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3E3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F62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408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C8A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73F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0103B511"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5BF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258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E05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E29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C75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10D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5E4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9DE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AE2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1FF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8BD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999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A8A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055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275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56A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8A7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9A9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C17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0BE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C61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AB4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148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939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FA7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80D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AF8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BB6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4A42E7D9"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46045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20B2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59AB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071E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3C3EA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3D55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FB7E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3EDA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54F23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D82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E0490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5ED1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89F0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E1EE5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8157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14DEC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B441A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4876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F9880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E3FE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A7A1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DD82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DF5B5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C0EB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17A3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DCFF1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3329A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D13D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175.7</w:t>
            </w:r>
          </w:p>
        </w:tc>
      </w:tr>
      <w:tr w:rsidR="007639BC" w14:paraId="26BE92F8"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C555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Rental, Hiring and Real Estate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6E8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BF9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87C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11A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38D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BD2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9ED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628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D56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897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224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659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4C6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BAE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3FB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342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DFF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EAD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E2E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2B4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C60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662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49B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02C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109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0FD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E42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r>
      <w:tr w:rsidR="007639BC" w14:paraId="1A38316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8F1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54B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C3D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D0D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C13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C0A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E2B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549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3BA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D10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783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C3D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E47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B32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806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B75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317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12B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B63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B2B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834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CBD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F22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BC7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B46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D92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570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EA6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07B67114"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D22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2A3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60C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EB2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2C1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F88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F38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DCC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085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3A6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526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161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BBF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1F5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A9D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A64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9A0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6F4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D2D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E2E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5F8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021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3F6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D10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2D3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6D2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DA2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585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67BFFA7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1CD25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BD8D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EEF4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16DC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0FC2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9671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7DF6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7394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1DC9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B834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B74E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5A23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0EA3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9422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04B3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671A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6ADB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6AA1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B38E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5F80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E377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778E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A094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63C6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BFE4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9C46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4681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E553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5509FA7E"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F943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Professional, Scientific and Technical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9F1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0BC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C2E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960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C5B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E93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DD7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0BA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307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344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5E8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20C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3F1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4A7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E3A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52B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323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FD0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A7C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AB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24B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F4D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2AC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26F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C1F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311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26A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r>
      <w:tr w:rsidR="007639BC" w14:paraId="18E0053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B89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DD9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2A8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67B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C4B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832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0E3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910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43B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A5E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23C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635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4AD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BD2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1B3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CD8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7F9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A59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37E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A0C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52C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AD8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787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B57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6AB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C17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154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280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5608181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576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8DD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3D0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937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C45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0B8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809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970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085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73F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774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8AF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EF7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6D7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E7B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409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4FF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08B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576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F0A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8E2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2FE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323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FD0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D5B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935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832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3D4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371EF4B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90ECB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D70C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004A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3151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0187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A5C1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0020C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F686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95A12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4104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01A66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5A58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F951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C777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3535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47A7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E03A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4229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48DB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0E51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474C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42B4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1AA9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DE700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7D84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54042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2FEC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86B0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w:t>
            </w:r>
          </w:p>
        </w:tc>
      </w:tr>
      <w:tr w:rsidR="007639BC" w14:paraId="7635B4D8"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9FFD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582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91B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3A7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81D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E45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F41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1B7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9B0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887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AEC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5F3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9A2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F95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090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2A3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EE5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C68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F5E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6A1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578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BEB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973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380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7CB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6DC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0BF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5BB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r>
      <w:tr w:rsidR="007639BC" w14:paraId="6402E2C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7C2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CB1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25F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02D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57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AC9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5F1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D43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484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AE2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8EB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CAC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5A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522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90E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87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C54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F0D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2E2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D4D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373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E81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BCC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E1A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A10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CBE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37C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647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r>
      <w:tr w:rsidR="007639BC" w14:paraId="442750ED"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2AB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886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BF6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C22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43F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54F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2CA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273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87F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AEA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10E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9C7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32F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286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ADE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8FD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5B4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4A9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6AB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583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B30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653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BF6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202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C98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73F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9B4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86E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0BE7B4E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58652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2E10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4EA9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BA39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3F31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59682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FCF2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F43A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562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E0F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51445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B8D0A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2925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909E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1D90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3216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A260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6CB6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AC5B2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322B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BDC3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01C1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7B10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46FE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92808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5AB10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45895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B3CD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r>
      <w:tr w:rsidR="007639BC" w14:paraId="60D820B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13F0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BCF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27C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C8E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DF7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D01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A48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881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D69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A45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D89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187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98F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093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712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A50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627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AE2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8EA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A4A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C14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CC6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669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A67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D71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1AE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A4A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3A0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r>
      <w:tr w:rsidR="007639BC" w14:paraId="655A388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C59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363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69D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EC1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20E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F43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B4A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F58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5D3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2BA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FF0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EFB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7B8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D4F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114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BD8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BDE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C0E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1BC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DD7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175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404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EDF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B42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436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E02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FD5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C40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7942D194"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8A7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36D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317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F2E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C52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81A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712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47E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090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25D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4FE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C7B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C48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1C4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84D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F08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6B6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077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E84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259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5BC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D3E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D84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1DF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E9E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2E0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9A8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4A8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6C37081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6F019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9C05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7E44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2000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CE28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ED02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77F5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199D9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C02B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4D33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CD14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A903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063C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58816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695E4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53AE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5583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942B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624F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950D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36D4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92C8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334DF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41FD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A9E7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18EC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2831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F5DD4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412.9</w:t>
            </w:r>
          </w:p>
        </w:tc>
      </w:tr>
      <w:tr w:rsidR="007639BC" w14:paraId="1AFC632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3F55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FA0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D7D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6EF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D3D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215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ED5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0EB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B99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468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F8E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9A2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DD1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F5E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69F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07B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4DD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859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B9F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25C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83B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6DF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38D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977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36C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9E2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E70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F8E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529</w:t>
            </w:r>
          </w:p>
        </w:tc>
      </w:tr>
      <w:tr w:rsidR="007639BC" w14:paraId="30646508"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4F6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F7E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2F1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29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2EE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A8F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9A8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557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241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80A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EDB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574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9E4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4DC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A63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6F3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BAD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DC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0EA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4D0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FDA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A3E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D6C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7D3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7D4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DE1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1D4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4FB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116EC1E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B7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184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035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127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AFC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F05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E13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E4D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446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397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2E9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52B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7DB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9C9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9AA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603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E05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057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B93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9BC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CD8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1DE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F23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093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E5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2EB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172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170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39D3C3C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11911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F772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F0DD4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652C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778F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D854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2BCCB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5855C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DF84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FCD1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EF60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5567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6382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8818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279FB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279E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FB5E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725E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9E8E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C19F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12EC8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086D6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58EB8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019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EFD2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748B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0C3A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2C41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476.1</w:t>
            </w:r>
          </w:p>
        </w:tc>
      </w:tr>
      <w:tr w:rsidR="007639BC" w14:paraId="1BD751B8"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0B92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C6C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B74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25A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68B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5BD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5FA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458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15A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3AF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CDA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9A6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47E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A50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506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E56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DCC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E3A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9FC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771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052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5B7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C3E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801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5EE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3A7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BAA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307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869</w:t>
            </w:r>
          </w:p>
        </w:tc>
      </w:tr>
      <w:tr w:rsidR="007639BC" w14:paraId="2C17C21E"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6C9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87B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CF9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AC9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F15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297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B39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83F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A56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709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C3E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BBF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FD8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BA3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E5B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A39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6A4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8A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7CF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48F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1EF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53F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286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C8B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179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3C4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24D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BF3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452D9061"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EB9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199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591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8BD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DBA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609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3F8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CD3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429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E13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44F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2C5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EE8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3BF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840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830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600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B31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38C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907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33A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A8A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178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DF9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ADF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683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3FF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410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2D19D59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08A811"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244A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5C1D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EA5A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AB0B5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DE2B3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2DDD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8F2B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8CB80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7E1A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CE4E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A44B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F035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433E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CE5E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13D3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A17F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A1E8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5DFB5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80AB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4108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FE41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10B6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25FAA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0CB2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24F0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3BE0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2673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544.0</w:t>
            </w:r>
          </w:p>
        </w:tc>
      </w:tr>
      <w:tr w:rsidR="007639BC" w14:paraId="3EADE21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2461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F87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B24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38F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99D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089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AEF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B29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2D5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DD5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C94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4A4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980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AC1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568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962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61D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886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6A6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DD1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601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529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C37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636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D04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350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5F7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0F6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r>
      <w:tr w:rsidR="007639BC" w14:paraId="67A25AD5"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771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4AA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055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9F8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A35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1A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8E4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0F3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0D1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330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539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886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750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86D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7FE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093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7D7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618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0B4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F2C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A89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F05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E72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289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585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BE8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B3A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840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5FCDA21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38A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42F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9CD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6D3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861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79E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42B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24E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BAD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D3F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7F9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1D5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F31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6E9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9A0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CCF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331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BC9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600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FB8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7FB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BF8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9DB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E58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A31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57F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DB8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6DD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7639BC" w14:paraId="5F6F29B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D100A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1424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D19D7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9259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839F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82C4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C7EB4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996F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5301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5D4D7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7253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EC04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8721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1BB2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A4D4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80C1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838A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57A6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AD901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7EE4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03A5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FB95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A5A0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FB3F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C438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C34D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7500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90F0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r>
      <w:tr w:rsidR="007639BC" w14:paraId="1D047F2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A13D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Other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920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ED5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F6A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E73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15B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898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DA5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462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920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719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BC4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C8D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0AD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F4E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205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8F3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D5E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AD7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DF1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79E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8D2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3E4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7DB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B8A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108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370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0A1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r>
      <w:tr w:rsidR="007639BC" w14:paraId="20AD5B43"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E2D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A80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224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57E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E1F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A48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D7C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B8C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91B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3AA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733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4C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C81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C30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D2B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797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4F1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DAE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39A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6A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B1B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93B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B5B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43D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240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7AB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E19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172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3E14047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2EE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005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5F8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DDE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E81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024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AFD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480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561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A1B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DB5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DEE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0DB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26F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0A3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906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E07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93C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983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A53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BBA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D33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B21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422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B4A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D8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DFF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628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4AEE08E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FC0DD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ACBF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4750F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F9519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BB24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773A1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FCC6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5202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2940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8A06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2106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0800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1234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73D4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AE3A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FAD4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B4FC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3AE6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B8C0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CD0C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522A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3BFE0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8DEC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A572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24D4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EB10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D8FA9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128E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r>
      <w:tr w:rsidR="007639BC" w14:paraId="40F2472C"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8F0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industries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88C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258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EE2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D6D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ECB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46D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8F4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9A0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4D2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57A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155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264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21A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CC3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4DA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567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2E2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A8C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42A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7FE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A97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36C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304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24C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F88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FAB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FE5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11,302</w:t>
            </w:r>
          </w:p>
        </w:tc>
      </w:tr>
      <w:tr w:rsidR="007639BC" w14:paraId="7AA5E97C"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145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1CD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3A6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94B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09B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646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EBA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9F5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A47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2A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041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A32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163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175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3C4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6EB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638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51C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045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DCF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398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1C8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FFF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97F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8D3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718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65A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CFC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7E81E0C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B31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AAA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43C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24A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171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6D1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3D5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C9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7FA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C2E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036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5AE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98F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E71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09F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6D2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5BE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4A1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A30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283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619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929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EB7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76E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7D3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60F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210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5BF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21FBB443"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935B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AE9E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F7E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9BC9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46EA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5E4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1,733.1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13F31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20E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FA1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4188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1,739.0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71A2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22B7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1,791.0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E6ED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85A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EDA0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FF54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7525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E4C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2,142.0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44A6F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72E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47F3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7D5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2,209.2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4D1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A509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2,647.3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66138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07DF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84FB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7B0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2,801.3</w:t>
            </w:r>
          </w:p>
        </w:tc>
      </w:tr>
    </w:tbl>
    <w:p w14:paraId="503F2EEE" w14:textId="3B3B73E6"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22F83578"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457BEE52" w14:textId="7FE33AE8" w:rsidR="00AB0A8C" w:rsidRPr="00AF72EF" w:rsidRDefault="007639BC" w:rsidP="00BD6A47">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3E7286F9" w14:textId="1D9312F6" w:rsidR="00AB0A8C" w:rsidRPr="00AF72EF" w:rsidRDefault="007639BC" w:rsidP="00BD6A47">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4AB0C75D" w14:textId="79A90A68" w:rsidR="00AB0A8C" w:rsidRPr="00AF72EF" w:rsidRDefault="007639BC" w:rsidP="00BD6A47">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The Manufacturing category has been disaggregated into Metals and non-Metals industries.</w:t>
      </w:r>
    </w:p>
    <w:p w14:paraId="7ADD0A81" w14:textId="3D57C8BB" w:rsidR="00AB0A8C" w:rsidRPr="00AF72EF" w:rsidRDefault="007639BC" w:rsidP="00BD6A47">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0CE90142" w14:textId="1A84D954" w:rsidR="00AB0A8C" w:rsidRPr="00AF72EF" w:rsidRDefault="007639BC" w:rsidP="00BD6A47">
      <w:pPr>
        <w:pStyle w:val="ListParagraph"/>
        <w:numPr>
          <w:ilvl w:val="0"/>
          <w:numId w:val="16"/>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3740373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122 Agriculture, Forestry and Fishing agreements were current as </w:t>
      </w:r>
      <w:proofErr w:type="gramStart"/>
      <w:r>
        <w:rPr>
          <w:rFonts w:ascii="Aptos" w:eastAsia="Aptos" w:hAnsi="Aptos" w:cs="Aptos"/>
          <w:i/>
          <w:color w:val="000000"/>
          <w:sz w:val="22"/>
          <w:szCs w:val="22"/>
        </w:rPr>
        <w:t>at</w:t>
      </w:r>
      <w:proofErr w:type="gramEnd"/>
      <w:r>
        <w:rPr>
          <w:rFonts w:ascii="Aptos" w:eastAsia="Aptos" w:hAnsi="Aptos" w:cs="Aptos"/>
          <w:i/>
          <w:color w:val="000000"/>
          <w:sz w:val="22"/>
          <w:szCs w:val="22"/>
        </w:rPr>
        <w:t xml:space="preserve"> 30 June 2025, covering 11,500 employees. The AAWI for these agreements was 3.7% and the average duration was 3.2 years.</w:t>
      </w:r>
    </w:p>
    <w:p w14:paraId="35935C66" w14:textId="77777777" w:rsidR="00AB0A8C" w:rsidRDefault="007639BC">
      <w:r>
        <w:br w:type="page"/>
      </w:r>
    </w:p>
    <w:p w14:paraId="714C94F6"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9 - Agreements expiring, by ANZSIC Division and quarter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4C61565C"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FB8E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ALL CURRENT AGREEMENTS</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9250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362E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9DA9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79E6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91B0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2C8A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D850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8A71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Mar-26</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4434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AF5A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Jun-26</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303B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652E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Sep-26</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B3C7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04A4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Dec-26</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2DF9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C9AB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Mar-27</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BF34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5C2A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Jun-27</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C602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6630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Sep-27</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5766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06A0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Dec-27</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5356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2E17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Mar-28</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3653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2EBE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Jun-28</w:t>
            </w:r>
          </w:p>
        </w:tc>
      </w:tr>
      <w:tr w:rsidR="007639BC" w14:paraId="134DABC3"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3AE3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C94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81D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300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317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E11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07C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DF2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AB1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8A9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F68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955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5E5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4BC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9BC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CFF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41A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FE2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4BE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1BA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3DE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AC3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764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ADF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4D6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825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252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60E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7639BC" w14:paraId="0A4A4AA7"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312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8A8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76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AEE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9DA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E70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181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0E5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304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3D6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61C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47F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075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952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F88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489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29D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1EE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52C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FE4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00E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00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459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F81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DA2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FE5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9ED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AD5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7639BC" w14:paraId="6987DFD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1EA07D"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FFC1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B374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8C5C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B577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AED7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9AE0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AF94F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F33F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E9DE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029F5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A8C0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E14E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9C8B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95CFF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59054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2C9C6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79284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0B3E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6C87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8CEF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DF01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5776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65C4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418A5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6469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2285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7625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7639BC" w14:paraId="52A2871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A3B3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888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16E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CC0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4E3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545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34D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377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8D8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117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C93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0F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688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ED4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03B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9A2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B55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ACB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F0B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F97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E30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128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BF8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2F7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83C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2DE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7DA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53B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r>
      <w:tr w:rsidR="007639BC" w14:paraId="6BA2902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4B8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99C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A42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9C2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09C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B1D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225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7C4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278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3AD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7A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74E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B7C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830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945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228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5DB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357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C27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E71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074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D9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E8B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A28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0EC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80C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5ED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028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2732A064"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8021E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13B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696B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4CC7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8177A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893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A6CC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FE98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2FDA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D97D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B81A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D82F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A56F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B7E51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DCF51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B2E9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774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BC6BE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8401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2B95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251C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B665A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659A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DE04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6130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9416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2501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B7EE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78ADACF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3FD1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EA0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28C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F5F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EB7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16A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737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45B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F9B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5E0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71A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008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E11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4B2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012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198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676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569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4F7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FA2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71C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EFB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CD0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F43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4F4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504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560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4FA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7639BC" w14:paraId="4B7DD83D"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26B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8EE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A9E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C7B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9E8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7F8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D5F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51D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AF8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CBA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912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589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965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B30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1D2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B5D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16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896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1FA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949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A9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063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ACF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6D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6B4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9DA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B03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C0D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07C6EE34"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DD6A9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4FC35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0553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60EAC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1BC4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5279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0176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362F1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B989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CF8A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FDD7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5099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0F43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9029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A44A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CFAF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8A81A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9CCA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0A96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4A65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2183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C3EA8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092B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CD8A9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4AE0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9675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19BF9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D732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r>
      <w:tr w:rsidR="007639BC" w14:paraId="2E9975A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ACF0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351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4C9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B08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2EE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332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19E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E92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8C9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86F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B6D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432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9D9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C4F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90B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125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E55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851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E69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760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15A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B70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B58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C70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E29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D87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253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B09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r>
      <w:tr w:rsidR="007639BC" w14:paraId="3A07112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474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16E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2C8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8BC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7F9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769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7AD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7D6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72D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171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ECC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FEE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9DD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464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F6D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63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67C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A84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F68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D0B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0BE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4CE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5A7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6D0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98A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08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27D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E1B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04C766D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2B115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4410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4210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7EE3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EC59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3D4B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81E6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827F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6A58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CD9D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274C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C08C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D627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AC9D0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24E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5476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5632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DE582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E9104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228F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F61F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1AA24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D0AC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85E0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FCAC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7808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EB69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4979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r>
      <w:tr w:rsidR="007639BC" w14:paraId="111A1979"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C10E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A17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43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A8B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8C8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89F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8B9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6A6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A0D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BFE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F9A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48B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CC0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29C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952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FC5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80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0E7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CA3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E43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BF6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9FB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153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E20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64C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6FE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7CF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569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r>
      <w:tr w:rsidR="007639BC" w14:paraId="0FA788C9"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FE4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00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DD2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636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EB1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58D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710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1EC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955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206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CEB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22B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285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869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F54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051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967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798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153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55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0A8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321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46F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DB8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774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4BC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FC9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1EE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591AA50A"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37519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4143F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D9A3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72168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D747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CDF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B3FE2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2A80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9FEA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E576A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0706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819D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8664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D5A4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158E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0045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7E293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FFBF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71DF1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88CE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6C86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7E3D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FCC0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711B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2C8E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562A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B9F89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8212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r>
      <w:tr w:rsidR="007639BC" w14:paraId="4016479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3A5B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319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4C4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E54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220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5D5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137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895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E24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F93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BC7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40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DE9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3F5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415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72D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EEC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7A4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77F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ACE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D89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101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D3A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B11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3A3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1CD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713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E84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7639BC" w14:paraId="05184A7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4F6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417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5E3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5D2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74D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A9F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523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85B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E21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256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55D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872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A7A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FA7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C04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182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E83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269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A7F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37D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042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B2A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9D7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E85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252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5AE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50D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EB8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1E808DD4"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EC805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0407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B21BF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E8BE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F295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4F91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7EF0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EFB9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9F03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5838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6DFFC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FAABE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A13C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AADD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F532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971A4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D7BD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93A1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268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4C82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37FC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EB73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B6680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C247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506E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9EC5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1273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DC9D0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r>
      <w:tr w:rsidR="007639BC" w14:paraId="1144DDA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CDBC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B4D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C90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0D1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942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ABF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994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544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74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8D2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E7F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B88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46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543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8CB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351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C8E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4BF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00E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2E8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8F9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E22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226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B52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8BC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58D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3DF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7AF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r>
      <w:tr w:rsidR="007639BC" w14:paraId="796C07C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817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6D0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67F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FAB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AF4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C2C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471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DB3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D07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620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2EC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C22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145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334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7FA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442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687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45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611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CAA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760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77F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F35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C32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A55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ACA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2BF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7CB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555443A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7335C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E327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6C5E6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6EA5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D02B0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0F1A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79CA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61C8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5EA5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FDD5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F0220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56A2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B1D7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9EF8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A2B7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77BF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FCF2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FB3C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5748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81746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5B7D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E272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6194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82F9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A218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9481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28F4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420F5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r>
      <w:tr w:rsidR="007639BC" w14:paraId="61F5271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B4CB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Wholesale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528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DD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D42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A26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062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67A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DD2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D59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DA1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B80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33E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B67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CAE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AD1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AC6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098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4CE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331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0D2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36B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D9B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8DD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0CB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6B0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8EE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1A7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2D3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7639BC" w14:paraId="2183E824"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A06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AB2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4D1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ED4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229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38F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474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D81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35D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699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3A9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7B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5F2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CCF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492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206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CC7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BA6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680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458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166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27A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572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817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BF0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A64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1DF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737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r>
      <w:tr w:rsidR="007639BC" w14:paraId="1A7A6CE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6D827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341EA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8992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2FA6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DC1E8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8BD8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0B7C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B677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1FDF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DB6D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1360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59A51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1F95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A4614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344AF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2DAB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0E5E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5EA2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9257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264A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007B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9F03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4D558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D7897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C272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9C51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FFC8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BA4F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r>
      <w:tr w:rsidR="007639BC" w14:paraId="73662539"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B15B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3C9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475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414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698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A46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070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747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8C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54A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F3C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05B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88E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F25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80F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7C5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1C8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002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29B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F9B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D02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B26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607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EE0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255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AE7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078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D7D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7639BC" w14:paraId="7939AD44"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EFA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96D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CF5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154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633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BE4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B31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2FC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282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599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7A0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EF5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438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B1A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423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3E2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6A9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431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3D0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973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3BE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EBB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C7A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494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5C6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8BA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948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3E4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46666EE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B9075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5C1F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2E6B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E370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5172C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AC75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23FD4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B931F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BF878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BF575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86131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96866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AF410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5FD1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BD8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CD17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0ACDE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8B14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90FD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E6F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2AE3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77AD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3B97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34AD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FB0D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40A9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B59B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11F1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227.3</w:t>
            </w:r>
          </w:p>
        </w:tc>
      </w:tr>
      <w:tr w:rsidR="007639BC" w14:paraId="2847CD3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BA85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Accommodation and Food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319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F3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5A6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A60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67F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DA2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D18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08E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9CB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FC0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469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C0D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C54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D4A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C2A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1D6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347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7E1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115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556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9DF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CFC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8E3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719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04F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553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155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7639BC" w14:paraId="2BBB6E74"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902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5B6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F20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822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FE5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1AC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176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9DD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B2C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B36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11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E10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4A4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A84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FA0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4CB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E13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474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04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5B9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064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A04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C74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0FD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817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0FC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60F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9B4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7639BC" w14:paraId="12DFA10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89238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2474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A245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3FD6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0FBB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951D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96FB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4C5D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B8BC4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1C9C7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ABF1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606F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9E56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637A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5DCA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2C5F7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5823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5EED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BC20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33A3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22926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5764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C83E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0443E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AD5B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A840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C098E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B73E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r>
      <w:tr w:rsidR="007639BC" w14:paraId="4D21D06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31EC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C6C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1D1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67E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238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FE6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D36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853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92A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0BB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898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82A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F76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399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5F8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C2A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F4F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AA5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B96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B7B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DE5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B45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303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DA6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645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B24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E7F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A36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71B6A4AA"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451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554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16B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CEB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307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22B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9F2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815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FE1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F8D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D8A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8F0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F8F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E9C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C24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03A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2ED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644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5ED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79B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E0F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26A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A12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BFF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573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BD9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638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2B6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3C12F90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D811D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31E1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A0833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D665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0DBD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3BF8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AF90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3C1C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27769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FE84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21D1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6BE7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A141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61B3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353E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B01B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17F6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4281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935C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47690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961B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A7CA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17BF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2694C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25BC8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BE700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DC35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0306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r>
      <w:tr w:rsidR="007639BC" w14:paraId="347BC439"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E925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4D3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80D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327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9F8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6CB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9DF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35A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484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62D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1CF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758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5F6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210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C73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50E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231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20F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798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9C8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09A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145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198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484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2A5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D88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92E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F17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7639BC" w14:paraId="04D99753"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38D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C57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24A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AD8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C38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340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167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F1D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B08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113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0AA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189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3FC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579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327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E5D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3F2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3BB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41A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963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9F6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C89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606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37F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0D7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8F7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40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2A1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r>
      <w:tr w:rsidR="007639BC" w14:paraId="281D2316"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8F096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6925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D1E6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8619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9E1C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AF8E9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FDCC3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9004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0DE27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B4AFA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C2EEF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5618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FD7F5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0BD6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2EAE1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D907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EEDE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D8AC0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4C88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2F78A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352B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D30F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1751B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A79A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E0D3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195C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0B9E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B9C7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r>
      <w:tr w:rsidR="007639BC" w14:paraId="6A04818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D7D8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A91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122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242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EF7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70E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A9E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06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510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EE6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E2B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9B7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ED9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AA8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F82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E43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032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08D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13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B23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CC0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4F5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DA6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9BE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D27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362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C5A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C15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7639BC" w14:paraId="05EE00A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9B9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83D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181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6DD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E96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D1A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713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8D3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83C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85F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59D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524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C92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B7D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302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ADC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053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2FD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216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23B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9B7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5D6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67B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B20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9B7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400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526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275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68626FA9"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9AD3A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B6FC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11AD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30169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E05E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A489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2D4A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947F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FA33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A121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988F0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B3D5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231C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FE8D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94A14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FB62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0290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7EAB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961C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CA621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21EB7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5214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F428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C1B8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DA3F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BD14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D1AD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0AC6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r>
      <w:tr w:rsidR="007639BC" w14:paraId="66C1520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629E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C1B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0FC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9ED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7A7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947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A8B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567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5F9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47A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A3A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3F6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26F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AEE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D7E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4A5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E93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3A3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7D8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B07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E3A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EE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3D4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721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753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DA2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813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E51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7639BC" w14:paraId="3DFA60E9"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60A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6FC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525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9B5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F3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3E2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F6A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695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ED2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363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CE6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F54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6C1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35A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547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322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18A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03F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035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0F1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E5A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E4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9FF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9D8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602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127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F29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7AE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6785BB57"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64AD0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4EABF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2865C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D5092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CC63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252E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67E2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62CD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63C3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4FE9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CD2C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1F75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F5BCE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5C44C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C676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B75D8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8B96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26F3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537C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EE20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6CD8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B693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55C0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D5C3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C7073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6CA9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A938B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F16A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08889F72"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70EB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Professional, Scientific and Technical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DA6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0DC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C1A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272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F02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2A8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734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E6D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027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FE6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257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BD6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1EB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470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995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61B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23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C93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672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19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60F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F79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5F9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10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2D0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651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696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7639BC" w14:paraId="3CEB8DB5"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97D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1D3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DC7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D1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BC5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94A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B54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05F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928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089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AE4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D1E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094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823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A7E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0E3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51B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ED2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50D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9E4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040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51A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666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810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507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06A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05B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E42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7639BC" w14:paraId="21B72067"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A8288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2894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CB10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52FD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D009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0366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76E4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24B8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BA8D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C441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05BC5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17DA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34D2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705D3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B508C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1DC5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1C93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52AB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9A7F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1F503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54B9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58739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5727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A347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0A21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A538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6A78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956E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r>
      <w:tr w:rsidR="007639BC" w14:paraId="5896A26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62E1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627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33A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565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87B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7B6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6DF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9C7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D97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BF1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C06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4D3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F94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26A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E49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F7C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992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3E9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F7F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DF6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8C7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030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720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E6F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4D6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D7C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899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237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r>
      <w:tr w:rsidR="007639BC" w14:paraId="3B92D7EE"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0F1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F63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C3C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6E4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ED3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D38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500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E6A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F44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EE0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3EC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946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E07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EC0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F5C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514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2BA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463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3ED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A38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F2A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DA4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1FB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D1E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DF5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549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390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EBB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r>
      <w:tr w:rsidR="007639BC" w14:paraId="50C1210F"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72978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2B2C1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4774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54EB0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C8D9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40D8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BF52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DA3FF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D3A8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E0E70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0B1D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8524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C83A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89FC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A5C9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2B31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0F57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9BAA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E8DF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DD58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90F2E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C3C14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DB1C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D7EA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5726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7CCF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3327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7DF8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r>
      <w:tr w:rsidR="007639BC" w14:paraId="448790BE"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1E10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B51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A5A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D7A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673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C1E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D72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017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46F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568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44B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1A1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264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601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FA4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E20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1AB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F60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00D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481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E90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980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66A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DAA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211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319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27C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A67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r>
      <w:tr w:rsidR="007639BC" w14:paraId="0C7B225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894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202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6C0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39A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5D1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296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AA2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65E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F6A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2EA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C4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266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22E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287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B15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4A2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28E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0B7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C0C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F61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87F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AEF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4A2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498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112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4AC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2B6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529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4178F1A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E03791"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C0B4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C94D9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B26A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9A76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AE71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4E23E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C4DA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FC11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4620B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6175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F5EB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5959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BD44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0AB8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4F36A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EF81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46E7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3102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2D47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18DFB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4BF4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E839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EC92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6A8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4AF8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3376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52B1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62.6</w:t>
            </w:r>
          </w:p>
        </w:tc>
      </w:tr>
      <w:tr w:rsidR="007639BC" w14:paraId="6C43B92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DB7F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C86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49B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DC0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39B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30D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4DF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328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FDE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61F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601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64C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144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432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09D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CC2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A92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DA3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146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A73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D9B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5AA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210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B4F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1E7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9C6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747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40F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r>
      <w:tr w:rsidR="007639BC" w14:paraId="06D86D0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2FF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3DF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0F3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B5A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B60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02A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484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750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497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2DF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DAC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092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7DF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E65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2B0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5B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FE6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8CC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FCC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8B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32E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BD1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93D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990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A83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A51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BED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3F2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r>
      <w:tr w:rsidR="007639BC" w14:paraId="18A7EA5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DC9F0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CDD3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42DD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2802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056D4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3E30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DF69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DFDE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5B03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946F0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73DEB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3412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0751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59D5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53A1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5CCFF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A207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16CB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8963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C7D2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D0FC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6F0B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06D3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F450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CC62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F056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3976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889A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r>
      <w:tr w:rsidR="007639BC" w14:paraId="3D09057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D6D2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9DE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405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38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293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296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990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D56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40F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FB6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9EA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2B8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B3A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FD3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D27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ABF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A07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61E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4BB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C78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681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DAA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672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46C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B17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4D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891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616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1B46FAF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322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905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7EF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6DE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AA8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9C9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C28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536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88A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C56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7F5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64B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B65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293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C59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4D7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D5D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F13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5BA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13D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0D2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9ED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921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7D7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944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E5B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42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FCD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r>
      <w:tr w:rsidR="007639BC" w14:paraId="2E57B2B5"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1729E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B0528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5AA7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EA54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BB34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D881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E889B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F8B1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CA3B1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4A13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D3A6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B3C0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E9E3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B642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2E91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A267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5B31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957D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F1D0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DA405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E3D76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CC27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1218C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4C83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EC0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EDAC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0D21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C750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83.7</w:t>
            </w:r>
          </w:p>
        </w:tc>
      </w:tr>
      <w:tr w:rsidR="007639BC" w14:paraId="6662501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6FA0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Arts and Recreation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835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76D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394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D42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EDB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EE6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158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CBC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C50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D1F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BFE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C11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AE6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B35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16B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4E9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E19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B5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1BE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742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5FB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D49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5B0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701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C25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B7D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E0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7639BC" w14:paraId="53DB8AA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6DB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D9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9E1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E1D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F9A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77B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B70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B3C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3AC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8FE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860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892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2E8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F6A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4A3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A6D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C05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403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B78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99D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95A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014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5E7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AF0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A0E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D61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399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801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1038F0A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64371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A132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14D8B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9FB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B412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36BF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69B6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95C1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393A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8171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F3F7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7A60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CAEB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AA81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2AFD7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4B38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D166A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5CE6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FE972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F9F9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73C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439DA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04A1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AA34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B819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C48C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4814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4B70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r>
      <w:tr w:rsidR="007639BC" w14:paraId="4DF6FDE6"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75BA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157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506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7DA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660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308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41A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EFD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BA9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E6B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181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D45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5E9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107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8B7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47D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7DB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EE1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945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C88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C20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54C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158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45D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3E6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3A1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7C1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E46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r>
      <w:tr w:rsidR="007639BC" w14:paraId="199643E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741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1B9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D80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5FB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C10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ACD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45B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D55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8AE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D16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82F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114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D8C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E8B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90B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D38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E1E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130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E05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45B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A06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E43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FC4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F0B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C08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699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810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0C5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22458C0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B6CA0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707C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9A9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CF93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647C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1B54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79BFD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C114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427F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2C837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BBDF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7F82F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D16A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E64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A277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D79A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490D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91A7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D7EB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69FA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B451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A02E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2F2B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93C3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AFAD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B071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F4C2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CCAE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r>
      <w:tr w:rsidR="007639BC" w14:paraId="159AF5B7"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A3D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industries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E66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B5D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C45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30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311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C22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334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03B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F25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D53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B69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453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229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ACB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EF8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B37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834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281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8EC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573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300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35D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2F9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9EC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B7D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8E0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DF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w:t>
            </w:r>
          </w:p>
        </w:tc>
      </w:tr>
      <w:tr w:rsidR="007639BC" w14:paraId="15A3458A"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138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F1F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541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C18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592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B13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B98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239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630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DC6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F88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DFA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094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C68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45E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B23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AC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E9D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DA6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484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8D9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F5E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931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20B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35D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1E4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D28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93F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r>
      <w:tr w:rsidR="007639BC" w14:paraId="7BE565C2"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F8C2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0D03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61C2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F2D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242.6</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244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BF92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C8E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89D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281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719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921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8D7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329.8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A665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385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739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0730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170.7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A28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1C6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240.6</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691B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15A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158.2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F50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749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149.2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0E79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1C0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153.3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FEC2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82147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9105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3FE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397.9</w:t>
            </w:r>
          </w:p>
        </w:tc>
      </w:tr>
    </w:tbl>
    <w:p w14:paraId="2A7DBEE3" w14:textId="72DA19F7"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3510C43C"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771E5AE9" w14:textId="3C1439DC" w:rsidR="00AB0A8C" w:rsidRPr="00AF72EF" w:rsidRDefault="007639BC" w:rsidP="00BD6A47">
      <w:pPr>
        <w:pStyle w:val="ListParagraph"/>
        <w:numPr>
          <w:ilvl w:val="0"/>
          <w:numId w:val="1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62928A56" w14:textId="2DE2A2A1" w:rsidR="00AB0A8C" w:rsidRPr="00AF72EF" w:rsidRDefault="007639BC" w:rsidP="00BD6A47">
      <w:pPr>
        <w:pStyle w:val="ListParagraph"/>
        <w:numPr>
          <w:ilvl w:val="0"/>
          <w:numId w:val="1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2AD20273" w14:textId="7F315271" w:rsidR="00AB0A8C" w:rsidRPr="00AF72EF" w:rsidRDefault="007639BC" w:rsidP="00BD6A47">
      <w:pPr>
        <w:pStyle w:val="ListParagraph"/>
        <w:numPr>
          <w:ilvl w:val="0"/>
          <w:numId w:val="1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The Manufacturing category has been disaggregated into Metals and non-Metals industries.</w:t>
      </w:r>
    </w:p>
    <w:p w14:paraId="55B4BD42" w14:textId="254BC21F" w:rsidR="00AB0A8C" w:rsidRPr="00AF72EF" w:rsidRDefault="007639BC" w:rsidP="00BD6A47">
      <w:pPr>
        <w:pStyle w:val="ListParagraph"/>
        <w:numPr>
          <w:ilvl w:val="0"/>
          <w:numId w:val="1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11CD71C2" w14:textId="072A7149" w:rsidR="00AB0A8C" w:rsidRPr="00AF72EF" w:rsidRDefault="007639BC" w:rsidP="00BD6A47">
      <w:pPr>
        <w:pStyle w:val="ListParagraph"/>
        <w:numPr>
          <w:ilvl w:val="0"/>
          <w:numId w:val="17"/>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2419F80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8 Agriculture, Forestry and Fishing agreements, covering 1,000 employees, have an expiry date in the June quarter 2028. The AAWI of these agreements is 2.4%.</w:t>
      </w:r>
    </w:p>
    <w:p w14:paraId="134C434A" w14:textId="77777777" w:rsidR="00AB0A8C" w:rsidRDefault="007639BC">
      <w:r>
        <w:br w:type="page"/>
      </w:r>
    </w:p>
    <w:p w14:paraId="6FBE2A3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Table 10 - </w:t>
      </w:r>
      <w:proofErr w:type="gramStart"/>
      <w:r>
        <w:rPr>
          <w:rFonts w:ascii="Aptos" w:eastAsia="Aptos" w:hAnsi="Aptos" w:cs="Aptos"/>
          <w:b/>
          <w:color w:val="000000"/>
          <w:sz w:val="28"/>
          <w:szCs w:val="28"/>
        </w:rPr>
        <w:t>Agreements approved</w:t>
      </w:r>
      <w:proofErr w:type="gramEnd"/>
      <w:r>
        <w:rPr>
          <w:rFonts w:ascii="Aptos" w:eastAsia="Aptos" w:hAnsi="Aptos" w:cs="Aptos"/>
          <w:b/>
          <w:color w:val="000000"/>
          <w:sz w:val="28"/>
          <w:szCs w:val="28"/>
        </w:rPr>
        <w:t xml:space="preserve"> in the </w:t>
      </w:r>
      <w:proofErr w:type="gramStart"/>
      <w:r>
        <w:rPr>
          <w:rFonts w:ascii="Aptos" w:eastAsia="Aptos" w:hAnsi="Aptos" w:cs="Aptos"/>
          <w:b/>
          <w:color w:val="000000"/>
          <w:sz w:val="28"/>
          <w:szCs w:val="28"/>
        </w:rPr>
        <w:t>quarter,</w:t>
      </w:r>
      <w:proofErr w:type="gramEnd"/>
      <w:r>
        <w:rPr>
          <w:rFonts w:ascii="Aptos" w:eastAsia="Aptos" w:hAnsi="Aptos" w:cs="Aptos"/>
          <w:b/>
          <w:color w:val="000000"/>
          <w:sz w:val="28"/>
          <w:szCs w:val="28"/>
        </w:rPr>
        <w:t xml:space="preserve"> by state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61C42E76"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65C8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D679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F4BA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9FB4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D487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6E56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FB2A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9865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8281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B8C1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DF47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D292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3A3C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39F3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4566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838A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6EA7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22FC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34E9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E595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A106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7BA4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58CA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5D3A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8D10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BC4E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1BD4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3F78A44C"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73E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D77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B69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DDD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953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3EE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437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22D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EEC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A6B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D2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D02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62C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F1D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0BA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FDF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398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5E2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96E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E70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FC8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E3B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964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200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A4C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54E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C41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394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r>
      <w:tr w:rsidR="007639BC" w14:paraId="5636C24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3D4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E14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058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DE4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F1C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5A4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5FF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8E1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285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A8D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400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7CE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89C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6E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568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BE1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85B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80D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9D5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3AC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B7E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3EF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9C7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17B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A98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B65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444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EC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r>
      <w:tr w:rsidR="007639BC" w14:paraId="5A1D7763"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720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167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C35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18B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6A4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E4F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75B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6D3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140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98C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B29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4FB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F82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D49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741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FE8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8C0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4D2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E9A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375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84E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59B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182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F10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2F6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A7A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F39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A82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r>
      <w:tr w:rsidR="007639BC" w14:paraId="01FFE17D"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79F9B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6DB8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564E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1C19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1D4D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2BA0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AF74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2241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4841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17A0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6BE3A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09A2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C51F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D06D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0B74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87DA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CDAF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E32B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F5B4C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253A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3DF1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569B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A7CE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AEA4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EC43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EE92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7DF6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72DFC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r>
      <w:tr w:rsidR="007639BC" w14:paraId="6FC70644"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7A26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NSW</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7F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D40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D17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B84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39B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1FC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E9A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786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D86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CA2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92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463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7BC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664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FF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D93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DEC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800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04F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819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2D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214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979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226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C00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86F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B9A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165</w:t>
            </w:r>
          </w:p>
        </w:tc>
      </w:tr>
      <w:tr w:rsidR="007639BC" w14:paraId="5604EC3E"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84E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977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FFE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26E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E90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A35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171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82E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E5B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F16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6FA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CEC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DBF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D8D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03D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EA3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BC1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8ED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67E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AD2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72A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179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C0F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F92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CDB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259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D3D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F48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r>
      <w:tr w:rsidR="007639BC" w14:paraId="7D48CBE1"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7F1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AA3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E93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1E5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D99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062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0E5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604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949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1CD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14C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09D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C5B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184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7A6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98E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329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976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355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140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E59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F3F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4AB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F10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691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4C1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06E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36D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r>
      <w:tr w:rsidR="007639BC" w14:paraId="2AC01423"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C2789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990A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32D6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6104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FA7C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885F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C563A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8D04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02598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3165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16DC0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035F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7151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5691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1A50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90D6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83312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0122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97211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DC32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8016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E4F8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1256A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9413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C66B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1B4F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B5CB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580B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24.1</w:t>
            </w:r>
          </w:p>
        </w:tc>
      </w:tr>
      <w:tr w:rsidR="007639BC" w14:paraId="2974C061"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D15C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NT</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885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D0E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FA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0E0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436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12C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9BE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2E4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1D9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178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B70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B5D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A28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96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3CB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D89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771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CBC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A49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7E0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703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632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4EE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5EF0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F49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F96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04D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r>
      <w:tr w:rsidR="007639BC" w14:paraId="2508200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509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113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0A2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F36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F15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03F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A68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457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969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7DD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EE0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A2D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EDB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159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03C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56A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2E4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87E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5BF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D31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CAD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76A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DE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C5B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4C4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469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AA2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D45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7639BC" w14:paraId="3DA93AAE"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155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962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5CA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8B8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9E2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11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9C4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C16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8B6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4DB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BD5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9EC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FB9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BD1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FFD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5C9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223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9FC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BDA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258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079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66D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8F9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5B3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97A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293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D48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F1A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60423807"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3D014D"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67A38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F8CFC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48C4F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B8006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F377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3205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FC60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0211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78C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7DAC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49DE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F60E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8CD5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E7C18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F8480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1569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92E0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C7EA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8C4B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3E4E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65F7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E5B4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4434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A432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33FC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770D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5E57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12061C12"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6C3B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QLD</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7AC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093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56C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D8A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8E2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843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045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860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85A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7AD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F18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F41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4AE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B14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F81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304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58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821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AC9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37B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A25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4CE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E5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B8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C2E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20C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57F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r>
      <w:tr w:rsidR="007639BC" w14:paraId="16B3AC3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A4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A55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DBA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7E7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AC3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9E3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9B0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5E8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E76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B80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A84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E97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950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163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E2D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9D2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411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240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0F2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B5A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E1A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9F0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3B7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443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E64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A15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0EF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2BD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0A1DA97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31C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A65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D0D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A0F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2C7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66D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970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5CE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9BD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116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BB0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132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738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864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C08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AC8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EF9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9E5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383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77E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10E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E5B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7C6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B3B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53A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3B9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FA1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1EF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005CB4F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FBBE0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B522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08B90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AF3B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96F8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BF817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D6FC7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A01E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B445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CDB7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12A8A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DD81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C6EC6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68F7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E604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52DC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DF25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9C58C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07B9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761E7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7C48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EE6F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464C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F099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4F9B0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FB56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40A89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9175A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r>
      <w:tr w:rsidR="007639BC" w14:paraId="28A32AB1"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9600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SA</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FBA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361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174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8E3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B93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B53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55A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EC8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2BA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511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8E2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CF4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6EE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9C1C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15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005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742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D22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DF3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924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A9A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690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3E7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2A1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2A5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866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2A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r>
      <w:tr w:rsidR="007639BC" w14:paraId="0A541198"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990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1EF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EFD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2F6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607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68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304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5B4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C43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1E7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B93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46F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A83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0DC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903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4ED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505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F74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F76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313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F7F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A2C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2D4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996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A06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8A7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282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6ED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r>
      <w:tr w:rsidR="007639BC" w14:paraId="404DDA0A"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39F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477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7C9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F5C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FA7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938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178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F43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044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C3C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E2E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EFA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ACF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253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E84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591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088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EA6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ABB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6A0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F68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1BC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5E4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2B0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E3B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B58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D20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235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r>
      <w:tr w:rsidR="007639BC" w14:paraId="708374E5"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B2952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1041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BEBF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CFE71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E262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D9A6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E6CB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08F8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29C9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1DA0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9B0B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19FA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B29A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EBC5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125D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A8CC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CA2C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0A24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1CB5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7BA6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9F1F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86D5A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BFFF3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AF22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C949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0654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E63A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50D1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r>
      <w:tr w:rsidR="007639BC" w14:paraId="262ED5E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2866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TAS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7CF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29C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F6F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372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F95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55A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C41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A97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8EA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74B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B9E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DE2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78C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361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4C3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A09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320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192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CA2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43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75E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77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1E6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7AC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C87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4CD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D4E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r>
      <w:tr w:rsidR="007639BC" w14:paraId="0D5B5F47"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1B1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725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506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1B2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E00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773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412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AAA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971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94D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0D8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CE8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BFA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CC8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2B6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416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2DD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7C2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E9B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908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894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591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D9F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C4F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FAE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86B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3FF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CEF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37170512"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2E37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C7A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389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4C7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FE2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C98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5AC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82F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244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81E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2CD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A14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123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372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D34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053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78F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351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0F1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F09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FF8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01D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A90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AE4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CF6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87B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3E0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3F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7639BC" w14:paraId="242D18A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2A554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16B1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B2CE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B6009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41B60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F169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78E60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1DD1A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0164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7041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951D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AB27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080E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1786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80F0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9F38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41C4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18E9A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C983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C7277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4293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1976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E490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9103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371D6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708A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75C20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A140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r>
      <w:tr w:rsidR="007639BC" w14:paraId="2AE9B3C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168A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VIC</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656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02E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CAB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C52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B5E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80F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C98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E36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430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D2C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1CD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D19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4B0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C6E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636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7B0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B05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3DE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1C5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F04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120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623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C7D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611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D49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28B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EEE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411</w:t>
            </w:r>
          </w:p>
        </w:tc>
      </w:tr>
      <w:tr w:rsidR="007639BC" w14:paraId="03525F8A"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3DC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CEF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A9A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E6F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573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1D0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E8B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E6B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ACE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BFB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D50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50E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6E1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E35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558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01B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A68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2EF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39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332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BDC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281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30F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7DC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F45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75C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E4C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D5E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5A9080A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7F1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CF0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7CB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951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527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14E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2C2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4B0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176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A66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8A2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3F5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AD0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74F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20E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09A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197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E4D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8FD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BD3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B79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A7F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ED9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C04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C44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153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6D8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C7E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0BA5F67F"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A469C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7B9C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3D97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EB470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108C5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E5CE2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22D6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987E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33F5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5B08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732E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CC48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0392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288E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F930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D49B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650C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9962A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6A39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314E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AC81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F5E0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B421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7C69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A04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AF87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F1AA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17D07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49.9</w:t>
            </w:r>
          </w:p>
        </w:tc>
      </w:tr>
      <w:tr w:rsidR="007639BC" w14:paraId="5697C57C"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EE2A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WA</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8D0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8E1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A91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206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0EE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DBE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AE3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510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974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EB4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8AB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A01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7D3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927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57B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C14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41C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661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9B1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C3A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892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E01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301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D01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AF8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78F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73F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r>
      <w:tr w:rsidR="007639BC" w14:paraId="233E400B"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005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A4F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03F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271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F5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9A2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540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F87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AC1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B5D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419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EE8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367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B38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E83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381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1BB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9B9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8E9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819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616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9C6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079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233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963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D9C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17D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00F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7639BC" w14:paraId="056A4D91"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BAA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AEB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BB0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031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EF9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5E6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BC8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9D5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EB8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E49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9C2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56B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44D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273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00C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C20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A81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D8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A85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303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516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851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569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DAC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0F6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CD0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40C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F72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700DF03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2E735D"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0C9F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59C1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67C8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8057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B0B1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A4243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0EC7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F7DC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E60C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F4AD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96B7B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1244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E00F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C8762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690A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6F4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A769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7AA2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B95A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446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D0E5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FB938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574F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9E2AD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DD73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A8FF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69B3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r>
      <w:tr w:rsidR="007639BC" w14:paraId="1A82A84C"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C666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Multi-state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6E6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B6C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6C4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881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E71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1BD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6E3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37C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588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1AD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63E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77F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F61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D65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5FC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4D9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8AA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358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6CF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991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3FA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9BD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E46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70C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0E6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7C3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78B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w:t>
            </w:r>
          </w:p>
        </w:tc>
      </w:tr>
      <w:tr w:rsidR="007639BC" w14:paraId="296485F7"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F1D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C03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A83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172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CDE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067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92E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C54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F12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798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7E9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296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386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2A5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73E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46A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00A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E76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D12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DEE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493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1A1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AFB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F2C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327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CA2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9CE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320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7639BC" w14:paraId="295287C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40D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C42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6D6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2CA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4B2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ADC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379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A30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AF1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A6C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846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417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074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C6F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7A1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F86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F80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547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4C8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576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FC5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043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B14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B87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341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F47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36E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43F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r>
      <w:tr w:rsidR="007639BC" w14:paraId="63B644FA"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2F99D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2D77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51B5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A5DF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8E8E2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F1471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400E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6C94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80A5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67A2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CDBC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C39E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9473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2D65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993B1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7D1DE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EFF4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8433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AA8E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2E39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630DF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1AE5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E0E27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5BBA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005C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F701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FC5BC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589E1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72.1</w:t>
            </w:r>
          </w:p>
        </w:tc>
      </w:tr>
      <w:tr w:rsidR="007639BC" w14:paraId="51DB5088"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811C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46F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D57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59B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651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B03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5DE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727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044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1B2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8FB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123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680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00C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F2F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0DD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EA5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6B7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7EA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A6D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CA8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EE8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955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899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974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762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F1B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EDC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61BAC74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D4B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241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FF8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E8C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6C4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B68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711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F24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7EA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C7D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4B6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F3E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39E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DF7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CDB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AA8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129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82A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9ED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025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A9B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9B1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FA8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E062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E2E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231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7A3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E749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t>
            </w:r>
          </w:p>
        </w:tc>
      </w:tr>
      <w:tr w:rsidR="007639BC" w14:paraId="55A97B8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BB8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45C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FAE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7CA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333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62B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21E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905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926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1C3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9DD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3D6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AA3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0F3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FD0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56C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628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CE2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D3B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D7D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697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F30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F4D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67E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AB4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4C1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EFC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76A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5DEDF7BE"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F4FE53"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CDA1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C8D6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C7FD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485C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F37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F7BA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AAD9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62FE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BE53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830AF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4818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D9C8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DA63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167BE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9D38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91F9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1C0B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F4A2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0AF2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0119A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42E2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FE14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6871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E908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0220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AEF5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00F61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0F0F49F7"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62B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states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234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6E07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D1A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BBD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026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4B0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40E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1CF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A28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E59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53D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B32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FE7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35A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F36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39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DDD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61E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1BA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827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A9B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F4A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1BCE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95A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24D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4D2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D81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973</w:t>
            </w:r>
          </w:p>
        </w:tc>
      </w:tr>
      <w:tr w:rsidR="007639BC" w14:paraId="22F75B5F"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534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58B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0CB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814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908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598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256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F93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AEE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690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000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4DC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68A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A58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1E2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B50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748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782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4A8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696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43F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86D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52C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970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7B4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6B8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F7E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79B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102748A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91B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510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A8C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68C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885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8F1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ED3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4C5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FEA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F06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87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ECE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7B7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FF8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478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E8D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598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6D6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949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03B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385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F1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579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9A4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026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901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F3A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E2C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1CB5F5A6"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1AB0B1"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F94C7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F76D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0C8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B72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A68E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718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80B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B6F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19F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A37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675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390A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09E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6D982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3EB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A042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E98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E66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F42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A8A9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92FC9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05E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73CE0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3AD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5A6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FE9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9C71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184.9</w:t>
            </w:r>
          </w:p>
        </w:tc>
      </w:tr>
    </w:tbl>
    <w:p w14:paraId="0B9D9442" w14:textId="342309A6"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374D6F3C"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163F3217" w14:textId="167ACE91"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11715A66" w14:textId="2A28BF76"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44A5BDD1" w14:textId="03EBE43C"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256FCEB3" w14:textId="5F231A8D"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Figures for State and Territory agreements are based on intra-State agreements only.</w:t>
      </w:r>
    </w:p>
    <w:p w14:paraId="4D595F5A" w14:textId="1188DCDA"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Multiple State agreements are those covering more than one State and include Australia-wide agreements.</w:t>
      </w:r>
    </w:p>
    <w:p w14:paraId="78ABCD9E" w14:textId="4B22ED16"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Other includes agreements operating in Australian external territories and agreements where the State/Territory status has not been identified.</w:t>
      </w:r>
    </w:p>
    <w:p w14:paraId="71FC2300" w14:textId="1BF864A9" w:rsidR="00AB0A8C" w:rsidRPr="00AF72EF" w:rsidRDefault="007639BC" w:rsidP="00BD6A47">
      <w:pPr>
        <w:pStyle w:val="ListParagraph"/>
        <w:numPr>
          <w:ilvl w:val="0"/>
          <w:numId w:val="18"/>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1F0392F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6 agreements approved in the June quarter 2025 operate solely in the ACT, covering 600 employees. The AAWI for these agreements was 4.4% and the average duration was 2.3 years.</w:t>
      </w:r>
    </w:p>
    <w:p w14:paraId="672A8CB6" w14:textId="77777777" w:rsidR="00AB0A8C" w:rsidRDefault="007639BC">
      <w:r>
        <w:br w:type="page"/>
      </w:r>
    </w:p>
    <w:p w14:paraId="666500A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11 - Agreements current on the last day of the quarter, by state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26537D57"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D7CF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4150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B44C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DA94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9199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CAFC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57E1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73E8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B175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F3F0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4E22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9456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C2AE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BB36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18E5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27A6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23A7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EDDB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05FF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2743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662C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CF7E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2434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FE38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CACD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437E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5754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1E6FF4CA"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FC3D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ACT</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E9C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802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0E1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527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8D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583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56E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063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C83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85D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5B2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AAF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514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32F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65D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550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78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7C2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F03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05F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F0B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047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40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E53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DCA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9EC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4BF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135</w:t>
            </w:r>
          </w:p>
        </w:tc>
      </w:tr>
      <w:tr w:rsidR="007639BC" w14:paraId="0E69C9EA"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EB4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DEC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46D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CDB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7E3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110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78A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4B6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FCD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C25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4FA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7E2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94B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78C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1CB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881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FFE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A32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6B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3D1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D12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15F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A81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8D4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7B3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FF1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C2D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C39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226F177D"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3DE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2E7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95A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9B4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AC6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B63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94B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331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BAF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DAD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7C6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815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0CA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A97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84B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4DD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85D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6F5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363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CB2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620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114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753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7EB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6F3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70D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617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2D5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7639BC" w14:paraId="361A3B3A"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E4E8C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C225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3312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4898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1212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4B3D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8A4E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0280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FE69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29BC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EE13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6A49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8074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0BB0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6FEB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9D0D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2990D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A6020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A8F8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43A9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D731C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9DCA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7FD1C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A073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6F46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F790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6B775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CD25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43.5</w:t>
            </w:r>
          </w:p>
        </w:tc>
      </w:tr>
      <w:tr w:rsidR="007639BC" w14:paraId="2FABA8B6"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5EDE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NSW</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8F8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F62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D96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64D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77A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EC2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4BC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1FA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626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0D6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13F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CCF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EA7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C5A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61B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716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FB4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92A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138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1,896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FC5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1FE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7D6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F20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1,980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13C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370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341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6F7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2,047</w:t>
            </w:r>
          </w:p>
        </w:tc>
      </w:tr>
      <w:tr w:rsidR="007639BC" w14:paraId="4D6F6B41"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41B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AC96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D4F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3C9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20A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D60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935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36B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B12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CDF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A81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C01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918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059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57F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FA3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6ED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3D7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342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353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7B8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69E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7C3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A47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F2E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8DB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877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BE7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r>
      <w:tr w:rsidR="007639BC" w14:paraId="2783BDDC"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27D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F85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13F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CFE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D15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D9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7E7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995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C8C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927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BA7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E0D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A18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A05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93D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66E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B8C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472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495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ECA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32D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38C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27E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8C7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04A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236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61A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2B8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4CE6FCD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1761D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10279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CB29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FFA5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8BD7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C4C7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2D81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DB7D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5796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3113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C8F6C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AFD3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6069A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C222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BB2B7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7F2B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AD16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3A35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2C73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65EE2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6F2F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70E0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562E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4FC2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F5D4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EE49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837F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AC7A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232.2</w:t>
            </w:r>
          </w:p>
        </w:tc>
      </w:tr>
      <w:tr w:rsidR="007639BC" w14:paraId="5D66B252"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7EC1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NT</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241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838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050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A2F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679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31D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9D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35F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F37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1D5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4E5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351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9BA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9F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C91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9DC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7A9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CA2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3C9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425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5A0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4B1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C1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770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D2C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F02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386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r>
      <w:tr w:rsidR="007639BC" w14:paraId="4F792010"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3E3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744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A4C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5C3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3FB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EEB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81A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4AB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1A2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0C1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AC3E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BBE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01D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66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B74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19D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196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390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F3F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BB4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76A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B31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1CC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D6C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B80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777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CBA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B59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3F56958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FE4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613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017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77E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A3F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2DA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3F9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45A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64C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30E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F5C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10D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88F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282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DAA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D3E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020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B0D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68C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3CF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7F7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CE7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D65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C30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880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6C6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83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BBB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3EAB3421"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B3CB5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8D8E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AAE9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C3BD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4601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AA85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DB36D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D32F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CFE66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C5F9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FD6F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AE83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F557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2A8D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95D7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6B24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60FA6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724F7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5EE4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7076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9096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E122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E69E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CF0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5239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66AB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DB0C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79A4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r>
      <w:tr w:rsidR="007639BC" w14:paraId="6B8DC04E"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FBAD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QLD</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4AD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989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885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78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C84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EBF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1F3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059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F72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695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3BA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58C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15C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47E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020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E40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D4B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BA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E0D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86A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150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DCC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4CC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2E5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FE7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079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373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1,793</w:t>
            </w:r>
          </w:p>
        </w:tc>
      </w:tr>
      <w:tr w:rsidR="007639BC" w14:paraId="0A881677"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76B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017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3BC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481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F74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2D9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C7C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FFF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D5D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EB6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0BB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D00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4EE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339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E16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91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D48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28F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F60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7E6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72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60F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142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325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5C2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004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D1B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626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r>
      <w:tr w:rsidR="007639BC" w14:paraId="7E99FC9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299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53F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25A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C97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96D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2ED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1E6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5F4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FAB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32A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361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FF9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58F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04E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1C4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9B5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8C1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952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8BB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B08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8C3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463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B0C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D8D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E74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1D8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882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727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205A669A"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7C497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1AD9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0D85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B545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3404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8DBC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155.4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80766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4C45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1B12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976D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5847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AB25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C3CC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8176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9B711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4F914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84EA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1949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31C5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849C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6C19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2778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52903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7360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5A40F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79EC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7CC9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6E3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259.0</w:t>
            </w:r>
          </w:p>
        </w:tc>
      </w:tr>
      <w:tr w:rsidR="007639BC" w14:paraId="467F7BAC"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1ED7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SA</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A6C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3FE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138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612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4BD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3D2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9BE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C88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E92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2D3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CDB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59A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7FE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6FA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40B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411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CD1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598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A8E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1BE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D786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1A5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B40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4CB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A74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5B9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A67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598</w:t>
            </w:r>
          </w:p>
        </w:tc>
      </w:tr>
      <w:tr w:rsidR="007639BC" w14:paraId="19E9BDAF"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847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FE2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381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45B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68F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041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A47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93B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277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5BA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3A9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445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773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B1E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2BE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BDF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798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E75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0A8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B19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26F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40C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BC3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06B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BDC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D6D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CD3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B96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04FA71E1"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EA7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A24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2EC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000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F37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10D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63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AF5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42F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E3F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265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14B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BCA4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B8A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DAE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9D9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143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73C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E7A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11F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0E2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60B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E6B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E57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35C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225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FD0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C36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3D711A6D"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EF6ED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7C57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41D6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D7635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0A6B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C9F8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5962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1367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6F32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F886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59DE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BA43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C8AF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F8DE0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6B9F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DF01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57A5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8432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A0E9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1C9F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2B95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1700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857EE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6134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19F79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3CED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7B61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5B6C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64.7</w:t>
            </w:r>
          </w:p>
        </w:tc>
      </w:tr>
      <w:tr w:rsidR="007639BC" w14:paraId="59BE004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0F8C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TAS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95B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FC2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6D9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EC4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338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DE0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80C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40F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5FF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4B2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43B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A6B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B65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8AA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5F2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F0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FAF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C36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E97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3A5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0CC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620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AEC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094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C45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C39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4F0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326</w:t>
            </w:r>
          </w:p>
        </w:tc>
      </w:tr>
      <w:tr w:rsidR="007639BC" w14:paraId="738B08DA"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D84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676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F31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8D1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E16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F3B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3FA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3EA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875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126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330D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4D5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67B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C4B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F93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A5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437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42E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892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82A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975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318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146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057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C90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E8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7B1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FDB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71FB726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F94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FFF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EBB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17A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6D2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863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E93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201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C28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8BC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F52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411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150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E06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748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6FB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FB3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B6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528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1E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4F7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965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962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71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3EC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FB1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D71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625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7639BC" w14:paraId="53CE4275"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60A63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D593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7DEC9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EA32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A023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81BEC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7FD1B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9D77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F8AD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12F7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9F84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99E9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9E9F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54E63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118D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5FCB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17B8B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16E6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A0B7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AC03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154E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77117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E6EA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C9FC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A17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769B8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3A3F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B12B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37.0</w:t>
            </w:r>
          </w:p>
        </w:tc>
      </w:tr>
      <w:tr w:rsidR="007639BC" w14:paraId="690B9C80"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852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VIC</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19F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B5A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CDD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BD8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044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3,495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8B7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5E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81D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F3E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E11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26F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055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8AD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68F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0AF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16C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36A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416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A46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2,605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8F5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4F5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D44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BA5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EBD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77D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0D9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62F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2,979</w:t>
            </w:r>
          </w:p>
        </w:tc>
      </w:tr>
      <w:tr w:rsidR="007639BC" w14:paraId="03380AE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FB7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4B9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093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841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762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3ED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80A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F10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776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6F3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43F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B33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343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AEF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7FA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250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9E4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91D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0CC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D12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EAF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426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471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4BF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37A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B80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533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A45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0A732A93"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6CF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441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A481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DA6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0F7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52E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0BC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1E7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65F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A2B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860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F7D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FD8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F1D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FD7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624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413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20BF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157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429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E64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27C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EEE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3DE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86A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7B5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1026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582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6BF1F1FD"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35095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B33F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A8E0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B4F5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40F0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5CAF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D023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FC7C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3488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5B67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989D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D914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03DD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4BB95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12175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1581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03B4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1E12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C3833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8E62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575.1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76C9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0C3A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3CDD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FCF93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F150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AA2E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B62DD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09B8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748.3</w:t>
            </w:r>
          </w:p>
        </w:tc>
      </w:tr>
      <w:tr w:rsidR="007639BC" w14:paraId="3632B139"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DD77F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WA</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F03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6C8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A7D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119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915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D01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2D4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55F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54A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E18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B31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6C0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681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E71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FFD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BA9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23E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222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661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9AC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129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A4E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3DA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733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4D8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A6C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B8B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1,016</w:t>
            </w:r>
          </w:p>
        </w:tc>
      </w:tr>
      <w:tr w:rsidR="007639BC" w14:paraId="068B8376"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5BA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8A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D4B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76A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B2C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274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630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C4C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1AE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DCD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555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FF9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F33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BAB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8D3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674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E13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F55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160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035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8C0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DDE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77A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5F0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898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6CD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4D3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09B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0AEA9F14"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EF2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DC2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310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8A8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490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7A5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D07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BE8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B73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61F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967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62B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F8C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CD4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0E7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EB4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F94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F31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39F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8CF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9E5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089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860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638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E59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8104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612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37C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20D6C8C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E585D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4CCFE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D0338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5653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DDC13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4A8E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4FB2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8F02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65F6D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BA9F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88703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46C9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95.8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BE376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61741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AF7D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6429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9287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55FF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4567B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A9050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3238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9B58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90B4B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70C7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AE446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8365C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E48A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9825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109.5</w:t>
            </w:r>
          </w:p>
        </w:tc>
      </w:tr>
      <w:tr w:rsidR="007639BC" w14:paraId="36CF5F3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E037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Multi-state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779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07B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47D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C5C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0B9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48B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0BE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078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022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9B3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A4F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A48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45E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32C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9AB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849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660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1,967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FF2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24E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1C7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D73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160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89D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A98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921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552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EBD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2,268</w:t>
            </w:r>
          </w:p>
        </w:tc>
      </w:tr>
      <w:tr w:rsidR="007639BC" w14:paraId="46B03732"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43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7A6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7F9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966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C61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10A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57B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365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C39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7A2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CB6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821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B35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9013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0F4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F52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7AA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58C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8AC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61A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5970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F88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681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2B8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37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CDF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248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914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2D79BA2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251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AF2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5EF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749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C2A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8A8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BF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C34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AD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54D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FD1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7EA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EFF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97F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DF5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B5C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573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690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5D8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925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A15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7BA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4DF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D52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DF4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C4D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5B0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F81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018EFA1B"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E7C31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33F71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99F3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0C77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5274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3EA4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3032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0567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4EF30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CD37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D002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0F27E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79D4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DF01E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59A7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8E1B9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C4DC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5E1E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D7A4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C625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A762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7EAD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927.9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D4BA8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0407B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A990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1ABE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08096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5CA7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1,284.8</w:t>
            </w:r>
          </w:p>
        </w:tc>
      </w:tr>
      <w:tr w:rsidR="007639BC" w14:paraId="15EA7A3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1D8F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952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20C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9B1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E3A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CBD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ED0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0B3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C7C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967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8BF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855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EE3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488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52A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5A1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CDB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65B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A9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613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5E1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983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A42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0F5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3ED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39B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557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C6C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r>
      <w:tr w:rsidR="007639BC" w14:paraId="181B826A"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F4E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23E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B2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E02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A1F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89F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96F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E6C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4B4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369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6E1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3D0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50A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89A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AE6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46B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1C7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839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423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27D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ACE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064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131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5B0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5BF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F34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3D33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BA5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33F6EBF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6ED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815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AB2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1FB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F59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E1A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D53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ADBD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F6D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7E8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1F4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01F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83B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EC6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125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062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027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DED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03D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9BA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797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7A4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EA9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DCE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1E2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6B7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6D4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4CF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r>
      <w:tr w:rsidR="007639BC" w14:paraId="647215B0"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C7095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BD57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C5F8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D32F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DC0F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4B7C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E728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172B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FF0E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DD42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57E8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8005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5D92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D19D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A3FF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8949A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DBCA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EC2F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F890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DB27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95032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A5EB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4921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9E24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F6610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F4345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8994D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1F2F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r>
      <w:tr w:rsidR="007639BC" w14:paraId="54BB0A29"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6EC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 states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FF7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AB0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289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B35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2D6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DBA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64C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EE7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269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58A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A4A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969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B22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CA2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6AE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707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2C1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855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067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166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8E6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441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2E8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8DBB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178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C7D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C6E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11,302</w:t>
            </w:r>
          </w:p>
        </w:tc>
      </w:tr>
      <w:tr w:rsidR="007639BC" w14:paraId="073FFD49"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1BC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BCD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C7D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5B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156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85A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F8B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481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AE0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1BD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105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E7F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AB7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96F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F387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6B5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542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617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BD6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C4F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B5E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780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ACE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72E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D59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242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064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13A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551A47F6"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48E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A22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A4E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497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1CB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769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45F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44E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67A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9A9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C34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A4E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E3F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09F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FBA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2E1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CEF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1D2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F78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F7E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4DB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219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C3E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C5F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CE6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EF5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9F9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E6E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0990AF04"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79CB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48F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456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216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A2BF9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CF0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1,733.1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4861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955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324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5E0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1,739.0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95E98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CD6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1,791.0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692F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199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500B1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C5E3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CA23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D7CA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2,142.0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E1A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933D7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A85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311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2,209.2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1FC7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E38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2,647.3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8468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467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00A3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82FF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2,801.3</w:t>
            </w:r>
          </w:p>
        </w:tc>
      </w:tr>
    </w:tbl>
    <w:p w14:paraId="0E96D3F2" w14:textId="3F35F4F4"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4B4D93D3"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27896ACF" w14:textId="1DCD93F4"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AAWI = Average Annualised Wage Increase per employee.</w:t>
      </w:r>
    </w:p>
    <w:p w14:paraId="5DD346F6" w14:textId="1E2382B4"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Agreement and employee estimates are for all federal wage agreements in the period, while estimates of AAWI per employee are based on quantifiable wage agreements.</w:t>
      </w:r>
    </w:p>
    <w:p w14:paraId="0D563B50" w14:textId="54B17F35"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 Where asterisk occurs, there are no quantifiable agreements in this </w:t>
      </w:r>
      <w:proofErr w:type="gramStart"/>
      <w:r w:rsidRPr="00AF72EF">
        <w:rPr>
          <w:rFonts w:ascii="Aptos" w:eastAsia="Aptos" w:hAnsi="Aptos" w:cs="Aptos"/>
          <w:i/>
          <w:sz w:val="20"/>
          <w:szCs w:val="20"/>
        </w:rPr>
        <w:t>quarter</w:t>
      </w:r>
      <w:proofErr w:type="gramEnd"/>
      <w:r w:rsidRPr="00AF72EF">
        <w:rPr>
          <w:rFonts w:ascii="Aptos" w:eastAsia="Aptos" w:hAnsi="Aptos" w:cs="Aptos"/>
          <w:i/>
          <w:sz w:val="20"/>
          <w:szCs w:val="20"/>
        </w:rPr>
        <w:t xml:space="preserve"> so no AAWI is calculable.</w:t>
      </w:r>
    </w:p>
    <w:p w14:paraId="402E2DC6" w14:textId="2B6E2D75"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Figures for State and Territory agreements are based on intra-State agreements only.</w:t>
      </w:r>
    </w:p>
    <w:p w14:paraId="469EEA3C" w14:textId="407F7470"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Multiple State agreements are those covering more than one State and include Australia-wide agreements.</w:t>
      </w:r>
    </w:p>
    <w:p w14:paraId="598CC973" w14:textId="364347D5"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Other includes agreements operating in Australian external territories and agreements where the State/Territory status has not been identified.</w:t>
      </w:r>
    </w:p>
    <w:p w14:paraId="09192FD3" w14:textId="1BBFC476" w:rsidR="00AB0A8C" w:rsidRPr="00AF72EF" w:rsidRDefault="007639BC" w:rsidP="00BD6A47">
      <w:pPr>
        <w:pStyle w:val="ListParagraph"/>
        <w:numPr>
          <w:ilvl w:val="0"/>
          <w:numId w:val="19"/>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5CEA27FC" w14:textId="140311B4"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135 agreements current as </w:t>
      </w:r>
      <w:proofErr w:type="gramStart"/>
      <w:r>
        <w:rPr>
          <w:rFonts w:ascii="Aptos" w:eastAsia="Aptos" w:hAnsi="Aptos" w:cs="Aptos"/>
          <w:i/>
          <w:color w:val="000000"/>
          <w:sz w:val="22"/>
          <w:szCs w:val="22"/>
        </w:rPr>
        <w:t>at</w:t>
      </w:r>
      <w:proofErr w:type="gramEnd"/>
      <w:r w:rsidR="00A82A20">
        <w:rPr>
          <w:rFonts w:ascii="Aptos" w:eastAsia="Aptos" w:hAnsi="Aptos" w:cs="Aptos"/>
          <w:i/>
          <w:color w:val="000000"/>
          <w:sz w:val="22"/>
          <w:szCs w:val="22"/>
        </w:rPr>
        <w:t xml:space="preserve"> 30</w:t>
      </w:r>
      <w:r>
        <w:rPr>
          <w:rFonts w:ascii="Aptos" w:eastAsia="Aptos" w:hAnsi="Aptos" w:cs="Aptos"/>
          <w:i/>
          <w:color w:val="000000"/>
          <w:sz w:val="22"/>
          <w:szCs w:val="22"/>
        </w:rPr>
        <w:t xml:space="preserve"> June 2025 operate solely in the ACT, covering 43,500 employees. The AAWI for these agreements was 3.6% and the average duration was 2.4 years.</w:t>
      </w:r>
    </w:p>
    <w:p w14:paraId="1E0CDA12" w14:textId="77777777" w:rsidR="00AB0A8C" w:rsidRDefault="007639BC">
      <w:r>
        <w:br w:type="page"/>
      </w:r>
    </w:p>
    <w:p w14:paraId="6E16B11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12a - Agreements approved in the quarter - non-quantifiable wage increases, by reason (June quarter 2022 to June quarter 2025)</w:t>
      </w:r>
    </w:p>
    <w:p w14:paraId="779597C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Linked to minimum wage</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2358332B"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ED6D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8D27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3324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05E8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B3BB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3E45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F378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59EE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317C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78B3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904E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2EDF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3AB8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CB24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34EB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2F5F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8049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8954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83A2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1EB03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E068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05B2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8EF4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3857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8393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C1D9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CB89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473E436B"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AFC8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5BC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A12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C3C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B08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A0B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18A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6FA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B59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D97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A4F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62C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1D4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A48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B5F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B95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CCB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1FD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C03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6A7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09E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C0DB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771E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8D8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F01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94E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B11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27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r>
      <w:tr w:rsidR="007639BC" w14:paraId="67FC2F30"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AD3CB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FEC7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3CC6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9414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DA4D0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CA7E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70711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AE82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C3D8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425C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F3E3A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70C1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BC2A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C322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C4B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7DCD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3235A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417E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A7290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DD65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9C2F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D286D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8C91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C8AE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CB57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E813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42EA7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2943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r>
      <w:tr w:rsidR="007639BC" w14:paraId="406B5AE6"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AB3C9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187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843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2D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B50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FD9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015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A74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C1A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404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8AA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59B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955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48B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632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AAC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806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129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120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133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EA1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03F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480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2C8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313C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B61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8EC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5CE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7639BC" w14:paraId="6D06BFE1"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8B0DE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A079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8B10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8BD0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D5328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00C6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D1CB6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7648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BCB56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88FB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31B6B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3AE4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510C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5D8A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8C86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0F9A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AD22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20EC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0FA3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0511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852BC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ECBD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409CA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C75AB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EFC4F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652C0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57B8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408A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r>
      <w:tr w:rsidR="007639BC" w14:paraId="380402B4"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FC0A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8BE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205A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0A6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B73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A8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F19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CD9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8DC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3F6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213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36E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A13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F65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797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6D8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82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59D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3EC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C66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B5F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6FF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F35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926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F5A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965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9BC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B99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4B884ACF"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E8805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9083D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1DA6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7E7C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6D94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E3CC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1CA5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F7A11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EC52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2747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F9A0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9A5D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F32BC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E350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8100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0187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B6A0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3602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0B58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4632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0C0D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6AE50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E162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7CBB5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2BA7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D19AA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27969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C9247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6575F80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AACA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7DD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F19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A2B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5FA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A82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D16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943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F19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FF5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2DA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EC5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254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0D2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47B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B68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D53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FD7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B70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6AC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1A4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E26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AE4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4F0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E75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E5C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24E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131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6F6DC3DE"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B9243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AF65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E784A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D9D9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84AD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1B9B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0D7C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6222D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DE7C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5FD1A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FAD11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34BF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AD9C9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5C42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7A15C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A111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1F04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F35EF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90429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58630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DC66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665C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0428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8252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AF13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7FB8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E762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B6C3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33A6D9B8"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10016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6775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B11EA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9680B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79AF8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2E70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39A9B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3BED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0DCA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2CAE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3A7D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E058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AE03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1C369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BE38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9A03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B94BD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2BA9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A2451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53D3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D681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040A0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A5DF8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2248D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5AC7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89470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9F8E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256B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r>
      <w:tr w:rsidR="007639BC" w14:paraId="57AC376F"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FB2DA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9142A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B9E1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70B95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281B80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57E7FF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10139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F837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6E0F8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56EC1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9AAED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D741F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DB52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AE9F8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F1272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A777B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D62F2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7DB11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31C5A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27865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E40E3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01B5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90B3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9369C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F29CA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140BD0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A1D1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DDA9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r>
    </w:tbl>
    <w:p w14:paraId="04D78EFF"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Linked to CPI</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3571554A"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956E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C8A8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E4FF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3A05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F0FA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D550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7A17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E61C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CF99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43C8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5EED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B8BA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C582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1DC8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A031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9BDF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E862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1E59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5EFD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3F1B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0CDB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5DE2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B6B7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AECB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B4EE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3D52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84A9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653B17CA"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E1BB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91E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AB4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BDF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593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691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2A4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FD3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776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6F5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09D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4C2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C41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8EA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96F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5EC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B83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3EC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BAB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485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7DF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5C6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5F3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896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BDE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6A5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3D5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475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7639BC" w14:paraId="3445ACC3"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0C9E1D"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1A90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23BA4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AD37D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43FFF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028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CF918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0F2D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3F53D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8020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7D96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158F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3D27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21D40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D12CE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B356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10373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23C8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C4FA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D8D28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10F0D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F333E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1B04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8F3F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947A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165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0739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273C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r>
      <w:tr w:rsidR="007639BC" w14:paraId="120F8428"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0191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A56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9AF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02B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3F9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984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AA7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60B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918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105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1F3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261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D92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501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065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403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D76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589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33F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7CD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30B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C23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2AF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6EB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F904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F7A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3A6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21A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33032CD9"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4DBC5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3F05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D0A1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DE661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FE58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8DFE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7B8C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C8B4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C75B6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0B99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05E37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F500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14F9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BDD2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4A08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299C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6738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E861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F90DE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975D1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DC079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1BEE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9837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9335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7949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FAC6A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A2ED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8986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1E4F444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DC44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B31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BCE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EC3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A57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DB2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7045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E69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C83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13B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AE1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1A2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1F8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601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848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554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ADF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B37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224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4F5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1AF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ABA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F2C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9A0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094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450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B57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BA3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25B6BF29"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FC082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D1934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0B5C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D6B8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689B6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1E21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E97B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2B24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25A2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D785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37D4D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EE11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13051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B6F3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A3E1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FB94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6F0C6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3CD2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68DE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2CABF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CD15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BB6DD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7154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C58C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B383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B648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04A5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55E81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127D4BCE"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D04F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339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039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203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415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859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2C6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508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512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58B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01A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B257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984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1B6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929B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328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D14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DB8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6593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A85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BE1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609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BAD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DC6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4D5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04E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EB6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93F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193954E5"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D1DC7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0408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C5967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2A60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BE04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C927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F277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E4C8C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F7AAA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5B78A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30754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104A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055BB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9C8D4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E53B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3610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26FD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DE65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E344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D71A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2160E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8EFF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E6A33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1063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C31C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2539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25DD5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A8EA8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792BE289"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7A9C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5D677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AF21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93D4E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5A77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A594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E3BFA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F3D5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E64C6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140E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8225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AE993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DCADB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A5E26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9073B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59366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C05C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8AA1D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471A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D9DB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3D49C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E7B43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9E5EA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45538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61BDE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BE41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D9E5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569F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w:t>
            </w:r>
          </w:p>
        </w:tc>
      </w:tr>
      <w:tr w:rsidR="007639BC" w14:paraId="52803051"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39E8D5E"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4A222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19CE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811C5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CDA5F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08EE5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4FDBF2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59B6B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685498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261ECC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C62F8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19B9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FD18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CA67FD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82A9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1A7CA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112E9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34AA9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8095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203AA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1A5DE0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4317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F1C6A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95E18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9D09D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40C0F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36B08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1DD4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r>
    </w:tbl>
    <w:p w14:paraId="1ACA87CB" w14:textId="77777777" w:rsidR="00AB0A8C" w:rsidRDefault="007639BC">
      <w:r>
        <w:br w:type="page"/>
      </w:r>
    </w:p>
    <w:p w14:paraId="66C82D9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lastRenderedPageBreak/>
        <w:t>Inconsistent increase</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27F6CD9F"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89F8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1165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77AF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A191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64AA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F03E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A780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F939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0F0C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5313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28D0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D9DA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A165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CF28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474D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63E1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E065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B4BF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2354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6462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14A8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9ECD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4BD4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13B9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BB04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9BC8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36014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7D6D5A53"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3B20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75D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DB4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72CF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601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1A9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B21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CDA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8DC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FFD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1D2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D3A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15D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2C1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108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CA2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39C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493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708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F47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478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E35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5EA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20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E84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E39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EDB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6A3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r>
      <w:tr w:rsidR="007639BC" w14:paraId="4799A470"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2F1E7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B055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CE12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B71E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2289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EED77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D8E0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CDC2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A80E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37EB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46A2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CB36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0465F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C7CE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48144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3FB7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7CCC8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C072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E8F5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1753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E58F8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BFA37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EF68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7B31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2E8D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EBA9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3D9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2DF8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w:t>
            </w:r>
          </w:p>
        </w:tc>
      </w:tr>
      <w:tr w:rsidR="007639BC" w14:paraId="7DE82EA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4639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5250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A3B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E4C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8FC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B74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E94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D455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91D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81D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493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07C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475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033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DCC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EFB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08D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AB1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62E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EB0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903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7B02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D5E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38D7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5E3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16E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B03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DE2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r>
      <w:tr w:rsidR="007639BC" w14:paraId="11CFADE1"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52C62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88F8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BAA5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6366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72DB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63D33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AB001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2EFF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05B08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51E6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FD588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A79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43D1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B6CE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1A70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66920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FD3F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6BC9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185E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FDC2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202D8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7F26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F1042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3911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660FA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733C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D69C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350A0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7639BC" w14:paraId="27650CC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4E4E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E31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F9F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065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1E8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822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9B3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25E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DA0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4F9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143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B33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723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9BF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FFB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EA2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CD4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0AB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5FB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B16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69F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042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69D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7D8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05A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0A8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F82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EEF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r>
      <w:tr w:rsidR="007639BC" w14:paraId="60ADB2C9"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A9289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87A0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1688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8420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F272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3114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DF96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9AC78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E4C66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9D3B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058F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550BC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B090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A47C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4195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05AF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324E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021F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877E8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0DF3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3358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C3DD0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02438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E4AB6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8FFB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9D7A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68ED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7E772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21.5</w:t>
            </w:r>
          </w:p>
        </w:tc>
      </w:tr>
      <w:tr w:rsidR="007639BC" w14:paraId="0A942B21"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B0BC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A78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FD2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9A5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CEC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D17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211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4A9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6A9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349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E1C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93F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CF1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6BA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2CC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C93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370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1AA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9F4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8661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1C5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9A9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65D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FA0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1AB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4F6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CEB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887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455008A5"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473660"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FDF3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6866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1E63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DDBF4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FF392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40F99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B30C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F0F9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A39B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87C3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53FE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64E5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C77C2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F3093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B622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5880A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4D0D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00E2C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09BA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54D1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F690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0D30B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1238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2031D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243A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DB97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5D173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7F7509ED"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688B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B19E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4219A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82C70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BDC22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73743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343E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5232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D7A47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71DCF0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9B5A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FB9F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133E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5650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A6D39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53E7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CF56B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28B9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B583F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39048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4CC3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8FB1B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45F1B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FA045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2939C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3D915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A2CBA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FEF1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w:t>
            </w:r>
          </w:p>
        </w:tc>
      </w:tr>
      <w:tr w:rsidR="007639BC" w14:paraId="195459FF"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0AB70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E1C00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34365E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BA84A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23FABC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AECF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058A7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2833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5559B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04D6F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C8FA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41C75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888EE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9DFD09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A514C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C0007E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51.3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83C9F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8C2EF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969AE5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65291C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8AF6C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DDFDC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5DF07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DDF0D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110F7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2EB9C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3DD444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909FE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r>
    </w:tbl>
    <w:p w14:paraId="540D567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Performance linked</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4D2037EE"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BBE4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4791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A6DE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AFFB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5039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C0F2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1B0D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ECFE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EF92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C72E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5564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FE81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ADCD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C2A4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37C3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57C0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928B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F65B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1821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BDED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5F6A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93480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3DE5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A657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6A06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8B11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198C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455D4493"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0E7C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4C3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B49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E39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59D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578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B818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46A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046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60D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1C63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DD3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1F1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4D9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421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C92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2FA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0D2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B3D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DC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198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07D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D18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B908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389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D3F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F01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A91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7639BC" w14:paraId="60783C0D"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1C82BC"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D03D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C6559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CD33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464C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E519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1095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39956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2682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5A74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3E62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44D8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F70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1FA2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A60F6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A9AF1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AE187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EE29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C6BF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9DCDD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EE8D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C832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42DA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C58A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5CDA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281B7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B2A6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A5C4B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r w:rsidR="007639BC" w14:paraId="43165497"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A4B8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766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556D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1CD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1EF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6E4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2EF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600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ACD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D79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396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80B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4E6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7C7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9AB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D14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D76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94B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4DE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40D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50D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CCA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25F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F55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8EE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34F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856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F3A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4EF6F94C"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B7F2B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E6D90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20C2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C424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BE40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CFA6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3D6E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D4EC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7A82B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F5958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7616D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7E6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2B76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71252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AACF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E006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533B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175BE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2E9A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EF75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8D96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D7F7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0FDB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227C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0369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0081F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8612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7267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40F02B1A"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C6A8A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028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A60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765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078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DB0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968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F13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B0F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533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04F3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B3E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01E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1DA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685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521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2A4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E55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52A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159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541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840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338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75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06C4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6E8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97C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2AA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7CB5F7DD"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B25DA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C0E9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C02A1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1A99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7BEC5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26C3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236C0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F372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8BCA2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D729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6EBC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47848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B3AA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AE1A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2B43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CAC9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A2AD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D826A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4F84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99EB7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EA7E4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FB72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601E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8E3C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BC062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45FA6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A476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74E65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28A92A4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F2CC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BE4C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43A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EA1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13A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A30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390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589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A1C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5AF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6D1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D75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02B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21A7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E7D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722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593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94A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654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B41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020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E494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EDC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D9B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896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D05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D0B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9CF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3AB93D1D"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C8A18A"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EA159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4BB9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17FCF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50D35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C9A1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36481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79B9C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D821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99F11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C1D1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92AB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5D3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2A773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2D36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98DA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07B0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FE5A7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E1FA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4099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4448D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AB9EC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F7F3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45EF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EF1AD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E548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0814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F5E7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0E5FC805"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F6A5E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EA7BE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4530F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1850B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17A5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E2715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80A8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EDD23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4A10C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760D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8F414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D29A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7D8C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3868A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855C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351E3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D635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AC1B99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4FA88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A51FB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1E8F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6D14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CBF33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286D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FEF4F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AC8AFB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0918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7F35D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r>
      <w:tr w:rsidR="007639BC" w14:paraId="462AD099"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892FAD"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8F6BAB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C66DC0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13933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703984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F663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A66CC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C34A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3135F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947719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4DE3F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D2E0C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AA1E9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9182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955DB3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DC75D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453B6D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99CB0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90E36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158B12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2913A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729B3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BA108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019130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FC34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267E8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76140E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0454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r>
    </w:tbl>
    <w:p w14:paraId="73916175" w14:textId="77777777" w:rsidR="00AB0A8C" w:rsidRDefault="007639BC">
      <w:r>
        <w:br w:type="page"/>
      </w:r>
    </w:p>
    <w:p w14:paraId="2B54CA9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lastRenderedPageBreak/>
        <w:t>Other reason</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0F8C69EA"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EC5A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464B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D9DD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11F94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949A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EA3B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F027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1C894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CC042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C8E4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F1E3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B7548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31ED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60B0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58F9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5667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BD13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92A6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F970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60C3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3992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B2E9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A8B9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EF54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9C31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23A8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1688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5010E2A8"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C7E64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971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BA1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032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6A4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3CF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3B8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DDD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779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BE0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78F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C4A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7D3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A62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83B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F12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6C1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B59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BBB2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784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2ABE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954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974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B13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990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A5F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AAE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246C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47</w:t>
            </w:r>
          </w:p>
        </w:tc>
      </w:tr>
      <w:tr w:rsidR="007639BC" w14:paraId="4B6F74E0"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D415A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4EB0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C5F35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1619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DEAC6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88F37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F1D6D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CC5E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47F3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41FA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2A4C6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C10AF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CF7F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565C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1BA73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EB5D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7938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7CD38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CB66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37F1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35DB4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2B31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06B2C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04F5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4FCE9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B584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A4F5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5E9B0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r>
      <w:tr w:rsidR="007639BC" w14:paraId="7DD3D8EF"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E39A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78E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6B7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B8F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DC1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351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281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025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A06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7B1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17C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335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BCE5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82D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854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AF8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EA3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564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84C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E03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85A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68F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063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EAF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BFD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E68B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536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BF2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r>
      <w:tr w:rsidR="007639BC" w14:paraId="19AB835A"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36550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684E9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9C1C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07AB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3AA9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8B5C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77358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4E27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5AE6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45D6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54512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BAA22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EABF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B41B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A2135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CDFD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7A577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7B80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032E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0E83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E636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C06FA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87C9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3B0B8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369B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F2ACF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E1DDA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009D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0.4</w:t>
            </w:r>
          </w:p>
        </w:tc>
      </w:tr>
      <w:tr w:rsidR="007639BC" w14:paraId="2F05D51D"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DADC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9B09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7D1E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CE8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E55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593A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DA6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E99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444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F40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BFF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4EF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1A1A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439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D5A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7E5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F91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6CA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12C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65EB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BF7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4A1C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016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DD5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646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48A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68D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AA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27C9EE23"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CD96F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25955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DEFD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C3263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9DA1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5470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6874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3E10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055DE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EF41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BB3C3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0305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F0CD4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FEC0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234E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7B90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61311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A52A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6506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BA09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0D19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85F1F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9F809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14289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663AF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F0F73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48B88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DBA15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349A9602"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C172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95F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C71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968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BEBB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FE4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B85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950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BA9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4ED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C03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324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B6A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25B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856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B4D9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BFA7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456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AA1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41E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B2A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718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0C1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BC7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70B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742D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CE4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37EF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4041BF14"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79A11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26E6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5DC8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EB51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934D1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01D10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BD717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B5E77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7EDF4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47C4F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5AFC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94FDF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DF82D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AB15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6952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88F5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31A4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79BED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9A60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7E4CC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54AD3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85C3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AC481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55D5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F7C53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5645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AC43E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B6CF7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080A9EEE"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4C3A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Sub-total</w:t>
            </w:r>
          </w:p>
        </w:tc>
        <w:tc>
          <w:tcPr>
            <w:tcW w:w="1701"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8712C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B467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BEA3C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40F6A5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E7033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185B3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14A58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C20B5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DE873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9A74B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20B8A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58</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FC425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2D3EE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77E9B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F28FE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2B627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03A8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471C2A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B4687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BC317A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6F55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8416E3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12F43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378C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1E2B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67C6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7306E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r>
      <w:tr w:rsidR="007639BC" w14:paraId="3FD9A529"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A7FBFD1"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1EE86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BCD45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52A542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3EA905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8B03A5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BBAE2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B84295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321F7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5EE92B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C7F58E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83BC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4E6B8C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24AC4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5D08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12DE7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911A96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9C03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3372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CBC44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936F42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C4038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6D3E8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8AAC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50766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7E53D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12.9</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06D99D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7B402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6.2</w:t>
            </w:r>
          </w:p>
        </w:tc>
      </w:tr>
    </w:tbl>
    <w:p w14:paraId="1BA1FEF2"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rPr>
        <w:t>Totals</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1A51E596"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BE56B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118B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1963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0873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3404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8C90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A1FB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2F62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E727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F5A73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1BE8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C3BC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11B3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280C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63651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2A85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4FED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5AAA4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421E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956E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C57B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10BB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E613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8C03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608AD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BC08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A26D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53A28731" w14:textId="77777777">
        <w:trPr>
          <w:jc w:val="center"/>
        </w:trPr>
        <w:tc>
          <w:tcPr>
            <w:tcW w:w="2154" w:type="dxa"/>
            <w:vMerge w:val="restart"/>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2E17A3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Total non-quantifiable</w:t>
            </w:r>
          </w:p>
        </w:tc>
        <w:tc>
          <w:tcPr>
            <w:tcW w:w="1701"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F1B72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B0BC5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DAFE04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F3AD9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B622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209</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95806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10B1F8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C450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05451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DBCE38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2719A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176</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B40C3F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A9CB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2E409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4FA4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237</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759CA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AC25E5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230</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DAAC9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C0640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219</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6E01A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E7613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241</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32C687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55B9E5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212</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6D680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E1E6C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57"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02BE2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E97E1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157</w:t>
            </w:r>
          </w:p>
        </w:tc>
      </w:tr>
      <w:tr w:rsidR="007639BC" w14:paraId="10603D5F"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D29553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5B706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8DE9C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4E4D5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AF8BD9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8F422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9E966E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1E51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65.9</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82EB54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2EC4CB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46E01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10B3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B745F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10466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113.8</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0D2BA2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F3D3AE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133.4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B0948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E2C19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EB3F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7F14B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132.4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EED3A5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DE30F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ACA95A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8DC131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153.0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D62B8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4FEA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42.9</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DA72C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728B8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48.0</w:t>
            </w:r>
          </w:p>
        </w:tc>
      </w:tr>
    </w:tbl>
    <w:p w14:paraId="571F323D" w14:textId="54CAF0CB"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62D727FF"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214AF4E0" w14:textId="5F4476E4" w:rsidR="00AB0A8C" w:rsidRPr="00AF72EF" w:rsidRDefault="007639BC" w:rsidP="00BD6A47">
      <w:pPr>
        <w:pStyle w:val="ListParagraph"/>
        <w:numPr>
          <w:ilvl w:val="0"/>
          <w:numId w:val="20"/>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Non-quantifiable wage agreements are those which do not provide a consistent wage increase for all employees or link wage increases to other methods.  Refer to the technical notes for further explanation.</w:t>
      </w:r>
    </w:p>
    <w:p w14:paraId="53A103AD" w14:textId="749AAAF8" w:rsidR="00AB0A8C" w:rsidRPr="00AF72EF" w:rsidRDefault="007639BC" w:rsidP="00BD6A47">
      <w:pPr>
        <w:pStyle w:val="ListParagraph"/>
        <w:numPr>
          <w:ilvl w:val="0"/>
          <w:numId w:val="20"/>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7E3266E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24 single enterprise non-Greenfields agreements approved in the June quarter 2025 had non-quantifiable AAWIs because wage increases were linked to minimum wage movements. These agreements covered 5,500 employees.</w:t>
      </w:r>
    </w:p>
    <w:p w14:paraId="6EA24072" w14:textId="77777777" w:rsidR="00AB0A8C" w:rsidRDefault="007639BC">
      <w:r>
        <w:br w:type="page"/>
      </w:r>
    </w:p>
    <w:p w14:paraId="618F4CE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Table 12b </w:t>
      </w:r>
      <w:proofErr w:type="gramStart"/>
      <w:r>
        <w:rPr>
          <w:rFonts w:ascii="Aptos" w:eastAsia="Aptos" w:hAnsi="Aptos" w:cs="Aptos"/>
          <w:b/>
          <w:color w:val="000000"/>
          <w:sz w:val="28"/>
          <w:szCs w:val="28"/>
        </w:rPr>
        <w:t>- Agreements</w:t>
      </w:r>
      <w:proofErr w:type="gramEnd"/>
      <w:r>
        <w:rPr>
          <w:rFonts w:ascii="Aptos" w:eastAsia="Aptos" w:hAnsi="Aptos" w:cs="Aptos"/>
          <w:b/>
          <w:color w:val="000000"/>
          <w:sz w:val="28"/>
          <w:szCs w:val="28"/>
        </w:rPr>
        <w:t xml:space="preserve"> </w:t>
      </w:r>
      <w:proofErr w:type="gramStart"/>
      <w:r>
        <w:rPr>
          <w:rFonts w:ascii="Aptos" w:eastAsia="Aptos" w:hAnsi="Aptos" w:cs="Aptos"/>
          <w:b/>
          <w:color w:val="000000"/>
          <w:sz w:val="28"/>
          <w:szCs w:val="28"/>
        </w:rPr>
        <w:t>approved</w:t>
      </w:r>
      <w:proofErr w:type="gramEnd"/>
      <w:r>
        <w:rPr>
          <w:rFonts w:ascii="Aptos" w:eastAsia="Aptos" w:hAnsi="Aptos" w:cs="Aptos"/>
          <w:b/>
          <w:color w:val="000000"/>
          <w:sz w:val="28"/>
          <w:szCs w:val="28"/>
        </w:rPr>
        <w:t xml:space="preserve"> in the quarter - quantifiable wage increases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5B94F435"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86EF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Type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91507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C96A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F680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9CC67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77F5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185A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5838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8C05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B27A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1E3C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F58B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E8A7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705E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F1E0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3D616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CF09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9C41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96E5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FA6C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315A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770AC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E452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38F2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C10E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6212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7A5E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3B7C920F"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6985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non-Greenfields</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6169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D961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2E3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6BF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5C0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FF8E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CC46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89C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E6F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663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1D8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C26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D3E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05E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0B34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9E9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962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B18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A1C7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3A8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4F09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F08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A9EF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034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E9E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534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CDF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514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C1C0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771</w:t>
            </w:r>
          </w:p>
        </w:tc>
      </w:tr>
      <w:tr w:rsidR="007639BC" w14:paraId="348A53F3"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FC2EE7"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A02B8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B201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DE4B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024A4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E97B0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20F26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009B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5C88A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F24D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103.2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99A5F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807A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F999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70E98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BBB22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AED21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BEBE9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A228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F016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ACEB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DEDF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331A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880C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832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871E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AC2B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09744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BE45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108.7</w:t>
            </w:r>
          </w:p>
        </w:tc>
      </w:tr>
      <w:tr w:rsidR="007639BC" w14:paraId="0B1B9746"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C35B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Single 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72B6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7DE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067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2F3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1F6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97C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BFE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133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18BE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0943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34C3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F96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FA2C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386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930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BB6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507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B3C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8C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9BD1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8094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8AE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ED5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E0B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EF1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B211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213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r>
      <w:tr w:rsidR="007639BC" w14:paraId="24F0C27A"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86FD98"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BB8D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362CE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65E0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5EAF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846FA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BC546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FEBB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5D8D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1B562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C4FC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26B82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739DA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735E8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FDC1C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0092C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0B330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B0AA5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83CAE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0C17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EB6E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08EB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50B73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90E4F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AD7F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143B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38534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DFE21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w:t>
            </w:r>
          </w:p>
        </w:tc>
      </w:tr>
      <w:tr w:rsidR="007639BC" w14:paraId="2CC475D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6198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non-Greenfields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0E9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8BF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8A6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F3A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C91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C10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2DD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CB05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FC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AC03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CE8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8C88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10AB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46F4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F145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B79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DDD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04AB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F2B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21E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4A3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A5C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B80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DE9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59D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41B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AA0B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w:t>
            </w:r>
          </w:p>
        </w:tc>
      </w:tr>
      <w:tr w:rsidR="007639BC" w14:paraId="59159019"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E92EB2"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B10CA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3E252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24FB0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BF00B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8AC5F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D987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227E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53D3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F0F6B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3516D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BAA3A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2429A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6002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481AF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3FDD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26709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B9F11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6243C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CF66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A4352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97D5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DD38B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D69C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4C2A2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F983D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3A3F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F7662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26.6</w:t>
            </w:r>
          </w:p>
        </w:tc>
      </w:tr>
      <w:tr w:rsidR="007639BC" w14:paraId="16E8949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45EA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Multi-enterprise Greenfields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313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FD5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39D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522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5D5D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935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669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F48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EA40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8A9B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2C7C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6633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964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A2C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62F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8EC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38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169E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762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52EC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13D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348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44EC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EE92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46F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695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82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w:t>
            </w:r>
          </w:p>
        </w:tc>
      </w:tr>
      <w:tr w:rsidR="007639BC" w14:paraId="36005FCF" w14:textId="77777777">
        <w:trPr>
          <w:jc w:val="center"/>
        </w:trPr>
        <w:tc>
          <w:tcPr>
            <w:tcW w:w="2154" w:type="dxa"/>
            <w:vMerge/>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98DEC9"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A7A9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2CBCB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51414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4217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8BCF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B5B0A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4728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DFE57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729AE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ADBB9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01FB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2A80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9BF9E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CE42F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EC05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905E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977F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134C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7B629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82E93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38D3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19488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01323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EF945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1B725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FEB3F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4A2F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0.0</w:t>
            </w:r>
          </w:p>
        </w:tc>
      </w:tr>
      <w:tr w:rsidR="007639BC" w14:paraId="6CF4F23D"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76864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Total quantifiable</w:t>
            </w:r>
          </w:p>
        </w:tc>
        <w:tc>
          <w:tcPr>
            <w:tcW w:w="1701"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AD947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C9AE7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B20B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797</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276C49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15FA48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387F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B87E5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906</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768F0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0FD819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719</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0595D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F6082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762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468D8C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5501C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861</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71E4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551EB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2CAE7F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310D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792</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DD33E2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5C0450F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985</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2CA2AB5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793BE0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700</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79EE37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2C6FC4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994</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66C92E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F0F5DA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830</w:t>
            </w:r>
          </w:p>
        </w:tc>
        <w:tc>
          <w:tcPr>
            <w:tcW w:w="57"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1B880D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BFBFBF"/>
            <w:tcMar>
              <w:top w:w="0" w:type="dxa"/>
              <w:left w:w="0" w:type="dxa"/>
              <w:bottom w:w="0" w:type="dxa"/>
              <w:right w:w="0" w:type="dxa"/>
            </w:tcMar>
            <w:vAlign w:val="center"/>
          </w:tcPr>
          <w:p w14:paraId="4D69BF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816</w:t>
            </w:r>
          </w:p>
        </w:tc>
      </w:tr>
      <w:tr w:rsidR="007639BC" w14:paraId="49E267E5" w14:textId="77777777">
        <w:trPr>
          <w:jc w:val="center"/>
        </w:trPr>
        <w:tc>
          <w:tcPr>
            <w:tcW w:w="2154" w:type="dxa"/>
            <w:vMerge/>
            <w:tcBorders>
              <w:top w:val="single" w:sz="8"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BFDF3C4"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87D655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DA6A5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2FF37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39ACBB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485A5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175.5</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61EF2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C45928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156.2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41372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90B46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105.3</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091C8F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3D727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00346C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8BF9E6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182.2</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A2BD7C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3F013C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143.4</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2D7E442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600930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B9F685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0D73063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143.0</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10C1097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58953CF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164.1</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0510A6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007F0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243.7</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7BA6E56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CBB213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125.6</w:t>
            </w:r>
          </w:p>
        </w:tc>
        <w:tc>
          <w:tcPr>
            <w:tcW w:w="57"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1F7215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BFBFBF"/>
            <w:tcMar>
              <w:top w:w="0" w:type="dxa"/>
              <w:left w:w="0" w:type="dxa"/>
              <w:bottom w:w="0" w:type="dxa"/>
              <w:right w:w="0" w:type="dxa"/>
            </w:tcMar>
            <w:vAlign w:val="center"/>
          </w:tcPr>
          <w:p w14:paraId="40C7BE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136.9</w:t>
            </w:r>
          </w:p>
        </w:tc>
      </w:tr>
    </w:tbl>
    <w:p w14:paraId="0DB88A6C" w14:textId="088483C0"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7BA2F69F"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5961DA7A" w14:textId="7588C913" w:rsidR="00AB0A8C" w:rsidRPr="00AF72EF" w:rsidRDefault="007639BC" w:rsidP="00BD6A47">
      <w:pPr>
        <w:pStyle w:val="ListParagraph"/>
        <w:numPr>
          <w:ilvl w:val="0"/>
          <w:numId w:val="21"/>
        </w:numPr>
        <w:pBdr>
          <w:top w:val="none" w:sz="0" w:space="0" w:color="000000"/>
          <w:left w:val="none" w:sz="0" w:space="0" w:color="000000"/>
          <w:bottom w:val="none" w:sz="0" w:space="0" w:color="000000"/>
          <w:right w:val="none" w:sz="0" w:space="0" w:color="000000"/>
        </w:pBdr>
        <w:spacing w:after="0"/>
      </w:pPr>
      <w:r w:rsidRPr="00AF72EF">
        <w:rPr>
          <w:rFonts w:ascii="Aptos" w:eastAsia="Aptos" w:hAnsi="Aptos" w:cs="Aptos"/>
          <w:i/>
          <w:sz w:val="20"/>
          <w:szCs w:val="20"/>
        </w:rPr>
        <w:t xml:space="preserve">All estimates are rounded and are subject to revision. Revisions have been made </w:t>
      </w:r>
      <w:proofErr w:type="gramStart"/>
      <w:r w:rsidRPr="00AF72EF">
        <w:rPr>
          <w:rFonts w:ascii="Aptos" w:eastAsia="Aptos" w:hAnsi="Aptos" w:cs="Aptos"/>
          <w:i/>
          <w:sz w:val="20"/>
          <w:szCs w:val="20"/>
        </w:rPr>
        <w:t>to</w:t>
      </w:r>
      <w:proofErr w:type="gramEnd"/>
      <w:r w:rsidRPr="00AF72EF">
        <w:rPr>
          <w:rFonts w:ascii="Aptos" w:eastAsia="Aptos" w:hAnsi="Aptos" w:cs="Aptos"/>
          <w:i/>
          <w:sz w:val="20"/>
          <w:szCs w:val="20"/>
        </w:rPr>
        <w:t xml:space="preserve"> historical series.</w:t>
      </w:r>
    </w:p>
    <w:p w14:paraId="277F0BB2"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771 single enterprise non-Greenfields agreements approved in the June quarter 2025 had quantifiable AAWIs. These agreements covered 108,700 employees.</w:t>
      </w:r>
    </w:p>
    <w:p w14:paraId="4FF0777E" w14:textId="77777777" w:rsidR="00AB0A8C" w:rsidRDefault="007639BC">
      <w:r>
        <w:br w:type="page"/>
      </w:r>
    </w:p>
    <w:p w14:paraId="5724EFB8"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13 - Agreements approved in the quarter, by union coverage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682402C1"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0D429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C109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8AE2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0D69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A584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EA9F5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F0B6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90BF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197B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A77B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4015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9338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D8D9E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2C54D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BFF2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BAB7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1A21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7BE2E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BDB6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0F37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DF4B1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508C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29AC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D0C9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C657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055DC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EBFB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0A9C8199"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8A82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1C1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6902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5C17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B2DF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F71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870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24B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F3C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910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20A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5A51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673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AD0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E35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942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256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779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3CC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CA11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D8A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1C7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CC94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1,005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1E44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083C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CB52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F3C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4EA2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7EF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A3B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8DB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839</w:t>
            </w:r>
          </w:p>
        </w:tc>
      </w:tr>
      <w:tr w:rsidR="007639BC" w14:paraId="33E6149C"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48B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89F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01F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25F6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2E53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006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9644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91C8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984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178B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1A6D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9E7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168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46B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465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E37E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43E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0EE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F7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5F0A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E2C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F2C8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C30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C60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1332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370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B2D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B6D8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04C8E978"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177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105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9B70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E99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437F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3B71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344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87C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B5B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937D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0293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920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D51B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588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7D2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A80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2BD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BD6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4428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231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0291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4BF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BE1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35D5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00D6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DD5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9F68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28B5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35E51468"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1580B"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8B61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22C53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F48A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7F85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38AF7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B146A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F0FC6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1056B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DC372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3D7AC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9B544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FCB5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C079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FF86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E104A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7D898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113B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26B60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2276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25F07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85E56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BEB63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60A03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389.8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EE2D3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49D11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E7B3C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E8B14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177.5</w:t>
            </w:r>
          </w:p>
        </w:tc>
      </w:tr>
      <w:tr w:rsidR="007639BC" w14:paraId="3C7F6F75"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4CB51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 union covered</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D29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B3D8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439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8BF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63D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EA5B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8E6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B279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A42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A1B1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DC0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13A8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FCCC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F9F7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4B8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D2E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E962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38F2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82A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609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A9D2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BBC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CCA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F9C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797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BA8E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C59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w:t>
            </w:r>
          </w:p>
        </w:tc>
      </w:tr>
      <w:tr w:rsidR="007639BC" w14:paraId="00C8C23D"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3B291"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6676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A99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FCE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0C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C1C2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04F7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67A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19A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D3F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C3C7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9DC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8B0A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E3D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6C0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8BB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AF5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B463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0C5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326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0ECE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C413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EAD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D7A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2AE0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B60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7577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3023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4877C14B"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051F0"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42B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0AF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9A8C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CD5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3949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8BD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86A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574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624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FD45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233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B8E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7DC8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37E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630E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FF4A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A5EF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B47C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DBA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9F16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EFA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934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15B5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9DDD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054A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C527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3E01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r>
      <w:tr w:rsidR="007639BC" w14:paraId="77B1FED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3F414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B7EA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BB7CE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B393B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36BF9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6154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05F97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3F89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8D62F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1A1E5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0A67B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3A94B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687FF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01C9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9911F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5339D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F23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52A4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81104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59F19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9730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26295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0C96C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00C4D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8BDAD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587F6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1C0C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0CD7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w:t>
            </w:r>
          </w:p>
        </w:tc>
      </w:tr>
      <w:tr w:rsidR="007639BC" w14:paraId="4AC2B9B5"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B44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0B7A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357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BDF7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88E1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06C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71B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C245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BF0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534F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E70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2A1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E931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DED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E52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DE6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4F8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708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A78D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AC96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DC4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F5FF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13D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3FE5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1D5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66F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DB7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979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973</w:t>
            </w:r>
          </w:p>
        </w:tc>
      </w:tr>
      <w:tr w:rsidR="007639BC" w14:paraId="4298B590"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B406D"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3701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0CC3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674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CBAC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5AB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58D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74B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AA4A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AF3E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CCE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A14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EE03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D25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7790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BE33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828E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68F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C0E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E6BF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150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37F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615E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2CA4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8038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D23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E43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0BFB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r>
      <w:tr w:rsidR="007639BC" w14:paraId="215D8E59"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A31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8D8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3302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C35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DFCD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AAA6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86F3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F48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1C7B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75C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BA40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055A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52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64F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0AC2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96BE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D299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0D0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D792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C932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4F1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1622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00DC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D2C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F3DA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BDD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B548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638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r>
      <w:tr w:rsidR="007639BC" w14:paraId="7871F75C"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2AAD26"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4142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AE79F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88D6B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154.8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2CF5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FA711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213.7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04EE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FB07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222.1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16F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798F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3511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B66C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136.2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3B92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443C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9CF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BA03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276.9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E824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9846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366.0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9921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5D7D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275.5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6727E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1C0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341.5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F1C4B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4638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396.8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B94C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7628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1A719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83697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184.9</w:t>
            </w:r>
          </w:p>
        </w:tc>
      </w:tr>
    </w:tbl>
    <w:p w14:paraId="472B6B4C" w14:textId="5EBF14B8"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67C02B95"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1D085815" w14:textId="19E6EB25" w:rsidR="00AB0A8C" w:rsidRPr="00F862F5" w:rsidRDefault="007639BC" w:rsidP="00BD6A47">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AAWI = Average Annualised Wage Increase per employee.</w:t>
      </w:r>
    </w:p>
    <w:p w14:paraId="6427EACE" w14:textId="537991FC" w:rsidR="00AB0A8C" w:rsidRPr="00F862F5" w:rsidRDefault="007639BC" w:rsidP="00BD6A47">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Agreement and employee estimates are for all federal wage agreements in the period, while estimates of AAWI per employee are based on quantifiable wage agreements.</w:t>
      </w:r>
    </w:p>
    <w:p w14:paraId="6A67BE1F" w14:textId="27169595" w:rsidR="00AB0A8C" w:rsidRPr="00F862F5" w:rsidRDefault="007639BC" w:rsidP="00BD6A47">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 Where asterisk occurs, there are no quantifiable agreements in this </w:t>
      </w:r>
      <w:proofErr w:type="gramStart"/>
      <w:r w:rsidRPr="00F862F5">
        <w:rPr>
          <w:rFonts w:ascii="Aptos" w:eastAsia="Aptos" w:hAnsi="Aptos" w:cs="Aptos"/>
          <w:i/>
          <w:sz w:val="20"/>
          <w:szCs w:val="20"/>
        </w:rPr>
        <w:t>quarter</w:t>
      </w:r>
      <w:proofErr w:type="gramEnd"/>
      <w:r w:rsidRPr="00F862F5">
        <w:rPr>
          <w:rFonts w:ascii="Aptos" w:eastAsia="Aptos" w:hAnsi="Aptos" w:cs="Aptos"/>
          <w:i/>
          <w:sz w:val="20"/>
          <w:szCs w:val="20"/>
        </w:rPr>
        <w:t xml:space="preserve"> so no AAWI is calculable.</w:t>
      </w:r>
    </w:p>
    <w:p w14:paraId="28F58A92" w14:textId="48E2D0F8" w:rsidR="00AB0A8C" w:rsidRPr="00F862F5" w:rsidRDefault="007639BC" w:rsidP="00BD6A47">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Under the Fair Work Act 2009, a union can be covered by an agreement even if it was not involved in the bargaining process. This data does not distinguish between coverage and bargaining presence.</w:t>
      </w:r>
    </w:p>
    <w:p w14:paraId="6ED1DEAD" w14:textId="6EDB7C29" w:rsidR="00AB0A8C" w:rsidRPr="00F862F5" w:rsidRDefault="007639BC" w:rsidP="00BD6A47">
      <w:pPr>
        <w:pStyle w:val="ListParagraph"/>
        <w:numPr>
          <w:ilvl w:val="0"/>
          <w:numId w:val="22"/>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All estimates are rounded and are subject to revision. Revisions have been made </w:t>
      </w:r>
      <w:proofErr w:type="gramStart"/>
      <w:r w:rsidRPr="00F862F5">
        <w:rPr>
          <w:rFonts w:ascii="Aptos" w:eastAsia="Aptos" w:hAnsi="Aptos" w:cs="Aptos"/>
          <w:i/>
          <w:sz w:val="20"/>
          <w:szCs w:val="20"/>
        </w:rPr>
        <w:t>to</w:t>
      </w:r>
      <w:proofErr w:type="gramEnd"/>
      <w:r w:rsidRPr="00F862F5">
        <w:rPr>
          <w:rFonts w:ascii="Aptos" w:eastAsia="Aptos" w:hAnsi="Aptos" w:cs="Aptos"/>
          <w:i/>
          <w:sz w:val="20"/>
          <w:szCs w:val="20"/>
        </w:rPr>
        <w:t xml:space="preserve"> historical series.</w:t>
      </w:r>
    </w:p>
    <w:p w14:paraId="5026040F" w14:textId="1B2E5EA5"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839 agreements approved in the June quarter 2025</w:t>
      </w:r>
      <w:r w:rsidR="00653EA0">
        <w:rPr>
          <w:rFonts w:ascii="Aptos" w:eastAsia="Aptos" w:hAnsi="Aptos" w:cs="Aptos"/>
          <w:i/>
          <w:color w:val="000000"/>
          <w:sz w:val="22"/>
          <w:szCs w:val="22"/>
        </w:rPr>
        <w:t>,</w:t>
      </w:r>
      <w:r>
        <w:rPr>
          <w:rFonts w:ascii="Aptos" w:eastAsia="Aptos" w:hAnsi="Aptos" w:cs="Aptos"/>
          <w:i/>
          <w:color w:val="000000"/>
          <w:sz w:val="22"/>
          <w:szCs w:val="22"/>
        </w:rPr>
        <w:t xml:space="preserve"> covering 177,500 employees</w:t>
      </w:r>
      <w:r w:rsidR="00653EA0">
        <w:rPr>
          <w:rFonts w:ascii="Aptos" w:eastAsia="Aptos" w:hAnsi="Aptos" w:cs="Aptos"/>
          <w:i/>
          <w:color w:val="000000"/>
          <w:sz w:val="22"/>
          <w:szCs w:val="22"/>
        </w:rPr>
        <w:t>,</w:t>
      </w:r>
      <w:r>
        <w:rPr>
          <w:rFonts w:ascii="Aptos" w:eastAsia="Aptos" w:hAnsi="Aptos" w:cs="Aptos"/>
          <w:i/>
          <w:color w:val="000000"/>
          <w:sz w:val="22"/>
          <w:szCs w:val="22"/>
        </w:rPr>
        <w:t xml:space="preserve"> formally covered a union. The AAWI for these agreements was 4.2% and the average duration was 2.7 years.</w:t>
      </w:r>
    </w:p>
    <w:p w14:paraId="5D76989A" w14:textId="77777777" w:rsidR="00AB0A8C" w:rsidRDefault="007639BC">
      <w:r>
        <w:br w:type="page"/>
      </w:r>
    </w:p>
    <w:p w14:paraId="29C92E0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14 - Agreements current on the last day of the quarter, by union coverage (June quarter 2022 to June quarter 2025)</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7639BC" w14:paraId="6ADDD798"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F793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E11CA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1576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7C91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E24BC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8299D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559B7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Dec-22</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38DD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99FC1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69D3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F5154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3F06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F32D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33A55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5B07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Dec-23</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34574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047EF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8739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C020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A796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4F89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Sep-24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49021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E16AA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Dec-24</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C50A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299F1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Mar-25</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CA05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46F97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Jun-25</w:t>
            </w:r>
          </w:p>
        </w:tc>
      </w:tr>
      <w:tr w:rsidR="007639BC" w14:paraId="68CA4E19" w14:textId="77777777">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A4E25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Union covered</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C3B2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765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E8B4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265E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C4ED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8,087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8AA8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2C7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8,318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D284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F52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8,121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8A45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49E7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8,461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F989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E9C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7,121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455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8340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7,447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0CA6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0E34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6,935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BCDD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3BF8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7,539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6F6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349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7,299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06BD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5057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7,985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EBC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1568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8,267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153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B39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8,521</w:t>
            </w:r>
          </w:p>
        </w:tc>
      </w:tr>
      <w:tr w:rsidR="007639BC" w14:paraId="4826A728"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30A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395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C2E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F40A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F11C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A602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795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181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396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7406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DE6E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F72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7B2A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C927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CDAF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924D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780F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C097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393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CAFB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CD0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B59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0588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1ADD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675F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9017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9FF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0B5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6D2BB835"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7865F"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AA0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9611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E8C9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36F0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6CC3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512B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B4A3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A52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D3EF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5925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B59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2A04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BBC0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A2D0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DDAA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B122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49D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341D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165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BC9C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9DD9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F06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2682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18E6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2070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35A3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8302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r>
      <w:tr w:rsidR="007639BC" w14:paraId="19333CAC"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46AF15"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B78CC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A0611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B9B5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1,645.7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71088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613A9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1,626.3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12D137"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F0CA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8AE319"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36F4B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1,632.0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5731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0D22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1,684.9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FF319B"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1EDF6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1,698.7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6E237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52DE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1,910.8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241CA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6D0F3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2,015.7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EE4A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A6A16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2,088.5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8AD64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4BC7F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43754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F7B6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2,521.2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18C18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C5E61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2,550.3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18A5B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9B5C5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2,674.3</w:t>
            </w:r>
          </w:p>
        </w:tc>
      </w:tr>
      <w:tr w:rsidR="007639BC" w14:paraId="03F2B803" w14:textId="77777777">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AB40A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 union covered</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BA93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7BAC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58B0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2AB5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3D36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172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DBE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3,008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2026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2285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1868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331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6B6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49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2,778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EC48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7963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B78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6E3E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10E4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D5D9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2,891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CFCC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9D5E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FCB9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172E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22A7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2E3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642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419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2,781</w:t>
            </w:r>
          </w:p>
        </w:tc>
      </w:tr>
      <w:tr w:rsidR="007639BC" w14:paraId="53F138F8" w14:textId="77777777">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9F0DB"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9CA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7C7B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6277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545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2FD0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629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FF00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9219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9F21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97FE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D6EA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AE87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5EBD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638B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A2CC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5A56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6BCE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9C00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801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2CBA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BF44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61DA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B964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13E7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6542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7AF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62AB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r>
      <w:tr w:rsidR="007639BC" w14:paraId="04FCBBE7"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36C6A"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3150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B2E7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2ABE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89AF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F14B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954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3D3D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28D0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979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208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E519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C8BE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027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7ED5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7DD7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8226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CB32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1513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6268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066F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A5FC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8431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354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9B4F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0D88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6B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A4C4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3.6</w:t>
            </w:r>
          </w:p>
        </w:tc>
      </w:tr>
      <w:tr w:rsidR="007639BC" w14:paraId="22E1E024" w14:textId="77777777">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C12F4F"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40D1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BF5E4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8FB7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6F87C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B9C8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43EDA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00240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73525A"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2AFB7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FD1974"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C67D9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CBD20E"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464DA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1D24E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1E99A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F9515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B16C5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9700C1"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04C5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0E349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04FA8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124.7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0C9756"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16AD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FFCAD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151B8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128.1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CDF53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4428E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127.0</w:t>
            </w:r>
          </w:p>
        </w:tc>
      </w:tr>
      <w:tr w:rsidR="007639BC" w14:paraId="5EF48F4B" w14:textId="77777777">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07DB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All</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4085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094D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A24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1E91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7E10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FF8C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77EB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655C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59ED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11,043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A848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A14C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B7D1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BC08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643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4950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10,276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5A90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30F1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9,804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6EE7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7813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10,430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596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DB7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10,131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65E5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E984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10,822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3F5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184F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11,104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79D4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A601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11,302</w:t>
            </w:r>
          </w:p>
        </w:tc>
      </w:tr>
      <w:tr w:rsidR="007639BC" w14:paraId="3F379154" w14:textId="77777777">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A1AB8"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FE2F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289D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02B0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028B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7385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95A7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0609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781F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292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14FB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CC02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584B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06E4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13ED9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F8CF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0571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917F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860A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FBF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FA8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47E1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5A69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5138D"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BC52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6C36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331A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37A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3.8</w:t>
            </w:r>
          </w:p>
        </w:tc>
      </w:tr>
      <w:tr w:rsidR="007639BC" w14:paraId="7F977CA3" w14:textId="77777777">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F1BEE" w14:textId="77777777" w:rsidR="00AB0A8C" w:rsidRDefault="00AB0A8C">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F60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9EC6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EF28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AE70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EDEF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CDC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58F6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C1C1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DAAD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05A4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344B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0A0F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BCD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76E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53BE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86861"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9526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B8C0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84C2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F2D9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4F2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A700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99896"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F81B0"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F3CEA"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0C023"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7E48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3.0</w:t>
            </w:r>
          </w:p>
        </w:tc>
      </w:tr>
      <w:tr w:rsidR="007639BC" w14:paraId="18C6EAB2" w14:textId="77777777">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9578BD" w14:textId="77777777" w:rsidR="00AB0A8C" w:rsidRDefault="00AB0A8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45F0D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5E7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06148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1,754.4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4DF408"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795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1,733.1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C6F7C"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DD71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1,800.5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17A0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23A6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1,739.0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64FB0"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FBF27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1,791.0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1D622"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0CF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1,815.2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122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49E3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2,034.7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62A33"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DC35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2,142.0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CA2A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98884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2,214.7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1F59F"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8B42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2,209.2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3D20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DF1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2,647.3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E239D"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8928C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2,678.4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F60E5" w14:textId="77777777" w:rsidR="00AB0A8C" w:rsidRDefault="00AB0A8C">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506E9"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2,801.3</w:t>
            </w:r>
          </w:p>
        </w:tc>
      </w:tr>
    </w:tbl>
    <w:p w14:paraId="22265E2C" w14:textId="638ACAFB"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34F7779B"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6278AB8E" w14:textId="117C4794" w:rsidR="00AB0A8C" w:rsidRPr="00F862F5" w:rsidRDefault="007639BC" w:rsidP="00BD6A47">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AAWI = Average Annualised Wage Increase per employee.</w:t>
      </w:r>
    </w:p>
    <w:p w14:paraId="4A5A5388" w14:textId="6E59B431" w:rsidR="00AB0A8C" w:rsidRPr="00F862F5" w:rsidRDefault="007639BC" w:rsidP="00BD6A47">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Agreement and employee estimates are for all federal wage agreements in the period, while estimates of AAWI per employee are based on quantifiable wage agreements.</w:t>
      </w:r>
    </w:p>
    <w:p w14:paraId="0643664C" w14:textId="20559C89" w:rsidR="00AB0A8C" w:rsidRPr="00F862F5" w:rsidRDefault="007639BC" w:rsidP="00BD6A47">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 Where asterisk occurs, there are no quantifiable agreements in this </w:t>
      </w:r>
      <w:proofErr w:type="gramStart"/>
      <w:r w:rsidRPr="00F862F5">
        <w:rPr>
          <w:rFonts w:ascii="Aptos" w:eastAsia="Aptos" w:hAnsi="Aptos" w:cs="Aptos"/>
          <w:i/>
          <w:sz w:val="20"/>
          <w:szCs w:val="20"/>
        </w:rPr>
        <w:t>quarter</w:t>
      </w:r>
      <w:proofErr w:type="gramEnd"/>
      <w:r w:rsidRPr="00F862F5">
        <w:rPr>
          <w:rFonts w:ascii="Aptos" w:eastAsia="Aptos" w:hAnsi="Aptos" w:cs="Aptos"/>
          <w:i/>
          <w:sz w:val="20"/>
          <w:szCs w:val="20"/>
        </w:rPr>
        <w:t xml:space="preserve"> so no AAWI is calculable.</w:t>
      </w:r>
    </w:p>
    <w:p w14:paraId="62B81593" w14:textId="533DBFD0" w:rsidR="00AB0A8C" w:rsidRPr="00F862F5" w:rsidRDefault="007639BC" w:rsidP="00BD6A47">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Under the Fair Work Act 2009, a union can be covered by an agreement even if it was not involved in the bargaining process. This data does not distinguish between coverage and bargaining presence.</w:t>
      </w:r>
    </w:p>
    <w:p w14:paraId="4B20896F" w14:textId="6E7719AE" w:rsidR="00AB0A8C" w:rsidRPr="00F862F5" w:rsidRDefault="007639BC" w:rsidP="00BD6A47">
      <w:pPr>
        <w:pStyle w:val="ListParagraph"/>
        <w:numPr>
          <w:ilvl w:val="0"/>
          <w:numId w:val="23"/>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All estimates are rounded and are subject to revision. Revisions have been made </w:t>
      </w:r>
      <w:proofErr w:type="gramStart"/>
      <w:r w:rsidRPr="00F862F5">
        <w:rPr>
          <w:rFonts w:ascii="Aptos" w:eastAsia="Aptos" w:hAnsi="Aptos" w:cs="Aptos"/>
          <w:i/>
          <w:sz w:val="20"/>
          <w:szCs w:val="20"/>
        </w:rPr>
        <w:t>to</w:t>
      </w:r>
      <w:proofErr w:type="gramEnd"/>
      <w:r w:rsidRPr="00F862F5">
        <w:rPr>
          <w:rFonts w:ascii="Aptos" w:eastAsia="Aptos" w:hAnsi="Aptos" w:cs="Aptos"/>
          <w:i/>
          <w:sz w:val="20"/>
          <w:szCs w:val="20"/>
        </w:rPr>
        <w:t xml:space="preserve"> historical series.</w:t>
      </w:r>
    </w:p>
    <w:p w14:paraId="0F2C4B0F" w14:textId="07BBF3D8"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8,521 agreements current as </w:t>
      </w:r>
      <w:proofErr w:type="gramStart"/>
      <w:r>
        <w:rPr>
          <w:rFonts w:ascii="Aptos" w:eastAsia="Aptos" w:hAnsi="Aptos" w:cs="Aptos"/>
          <w:i/>
          <w:color w:val="000000"/>
          <w:sz w:val="22"/>
          <w:szCs w:val="22"/>
        </w:rPr>
        <w:t>at</w:t>
      </w:r>
      <w:proofErr w:type="gramEnd"/>
      <w:r>
        <w:rPr>
          <w:rFonts w:ascii="Aptos" w:eastAsia="Aptos" w:hAnsi="Aptos" w:cs="Aptos"/>
          <w:i/>
          <w:color w:val="000000"/>
          <w:sz w:val="22"/>
          <w:szCs w:val="22"/>
        </w:rPr>
        <w:t xml:space="preserve"> 30 June 2025</w:t>
      </w:r>
      <w:r w:rsidR="005A7A32">
        <w:rPr>
          <w:rFonts w:ascii="Aptos" w:eastAsia="Aptos" w:hAnsi="Aptos" w:cs="Aptos"/>
          <w:i/>
          <w:color w:val="000000"/>
          <w:sz w:val="22"/>
          <w:szCs w:val="22"/>
        </w:rPr>
        <w:t>,</w:t>
      </w:r>
      <w:r>
        <w:rPr>
          <w:rFonts w:ascii="Aptos" w:eastAsia="Aptos" w:hAnsi="Aptos" w:cs="Aptos"/>
          <w:i/>
          <w:color w:val="000000"/>
          <w:sz w:val="22"/>
          <w:szCs w:val="22"/>
        </w:rPr>
        <w:t xml:space="preserve"> covering 2,674,300 employees</w:t>
      </w:r>
      <w:r w:rsidR="005A7A32">
        <w:rPr>
          <w:rFonts w:ascii="Aptos" w:eastAsia="Aptos" w:hAnsi="Aptos" w:cs="Aptos"/>
          <w:i/>
          <w:color w:val="000000"/>
          <w:sz w:val="22"/>
          <w:szCs w:val="22"/>
        </w:rPr>
        <w:t>,</w:t>
      </w:r>
      <w:r>
        <w:rPr>
          <w:rFonts w:ascii="Aptos" w:eastAsia="Aptos" w:hAnsi="Aptos" w:cs="Aptos"/>
          <w:i/>
          <w:color w:val="000000"/>
          <w:sz w:val="22"/>
          <w:szCs w:val="22"/>
        </w:rPr>
        <w:t xml:space="preserve"> formally covered a union. The AAWI for these agreements was 3.8% and the average duration was 2.9 years.</w:t>
      </w:r>
    </w:p>
    <w:p w14:paraId="31484A47" w14:textId="77777777" w:rsidR="00AB0A8C" w:rsidRDefault="007639BC">
      <w:r>
        <w:br w:type="page"/>
      </w:r>
    </w:p>
    <w:p w14:paraId="3D5658B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 xml:space="preserve">Table 15 </w:t>
      </w:r>
      <w:proofErr w:type="gramStart"/>
      <w:r>
        <w:rPr>
          <w:rFonts w:ascii="Aptos" w:eastAsia="Aptos" w:hAnsi="Aptos" w:cs="Aptos"/>
          <w:b/>
          <w:color w:val="000000"/>
          <w:sz w:val="28"/>
          <w:szCs w:val="28"/>
        </w:rPr>
        <w:t>- Agreements</w:t>
      </w:r>
      <w:proofErr w:type="gramEnd"/>
      <w:r>
        <w:rPr>
          <w:rFonts w:ascii="Aptos" w:eastAsia="Aptos" w:hAnsi="Aptos" w:cs="Aptos"/>
          <w:b/>
          <w:color w:val="000000"/>
          <w:sz w:val="28"/>
          <w:szCs w:val="28"/>
        </w:rPr>
        <w:t xml:space="preserve"> </w:t>
      </w:r>
      <w:proofErr w:type="gramStart"/>
      <w:r>
        <w:rPr>
          <w:rFonts w:ascii="Aptos" w:eastAsia="Aptos" w:hAnsi="Aptos" w:cs="Aptos"/>
          <w:b/>
          <w:color w:val="000000"/>
          <w:sz w:val="28"/>
          <w:szCs w:val="28"/>
        </w:rPr>
        <w:t>approved</w:t>
      </w:r>
      <w:proofErr w:type="gramEnd"/>
      <w:r>
        <w:rPr>
          <w:rFonts w:ascii="Aptos" w:eastAsia="Aptos" w:hAnsi="Aptos" w:cs="Aptos"/>
          <w:b/>
          <w:color w:val="000000"/>
          <w:sz w:val="28"/>
          <w:szCs w:val="28"/>
        </w:rPr>
        <w:t xml:space="preserve"> in the June quarter 2025, covering 2,000 employees or more</w:t>
      </w:r>
    </w:p>
    <w:tbl>
      <w:tblPr>
        <w:tblW w:w="0" w:type="auto"/>
        <w:jc w:val="center"/>
        <w:tblLayout w:type="fixed"/>
        <w:tblLook w:val="0420" w:firstRow="1" w:lastRow="0" w:firstColumn="0" w:lastColumn="0" w:noHBand="0" w:noVBand="1"/>
      </w:tblPr>
      <w:tblGrid>
        <w:gridCol w:w="1417"/>
        <w:gridCol w:w="5102"/>
        <w:gridCol w:w="1417"/>
        <w:gridCol w:w="1417"/>
        <w:gridCol w:w="2976"/>
        <w:gridCol w:w="1559"/>
        <w:gridCol w:w="1077"/>
      </w:tblGrid>
      <w:tr w:rsidR="00AB0A8C" w14:paraId="7DFD03E7" w14:textId="77777777">
        <w:trPr>
          <w:tblHeader/>
          <w:jc w:val="center"/>
        </w:trPr>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97276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Agreement ID</w:t>
            </w:r>
          </w:p>
        </w:tc>
        <w:tc>
          <w:tcPr>
            <w:tcW w:w="51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D02F2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Title</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ACD71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Employees</w:t>
            </w:r>
          </w:p>
        </w:tc>
        <w:tc>
          <w:tcPr>
            <w:tcW w:w="141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C52A03" w14:textId="71910212"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AAWI</w:t>
            </w:r>
            <w:r w:rsidR="00104D29">
              <w:rPr>
                <w:rFonts w:ascii="Aptos" w:eastAsia="Aptos" w:hAnsi="Aptos" w:cs="Aptos"/>
                <w:b/>
                <w:color w:val="FFFFFF"/>
                <w:sz w:val="20"/>
                <w:szCs w:val="20"/>
              </w:rPr>
              <w:t xml:space="preserve"> (%)</w:t>
            </w:r>
          </w:p>
        </w:tc>
        <w:tc>
          <w:tcPr>
            <w:tcW w:w="2976"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E96A9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Industry</w:t>
            </w:r>
          </w:p>
        </w:tc>
        <w:tc>
          <w:tcPr>
            <w:tcW w:w="1559"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AAF0D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States</w:t>
            </w:r>
          </w:p>
        </w:tc>
        <w:tc>
          <w:tcPr>
            <w:tcW w:w="107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E6DEC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Sector</w:t>
            </w:r>
          </w:p>
        </w:tc>
      </w:tr>
      <w:tr w:rsidR="00AB0A8C" w14:paraId="68960628" w14:textId="77777777">
        <w:trPr>
          <w:jc w:val="center"/>
        </w:trPr>
        <w:tc>
          <w:tcPr>
            <w:tcW w:w="141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8BBB09"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AE528546</w:t>
            </w:r>
          </w:p>
        </w:tc>
        <w:tc>
          <w:tcPr>
            <w:tcW w:w="5102"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934DD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Independent Schools (Teachers) Cooperative Multi-Enterprise Agreement 2025</w:t>
            </w:r>
          </w:p>
        </w:tc>
        <w:tc>
          <w:tcPr>
            <w:tcW w:w="141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1F126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20,803</w:t>
            </w:r>
          </w:p>
        </w:tc>
        <w:tc>
          <w:tcPr>
            <w:tcW w:w="141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1170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4.3</w:t>
            </w:r>
          </w:p>
        </w:tc>
        <w:tc>
          <w:tcPr>
            <w:tcW w:w="2976"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2431F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9D477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ACT, NSW, NT</w:t>
            </w:r>
          </w:p>
        </w:tc>
        <w:tc>
          <w:tcPr>
            <w:tcW w:w="107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CA7FC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B0A8C" w14:paraId="03A93572"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772457"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AE528547</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BA087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Independent Schools NSW (Professional and Operational Staff) Cooperative Multi-Enterprise Agreement 2025</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E324B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19,871</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04E4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Inconsistent increase</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C13E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95298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ACT, NSW, NT</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67154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B0A8C" w14:paraId="657F536B"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73FD4E"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AE528554</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C957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Victoria Police (Police Officers, Protective Services Offices, Police Reservists and Police Recruits) Enterprise Agreement 2025</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2427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17,843</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02EAF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4.1</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FDC7D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 Administration and Safety</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E8A4E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0A056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B0A8C" w14:paraId="6DA4866B"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B01B2B"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AE529497</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0F1E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Victorian TAFE Teaching Staff Agreement 2024</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17EB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4,960</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AA9B6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3.5</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187B4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Education and Training</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3D7FB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 Qld, SA, external territories, Vic, WA</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58BF0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B0A8C" w14:paraId="19C2ED1C"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C596C7"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AE529153</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363D5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Ramsay Health Care New South Wales Nurses and Midwives Enterprise Agreement 2023-2026</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DB0A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4,917</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3E9F9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9.9</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7CD2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97C0E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D0D68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B0A8C" w14:paraId="04609201"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0F0C82"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AE529372</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5FC00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Epworth HealthCare Nurses and Midwives Enterprise Agreement 2024</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5790F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3,979</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61DA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Inconsistent increase</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02A18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FCD63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Vic</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B40CE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B0A8C" w14:paraId="0109D949"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CDE2CB"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AE529033</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82429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Anglicare Aged Care Enterprise Agreement 2025</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41613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3,648</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3B43F7"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2.7</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AB169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8D5A8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NSW</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D5F44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B0A8C" w14:paraId="6E0CD4BE"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E1788B"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AE528549</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DA6115"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Essential Energy Enterprise Agreement 2024</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CB604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3,353</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399B8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5.0</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1036B4"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Electricity, Gas, Water and Waste Services</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0F54C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ACT, NSW, Qld</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33674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Public</w:t>
            </w:r>
          </w:p>
        </w:tc>
      </w:tr>
      <w:tr w:rsidR="00AB0A8C" w14:paraId="3FA9E1AF" w14:textId="77777777">
        <w:trPr>
          <w:jc w:val="center"/>
        </w:trPr>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4A7CB3"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AE529311</w:t>
            </w:r>
          </w:p>
        </w:tc>
        <w:tc>
          <w:tcPr>
            <w:tcW w:w="5102"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9ECCA6"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Arcare Pty Ltd, Aged Care Services, Queensland- Enterprise Agreement 2024</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1DCC41"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2,952</w:t>
            </w:r>
          </w:p>
        </w:tc>
        <w:tc>
          <w:tcPr>
            <w:tcW w:w="141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31AC2F"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2.9</w:t>
            </w:r>
          </w:p>
        </w:tc>
        <w:tc>
          <w:tcPr>
            <w:tcW w:w="2976"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A7675B"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34F78E"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Qld</w:t>
            </w:r>
          </w:p>
        </w:tc>
        <w:tc>
          <w:tcPr>
            <w:tcW w:w="1077" w:type="dxa"/>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09F932"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r w:rsidR="00AB0A8C" w14:paraId="2DB48D29" w14:textId="77777777">
        <w:trPr>
          <w:jc w:val="center"/>
        </w:trPr>
        <w:tc>
          <w:tcPr>
            <w:tcW w:w="1417"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3CD57" w14:textId="77777777" w:rsidR="00AB0A8C" w:rsidRDefault="007639BC">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20"/>
                <w:szCs w:val="20"/>
              </w:rPr>
            </w:pPr>
            <w:r>
              <w:rPr>
                <w:rFonts w:ascii="Aptos" w:eastAsia="Aptos" w:hAnsi="Aptos" w:cs="Aptos"/>
                <w:b/>
                <w:color w:val="000000"/>
                <w:sz w:val="20"/>
                <w:szCs w:val="20"/>
              </w:rPr>
              <w:t>AE529165</w:t>
            </w:r>
          </w:p>
        </w:tc>
        <w:tc>
          <w:tcPr>
            <w:tcW w:w="5102"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9697C"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Ramsay Health Care Western Australia Registered Nurses and Midwives Enterprise Agreement 2025</w:t>
            </w:r>
          </w:p>
        </w:tc>
        <w:tc>
          <w:tcPr>
            <w:tcW w:w="1417"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07CA8"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 xml:space="preserve"> 2,719</w:t>
            </w:r>
          </w:p>
        </w:tc>
        <w:tc>
          <w:tcPr>
            <w:tcW w:w="1417"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B253A"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4.2</w:t>
            </w:r>
          </w:p>
        </w:tc>
        <w:tc>
          <w:tcPr>
            <w:tcW w:w="2976"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500700"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Health Care and Social Assistance</w:t>
            </w:r>
          </w:p>
        </w:tc>
        <w:tc>
          <w:tcPr>
            <w:tcW w:w="1559"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29582D"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WA</w:t>
            </w:r>
          </w:p>
        </w:tc>
        <w:tc>
          <w:tcPr>
            <w:tcW w:w="1077" w:type="dxa"/>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893A3" w14:textId="77777777" w:rsidR="00AB0A8C" w:rsidRDefault="007639BC">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Aptos" w:eastAsia="Aptos" w:hAnsi="Aptos" w:cs="Aptos"/>
                <w:color w:val="000000"/>
                <w:sz w:val="20"/>
                <w:szCs w:val="20"/>
              </w:rPr>
              <w:t>Private</w:t>
            </w:r>
          </w:p>
        </w:tc>
      </w:tr>
    </w:tbl>
    <w:p w14:paraId="02983989" w14:textId="5E99EDDA"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24E3F5DE"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5DCCCE24" w14:textId="07DC674B" w:rsidR="00AB0A8C" w:rsidRPr="00F862F5" w:rsidRDefault="007639BC" w:rsidP="00BD6A47">
      <w:pPr>
        <w:pStyle w:val="ListParagraph"/>
        <w:numPr>
          <w:ilvl w:val="0"/>
          <w:numId w:val="24"/>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AAWI = Average Annualised Wage Increase per employee.</w:t>
      </w:r>
    </w:p>
    <w:p w14:paraId="150D1C57" w14:textId="13B1B0F3" w:rsidR="00AB0A8C" w:rsidRPr="00F862F5" w:rsidRDefault="007639BC" w:rsidP="00BD6A47">
      <w:pPr>
        <w:pStyle w:val="ListParagraph"/>
        <w:numPr>
          <w:ilvl w:val="0"/>
          <w:numId w:val="24"/>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Agreement and employee estimates are for all federal wage agreements in the period, while estimates of AAWI per employee are based on quantifiable wage agreements.</w:t>
      </w:r>
    </w:p>
    <w:p w14:paraId="3304E03E" w14:textId="54275791" w:rsidR="00AB0A8C" w:rsidRPr="00F862F5" w:rsidRDefault="007639BC" w:rsidP="00BD6A47">
      <w:pPr>
        <w:pStyle w:val="ListParagraph"/>
        <w:numPr>
          <w:ilvl w:val="0"/>
          <w:numId w:val="24"/>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Where asterisk occurs, this indicates that at least one wage increase in the agreement is not quantifiable.</w:t>
      </w:r>
    </w:p>
    <w:p w14:paraId="5D1B6B8F" w14:textId="0297AA53" w:rsidR="00AB0A8C" w:rsidRPr="00F862F5" w:rsidRDefault="007639BC" w:rsidP="00BD6A47">
      <w:pPr>
        <w:pStyle w:val="ListParagraph"/>
        <w:numPr>
          <w:ilvl w:val="0"/>
          <w:numId w:val="24"/>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All estimates are rounded and are subject to revision. Revisions have been made </w:t>
      </w:r>
      <w:proofErr w:type="gramStart"/>
      <w:r w:rsidRPr="00F862F5">
        <w:rPr>
          <w:rFonts w:ascii="Aptos" w:eastAsia="Aptos" w:hAnsi="Aptos" w:cs="Aptos"/>
          <w:i/>
          <w:sz w:val="20"/>
          <w:szCs w:val="20"/>
        </w:rPr>
        <w:t>to</w:t>
      </w:r>
      <w:proofErr w:type="gramEnd"/>
      <w:r w:rsidRPr="00F862F5">
        <w:rPr>
          <w:rFonts w:ascii="Aptos" w:eastAsia="Aptos" w:hAnsi="Aptos" w:cs="Aptos"/>
          <w:i/>
          <w:sz w:val="20"/>
          <w:szCs w:val="20"/>
        </w:rPr>
        <w:t xml:space="preserve"> historical series.</w:t>
      </w:r>
    </w:p>
    <w:p w14:paraId="3E803916" w14:textId="7661988D"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lastRenderedPageBreak/>
        <w:t xml:space="preserve">How to read: </w:t>
      </w:r>
      <w:r w:rsidRPr="007639BC">
        <w:rPr>
          <w:rFonts w:ascii="Aptos" w:eastAsia="Aptos" w:hAnsi="Aptos" w:cs="Aptos"/>
          <w:iCs/>
          <w:color w:val="000000"/>
          <w:sz w:val="22"/>
          <w:szCs w:val="22"/>
        </w:rPr>
        <w:t>Victorian TAFE Teaching Staff Agreement 2024</w:t>
      </w:r>
      <w:r>
        <w:rPr>
          <w:rFonts w:ascii="Aptos" w:eastAsia="Aptos" w:hAnsi="Aptos" w:cs="Aptos"/>
          <w:i/>
          <w:color w:val="000000"/>
          <w:sz w:val="22"/>
          <w:szCs w:val="22"/>
        </w:rPr>
        <w:t xml:space="preserve"> covers </w:t>
      </w:r>
      <w:r w:rsidR="00FC0D82">
        <w:rPr>
          <w:rFonts w:ascii="Aptos" w:eastAsia="Aptos" w:hAnsi="Aptos" w:cs="Aptos"/>
          <w:i/>
          <w:color w:val="000000"/>
          <w:sz w:val="22"/>
          <w:szCs w:val="22"/>
        </w:rPr>
        <w:t>4,960</w:t>
      </w:r>
      <w:r>
        <w:rPr>
          <w:rFonts w:ascii="Aptos" w:eastAsia="Aptos" w:hAnsi="Aptos" w:cs="Aptos"/>
          <w:i/>
          <w:color w:val="000000"/>
          <w:sz w:val="22"/>
          <w:szCs w:val="22"/>
        </w:rPr>
        <w:t xml:space="preserve"> employees. The AAWI for this agreement was 3.5%, it covers employees in the </w:t>
      </w:r>
      <w:r w:rsidR="00B41000">
        <w:rPr>
          <w:rFonts w:ascii="Aptos" w:eastAsia="Aptos" w:hAnsi="Aptos" w:cs="Aptos"/>
          <w:i/>
          <w:color w:val="000000"/>
          <w:sz w:val="22"/>
          <w:szCs w:val="22"/>
        </w:rPr>
        <w:t>Ed</w:t>
      </w:r>
      <w:r w:rsidR="00104D29">
        <w:rPr>
          <w:rFonts w:ascii="Aptos" w:eastAsia="Aptos" w:hAnsi="Aptos" w:cs="Aptos"/>
          <w:i/>
          <w:color w:val="000000"/>
          <w:sz w:val="22"/>
          <w:szCs w:val="22"/>
        </w:rPr>
        <w:t xml:space="preserve">ucation and </w:t>
      </w:r>
      <w:r w:rsidR="0022428A">
        <w:rPr>
          <w:rFonts w:ascii="Aptos" w:eastAsia="Aptos" w:hAnsi="Aptos" w:cs="Aptos"/>
          <w:i/>
          <w:color w:val="000000"/>
          <w:sz w:val="22"/>
          <w:szCs w:val="22"/>
        </w:rPr>
        <w:t>T</w:t>
      </w:r>
      <w:r w:rsidR="00104D29">
        <w:rPr>
          <w:rFonts w:ascii="Aptos" w:eastAsia="Aptos" w:hAnsi="Aptos" w:cs="Aptos"/>
          <w:i/>
          <w:color w:val="000000"/>
          <w:sz w:val="22"/>
          <w:szCs w:val="22"/>
        </w:rPr>
        <w:t>raining industry</w:t>
      </w:r>
      <w:r>
        <w:rPr>
          <w:rFonts w:ascii="Aptos" w:eastAsia="Aptos" w:hAnsi="Aptos" w:cs="Aptos"/>
          <w:i/>
          <w:color w:val="000000"/>
          <w:sz w:val="22"/>
          <w:szCs w:val="22"/>
        </w:rPr>
        <w:t>, and operates</w:t>
      </w:r>
      <w:r w:rsidR="00B41000">
        <w:rPr>
          <w:rFonts w:ascii="Aptos" w:eastAsia="Aptos" w:hAnsi="Aptos" w:cs="Aptos"/>
          <w:i/>
          <w:color w:val="000000"/>
          <w:sz w:val="22"/>
          <w:szCs w:val="22"/>
        </w:rPr>
        <w:t xml:space="preserve"> in</w:t>
      </w:r>
      <w:r>
        <w:rPr>
          <w:rFonts w:ascii="Aptos" w:eastAsia="Aptos" w:hAnsi="Aptos" w:cs="Aptos"/>
          <w:i/>
          <w:color w:val="000000"/>
          <w:sz w:val="22"/>
          <w:szCs w:val="22"/>
        </w:rPr>
        <w:t xml:space="preserve"> NSW, Qld, SA, Vic, WA</w:t>
      </w:r>
      <w:r w:rsidR="00104D29">
        <w:rPr>
          <w:rFonts w:ascii="Aptos" w:eastAsia="Aptos" w:hAnsi="Aptos" w:cs="Aptos"/>
          <w:i/>
          <w:color w:val="000000"/>
          <w:sz w:val="22"/>
          <w:szCs w:val="22"/>
        </w:rPr>
        <w:t>, and external territories</w:t>
      </w:r>
      <w:r>
        <w:rPr>
          <w:rFonts w:ascii="Aptos" w:eastAsia="Aptos" w:hAnsi="Aptos" w:cs="Aptos"/>
          <w:i/>
          <w:color w:val="000000"/>
          <w:sz w:val="22"/>
          <w:szCs w:val="22"/>
        </w:rPr>
        <w:t>.</w:t>
      </w:r>
    </w:p>
    <w:p w14:paraId="581AC673" w14:textId="77777777" w:rsidR="00AB0A8C" w:rsidRDefault="007639BC">
      <w:r>
        <w:br w:type="page"/>
      </w:r>
    </w:p>
    <w:p w14:paraId="163C123B"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16 - Agreements approved in the June quarter 2025, by state and ANZSIC division</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AB0A8C" w14:paraId="365F0A27"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941CD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APPROVED IN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23B29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87D53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ACT</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0BE1A6"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DC4D09"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NSW</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8420C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EAF35E"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NT</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87655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48A9A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QLD</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A24CA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6397B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SA</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BFC9F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B36F54"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TAS</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C2D39D"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3D0FA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VIC</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8EE098"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4B206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WA</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25F822"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AD3AD3"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Multi-state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B6578A"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492D62"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Total</w:t>
            </w:r>
          </w:p>
        </w:tc>
      </w:tr>
      <w:tr w:rsidR="00D640F3" w14:paraId="371F2B0B" w14:textId="77777777" w:rsidTr="00126721">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15564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ADE8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7652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D0D5BA" w14:textId="044400B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3EF6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40A0C" w14:textId="00FD101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2611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72F343" w14:textId="3314610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B379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C17FEA" w14:textId="220E116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513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E70529" w14:textId="3FA66E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DB88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5C1910" w14:textId="757A54A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A396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B80B6B" w14:textId="324F90E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ABEC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96510F" w14:textId="5E303CB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061B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A1D5AA" w14:textId="142B6A1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EC45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0EC819" w14:textId="2B5ACBC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9</w:t>
            </w:r>
          </w:p>
        </w:tc>
      </w:tr>
      <w:tr w:rsidR="00D640F3" w14:paraId="3DF10632"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3152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FFA1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A650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019B9F" w14:textId="3FDBE63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C0EC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90F231" w14:textId="075FE8E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8173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8F9BE1" w14:textId="2FDB9E7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BED1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A369D7" w14:textId="10BF029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038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30905B" w14:textId="6ED7929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EB22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A53365" w14:textId="710D9BF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1907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0113B5" w14:textId="3177F4F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DC9B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114057" w14:textId="7B95EEA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DF39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D5D0BB" w14:textId="6090CD7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546C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680767" w14:textId="5548308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3.5</w:t>
            </w:r>
          </w:p>
        </w:tc>
      </w:tr>
      <w:tr w:rsidR="00D640F3" w14:paraId="0B1B4FD4"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7937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20EC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CF4F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FF061D" w14:textId="721A8F6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A8AF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D0CB2A" w14:textId="05769A8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EEA0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347A8A" w14:textId="175C03C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DC6D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D2F81B" w14:textId="0AD3816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50C4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3421E9" w14:textId="5F1F0CA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5AAA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FCB2A" w14:textId="32267B0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1DA9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BB552F" w14:textId="61FDA74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F916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396E56" w14:textId="41F163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ABE3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714B08" w14:textId="2E2820E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84B1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4D13A" w14:textId="4D7AEE2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2.9</w:t>
            </w:r>
          </w:p>
        </w:tc>
      </w:tr>
      <w:tr w:rsidR="00D640F3" w14:paraId="37EE093D"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D21C82"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9C6C4F"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F3FEA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E7DDC82" w14:textId="7FFB9B8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8140C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29E7B5D" w14:textId="3212B2E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EF88A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45A8820" w14:textId="400A492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24E71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2C2A21E" w14:textId="6F18DDE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D2327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DE5CEDA" w14:textId="4535819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3D44B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D81A07A" w14:textId="094B6D7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F6688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814AE6D" w14:textId="5B066EA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746C0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9613FFA" w14:textId="6470957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E0483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13E48A3" w14:textId="54833EB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75379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E31D76" w14:textId="000F4E1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0.9</w:t>
            </w:r>
          </w:p>
        </w:tc>
      </w:tr>
      <w:tr w:rsidR="00D640F3" w14:paraId="6C028CDF"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54D0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9575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8953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F185C6" w14:textId="728AB73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5BD2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560178" w14:textId="1266FEB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327F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A0471B" w14:textId="65A639A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4A8A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560FD1" w14:textId="2805E6A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98AE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2D925" w14:textId="30B961A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14BB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136FB2" w14:textId="2DB3AD4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B0D7E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589E40" w14:textId="20D0218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BE07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9EAEDC" w14:textId="4E22466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71D4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1A9065" w14:textId="4A09FBE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2529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C7A49B" w14:textId="6632E4B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30</w:t>
            </w:r>
          </w:p>
        </w:tc>
      </w:tr>
      <w:tr w:rsidR="00D640F3" w14:paraId="247BB009"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33A8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A10A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DEA4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C17930" w14:textId="4EA3170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3150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5AB1A5" w14:textId="144553D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DC35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1B7D26" w14:textId="34FEDAF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D22D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4FBFD1" w14:textId="056F22C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EA9F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4B3815" w14:textId="52E4682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33E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7DB2D0" w14:textId="610C1D7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1BC1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D89E3C" w14:textId="6BA2697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B374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C412E1" w14:textId="13F4A1C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5202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7F268D" w14:textId="7C11855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6B36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4D81DC" w14:textId="497C90E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3.6</w:t>
            </w:r>
          </w:p>
        </w:tc>
      </w:tr>
      <w:tr w:rsidR="00D640F3" w14:paraId="3008F848"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D1E5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0C31F"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A50D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2CBE2C" w14:textId="61B7A9A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864F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954BEB" w14:textId="42ADE2D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E2C1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3E77A0" w14:textId="3023160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005F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71FAEB" w14:textId="13964BB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04E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2DE62B" w14:textId="1F7BD51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3D2F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2040CA" w14:textId="28D43F4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26C1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DA4923" w14:textId="50B3FF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48A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BE8298" w14:textId="2AEF5BD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4AEB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CEECAF" w14:textId="47352BD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ABF8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728298" w14:textId="4ACFC84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3.5</w:t>
            </w:r>
          </w:p>
        </w:tc>
      </w:tr>
      <w:tr w:rsidR="00D640F3" w14:paraId="14506378"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29ADAF"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F8F002"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1C69F8"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21A48DA" w14:textId="5DF56A4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69B37A"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31738D2" w14:textId="23E3323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EBA08A"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7A9637" w14:textId="4D105A9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E18BC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2BC3C4A" w14:textId="07E47FE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61CB6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C53D88" w14:textId="6CAAAD0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D661B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46EDAF4" w14:textId="718CF5E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D2B50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D78C1F0" w14:textId="245D974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B4E49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2B22483" w14:textId="3BA3D77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2F7D2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3E0E030" w14:textId="5DDF39F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0572E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D168745" w14:textId="20434E3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6.6</w:t>
            </w:r>
          </w:p>
        </w:tc>
      </w:tr>
      <w:tr w:rsidR="00D640F3" w14:paraId="5643D79A"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04C0B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3242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F7C3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FDD1E0" w14:textId="2AFA04A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9748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A896C5" w14:textId="5E0B739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CC5B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2A5952" w14:textId="0770231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1818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C39AEB" w14:textId="640ABBF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B190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9B7AA7" w14:textId="6ABD691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D4E7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77A6AA" w14:textId="47C1F6E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1782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BA3C6" w14:textId="35809CF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6A58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F98B55" w14:textId="178DFA8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2FA7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EB497" w14:textId="57BF52F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2E22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3A5E63" w14:textId="511D836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141</w:t>
            </w:r>
          </w:p>
        </w:tc>
      </w:tr>
      <w:tr w:rsidR="00D640F3" w14:paraId="2089A273"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30E6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C6EFF"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ADD7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8FEEBB" w14:textId="54902CC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6727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224D11" w14:textId="785EB72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37F8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707612" w14:textId="73FF8AE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E7F6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1B9891" w14:textId="0ADAF6A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8EB5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28209F" w14:textId="7F759F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8555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6DF14C" w14:textId="7729FC6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EC78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C9547D" w14:textId="2211747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B466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89D016" w14:textId="3CD1B28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0CBF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9C77E7" w14:textId="61DE4A8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097D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BE9C93" w14:textId="7447E3C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3.8</w:t>
            </w:r>
          </w:p>
        </w:tc>
      </w:tr>
      <w:tr w:rsidR="00D640F3" w14:paraId="10B7900F"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9D0BF"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A075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8EAF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9B4638" w14:textId="3A122F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1C48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D8EB6" w14:textId="64A6508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8DF3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B92292" w14:textId="2D801CA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FF4C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0F84C2" w14:textId="0D348C4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5055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8A5535" w14:textId="5E6F0D2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3CF7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6AA96C" w14:textId="20C5826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27FF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24A1AB" w14:textId="12AE95F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ADCA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D01A6F" w14:textId="53BB1E4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E26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04473D" w14:textId="27DD3E5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D9D0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ED8295" w14:textId="04FB55A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2.7</w:t>
            </w:r>
          </w:p>
        </w:tc>
      </w:tr>
      <w:tr w:rsidR="00D640F3" w14:paraId="464FCE5F"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1E41B9"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CC51D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6C73DC"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CA56EBA" w14:textId="66AF427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95AB1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5D06851" w14:textId="5B6D205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3ECDA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F6484E3" w14:textId="26D7113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4AF70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CF34CB7" w14:textId="33F5669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D2D07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95143D" w14:textId="655923E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36574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7BF2705" w14:textId="54290BE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48B7B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BBE913" w14:textId="4EBBBAD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E96DB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4221FCD" w14:textId="4C84F12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2AE91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53D0DAA" w14:textId="6DAD2C4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422BB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F9305BB" w14:textId="3912301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12.5</w:t>
            </w:r>
          </w:p>
        </w:tc>
      </w:tr>
      <w:tr w:rsidR="00D640F3" w14:paraId="3B3AA493"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ACDAA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DA8E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4F37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0DF93F" w14:textId="6C96E1D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FC2E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83CECF" w14:textId="047E91C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1C75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6872C1" w14:textId="23BB9AA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7010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C00646" w14:textId="686C91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D67E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47AC6F" w14:textId="27C43E3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EFBE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02EE76" w14:textId="45BB60C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3166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FE8E90" w14:textId="12FB6DA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FDF6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B9D35" w14:textId="2323D52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AEC1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EF4515" w14:textId="2789759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A089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68CAD8" w14:textId="09CC2B0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97</w:t>
            </w:r>
          </w:p>
        </w:tc>
      </w:tr>
      <w:tr w:rsidR="00D640F3" w14:paraId="16FBAB55"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868A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3B2E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3E2E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B553BE" w14:textId="73620D6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AA25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121F33" w14:textId="06AA856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3A14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8FBC2C" w14:textId="6F2903A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2BC7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755BA6" w14:textId="2805B1C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9EC8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032513" w14:textId="2E93E59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2085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F5F108" w14:textId="407BCE4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C8CE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260C3E" w14:textId="52A94A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0569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F6B98F" w14:textId="30B4582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964D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DEBC60" w14:textId="5F71FAC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D816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8A62C3" w14:textId="789AFC8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3.6</w:t>
            </w:r>
          </w:p>
        </w:tc>
      </w:tr>
      <w:tr w:rsidR="00D640F3" w14:paraId="53D229E9"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8A33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A257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BE75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B7261C" w14:textId="13A919A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DE5C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A4C276" w14:textId="56CBEC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4E12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FDE55E" w14:textId="137E421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FEF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C6564B" w14:textId="7D8139F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9722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CD4C7D" w14:textId="7ADC171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C16B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00A3B5" w14:textId="68A4CDB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50AD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CD4A12" w14:textId="43960D2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F735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180861" w14:textId="11A607F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620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25D8E0" w14:textId="32AD751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DF93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4FA0A1" w14:textId="6CD7FE6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2.8</w:t>
            </w:r>
          </w:p>
        </w:tc>
      </w:tr>
      <w:tr w:rsidR="00D640F3" w14:paraId="58A7B7B2"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9EBF4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1D4616"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16896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EA29607" w14:textId="5949475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62616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F3EDA73" w14:textId="683CB38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4F2C3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D5F3968" w14:textId="6DB9275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2A09F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CCC6778" w14:textId="619A88E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AA6FA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D89A298" w14:textId="686DC40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2F8E0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67FF67" w14:textId="157586A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BDE4F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069E31" w14:textId="6E835C5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EFA76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BF4E518" w14:textId="298B582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058DA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9191C62" w14:textId="4372997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62C31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E2AA2F" w14:textId="3548547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9.0</w:t>
            </w:r>
          </w:p>
        </w:tc>
      </w:tr>
      <w:tr w:rsidR="00D640F3" w14:paraId="3757B0B0"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3F13C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6E3F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4E57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A47C99" w14:textId="6B43FA7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CB60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F0DA9A" w14:textId="7BC12C3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F238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02ED3A" w14:textId="73282CE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3953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908CAA" w14:textId="0084139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1316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80CF26" w14:textId="5605830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7CE8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DAF632" w14:textId="58BAA67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3BE3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647CF" w14:textId="407996B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DB0A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AE07ED" w14:textId="61C0D0F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2D71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B2EFA3" w14:textId="1E75A84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02F5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44B81B" w14:textId="32DD545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44</w:t>
            </w:r>
          </w:p>
        </w:tc>
      </w:tr>
      <w:tr w:rsidR="00D640F3" w14:paraId="5EF27A3C"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2115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0732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D6CC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526263" w14:textId="29EC000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538D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B392BB" w14:textId="3CCB48A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11A5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2BCEDF" w14:textId="674F2ED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C305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C7E9C1" w14:textId="65EF53E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F4AA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BFFC0D" w14:textId="2C80788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5639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39EAF9" w14:textId="0B90936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833D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EA8439" w14:textId="1398F90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F379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63FD6E" w14:textId="3D1C77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E6EE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F17D31" w14:textId="22C6251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CA28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D329AC" w14:textId="6FF951C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4.1</w:t>
            </w:r>
          </w:p>
        </w:tc>
      </w:tr>
      <w:tr w:rsidR="00D640F3" w14:paraId="7ED56370"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825F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54A3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D503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DB09D8" w14:textId="5DCA7FF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5A8B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F566A4" w14:textId="5DAFDBF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F815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C19F53" w14:textId="63C4223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A204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83FCB5" w14:textId="2971AD0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2943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7C70AC" w14:textId="579C12A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B51E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81AF1C" w14:textId="4474638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794B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82397B" w14:textId="6E963AA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3F24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D2A2C0" w14:textId="0810353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A7D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6CE0E0" w14:textId="2689565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BE19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0B47FC" w14:textId="4AC3977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2.6</w:t>
            </w:r>
          </w:p>
        </w:tc>
      </w:tr>
      <w:tr w:rsidR="00D640F3" w14:paraId="53EB7206"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54B82C"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2A4CD2"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D1F026"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9F6D62B" w14:textId="3C9CC62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830CD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901FB8" w14:textId="3E9607F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1DB5A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1CF93E6" w14:textId="7660FEA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69C78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C18723E" w14:textId="090836D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E3731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0C30688" w14:textId="198575E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DE6CD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402615A" w14:textId="401C502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5D8D1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1FA8B90" w14:textId="145468C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C8F5D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F8C33EA" w14:textId="70D5823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B066B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6016C7" w14:textId="7DC14A6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56838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015A21" w14:textId="4C96650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3.6</w:t>
            </w:r>
          </w:p>
        </w:tc>
      </w:tr>
      <w:tr w:rsidR="00D640F3" w14:paraId="29664AB2"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82440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8469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9C3D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1BAC10" w14:textId="656ABDA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48C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BB382C" w14:textId="1CBB7C6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6A85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548F21" w14:textId="02163DB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3E56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84FA3D" w14:textId="1B2BD62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0AAC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23C1F2" w14:textId="3009E15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4493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0996D3" w14:textId="193C7F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C005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D4A0A6" w14:textId="0544E4A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40B3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CF65F1" w14:textId="49F1B45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6BF6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694E4B" w14:textId="7B50173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D93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4CD3CE" w14:textId="40AFA61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31</w:t>
            </w:r>
          </w:p>
        </w:tc>
      </w:tr>
      <w:tr w:rsidR="00D640F3" w14:paraId="7B644967"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C65B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7935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B893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9B769E" w14:textId="4AFB8B2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2667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C0A4C3" w14:textId="5FA0125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DB10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FCE109" w14:textId="2A4B32E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1F66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66A90E" w14:textId="7BC2808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05D8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C18711" w14:textId="06166AB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794C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C29A6F" w14:textId="40E2F21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B8AD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FB0167" w14:textId="3F058BC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179F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613014" w14:textId="58A0AD0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E5B5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81E30D" w14:textId="4A98D72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0658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72E266" w14:textId="2D83E9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4.5</w:t>
            </w:r>
          </w:p>
        </w:tc>
      </w:tr>
      <w:tr w:rsidR="00D640F3" w14:paraId="4AF2CBC3"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0F94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7817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F85CF"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FD112A" w14:textId="2F17752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8769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3A3BED" w14:textId="1AECAA2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9A81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51A47D" w14:textId="21EBDCE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0231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EF9887" w14:textId="6FC9EBB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B451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565939" w14:textId="250903D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9BFB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2BB6ED" w14:textId="5D6EF49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582D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48EBF6" w14:textId="52D01D5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11A4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A8F9F1" w14:textId="271B82B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9739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23FD96" w14:textId="6483CCF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430E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948D05" w14:textId="388F39C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2.5</w:t>
            </w:r>
          </w:p>
        </w:tc>
      </w:tr>
      <w:tr w:rsidR="00D640F3" w14:paraId="7D9AC4B9"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7FD499"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0BECD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89C63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867BE9" w14:textId="31F5FBF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4C4F2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E850C71" w14:textId="0447D75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3B284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5846AAE" w14:textId="70872BE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FD74F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D7D2D2E" w14:textId="3064FE0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3B047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1264EE0" w14:textId="65E41CC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ACA97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BEDF5A6" w14:textId="04AA053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F5BCB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855A966" w14:textId="1502A0D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507DA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F07696" w14:textId="6572B31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021DF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43DBBA" w14:textId="2F5ADD9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51505A"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784681D" w14:textId="69A8AD1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7.1</w:t>
            </w:r>
          </w:p>
        </w:tc>
      </w:tr>
      <w:tr w:rsidR="00D640F3" w14:paraId="1483D9C9"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79E32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BD8B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48E0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49CEA7" w14:textId="44CEE47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9BF4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7BC73B" w14:textId="531CB0D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7045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8F4D23" w14:textId="0CABA1B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EFA0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1AAEDE" w14:textId="2D72736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349B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1F23B5" w14:textId="7B30CC7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99BC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C96CD8" w14:textId="0997104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16E9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DD5633" w14:textId="20E068B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0C25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6D2979" w14:textId="7C4E83C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CEFE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ED69A8" w14:textId="4BF4F7F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B36F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78488C" w14:textId="0705E3E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452</w:t>
            </w:r>
          </w:p>
        </w:tc>
      </w:tr>
      <w:tr w:rsidR="00D640F3" w14:paraId="517201F4"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6ACF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65B5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C049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D997E2" w14:textId="501F0DC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4905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415DC0" w14:textId="0EB8331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65EE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646B35" w14:textId="2F67EC3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1CA8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73D465" w14:textId="1AC282A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7EC5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23F5DE" w14:textId="1A1FF63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C1B2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CA1795" w14:textId="03596DC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7915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905547" w14:textId="5C1CFDF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4835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CFBF27" w14:textId="6B22492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5227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692833" w14:textId="0FD9014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D9A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A50308" w14:textId="080457B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5.7</w:t>
            </w:r>
          </w:p>
        </w:tc>
      </w:tr>
      <w:tr w:rsidR="00D640F3" w14:paraId="3D4F7D9B"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1C26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B142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DAE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E9EB38" w14:textId="5261859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1720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B0303D" w14:textId="4B8BF7A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768C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BA90BA" w14:textId="40DE6BD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EF68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547368" w14:textId="331BE02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C390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843F4C" w14:textId="5734D2C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D0F5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C34AF0" w14:textId="18D6602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E9F1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CA479E" w14:textId="5F47678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A417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1DDCCD" w14:textId="1D5C36C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C804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C1515F" w14:textId="13134FD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B8A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EA586F" w14:textId="29A55ED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2.5</w:t>
            </w:r>
          </w:p>
        </w:tc>
      </w:tr>
      <w:tr w:rsidR="00D640F3" w14:paraId="7F53010C"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9270A3"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F7E212"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A8C9F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3590B7A" w14:textId="024F691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1A462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02F3C2" w14:textId="53A8B1C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4E10E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EEC1775" w14:textId="2FDC4A8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CC8A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6BAB744" w14:textId="4F73A9B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15644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B4B098" w14:textId="2086E46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E75E8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8235549" w14:textId="7332F28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8BBA5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178A03B" w14:textId="515CC4B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A7BE3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D3A1CF3" w14:textId="75AD53C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757A9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AED6E8A" w14:textId="66EA004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B682F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1CC2277" w14:textId="4835599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10.4</w:t>
            </w:r>
          </w:p>
        </w:tc>
      </w:tr>
      <w:tr w:rsidR="00D640F3" w14:paraId="36065A18"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5C370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Wholesale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8B3C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5D32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1159CE" w14:textId="3B808D9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EEBE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9C11D9" w14:textId="09B8557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583A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7884FF" w14:textId="31252AE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2F0A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25D044" w14:textId="2343828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385A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1A9C3F" w14:textId="71F406A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91B8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D16FE4" w14:textId="04903B9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E6EF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B40492" w14:textId="6EF2C22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0452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08F900" w14:textId="1573754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5521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69FA37" w14:textId="3A18BD1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0F7F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263684" w14:textId="41BBDC9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10</w:t>
            </w:r>
          </w:p>
        </w:tc>
      </w:tr>
      <w:tr w:rsidR="00D640F3" w14:paraId="5C021359"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B130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B1E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609B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805AF2" w14:textId="4DC5F1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DD41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2EA949" w14:textId="7FB4797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1261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BE3E21" w14:textId="79EC1A1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25DA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B02F41" w14:textId="6FF2C70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1AB0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DBF4C8" w14:textId="39B0DF7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A553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B4713A" w14:textId="2C4B734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8B22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86AA0E" w14:textId="720EEB5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69D8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46E21E" w14:textId="0965D33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D861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ED2CF8" w14:textId="621A0DE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2E40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53F59C" w14:textId="5F0B412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3.4</w:t>
            </w:r>
          </w:p>
        </w:tc>
      </w:tr>
      <w:tr w:rsidR="00D640F3" w14:paraId="7DD325D3"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D279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4485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7D07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35ABDE" w14:textId="3DDE971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F2B6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01F541" w14:textId="49A4E15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A6D5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B2962D" w14:textId="71B2B2D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80C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50B147" w14:textId="4FCA903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DB43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E80132" w14:textId="517A5A3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292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47F402" w14:textId="6591B5E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8C98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07B029" w14:textId="41676A0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DDB4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D11599" w14:textId="2264E35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63EE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18678C" w14:textId="1C93C01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9688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3C2137" w14:textId="4DD0933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3.0</w:t>
            </w:r>
          </w:p>
        </w:tc>
      </w:tr>
      <w:tr w:rsidR="00D640F3" w14:paraId="03606B58"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5F109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0CD503"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54B19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2E2ECC" w14:textId="1F573B9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C6176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7BEB2F" w14:textId="55666E7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FA491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9D290C1" w14:textId="6F838F9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082C0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A8EFD2A" w14:textId="290C6AA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92F33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288B530" w14:textId="5DE38C0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9B94C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8A6914C" w14:textId="21FBE2E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20F1A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E30309" w14:textId="375A9CE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F83DA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862BB51" w14:textId="137130F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B8BF0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0848C7D" w14:textId="6B3C16A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0E6C4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C5DBE76" w14:textId="55ACC1C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0.7</w:t>
            </w:r>
          </w:p>
        </w:tc>
      </w:tr>
      <w:tr w:rsidR="00D640F3" w14:paraId="59C84634"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02C47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7FD9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88D6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268D4E" w14:textId="709557A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7A2B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FABF04" w14:textId="55A9E37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EE98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D28BAF" w14:textId="2528513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57AA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7F872D" w14:textId="5C63364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1A4C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AAE65" w14:textId="7D7ED9A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1459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267C3B" w14:textId="573C105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8B1E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4D0BC3" w14:textId="2A41288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8F77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CA0AA5" w14:textId="7870DA8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75AF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38CB43" w14:textId="7B3DF3A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A788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4F56F9" w14:textId="5F93DC5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6</w:t>
            </w:r>
          </w:p>
        </w:tc>
      </w:tr>
      <w:tr w:rsidR="00D640F3" w14:paraId="533A48DB"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A181F"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C584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418F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8EFF99" w14:textId="2C50BF6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03CB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5611CB" w14:textId="71872FB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5865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309406" w14:textId="16C0C88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B75C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D25E10" w14:textId="6525CD1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F4E9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26312C" w14:textId="0670CCF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941A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993169" w14:textId="364C50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95F6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9D356E" w14:textId="20BC6CC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775F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1600C9" w14:textId="1C7B987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920B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D91CDD" w14:textId="12B88E8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54B6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99ED87" w14:textId="4678F40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4.4</w:t>
            </w:r>
          </w:p>
        </w:tc>
      </w:tr>
      <w:tr w:rsidR="00D640F3" w14:paraId="22B5B87B"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9DA3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555F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F7A1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BB6EEB" w14:textId="30CB46C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AE77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ADAB20" w14:textId="6A3DFB6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AB2C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F9796D" w14:textId="7CDAC90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40B1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1B1A12" w14:textId="763A6F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409C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B78D54" w14:textId="3073C56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5A34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460436" w14:textId="28B8DF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C332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E441F5" w14:textId="77A5EEC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30A1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6766D3" w14:textId="4C944A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0B59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A47019" w14:textId="4D3FC0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D590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FD5BC0" w14:textId="2935DAF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3.9</w:t>
            </w:r>
          </w:p>
        </w:tc>
      </w:tr>
      <w:tr w:rsidR="00D640F3" w14:paraId="540554CC"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731775"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57B600"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EDF751"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135A5AF" w14:textId="016820C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21FA7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C91D962" w14:textId="66E3B2A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D42A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90276B5" w14:textId="705FCCE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90AB3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F060073" w14:textId="3AC35BA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4C2BF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93EB987" w14:textId="646981B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606F5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C9C742F" w14:textId="5750963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221A9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C632C3C" w14:textId="33C7068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A4CCA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4C91EA" w14:textId="700AFCB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86970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E5C92ED" w14:textId="21B7C71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7D6E7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703489B" w14:textId="121E720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2.1</w:t>
            </w:r>
          </w:p>
        </w:tc>
      </w:tr>
      <w:tr w:rsidR="00D640F3" w14:paraId="478F2803"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9304E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0EAB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A2B3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483BDE" w14:textId="12BD76B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D732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A8D37A" w14:textId="4849AEF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5CBD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2A76EA" w14:textId="26451B1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0A72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B878B3" w14:textId="73A0015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B517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70B4AB" w14:textId="3EA2669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FE2A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380FE4" w14:textId="499F75D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6802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2E7E2D" w14:textId="7551B9E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B7EC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2B90DA" w14:textId="708E3FD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0DEF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57DABE" w14:textId="225D3CF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F797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93F79E" w14:textId="35093BC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w:t>
            </w:r>
          </w:p>
        </w:tc>
      </w:tr>
      <w:tr w:rsidR="00D640F3" w14:paraId="579FE47A"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EDD1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4DD8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2540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3EC3A0" w14:textId="0980F6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3893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151199" w14:textId="4DCB4F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1010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A08F2D" w14:textId="442CA1A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AF7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D4C398" w14:textId="5C60411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0588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307F91" w14:textId="77471E5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ABFA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B86686" w14:textId="0578023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22DA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DEF739" w14:textId="5B56162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F3A7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320140" w14:textId="1C34E8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6EC4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83860F" w14:textId="6DF9468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AC9B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D82F6B" w14:textId="3E4714D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4.2</w:t>
            </w:r>
          </w:p>
        </w:tc>
      </w:tr>
      <w:tr w:rsidR="00D640F3" w14:paraId="04F0FCCE"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CF68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AB3E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5298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06A36A" w14:textId="337770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7FA0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FF437E" w14:textId="0BC5B7B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D230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C56663" w14:textId="7F42B09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5A94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6BBCF1" w14:textId="73AF05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C539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5F0911" w14:textId="7E63441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A2C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D05859" w14:textId="67F8997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A470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E43C60" w14:textId="109DCA5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CFE6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E77800" w14:textId="34C6D55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36AA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F2331" w14:textId="0F1428C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5F42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755955" w14:textId="47F743E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3.1</w:t>
            </w:r>
          </w:p>
        </w:tc>
      </w:tr>
      <w:tr w:rsidR="00D640F3" w14:paraId="402B4C55"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1F2608"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02C76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A9046C"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21B980D" w14:textId="082242F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A4E51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BF5904E" w14:textId="3B2512E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6ADB7D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1733D40" w14:textId="3C7DE67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01A14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295299D" w14:textId="1C83096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6A399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9300941" w14:textId="4137525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DFF3D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499F777" w14:textId="4723721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B755D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164E922" w14:textId="1068271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50708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3F9C735" w14:textId="4AF3B96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5BFFC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46FCEEF" w14:textId="136D0B8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625A4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82F0DA4" w14:textId="73F435C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1.6</w:t>
            </w:r>
          </w:p>
        </w:tc>
      </w:tr>
      <w:tr w:rsidR="00D640F3" w14:paraId="0F3EE09A"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81C272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7E26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6842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19B9F9" w14:textId="256EA7C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0303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47897F" w14:textId="1852658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2B83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11B8BE" w14:textId="44FFAAC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95C0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7BDD32" w14:textId="6A0C5FC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1959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3588B1" w14:textId="025F7BF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9D44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E189CC" w14:textId="35DDE29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0476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710528" w14:textId="06B0CC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F79D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53052D" w14:textId="031CB13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A6CC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2C21E7" w14:textId="595FD41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D6E5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1DD346" w14:textId="7ABF023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83</w:t>
            </w:r>
          </w:p>
        </w:tc>
      </w:tr>
      <w:tr w:rsidR="00D640F3" w14:paraId="5ABC3CC4"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B21F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2555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0AB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6561C8" w14:textId="21272A1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4F1D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9E0006" w14:textId="2C0DEEC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3ADE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E2B0CA" w14:textId="1F46EFE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4E84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6F12A0" w14:textId="77C41BD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A7E7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432646" w14:textId="2422DBA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0335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5F017F" w14:textId="1C4A475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9645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1C2DF6" w14:textId="47A0B7A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BF89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1D1BA9" w14:textId="7EC723B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B1BE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2B44C4" w14:textId="4C5964D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9DBB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F8E8B" w14:textId="0CC578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4.4</w:t>
            </w:r>
          </w:p>
        </w:tc>
      </w:tr>
      <w:tr w:rsidR="00D640F3" w14:paraId="076F321A"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415F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BEB7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41CC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D1D1A5" w14:textId="768582C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4735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AAC17A" w14:textId="2D8EBA2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D477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3BEB36" w14:textId="7F6D59E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B52E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6945E8" w14:textId="396C847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BC02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F68CBA" w14:textId="6851E00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1943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FB0E2" w14:textId="68A0C7C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1C31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352B7B" w14:textId="7BB2C4B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1F26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4C9E9A" w14:textId="38B1AE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D3D4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D5BE7E" w14:textId="1C7E025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9A37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01E9B1" w14:textId="0EAB176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2.7</w:t>
            </w:r>
          </w:p>
        </w:tc>
      </w:tr>
      <w:tr w:rsidR="00D640F3" w14:paraId="277E9969"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E1BA3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B23869"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2AD8D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FCE12AF" w14:textId="7AF8435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AFCE9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94686B" w14:textId="57889D9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769F3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FC80D94" w14:textId="212025C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BDAA9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45B201" w14:textId="1323554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CA99B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A77FB04" w14:textId="280D34A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E593C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624202" w14:textId="7B1DD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8B19F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C7037BB" w14:textId="1431265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16C55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C9D9496" w14:textId="137A63C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5A339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37A977A" w14:textId="292D927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11F8D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9832712" w14:textId="54AE217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7.8</w:t>
            </w:r>
          </w:p>
        </w:tc>
      </w:tr>
      <w:tr w:rsidR="00D640F3" w14:paraId="74B3ADC4"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D0152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7ECE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8C5A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230F59" w14:textId="213C0D5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0C35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21C92C" w14:textId="2F13B7B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F998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213273" w14:textId="69570C9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922F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E05378" w14:textId="4D8A47A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F23B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393C4E" w14:textId="1DA9D4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B519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0675E9" w14:textId="42DFE1D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633F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63D5FA" w14:textId="3C981E9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4DCD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6827A5" w14:textId="59527BC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5F07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A69ABB" w14:textId="5458893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AFD2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EBFDF" w14:textId="3746918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6</w:t>
            </w:r>
          </w:p>
        </w:tc>
      </w:tr>
      <w:tr w:rsidR="00D640F3" w14:paraId="4621CAC3"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E3DA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FF67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F72C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1EDB8" w14:textId="17D887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967A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09B01B" w14:textId="227C21A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5EF2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A36715" w14:textId="4B8B55B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65CE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706AC" w14:textId="4CEC800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7DEE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DE5B3E" w14:textId="1737862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F3CE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AF5809" w14:textId="21E71D3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1120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ACAE2B" w14:textId="32DA319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280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27FF38" w14:textId="4C6404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6EFF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DFE045" w14:textId="6393EBD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B8A3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E31176" w14:textId="294A6DF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2.2</w:t>
            </w:r>
          </w:p>
        </w:tc>
      </w:tr>
      <w:tr w:rsidR="00D640F3" w14:paraId="212873C6"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6E1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8144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E391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A1E13B" w14:textId="68C0781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6A2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D72C38" w14:textId="0F24D22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80FE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7B7AF" w14:textId="3B63812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EA47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76428" w14:textId="27F77D2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A3BF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1AEF5B" w14:textId="4821705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D6F9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8EE586" w14:textId="3A589E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80E3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1600DD" w14:textId="77AC4FA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BF08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B8625C" w14:textId="341D93F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2370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266FBF" w14:textId="3CCBD5E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9C88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AFC513" w14:textId="276A83B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2.5</w:t>
            </w:r>
          </w:p>
        </w:tc>
      </w:tr>
      <w:tr w:rsidR="00D640F3" w14:paraId="2004E6AA"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EE2ECD"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8626F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91D048"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F0526B" w14:textId="3ACB3FA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969AE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6C07291" w14:textId="129ECFA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F813C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B1C3AE5" w14:textId="735DA54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0C4F7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514DC4" w14:textId="5C8841D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21214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805BEA3" w14:textId="45DE7C1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6F4F0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C36A064" w14:textId="74BF8E3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B4240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D6D238" w14:textId="2879B56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4B989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A29C86C" w14:textId="6DC280C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FAC2D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21138ED" w14:textId="72D8B76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C1A3E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4B8C906" w14:textId="3C4BC02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2.7</w:t>
            </w:r>
          </w:p>
        </w:tc>
      </w:tr>
      <w:tr w:rsidR="00D640F3" w14:paraId="11B5B1F8"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11C86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2A7B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8A7E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BDA733" w14:textId="2255BFD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441C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1C2AB5" w14:textId="7190F6F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F638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BA22F5" w14:textId="6A9B84C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C06F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0321CC" w14:textId="7253A42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4453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4FE1A2" w14:textId="034C303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00CD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48AFA1" w14:textId="73C0355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6772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95C779" w14:textId="60311F8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2183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36E239" w14:textId="59D47EB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1770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911F76" w14:textId="7F000F9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0E7B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76C022" w14:textId="411836C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w:t>
            </w:r>
          </w:p>
        </w:tc>
      </w:tr>
      <w:tr w:rsidR="00D640F3" w14:paraId="78364401"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933D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764A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E0DF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1A109A" w14:textId="4EAD4A3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97F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00FB00" w14:textId="615F052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A11E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7DC220" w14:textId="6B412E8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D457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AE487D" w14:textId="0DCE844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F929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487B83" w14:textId="1CE272F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7085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C7AA79" w14:textId="2FCC190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3DEF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E73A5" w14:textId="5793B2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72B5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A6EE31" w14:textId="480EBDC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CA71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73F128" w14:textId="4063817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75B6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7A7062" w14:textId="58F9F4C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3.6</w:t>
            </w:r>
          </w:p>
        </w:tc>
      </w:tr>
      <w:tr w:rsidR="00D640F3" w14:paraId="26DFB4B7"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BC37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7664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AAF4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32B3DF" w14:textId="6905C34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B48A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8E2CEE" w14:textId="15563FA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E7FE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5D0C5A" w14:textId="3EA34E1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FDBF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969BED" w14:textId="46B6671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89CF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DB0069" w14:textId="366238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B6A9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25611A" w14:textId="43E8550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ADD0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CEA420" w14:textId="5843CDA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B0AC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598C79" w14:textId="7892453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ED46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D82499" w14:textId="446A186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0FAF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A8B976" w14:textId="0830BF5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2.9</w:t>
            </w:r>
          </w:p>
        </w:tc>
      </w:tr>
      <w:tr w:rsidR="00D640F3" w14:paraId="264EF1FD"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24A9F1"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987E1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2ABFE1"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00FEE22" w14:textId="1D22433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2F6E9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CB1467B" w14:textId="28D5AFC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E9B10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B3A2DCA" w14:textId="19F74F7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FB981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C059D6B" w14:textId="5E9DFDD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74D22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2AF42E5" w14:textId="712E542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A5F00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0F73104" w14:textId="43134F6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202E76"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BA32DB2" w14:textId="3C34F87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1CF4C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7E784E1" w14:textId="1E76405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E19F0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59FA477" w14:textId="353627E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7554E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846FC6F" w14:textId="5128BA1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3.0</w:t>
            </w:r>
          </w:p>
        </w:tc>
      </w:tr>
      <w:tr w:rsidR="00D640F3" w14:paraId="34929B0B"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DA62B3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4883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A786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69D9C4" w14:textId="467900C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3FF9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00C6A2" w14:textId="28C46C2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0DD9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D2A2AE" w14:textId="3FB0B89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7D47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5E9866" w14:textId="6E2070E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9393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E62EEF" w14:textId="195F52A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342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481EE6" w14:textId="56D9018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653D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5C3E4B" w14:textId="572D296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EAA8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6FAF83" w14:textId="398F696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D2B9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6D9153" w14:textId="79A529D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CFEB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7452A0" w14:textId="2278675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w:t>
            </w:r>
          </w:p>
        </w:tc>
      </w:tr>
      <w:tr w:rsidR="00D640F3" w14:paraId="0B1234B3"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2C37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0CD1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811A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7A96B3" w14:textId="2B1E9DF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4391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3F7FC0" w14:textId="1275393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4B26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0D0876" w14:textId="79A728D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A780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AC54C1" w14:textId="6D975C0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C354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D48B01" w14:textId="78F1CB1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597A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F6D57A" w14:textId="5E1D325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888E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59E39B" w14:textId="7A99258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DA6A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6EF32A" w14:textId="4DCC654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3696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9F5168" w14:textId="50424EE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2FD7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C198DD" w14:textId="0020492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3.1</w:t>
            </w:r>
          </w:p>
        </w:tc>
      </w:tr>
      <w:tr w:rsidR="00D640F3" w14:paraId="539E4A9D"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C656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B315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0489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DDCA55" w14:textId="509DF85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7F3E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4584CB" w14:textId="36206C7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4345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58CA38" w14:textId="1CD696B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28D4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039D55" w14:textId="62B24EC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7C85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8D217E" w14:textId="6F08508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ADCF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0B51FC" w14:textId="2122508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5061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D87103" w14:textId="6041D48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437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8EEBF9" w14:textId="3556E14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FAA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3C6124" w14:textId="1AD8F5A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772D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ADE7B1" w14:textId="71A3E00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3.4</w:t>
            </w:r>
          </w:p>
        </w:tc>
      </w:tr>
      <w:tr w:rsidR="00D640F3" w14:paraId="793DE3DD"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A156A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863AE8"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8EA209"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CEAFF3F" w14:textId="574E3BD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4EF4C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610FE16" w14:textId="14EDCC4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F067A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5C4A34A" w14:textId="6F61102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B94E3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6FB337B" w14:textId="6D85518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F2CDC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6CDFC53" w14:textId="2D06F0F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55E79A"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5A2C48D" w14:textId="3C78726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5B4B9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707936" w14:textId="5884390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E6E8C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77D128F" w14:textId="610C9A3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3D999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A3A250D" w14:textId="1055522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AC2C7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332C78" w14:textId="36D6F5A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0.1</w:t>
            </w:r>
          </w:p>
        </w:tc>
      </w:tr>
      <w:tr w:rsidR="00D640F3" w14:paraId="69D0D705"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5B812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Professional, Scientific and Technical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7B12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31CA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FEE818" w14:textId="6F5A6D1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AA7D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A531F4" w14:textId="01C2785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A317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C945B5" w14:textId="79B54C9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3D45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761885" w14:textId="2E969AF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79D6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7D5DD7" w14:textId="7E57E39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5E58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C2955B" w14:textId="73CADD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8717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55BEEA" w14:textId="638DB66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A0B5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E318CD" w14:textId="3B84DF6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B296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B0C983" w14:textId="343C678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F5FB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76A626" w14:textId="6F9A6F2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11</w:t>
            </w:r>
          </w:p>
        </w:tc>
      </w:tr>
      <w:tr w:rsidR="00D640F3" w14:paraId="03C1E5F1"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5C52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8C64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A6CB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89EF7E" w14:textId="7B17D7D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5790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F113F3" w14:textId="1C9066F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74EA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B07259" w14:textId="3B47D4C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F7D8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204D10" w14:textId="62C2C7D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92A3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14694D" w14:textId="0CC1FA5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87E1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AA57BA" w14:textId="48B0792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461E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5C7A8A" w14:textId="4E9AC7C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5CCA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184E26" w14:textId="737B982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AE5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D0415E" w14:textId="0C5C479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8B24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8D1741" w14:textId="12A78F4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4.2</w:t>
            </w:r>
          </w:p>
        </w:tc>
      </w:tr>
      <w:tr w:rsidR="00D640F3" w14:paraId="03D4E880"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F136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87A3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5460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CB6CC7" w14:textId="5CC0D7E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8F50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7C9BC8" w14:textId="6ACA1F9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10EC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503723" w14:textId="4DB9EE3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033E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B4C863" w14:textId="6578ACF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6E2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25E4F9" w14:textId="08AE566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DD70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BF3F0C" w14:textId="3524C5E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293D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4E68D5" w14:textId="22F033D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8A96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273E63" w14:textId="67892EA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14CB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398A03" w14:textId="4B3413E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0540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548090" w14:textId="412F60C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3.3</w:t>
            </w:r>
          </w:p>
        </w:tc>
      </w:tr>
      <w:tr w:rsidR="00D640F3" w14:paraId="0400CC7A"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E81992"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29A9D0"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647E1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746C13A" w14:textId="6D28AA8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6FABC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71EE097" w14:textId="672BC8B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9AEA2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014D5B3" w14:textId="70F4A8B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56E21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22D1AD9" w14:textId="618F515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6BD3A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EA422FC" w14:textId="2335124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DEEB8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7FF3712" w14:textId="5EC8141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F085E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A4CE87F" w14:textId="7402225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802F3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A06470" w14:textId="14CF2A0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3A088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0654BAE" w14:textId="27EC2B6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9150DA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7B8B4E6" w14:textId="51A11DB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1.4</w:t>
            </w:r>
          </w:p>
        </w:tc>
      </w:tr>
      <w:tr w:rsidR="00D640F3" w14:paraId="4EDA1F3D"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B10D9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3D05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D96E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D37716" w14:textId="4C234B3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C45E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63AB7C" w14:textId="15C0DA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66D5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8E8743" w14:textId="74F9748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8068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50611B" w14:textId="52318FB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A3BC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C300A8" w14:textId="460BAA8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CE09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408CC5" w14:textId="3CB8926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536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F57E57" w14:textId="10ED206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CBE3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198844" w14:textId="6A8B862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D551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0662FF" w14:textId="2A4B02B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08BF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D6F0A1" w14:textId="2CFDEAB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15</w:t>
            </w:r>
          </w:p>
        </w:tc>
      </w:tr>
      <w:tr w:rsidR="00D640F3" w14:paraId="2269A5C5"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D3D5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6950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F513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FC26AA" w14:textId="010A84E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4269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2A5396" w14:textId="228AF9D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599A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75692C" w14:textId="20F86F9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0A95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7CEE61" w14:textId="5263300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1EA8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1F67CD" w14:textId="4899CA5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E221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CF1862" w14:textId="0FD5222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758B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4455A8" w14:textId="7400E85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6BF5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370DA7" w14:textId="05A6C14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3771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CD7D42" w14:textId="1AB4D61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B492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417672" w14:textId="24235F2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2.9</w:t>
            </w:r>
          </w:p>
        </w:tc>
      </w:tr>
      <w:tr w:rsidR="00D640F3" w14:paraId="3DA86413"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92C7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AB58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2EB0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CEAC4F" w14:textId="0B9A7E8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4FA7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FA5233" w14:textId="489EFCA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0184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FA2D8" w14:textId="75DD697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736E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C0F357" w14:textId="423660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3FA6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EA9BFB" w14:textId="4EF5635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EE67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8C4DDA" w14:textId="7E8D115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3903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1171AA" w14:textId="61DEDC3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26A1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EDAED5" w14:textId="6951168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8E21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E77058" w14:textId="26860A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D9DE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30BBFB" w14:textId="7C05423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3.3</w:t>
            </w:r>
          </w:p>
        </w:tc>
      </w:tr>
      <w:tr w:rsidR="00D640F3" w14:paraId="66D881D6"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0140938"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B2546E"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5DC473"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F4631A3" w14:textId="40F488E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EB2D7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33BA2EB" w14:textId="164E725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1E5DAC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A07C49D" w14:textId="4A22E46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70E823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2A6673F" w14:textId="3B20CDD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D3D1FA"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D2B217C" w14:textId="36F20A9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B07EB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F934D3" w14:textId="04DFB75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6C6B6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86125B6" w14:textId="3DB2752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F0820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2B9D269" w14:textId="66DA4E8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C9EDF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6BC2030" w14:textId="7F4D715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2B8F0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41AE539" w14:textId="70CB026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2.3</w:t>
            </w:r>
          </w:p>
        </w:tc>
      </w:tr>
      <w:tr w:rsidR="00D640F3" w14:paraId="2EA5531F"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F9EF8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78A8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B220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9477F4" w14:textId="00353AC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A86C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A0A662" w14:textId="5A8498B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BB24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931BDF" w14:textId="37A005E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1035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09906C" w14:textId="748491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6501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6B0F17" w14:textId="7E8CAC2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EE11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7CF862" w14:textId="1588373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18BB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69A33B" w14:textId="0245573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7C74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95D002" w14:textId="600352D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999F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739BC0" w14:textId="59011FB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AEF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3266FA" w14:textId="372877D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19</w:t>
            </w:r>
          </w:p>
        </w:tc>
      </w:tr>
      <w:tr w:rsidR="00D640F3" w14:paraId="7DAD24C3"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29EF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9F16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EDDA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4B06D8" w14:textId="151BFA0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273D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33FEF6" w14:textId="2BE398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9121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C8A7D9" w14:textId="111020C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BE40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C8DE13" w14:textId="1CBDC6E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C7BC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26862C" w14:textId="75B52C9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614E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8C0636" w14:textId="25BB8AA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6EC8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3BF51F" w14:textId="392F06E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75B1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AE3702" w14:textId="7A8D7B4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1144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F4C03E" w14:textId="1B29BF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FBE1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ABB78B" w14:textId="268A83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4.0</w:t>
            </w:r>
          </w:p>
        </w:tc>
      </w:tr>
      <w:tr w:rsidR="00D640F3" w14:paraId="245BE437"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841C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1442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FFDD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0AA02A" w14:textId="6D54627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F2A6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FB4FCB" w14:textId="554BD51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1016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10A05E" w14:textId="32C6374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5140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3E6799" w14:textId="3783D59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9399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C41E7E" w14:textId="427C36D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2952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B1AB2C" w14:textId="26C2252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0B04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780A01" w14:textId="5C29DCA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4C39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717CE3" w14:textId="20BF8B6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0C6F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6CC10E" w14:textId="2BA2FCD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6DDB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E4DF6B" w14:textId="2AE3537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3.1</w:t>
            </w:r>
          </w:p>
        </w:tc>
      </w:tr>
      <w:tr w:rsidR="00D640F3" w14:paraId="30E23E43"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4ECB5F"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DD00F6"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7AA42C"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5F91EC6" w14:textId="5952821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1E764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8ABA422" w14:textId="593B25C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C4843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121AD6" w14:textId="794469F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9C553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A7CFD49" w14:textId="57A60DF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0DB41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0C360CC" w14:textId="32514A9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656F0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860BE80" w14:textId="0118C4E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790A5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88F9822" w14:textId="4D02339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7CC1DFA"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CA6E08D" w14:textId="6F5450E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016E2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EC45A8" w14:textId="26CB92D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39164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6193A67" w14:textId="6E04C14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24.7</w:t>
            </w:r>
          </w:p>
        </w:tc>
      </w:tr>
      <w:tr w:rsidR="00D640F3" w14:paraId="291EBAED"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7B56B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9DA0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D559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F88985" w14:textId="4D54CEE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0A3A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526268" w14:textId="4D2438C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6007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9D3A37" w14:textId="50A26FF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F070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4E6AF9" w14:textId="1872D69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A7F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A9BE9E" w14:textId="73A79DA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295E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3E9FD5" w14:textId="2E479DE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6761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6CFD51" w14:textId="688190D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BF4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3DD3A0" w14:textId="10B171C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C8C2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C869CA" w14:textId="6ACBF7F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F2CC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B558DB" w14:textId="4777DFF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38</w:t>
            </w:r>
          </w:p>
        </w:tc>
      </w:tr>
      <w:tr w:rsidR="00D640F3" w14:paraId="21CF6B31"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5E91F"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D07A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A7C4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1DE8D6" w14:textId="4992FA2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A330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058DB5" w14:textId="01A1FD3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A28A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957418" w14:textId="02AE2FF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37AC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D94D9A" w14:textId="089E024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2E0B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F3A92B" w14:textId="00581A3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DA49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9144F8" w14:textId="0C82612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FDCC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965DF1" w14:textId="4D9EDE1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ECC9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1C18EB" w14:textId="0265FB6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4DB9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982E9C" w14:textId="2DF3FC9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0BD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B21B55" w14:textId="5CD6F2E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4.1</w:t>
            </w:r>
          </w:p>
        </w:tc>
      </w:tr>
      <w:tr w:rsidR="00D640F3" w14:paraId="66C3598F"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FFA7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85B8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C420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ACF2DC" w14:textId="2694139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DBB3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34DA6B" w14:textId="3E7BC3D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C0AD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27ECDD" w14:textId="6F7323B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6943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607864" w14:textId="30C9CE2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7649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DA49D8" w14:textId="4EF25DE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FD9A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5CE07D" w14:textId="00D68C5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CDD9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6D12CB" w14:textId="62BB5C4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6A6A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E505C7" w14:textId="1D6AE67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B6F5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8B6AD1" w14:textId="042D380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DCAB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A597F5" w14:textId="3D312CE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2.8</w:t>
            </w:r>
          </w:p>
        </w:tc>
      </w:tr>
      <w:tr w:rsidR="00D640F3" w14:paraId="58C2E7EB"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4FBA28"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A5905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9FEEC4"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497AAC5" w14:textId="19BF9A9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7F320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AF87D2" w14:textId="2D14733C"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FA4334"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AF0F968" w14:textId="2F2F2A6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9CEA9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3E16F17" w14:textId="48F5C99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6F87F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3BFFAED" w14:textId="43099AB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0A3B0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E8748B9" w14:textId="41D1F1E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FD982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9C2094D" w14:textId="48D082B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EB843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D3D4459" w14:textId="2918AF6A"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73CDB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A6E474" w14:textId="55CBD10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47.4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97183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8913A1" w14:textId="22959C5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54.2</w:t>
            </w:r>
          </w:p>
        </w:tc>
      </w:tr>
      <w:tr w:rsidR="00D640F3" w14:paraId="3E66E354"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4819C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2E23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CD41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E118BF" w14:textId="669B32F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F3F8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B55730" w14:textId="0495943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EC64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692C64" w14:textId="3F79D3D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8E4A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C98D7F" w14:textId="18446F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63A7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3D0440" w14:textId="6282773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8E71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271189" w14:textId="2E391CE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891F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652287" w14:textId="0233555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A4E7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CFFDC6" w14:textId="330E3ED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75BA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944E38" w14:textId="071E6A3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97C8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7A499E" w14:textId="609AEB4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77</w:t>
            </w:r>
          </w:p>
        </w:tc>
      </w:tr>
      <w:tr w:rsidR="00D640F3" w14:paraId="18623BE4"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D87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B597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41214"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768007" w14:textId="6AFEA42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A62A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6D5BD" w14:textId="796416D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29B4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8C2173" w14:textId="3FC0713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C223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E8EE2C" w14:textId="1463C44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5DA2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9032DD" w14:textId="42244D0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C107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0F95D2" w14:textId="601643D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359F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CEB61D" w14:textId="065CA5B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D538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E9FF1D" w14:textId="448E777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CE7A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7FF5FD" w14:textId="34DC5DD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CE2B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6297B2" w14:textId="3240D57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4.5</w:t>
            </w:r>
          </w:p>
        </w:tc>
      </w:tr>
      <w:tr w:rsidR="00D640F3" w14:paraId="59AFB6DE"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0647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AB30C"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F3A555"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1A7CC8" w14:textId="45EBC95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1C26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FB904F" w14:textId="0FCDF3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BE49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DD500C" w14:textId="54C5095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4921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751288" w14:textId="526D606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4E29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86A0EF" w14:textId="05ACBDE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8F35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FC875C" w14:textId="5135C0A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188B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46F2CF" w14:textId="2B4D6A0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D9B4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9A0552" w14:textId="28898EC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B0C9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AF6CC6" w14:textId="0509205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CD97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5ECB73" w14:textId="7C4910E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2.2</w:t>
            </w:r>
          </w:p>
        </w:tc>
      </w:tr>
      <w:tr w:rsidR="00D640F3" w14:paraId="4EF6B745"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07566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8AEC56"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99722F"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2BE7834" w14:textId="019763A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16119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ACEE19" w14:textId="6AF220B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3720A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FED86C1" w14:textId="2604938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57884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7132669" w14:textId="491871B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B5939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4EADA3F" w14:textId="4EFEC42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3820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60D40F" w14:textId="162DE62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B42B2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2E839A0" w14:textId="53E90FCE"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F7B3B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6B793B5" w14:textId="403863B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AA611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25C97FD" w14:textId="4A2A0FD4"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3F818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058EFDC" w14:textId="1A1BAC9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41.9</w:t>
            </w:r>
          </w:p>
        </w:tc>
      </w:tr>
      <w:tr w:rsidR="00D640F3" w14:paraId="2548FDEF"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E19E91"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D0BF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112D7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0B1309" w14:textId="27D7944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63F6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1BF585" w14:textId="65DF363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6965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E2ECE4" w14:textId="189C164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6936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71FFE7" w14:textId="49CF3D9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33C2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D85C8C" w14:textId="1EB8CA1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3245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775595" w14:textId="79E2FAD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25B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83EA87" w14:textId="2F10462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9043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B3EDFA" w14:textId="4E56D02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D5F8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073B87" w14:textId="4AAE25A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3705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790888" w14:textId="32B8076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18</w:t>
            </w:r>
          </w:p>
        </w:tc>
      </w:tr>
      <w:tr w:rsidR="00D640F3" w14:paraId="42F6BF2F"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79F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DBEC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D1EE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B8583F" w14:textId="145F422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E1CD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442CAE" w14:textId="3F3005D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2F63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5D52A2" w14:textId="370F8E2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7EDD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AC148B" w14:textId="2E7AA7F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CDE42"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075893" w14:textId="322DA2B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EE0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002D5E" w14:textId="13BE35C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9784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E7B220" w14:textId="1E607FD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9654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9ED445" w14:textId="737D46F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22A9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67CBCD" w14:textId="15E6AE1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24A1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E24826" w14:textId="58FFB96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3.2</w:t>
            </w:r>
          </w:p>
        </w:tc>
      </w:tr>
      <w:tr w:rsidR="00D640F3" w14:paraId="3AB4E292"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13EB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F1D9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EE50D"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E5EA3B" w14:textId="2578BA0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7B05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153B26" w14:textId="305D00D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ADB1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043410" w14:textId="6ACCC79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E1C7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A69BC2" w14:textId="328A8DF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2207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955265" w14:textId="1BC8B9A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6D79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0A83AB" w14:textId="03217F7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A049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3F3461" w14:textId="771538F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93C1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120EF2" w14:textId="2818F5F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451A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4D312F" w14:textId="4DB173F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4B6C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C50745" w14:textId="657881D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2.7</w:t>
            </w:r>
          </w:p>
        </w:tc>
      </w:tr>
      <w:tr w:rsidR="00D640F3" w14:paraId="34136CE6"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64C24C"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7EAD7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D239A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5FA79B5" w14:textId="23856C0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1BFDE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E78B83" w14:textId="7AF61BF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DFF435"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8A88A5D" w14:textId="4D11641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D10E51"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1F0EEC" w14:textId="0875116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8C30E0"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23BE39B" w14:textId="7E85F2D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97A72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AF51230" w14:textId="3722C05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76EC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BF118F0" w14:textId="0438329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5690D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2FE95D7" w14:textId="60A08BB2"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C732D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F75FB8" w14:textId="2BBA626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1FCCF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307FA21" w14:textId="5B1A757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3.5</w:t>
            </w:r>
          </w:p>
        </w:tc>
      </w:tr>
      <w:tr w:rsidR="00D640F3" w14:paraId="7E83CFD0" w14:textId="77777777" w:rsidTr="00126721">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45942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0E1B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05C5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1318D3" w14:textId="508F3E8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185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2F8D17" w14:textId="4E9C714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4750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49BCC6" w14:textId="2F3897D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B2C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6539C8" w14:textId="0E2959A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672D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4F8881" w14:textId="73C2C38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488C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6FA11D" w14:textId="4B3A46A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4D48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DA877A" w14:textId="7AFA1EF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C28E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0976F0" w14:textId="0A1C27C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4B36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0229B7" w14:textId="285E18E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7220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B14A7E" w14:textId="2118437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17</w:t>
            </w:r>
          </w:p>
        </w:tc>
      </w:tr>
      <w:tr w:rsidR="00D640F3" w14:paraId="0DD05CDD" w14:textId="77777777" w:rsidTr="00126721">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84B2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738D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C294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D88A31" w14:textId="225F60C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A6E5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A6DE35" w14:textId="62B1BB3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78DB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F485FC" w14:textId="2926381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512F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74DE87" w14:textId="6360850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9AA3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551E7C" w14:textId="11D4EC2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F4E9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F6E500" w14:textId="15B4DB6C"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C0B4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09EB01" w14:textId="68833F46"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9460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504B05" w14:textId="752D9C6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AB57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F737D" w14:textId="3CEE500D"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E5F2C"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05EFE0" w14:textId="3AE04C9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3.2</w:t>
            </w:r>
          </w:p>
        </w:tc>
      </w:tr>
      <w:tr w:rsidR="00D640F3" w14:paraId="29F45E37"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740C3"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C2E5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A8D9A"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B75085" w14:textId="40119C3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8D6A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6FCACB" w14:textId="5768A07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3867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0A7BD4" w14:textId="3A42EFD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D311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923DD4" w14:textId="08DD1E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ABBD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E602EC" w14:textId="3073D48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AF87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EADA2C" w14:textId="5652698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0CE6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BA5DF1" w14:textId="0E1F545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2C64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6EA3C9" w14:textId="71D7243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E1CC1"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F1DD92" w14:textId="1D81DF6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E127D"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A82732" w14:textId="49E8524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3.0</w:t>
            </w:r>
          </w:p>
        </w:tc>
      </w:tr>
      <w:tr w:rsidR="00D640F3" w14:paraId="015AE88E" w14:textId="77777777" w:rsidTr="00126721">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CF2E89"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390D59"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C1BF0F"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CB9757" w14:textId="7EA2107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79A5D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9DD1781" w14:textId="63E20EB6"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DB923E"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F864153" w14:textId="34F92138"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84B6B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A63433A" w14:textId="25E66D6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170EB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89C6C0F" w14:textId="66AE1D41"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EA2C4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9B2704B" w14:textId="32A7D2E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8AE3D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4543713" w14:textId="62F38DBB"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D1D109"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54D06C8" w14:textId="65944BEF"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0A0F8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8039FD1" w14:textId="1A648D1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16D79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D5A6ED7" w14:textId="70A9DB9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1.4</w:t>
            </w:r>
          </w:p>
        </w:tc>
      </w:tr>
      <w:tr w:rsidR="00D640F3" w14:paraId="2A2A5797" w14:textId="77777777" w:rsidTr="00126721">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836C7"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All Industries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A23B2"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839DE"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90E5D9" w14:textId="2A5D969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E746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543A3B" w14:textId="725B4F8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165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AC6D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BC1FE5" w14:textId="547C27B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0679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32C5B3" w14:textId="140109A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7468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BAB052" w14:textId="40A5465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B017F"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453875" w14:textId="6B521CB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3B9B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4994AC" w14:textId="3491300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984D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CA1DB2" w14:textId="0531EB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21D9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96014C" w14:textId="1E84C1C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C997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58A121" w14:textId="3F5B041B"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973</w:t>
            </w:r>
          </w:p>
        </w:tc>
      </w:tr>
      <w:tr w:rsidR="00D640F3" w14:paraId="3705E77D" w14:textId="77777777" w:rsidTr="00126721">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F0536"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7BBC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BFFB0"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6CCB8C" w14:textId="63661882"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96DB5"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82AD45" w14:textId="3405FD9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DF4EE"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E9FF2A" w14:textId="3A0BED5F"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ECAA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E102BE" w14:textId="06DB11D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314F4"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B7BDFD" w14:textId="1F89526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07BBB"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97B98E" w14:textId="48237E0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669E7"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09C3B8" w14:textId="40EB4D8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64CF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E3D236" w14:textId="6722ED5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42EB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811F29" w14:textId="660AF21E"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54B5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778A6A" w14:textId="21B95335"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4.2</w:t>
            </w:r>
          </w:p>
        </w:tc>
      </w:tr>
      <w:tr w:rsidR="00D640F3" w14:paraId="5103EA78" w14:textId="77777777" w:rsidTr="00126721">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E7E39"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D4C6B"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95428" w14:textId="77777777" w:rsid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E273F" w14:textId="5EC7194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475E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7AFD72" w14:textId="64DDD80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9EDE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08C1E9" w14:textId="769E2C33"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3DF50"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9AC779" w14:textId="1D4879B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32468"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F86D25" w14:textId="7229F8A0"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FE33A"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3D3083" w14:textId="14A7AB24"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B08F3"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1339AD" w14:textId="1E096871"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8952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9F34A4" w14:textId="41F772BA"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33D09"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396AB9" w14:textId="4CF74848"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FF6C6" w14:textId="77777777"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6AF347" w14:textId="5DB9D219" w:rsidR="00D640F3" w:rsidRPr="00D640F3" w:rsidRDefault="00D640F3" w:rsidP="00D640F3">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2.7</w:t>
            </w:r>
          </w:p>
        </w:tc>
      </w:tr>
      <w:tr w:rsidR="00D640F3" w14:paraId="7B01D94B" w14:textId="77777777" w:rsidTr="00126721">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46EB37"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BA6CDB"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ED92A" w14:textId="77777777" w:rsid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10DDE4C" w14:textId="1721A1C5"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0.6</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15F2BC"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10DEA25" w14:textId="2DB5666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24.1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C4ABB"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72BD81B" w14:textId="2D12A6C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2.7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E3423"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3F302A0" w14:textId="0071363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13.4</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87AC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C4B2F82" w14:textId="4F3404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A7AF2"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EFB8554" w14:textId="7F5D4590"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6EB9D"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FF9C8DD" w14:textId="69F8865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49.9</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BB687"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3CB636A1" w14:textId="4CF920C9"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10.7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5A934F"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ED208DA" w14:textId="459CD4C3"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cs="Calibri"/>
                <w:sz w:val="20"/>
                <w:szCs w:val="20"/>
              </w:rPr>
              <w:t>72.1</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A7428" w14:textId="77777777"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836D7CE" w14:textId="3CBDEB9D" w:rsidR="00D640F3" w:rsidRPr="00D640F3" w:rsidRDefault="00D640F3" w:rsidP="00D640F3">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sidRPr="00D640F3">
              <w:rPr>
                <w:rFonts w:ascii="Aptos" w:hAnsi="Aptos"/>
                <w:sz w:val="20"/>
                <w:szCs w:val="20"/>
              </w:rPr>
              <w:t>184.9</w:t>
            </w:r>
          </w:p>
        </w:tc>
      </w:tr>
    </w:tbl>
    <w:p w14:paraId="10F9FBD3" w14:textId="19263DEE"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613E7E94"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2C823C81" w14:textId="6DA26FF6" w:rsidR="00AB0A8C" w:rsidRPr="00F862F5" w:rsidRDefault="007639BC" w:rsidP="00BD6A47">
      <w:pPr>
        <w:pStyle w:val="ListParagraph"/>
        <w:numPr>
          <w:ilvl w:val="0"/>
          <w:numId w:val="25"/>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AAWI = Average Annualised Wage Increase per employee.</w:t>
      </w:r>
    </w:p>
    <w:p w14:paraId="1B57E25A" w14:textId="22D7BB5A" w:rsidR="00AB0A8C" w:rsidRPr="00F862F5" w:rsidRDefault="007639BC" w:rsidP="00BD6A47">
      <w:pPr>
        <w:pStyle w:val="ListParagraph"/>
        <w:numPr>
          <w:ilvl w:val="0"/>
          <w:numId w:val="25"/>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Agreement and employee estimates are for all federal wage agreements in the period, while estimates of AAWI per employee are based on quantifiable wage agreements.</w:t>
      </w:r>
    </w:p>
    <w:p w14:paraId="15936719" w14:textId="14771245" w:rsidR="00AB0A8C" w:rsidRPr="00F862F5" w:rsidRDefault="007639BC" w:rsidP="00BD6A47">
      <w:pPr>
        <w:pStyle w:val="ListParagraph"/>
        <w:numPr>
          <w:ilvl w:val="0"/>
          <w:numId w:val="25"/>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The Manufacturing category has been disaggregated into Metals and non-Metals industries.</w:t>
      </w:r>
    </w:p>
    <w:p w14:paraId="52E6D9BC" w14:textId="1CB45BB4" w:rsidR="00AB0A8C" w:rsidRPr="00F862F5" w:rsidRDefault="007639BC" w:rsidP="00BD6A47">
      <w:pPr>
        <w:pStyle w:val="ListParagraph"/>
        <w:numPr>
          <w:ilvl w:val="0"/>
          <w:numId w:val="25"/>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 Where asterisk occurs, there are no quantifiable agreements in this </w:t>
      </w:r>
      <w:proofErr w:type="gramStart"/>
      <w:r w:rsidRPr="00F862F5">
        <w:rPr>
          <w:rFonts w:ascii="Aptos" w:eastAsia="Aptos" w:hAnsi="Aptos" w:cs="Aptos"/>
          <w:i/>
          <w:sz w:val="20"/>
          <w:szCs w:val="20"/>
        </w:rPr>
        <w:t>quarter</w:t>
      </w:r>
      <w:proofErr w:type="gramEnd"/>
      <w:r w:rsidRPr="00F862F5">
        <w:rPr>
          <w:rFonts w:ascii="Aptos" w:eastAsia="Aptos" w:hAnsi="Aptos" w:cs="Aptos"/>
          <w:i/>
          <w:sz w:val="20"/>
          <w:szCs w:val="20"/>
        </w:rPr>
        <w:t xml:space="preserve"> so no AAWI is calculable.</w:t>
      </w:r>
    </w:p>
    <w:p w14:paraId="7D3BEF37" w14:textId="3FB4DA8F" w:rsidR="00AB0A8C" w:rsidRPr="00F862F5" w:rsidRDefault="007639BC" w:rsidP="00BD6A47">
      <w:pPr>
        <w:pStyle w:val="ListParagraph"/>
        <w:numPr>
          <w:ilvl w:val="0"/>
          <w:numId w:val="25"/>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All estimates are rounded and are subject to revision. Revisions have been made </w:t>
      </w:r>
      <w:proofErr w:type="gramStart"/>
      <w:r w:rsidRPr="00F862F5">
        <w:rPr>
          <w:rFonts w:ascii="Aptos" w:eastAsia="Aptos" w:hAnsi="Aptos" w:cs="Aptos"/>
          <w:i/>
          <w:sz w:val="20"/>
          <w:szCs w:val="20"/>
        </w:rPr>
        <w:t>to</w:t>
      </w:r>
      <w:proofErr w:type="gramEnd"/>
      <w:r w:rsidRPr="00F862F5">
        <w:rPr>
          <w:rFonts w:ascii="Aptos" w:eastAsia="Aptos" w:hAnsi="Aptos" w:cs="Aptos"/>
          <w:i/>
          <w:sz w:val="20"/>
          <w:szCs w:val="20"/>
        </w:rPr>
        <w:t xml:space="preserve"> historical series.</w:t>
      </w:r>
    </w:p>
    <w:p w14:paraId="7A704D33" w14:textId="603A2876"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Of the 9 Agriculture, Forestry and Fishing agreements approved in the June quarter 2025, 1 operate</w:t>
      </w:r>
      <w:r w:rsidR="00151C69">
        <w:rPr>
          <w:rFonts w:ascii="Aptos" w:eastAsia="Aptos" w:hAnsi="Aptos" w:cs="Aptos"/>
          <w:i/>
          <w:color w:val="000000"/>
          <w:sz w:val="22"/>
          <w:szCs w:val="22"/>
        </w:rPr>
        <w:t>s</w:t>
      </w:r>
      <w:r>
        <w:rPr>
          <w:rFonts w:ascii="Aptos" w:eastAsia="Aptos" w:hAnsi="Aptos" w:cs="Aptos"/>
          <w:i/>
          <w:color w:val="000000"/>
          <w:sz w:val="22"/>
          <w:szCs w:val="22"/>
        </w:rPr>
        <w:t xml:space="preserve"> solely in New South Wales. </w:t>
      </w:r>
      <w:r w:rsidR="00151C69">
        <w:rPr>
          <w:rFonts w:ascii="Aptos" w:eastAsia="Aptos" w:hAnsi="Aptos" w:cs="Aptos"/>
          <w:i/>
          <w:color w:val="000000"/>
          <w:sz w:val="22"/>
          <w:szCs w:val="22"/>
        </w:rPr>
        <w:t>This</w:t>
      </w:r>
      <w:r>
        <w:rPr>
          <w:rFonts w:ascii="Aptos" w:eastAsia="Aptos" w:hAnsi="Aptos" w:cs="Aptos"/>
          <w:i/>
          <w:color w:val="000000"/>
          <w:sz w:val="22"/>
          <w:szCs w:val="22"/>
        </w:rPr>
        <w:t xml:space="preserve"> agreement cover</w:t>
      </w:r>
      <w:r w:rsidR="00151C69">
        <w:rPr>
          <w:rFonts w:ascii="Aptos" w:eastAsia="Aptos" w:hAnsi="Aptos" w:cs="Aptos"/>
          <w:i/>
          <w:color w:val="000000"/>
          <w:sz w:val="22"/>
          <w:szCs w:val="22"/>
        </w:rPr>
        <w:t>s</w:t>
      </w:r>
      <w:r>
        <w:rPr>
          <w:rFonts w:ascii="Aptos" w:eastAsia="Aptos" w:hAnsi="Aptos" w:cs="Aptos"/>
          <w:i/>
          <w:color w:val="000000"/>
          <w:sz w:val="22"/>
          <w:szCs w:val="22"/>
        </w:rPr>
        <w:t xml:space="preserve"> 100 employees, with an AAWI of 2.7% and </w:t>
      </w:r>
      <w:r w:rsidR="00E518A2">
        <w:rPr>
          <w:rFonts w:ascii="Aptos" w:eastAsia="Aptos" w:hAnsi="Aptos" w:cs="Aptos"/>
          <w:i/>
          <w:color w:val="000000"/>
          <w:sz w:val="22"/>
          <w:szCs w:val="22"/>
        </w:rPr>
        <w:t>a</w:t>
      </w:r>
      <w:r>
        <w:rPr>
          <w:rFonts w:ascii="Aptos" w:eastAsia="Aptos" w:hAnsi="Aptos" w:cs="Aptos"/>
          <w:i/>
          <w:color w:val="000000"/>
          <w:sz w:val="22"/>
          <w:szCs w:val="22"/>
        </w:rPr>
        <w:t xml:space="preserve"> duration of 3.0 years.</w:t>
      </w:r>
    </w:p>
    <w:p w14:paraId="414E9171" w14:textId="77777777" w:rsidR="00AB0A8C" w:rsidRDefault="007639BC">
      <w:r>
        <w:br w:type="page"/>
      </w:r>
    </w:p>
    <w:p w14:paraId="7E2E75E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Table 17 - Agreements current on the last day of the June quarter 2025, by state and ANZSIC division</w:t>
      </w:r>
    </w:p>
    <w:tbl>
      <w:tblPr>
        <w:tblW w:w="0" w:type="auto"/>
        <w:jc w:val="center"/>
        <w:tblLayout w:type="fixed"/>
        <w:tblLook w:val="0420" w:firstRow="1" w:lastRow="0" w:firstColumn="0" w:lastColumn="0" w:noHBand="0" w:noVBand="1"/>
      </w:tblPr>
      <w:tblGrid>
        <w:gridCol w:w="2154"/>
        <w:gridCol w:w="1701"/>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gridCol w:w="57"/>
        <w:gridCol w:w="850"/>
      </w:tblGrid>
      <w:tr w:rsidR="00AB0A8C" w14:paraId="6E95803E" w14:textId="77777777">
        <w:trPr>
          <w:tblHeader/>
          <w:jc w:val="center"/>
        </w:trPr>
        <w:tc>
          <w:tcPr>
            <w:tcW w:w="3855" w:type="dxa"/>
            <w:gridSpan w:val="2"/>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6D7D8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FFFFFF"/>
                <w:sz w:val="20"/>
                <w:szCs w:val="20"/>
              </w:rPr>
            </w:pPr>
            <w:r>
              <w:rPr>
                <w:rFonts w:ascii="Aptos" w:eastAsia="Aptos" w:hAnsi="Aptos" w:cs="Aptos"/>
                <w:b/>
                <w:color w:val="FFFFFF"/>
                <w:sz w:val="20"/>
                <w:szCs w:val="20"/>
              </w:rPr>
              <w:t>FOR AGREEMENTS CURRENT AT THE END OF THE NOMINATED QUARTER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74710B"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2168CB"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ACT</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BE1D9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83299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NSW</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DE5A1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3424C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NT</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75195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59765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QLD</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1EDF99"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74B631"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SA</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7E45D4"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498930"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TAS</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20F8F7"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FBDF65"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VIC</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B5D9FE"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78B6DF"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WA</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0C5B6F"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1C83AC"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Multi-state</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F428DC"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D075C8"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Other</w:t>
            </w:r>
          </w:p>
        </w:tc>
        <w:tc>
          <w:tcPr>
            <w:tcW w:w="57"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436F25" w14:textId="77777777" w:rsidR="00AB0A8C" w:rsidRDefault="00AB0A8C">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b/>
                <w:color w:val="FFFFFF"/>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0BB117" w14:textId="77777777" w:rsidR="00AB0A8C" w:rsidRDefault="007639BC">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b/>
                <w:color w:val="FFFFFF"/>
                <w:sz w:val="20"/>
                <w:szCs w:val="20"/>
              </w:rPr>
            </w:pPr>
            <w:r>
              <w:rPr>
                <w:rFonts w:ascii="Aptos" w:eastAsia="Aptos" w:hAnsi="Aptos" w:cs="Aptos"/>
                <w:b/>
                <w:color w:val="FFFFFF"/>
                <w:sz w:val="20"/>
                <w:szCs w:val="20"/>
              </w:rPr>
              <w:t>Total</w:t>
            </w:r>
          </w:p>
        </w:tc>
      </w:tr>
      <w:tr w:rsidR="00A82FB9" w14:paraId="21BD0B97" w14:textId="77777777" w:rsidTr="00465E80">
        <w:trPr>
          <w:jc w:val="center"/>
        </w:trPr>
        <w:tc>
          <w:tcPr>
            <w:tcW w:w="2154" w:type="dxa"/>
            <w:vMerge w:val="restart"/>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65AFE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Agriculture, Forestry and Fishing</w:t>
            </w: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A019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CD60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6AA27A" w14:textId="7E91236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8126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173C28" w14:textId="5F31817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BA79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093CA0" w14:textId="3D1C8B3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787C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D0222D" w14:textId="5A78C4C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BE61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7821EF" w14:textId="6470369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A8C2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A005E4" w14:textId="563B2D6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EE57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8657A8" w14:textId="01A992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D95C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8EE81" w14:textId="047FBEF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2AF9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C62C50" w14:textId="3D7199B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EBC6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AF6063" w14:textId="2D2FCF1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1980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02D548" w14:textId="20FCCBE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122</w:t>
            </w:r>
          </w:p>
        </w:tc>
      </w:tr>
      <w:tr w:rsidR="00A82FB9" w14:paraId="2A4E4C1C"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270E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3227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E1E7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54E44D" w14:textId="2107152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7229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877CD6" w14:textId="09412A6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CE02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BF2947" w14:textId="0B14DCC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F7A1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1B6A0C" w14:textId="66232A1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00FD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2CC83B" w14:textId="3FEA645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A558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7FEA92" w14:textId="3749225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6A44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E9FFD5" w14:textId="6162D5C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84A6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1AF17C" w14:textId="33CCD17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F185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4653FE" w14:textId="4A23503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1178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C18C15" w14:textId="1E2859C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7F8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6B2A9C" w14:textId="1D27447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r>
      <w:tr w:rsidR="00A82FB9" w14:paraId="6C7CB6BD"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A92C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EDCD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BDB5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B9B07E" w14:textId="27C28B8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4AFF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CF3036" w14:textId="24042EF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931C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78696E" w14:textId="3A66691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160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8D09AB" w14:textId="6E13907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8C2D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16BE6B" w14:textId="1E184DA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3D75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87DCB" w14:textId="0BB7CC6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EAB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B8481C" w14:textId="27B03B5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357A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376B48" w14:textId="538D42C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1B5E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F42210" w14:textId="47C8E0B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BBDF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48E9D" w14:textId="0D0A135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018F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6AA65A" w14:textId="067A8A7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r>
      <w:tr w:rsidR="00A82FB9" w14:paraId="492C9EC8"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7B6E0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3864F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857B6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EDC9A1A" w14:textId="6D705DA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10B66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C318667" w14:textId="4F89D3F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FDC4C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C7207D1" w14:textId="05D9F33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A29F6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2C97739" w14:textId="7F9A480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EFB30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7B3EDE8" w14:textId="2566BBC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BAB95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2662E0D" w14:textId="2529995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019FE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A616D5D" w14:textId="2EE23EB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AD64F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50681CB" w14:textId="6D47F07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ADEF1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CBADF02" w14:textId="00618FB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80A47C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D6FDD3C" w14:textId="5695EDB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86EEA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E7E9526" w14:textId="261F773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11.5</w:t>
            </w:r>
          </w:p>
        </w:tc>
      </w:tr>
      <w:tr w:rsidR="00A82FB9" w14:paraId="5DBCE5EF"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FD43F8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665A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68D4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80123" w14:textId="0AC61A8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09C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3017DC" w14:textId="7596046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02B0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4FE97C" w14:textId="1555563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D257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543EE4" w14:textId="5CCAE95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DB52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1B6A9D" w14:textId="713FAF0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5F3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F9FFB1" w14:textId="47EC2CC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2F3E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E4C802" w14:textId="388BF95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9A06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EBB204" w14:textId="7BE0B7B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8FD1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B18F87" w14:textId="39D2508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C0EC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2FAEE0" w14:textId="50CC726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4A56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5A8569" w14:textId="202C327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460</w:t>
            </w:r>
          </w:p>
        </w:tc>
      </w:tr>
      <w:tr w:rsidR="00A82FB9" w14:paraId="638C69FD"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DE50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82A4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A3BA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307F44" w14:textId="6CF36EF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F339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BBD4B1" w14:textId="17338A1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B6F2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4417BD" w14:textId="05DA04E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F8F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305E1C" w14:textId="6F65DD7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7376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356574" w14:textId="332A1CD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1D05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231C42" w14:textId="4A7E41B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FEAB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DC470B" w14:textId="6CE8A3A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E65A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AED731" w14:textId="76F56B4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241A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1C7444" w14:textId="5467C24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FFB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F2CD01" w14:textId="4E4D776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F485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7765E2" w14:textId="5A9A059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r>
      <w:tr w:rsidR="00A82FB9" w14:paraId="6DFDC1DA"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AF56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5A99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6F32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9AB99D" w14:textId="51F440E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FC0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2779E3" w14:textId="2F4516F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BE6D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546740" w14:textId="17FBDCB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A00A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C7F0FF" w14:textId="31EDB63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5107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04CCE4" w14:textId="71A175F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531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C2744F" w14:textId="68AB82C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4C13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A4E52C" w14:textId="33DAB72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8976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65DFB" w14:textId="4020933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04C2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D6A2E7" w14:textId="2B94FC5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441E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CFEC91" w14:textId="0CEA03F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3476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C5F967" w14:textId="61D5F27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r>
      <w:tr w:rsidR="00A82FB9" w14:paraId="54B97E1D"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02B57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F7839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804C5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7FE6639" w14:textId="226BF6F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A47BC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22CC6A1" w14:textId="088F5C6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CCB95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AEF6146" w14:textId="344FA33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73B85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751276" w14:textId="0773EDE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52461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B5862C9" w14:textId="5A385DD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D27EE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E5C35FF" w14:textId="16C6390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9040B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30EA3F7" w14:textId="68B10E4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3B4F04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F73B54E" w14:textId="3CBCE03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FF4A6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0D7104F" w14:textId="0DA1EB6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99A94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300B986" w14:textId="08A7870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DDA3F9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8C766A4" w14:textId="67C45D7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63.3</w:t>
            </w:r>
          </w:p>
        </w:tc>
      </w:tr>
      <w:tr w:rsidR="00A82FB9" w14:paraId="1433FE2B"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2804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056F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484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EB4749" w14:textId="22EDB83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A7D7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4BC559" w14:textId="7ED7836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ECAF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1E15B7" w14:textId="6E36229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3E4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C54BE5" w14:textId="057A071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D56D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F9A7B0" w14:textId="3F75403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2D12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3E59D8" w14:textId="4D86CF1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9B8C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021671" w14:textId="6B7DEC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695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39B5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0BD5A3" w14:textId="34F2E7D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FB76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FC43B5" w14:textId="17CFA42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E6DA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81F6C9" w14:textId="1DF4F9E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569A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138721" w14:textId="7342263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1,961</w:t>
            </w:r>
          </w:p>
        </w:tc>
      </w:tr>
      <w:tr w:rsidR="00A82FB9" w14:paraId="04919A43"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A7C5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0920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E3B5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57E9BA" w14:textId="14C1246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E4BF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A593A1" w14:textId="2CD8C6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D713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8D09C5" w14:textId="2DD8F27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CACA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382D3A" w14:textId="356FC1B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BEA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02802" w14:textId="102E98B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BCA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A3B2E2" w14:textId="47C3370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2779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82E6D9" w14:textId="58E3C64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EEA9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D9D7C7" w14:textId="65B4E39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7C6F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D97549" w14:textId="13DA5E8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52CC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440EDC" w14:textId="5A2305C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AE0B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8BC1AB" w14:textId="4BC2296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r>
      <w:tr w:rsidR="00A82FB9" w14:paraId="06B62DF6"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7A75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BE53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5275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528BC4" w14:textId="509F022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8DEA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11AD38" w14:textId="1346220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EF1F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049805" w14:textId="76DB68C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8E03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CD92B1" w14:textId="1B6796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1507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F7C51B" w14:textId="66A65B0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196A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0CF8E8" w14:textId="27234F6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5A24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1ED734" w14:textId="353A399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2D13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8FFC78" w14:textId="678D0D4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5863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8B11A5" w14:textId="3B69A83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0D81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DE8241" w14:textId="0CA08ED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7F5A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D78280" w14:textId="72BC6C8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r>
      <w:tr w:rsidR="00A82FB9" w14:paraId="0A16D0FF"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0DF87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015BE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30482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4CA45D" w14:textId="7F23420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4A2CF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EAD08BB" w14:textId="04937A3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34D37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8A13481" w14:textId="5A4F32B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B67FC3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F43FBDC" w14:textId="6FF41AE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22090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AC03C5D" w14:textId="1700247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D87CD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B39779B" w14:textId="10A9006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AE3DB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581749C" w14:textId="15BFCDE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635F3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9477819" w14:textId="294401D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D731B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B9C3DFC" w14:textId="5F66A51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02BEF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8650272" w14:textId="06956E4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1B746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64E6F77" w14:textId="419D464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162.1</w:t>
            </w:r>
          </w:p>
        </w:tc>
      </w:tr>
      <w:tr w:rsidR="00A82FB9" w14:paraId="3DE279BB"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5C72E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Non-Metal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188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3212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AB32C7" w14:textId="06A7E9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7C7D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49A0B9" w14:textId="28C3B75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7C67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752389" w14:textId="2B599F1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11EF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E3F5A" w14:textId="02B91A3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1342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BA17C1" w14:textId="7B83D72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E164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1AD4AD" w14:textId="3E82145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DD3F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9A0392" w14:textId="7A4B5A1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7EB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628A2E" w14:textId="310757C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BEA2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324258" w14:textId="7FD820C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7E69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C5E04E" w14:textId="2DB48A4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B0C0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49D7A4" w14:textId="499DB86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1,326</w:t>
            </w:r>
          </w:p>
        </w:tc>
      </w:tr>
      <w:tr w:rsidR="00A82FB9" w14:paraId="39F7F2F3"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4DBE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4955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115F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E3D6BC" w14:textId="72A42C5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19A7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800C4C" w14:textId="775D630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47F3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718FB7" w14:textId="28387AC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3297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796BE0" w14:textId="123055A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C676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88FF4A" w14:textId="0BE1B88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69E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E61F97" w14:textId="1F521C2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6BA7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3C8CE5" w14:textId="37CC9E5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61E5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F6875C" w14:textId="01BFD38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39E2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C70DD1" w14:textId="216F09D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9E8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F87F30" w14:textId="0228F87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411F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A19C5A" w14:textId="42B74FF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r>
      <w:tr w:rsidR="00A82FB9" w14:paraId="6E6AAE52"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02E5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EA6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A26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C762BD" w14:textId="1F456A7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3D70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FE3197" w14:textId="54AC653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1513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5558EA" w14:textId="19CA630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0C9B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887BD3" w14:textId="6351AF3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34CE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A93DE9" w14:textId="6D71DAD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8FC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B1C63F" w14:textId="2C0FBF6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F0BB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4076F7" w14:textId="3FE2617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0D0A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F05D5E" w14:textId="372382A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AD7C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74FE95" w14:textId="3BD9BEA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7555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7117AA" w14:textId="78D0DC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5854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F81C83" w14:textId="0D843BD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r>
      <w:tr w:rsidR="00A82FB9" w14:paraId="422085FD"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AE6CB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8E465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2D032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1DE7B61" w14:textId="4512D41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F30296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5B052B7" w14:textId="74B319C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62269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86EA50E" w14:textId="0445FBB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BEC0C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BF6A96D" w14:textId="4FBAFA5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CE7C3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C80E821" w14:textId="43E5D10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562E2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347072" w14:textId="732E3F6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FCA91C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946E991" w14:textId="6AC1FC7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07B1FB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E7D7B1E" w14:textId="6858A7A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EE8DF2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6C4B56D" w14:textId="2B73A09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70F88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FFB3C65" w14:textId="7F96AB0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48B10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BB43B1" w14:textId="24F91B1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118.6</w:t>
            </w:r>
          </w:p>
        </w:tc>
      </w:tr>
      <w:tr w:rsidR="00A82FB9" w14:paraId="3514CEFE"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C1069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Metal Manufacturing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693D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36A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144CE6" w14:textId="7E6037C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6E89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A615A4" w14:textId="15F1201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99092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01B99A" w14:textId="0BD6F5E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9E98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C12D7F" w14:textId="53239C8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B48B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2062D4" w14:textId="6291193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C1F2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C40798" w14:textId="50428D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3FF5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46FA54" w14:textId="2EFFC3E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E470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F6A6B6" w14:textId="2C25624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67A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780BF3" w14:textId="0DE4F39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F40D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186B72" w14:textId="522B0C7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EFCB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91952D" w14:textId="03906B9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635</w:t>
            </w:r>
          </w:p>
        </w:tc>
      </w:tr>
      <w:tr w:rsidR="00A82FB9" w14:paraId="5EF69876"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5B27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CC1B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184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969F44" w14:textId="4C49701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8B43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D68AE2" w14:textId="5E68035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ABEF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9CF2C8" w14:textId="50A43E8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AAF7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C9FC50" w14:textId="1838993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1569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49ECD" w14:textId="73812FB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CE9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5A40DB" w14:textId="243D83A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705C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54C47" w14:textId="250AC71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C275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AE35DB" w14:textId="313719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4F9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680BE" w14:textId="236096F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5C85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44CC10" w14:textId="588A3F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55CB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D22587" w14:textId="567B4DF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r>
      <w:tr w:rsidR="00A82FB9" w14:paraId="35014345"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3E0C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2FA1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0853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D27DEC" w14:textId="385DFA3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5876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982487" w14:textId="57541DC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E2C0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ABF257" w14:textId="480000A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CDFB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9FC09A" w14:textId="4E5BD43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CD29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172A58" w14:textId="3E1160E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03CB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E74FDD" w14:textId="66EFD22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FC17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DD55D4" w14:textId="2983845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2AC4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08598A" w14:textId="29D08A9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FE7F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539B1E" w14:textId="4B8BFEF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2AF4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BC2246" w14:textId="4AC4E7E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B903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58CEC5" w14:textId="536B41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r>
      <w:tr w:rsidR="00A82FB9" w14:paraId="2D82F93F"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C7E708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AFC94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CA7C2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E0963DE" w14:textId="08561F3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491FF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55C9BF9" w14:textId="510755F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D89DB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D272B6F" w14:textId="4325322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B9EC6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1AF3CA2" w14:textId="33E8082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B5C71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A314E6" w14:textId="3BBFE99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656BB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6E2DD45" w14:textId="195D855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4F6EF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A60DDD6" w14:textId="3579853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2B27F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FAA1F86" w14:textId="40616A4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C88593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5D4140F" w14:textId="54C0E18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12656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0C82397" w14:textId="7F018ED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0A1A5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3A073B0" w14:textId="54B9784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43.5</w:t>
            </w:r>
          </w:p>
        </w:tc>
      </w:tr>
      <w:tr w:rsidR="00A82FB9" w14:paraId="7107888A"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4A0C0F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Electricity, Gas, Water and Waste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7821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73B1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D3759F" w14:textId="6AF7B8F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3FD2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2370F8" w14:textId="2179326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1D5F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69AEDB" w14:textId="0501B9D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5F0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D21D37" w14:textId="678DD4C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79F9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736C07" w14:textId="4C70437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43D8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B86C76" w14:textId="33D077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5A2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CDEC6B" w14:textId="11F7F62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3966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DEDC15" w14:textId="7436A15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DD2D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7EE6C0" w14:textId="0699FBA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724F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023A67" w14:textId="79D0B21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7420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FC103B" w14:textId="6A48A79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391</w:t>
            </w:r>
          </w:p>
        </w:tc>
      </w:tr>
      <w:tr w:rsidR="00A82FB9" w14:paraId="008AAD48"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DFF8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1DA4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0B5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700788" w14:textId="3C80134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DB50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760E4D" w14:textId="418E8AA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F947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C04431" w14:textId="2E43455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5026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3A64AA" w14:textId="4727AB0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4A48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988F8F" w14:textId="09D99D6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237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063147" w14:textId="5F7BB1A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D337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CCC27C" w14:textId="70AC17D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DEFD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F7721D" w14:textId="6ED99E3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1760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7922C3" w14:textId="5C57DAD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76C6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45A166" w14:textId="564D890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DAFE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630A2F" w14:textId="00523D9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r>
      <w:tr w:rsidR="00A82FB9" w14:paraId="0967CF35"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64E7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D049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7217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5B22E0" w14:textId="1871721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5CD0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A69333" w14:textId="146B0E1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A04B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42A2D6" w14:textId="65C9264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DCFD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CB8516" w14:textId="57D83CB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D5A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546B49" w14:textId="7C792C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4D1E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151A21" w14:textId="275A767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838F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CDE818" w14:textId="151B07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DB96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CFB38F" w14:textId="2D97829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865C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D5E580" w14:textId="3172FAD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247A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139793" w14:textId="778FB06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ACE4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B92906" w14:textId="6E11E61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r>
      <w:tr w:rsidR="00A82FB9" w14:paraId="2AD6D258"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84D9D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A56EF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9F92C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CF0FBF" w14:textId="53321B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9BED5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8ED5CCE" w14:textId="6A07D91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0E0CC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70CDBC7" w14:textId="70CF3B2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581E9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9A2A4C" w14:textId="1D9E6C9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3557C3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18B9603" w14:textId="4FBF262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06BBD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621821" w14:textId="547F41D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4473B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718297D" w14:textId="48EA018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FCA3D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B26134C" w14:textId="287AAAC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BF1A4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45F330A" w14:textId="230CEAC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35D10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2A12E44" w14:textId="5E705DB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C78EB6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5EB9C45" w14:textId="3FB482C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66.2</w:t>
            </w:r>
          </w:p>
        </w:tc>
      </w:tr>
      <w:tr w:rsidR="00A82FB9" w14:paraId="2B3C1E8D"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50343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Construction</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EF47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49F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096114" w14:textId="445498E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DFDF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654520" w14:textId="4A1F968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575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9A64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0CE0D7" w14:textId="591E1A1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A53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F1D7DE" w14:textId="61B9699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580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342E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5B71CA" w14:textId="7327439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917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6D7C98" w14:textId="310DBF0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189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0AE7F1" w14:textId="544A157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0D46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90602F" w14:textId="04F5B9A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6C7D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ED31A3" w14:textId="4198DA9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1,027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60C5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641C15" w14:textId="17C7920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6073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9F2ADD" w14:textId="0B09072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3,927</w:t>
            </w:r>
          </w:p>
        </w:tc>
      </w:tr>
      <w:tr w:rsidR="00A82FB9" w14:paraId="675F37C8"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CDEE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F983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0139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AD0B08" w14:textId="7C7A5BE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D171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BA7CAF" w14:textId="38DD9C3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DFE1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18D0BA" w14:textId="72DAED9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C67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F53E70" w14:textId="2115E78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93B0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0A94C5" w14:textId="4459C6A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A34D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CAE052" w14:textId="77674FC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C82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E62BE1" w14:textId="3925C27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E139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B2017D" w14:textId="61DF379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FE16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A69006" w14:textId="2006D96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FEFB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CC793A" w14:textId="5E3A66B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38AF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084C2D" w14:textId="7463F8E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4.9</w:t>
            </w:r>
          </w:p>
        </w:tc>
      </w:tr>
      <w:tr w:rsidR="00A82FB9" w14:paraId="18DCFA6B"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BE0E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FD15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DCA4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359B99" w14:textId="7D24E7D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F10F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5A285A" w14:textId="28BEE38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AB1A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0E2CE8" w14:textId="53D9BDE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DA6E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59F2D2" w14:textId="605F2B8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52D9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72E8C1" w14:textId="4326249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7E0F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5F68E8" w14:textId="516C816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877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0C27C8" w14:textId="78A1C8A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EF96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91A9ED" w14:textId="4B63ACF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0989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5B2BED" w14:textId="41D00D2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1171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F87B9" w14:textId="0182851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6B12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17030F" w14:textId="3A505CF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r>
      <w:tr w:rsidR="00A82FB9" w14:paraId="1EAACE98"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07F958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98B19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E1BB6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BDF5E8B" w14:textId="0BDFEA9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3AEB8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6BD0E6" w14:textId="3E2B0A4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39DC7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3CAF9E7" w14:textId="63563CA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E1C96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CF7DD31" w14:textId="3E16014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ED6EC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EC08BB0" w14:textId="2955C83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BBB90E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5B340C4" w14:textId="4AAC11E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8C87E4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A1A39D" w14:textId="719AEFA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A0EA9D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F971F15" w14:textId="49EF39C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90516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28ECD87" w14:textId="65947F5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6FA55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526A04C" w14:textId="0737C52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5E0452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7CA805A" w14:textId="380AEEE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117.0</w:t>
            </w:r>
          </w:p>
        </w:tc>
      </w:tr>
      <w:tr w:rsidR="00A82FB9" w14:paraId="4446F27E"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C4652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Wholesale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94B0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03EC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25666F" w14:textId="2838877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779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66BB41" w14:textId="14354E8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A73C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A92203" w14:textId="7E628DD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AC3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6E7961" w14:textId="6D3C112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3448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D88AB2" w14:textId="5AEE8AE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D831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ABCF11" w14:textId="4638609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3AFB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E8F8F0" w14:textId="5FE8BCC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2F9E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59461E" w14:textId="79893E8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3BFD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439E3B" w14:textId="0CE6B42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A125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3DF2A3" w14:textId="01942DB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2340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E3B296" w14:textId="167C143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197</w:t>
            </w:r>
          </w:p>
        </w:tc>
      </w:tr>
      <w:tr w:rsidR="00A82FB9" w14:paraId="21FD2C3B"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1A8F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CA3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81B4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7C18A9" w14:textId="1BB0BDF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AF45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0DA658" w14:textId="5C11A47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362E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E5DECE" w14:textId="25E7640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691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49728C" w14:textId="346BEC6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C1A8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51C929" w14:textId="0C54484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F253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63FB4F" w14:textId="7BDED3E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CEC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F40CB0" w14:textId="7E9FC3E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7AD8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E8FBF9" w14:textId="213148D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7307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AAF0C4" w14:textId="0999295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357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929B93" w14:textId="2CA96BD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749A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810081" w14:textId="311F9AC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r>
      <w:tr w:rsidR="00A82FB9" w14:paraId="5C62D42B"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6A55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175D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16E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961879" w14:textId="6673696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5C1B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5612CE" w14:textId="2BDF883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C239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8DCE31" w14:textId="38F4C63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F71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B2ACD6" w14:textId="2B57F0A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D36C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4C44FE" w14:textId="18652BF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FA6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A381B9" w14:textId="2E751F1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46E8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01D09E" w14:textId="522CA24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D1C7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2A87DC" w14:textId="7AC5358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AA90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248FBF" w14:textId="53D294F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B7B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BC83B7" w14:textId="7A9B612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5CB9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2F231C" w14:textId="2482A61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r>
      <w:tr w:rsidR="00A82FB9" w14:paraId="5E59D8CC"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725E2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929A3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32211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12C60B8" w14:textId="749F0CE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876C3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C4FD0CD" w14:textId="397A03D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0A195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7A3841" w14:textId="21661BB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CCEAD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58CED4" w14:textId="67B6E41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038DB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3611C5F" w14:textId="7C53DB8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8A2F6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3490916" w14:textId="5E366FB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EE713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D79940F" w14:textId="1559905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C31D7D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F315AFF" w14:textId="7AA4584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7CBBF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3437F3F" w14:textId="50A8A1D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75542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32B1658" w14:textId="35EADF6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04F93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4D8DB18" w14:textId="432B286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19.7</w:t>
            </w:r>
          </w:p>
        </w:tc>
      </w:tr>
      <w:tr w:rsidR="00A82FB9" w14:paraId="7F79213A"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DEE2F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Retail Trade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654A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98D1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0674B6" w14:textId="14BFB3A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83D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16EB0F" w14:textId="18F2491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462D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91658B" w14:textId="65429B4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1544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39CB0E" w14:textId="6E5A435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FAD9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22EA46" w14:textId="381A74A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23B4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29B179" w14:textId="6968F92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A20C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1890D7" w14:textId="28028B8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96F6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B4BB4F" w14:textId="0DDCB2B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2923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2F99D4" w14:textId="7055891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D11A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0C6534" w14:textId="0E8A0C6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354A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247A6A" w14:textId="69BA0C6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143</w:t>
            </w:r>
          </w:p>
        </w:tc>
      </w:tr>
      <w:tr w:rsidR="00A82FB9" w14:paraId="20331A07"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C9D6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FC25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FBE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6FA921" w14:textId="195B88C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8163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39949A" w14:textId="21EAC61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6903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D777A0" w14:textId="474C553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539A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5261C2" w14:textId="17D7394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D4D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0D7BE5" w14:textId="69F93E8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6BFF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0EE396" w14:textId="7B2B2B0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DB3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1676F0" w14:textId="04AFAFE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D969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E75B60" w14:textId="66C1764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959C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E6E4D7" w14:textId="1C7975A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5DE0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82944B" w14:textId="6109860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FE97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2C93E9" w14:textId="21799C9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r>
      <w:tr w:rsidR="00A82FB9" w14:paraId="3D94B9C1"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43D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9DCB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4F5C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B5ADF5" w14:textId="679BDB5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F619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B0235E" w14:textId="46BECFF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99F7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789684" w14:textId="566E68C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3157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CAD243" w14:textId="36BD21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14D5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3136A8" w14:textId="19E1569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AB76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29D0BE" w14:textId="421F826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9CE0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A1EDE9" w14:textId="62FC266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0D7C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D3398B" w14:textId="26E3E43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38F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B69FB0" w14:textId="7AA42F6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8F4C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729DCD" w14:textId="4568B65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CADD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51DCA" w14:textId="5179EF6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r>
      <w:tr w:rsidR="00A82FB9" w14:paraId="68CC8F39"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DA7063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A560E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83C60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451C0C8" w14:textId="613B762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5D8D6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3066C9B" w14:textId="213D7F5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81350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FDC024C" w14:textId="64B5E0B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50CC4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4BA12F0" w14:textId="10B1608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757C2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328740E" w14:textId="74C33DC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F9040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91CF45D" w14:textId="4DDAFD8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D7498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C2BE322" w14:textId="7E5A366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B5603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B385DFD" w14:textId="0FB75BC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7AAE7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83F94D" w14:textId="07BBA68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FFD24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F33607B" w14:textId="5D2890C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095BB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F0FB62D" w14:textId="4DE311D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388.4</w:t>
            </w:r>
          </w:p>
        </w:tc>
      </w:tr>
      <w:tr w:rsidR="00A82FB9" w14:paraId="70FFB3B8"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9F64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Accommodation and Food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9F16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F611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0CE401" w14:textId="413050D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3F81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A182C4" w14:textId="4F4A039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26F1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0BE586" w14:textId="307BEC6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1136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0157F1" w14:textId="7FD0F16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77B0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57005A" w14:textId="01272A6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543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EB784B" w14:textId="653D799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2933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8660C5" w14:textId="65E6DAD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B63D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714BAD" w14:textId="084827C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1044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BD6510" w14:textId="44EFC1A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B18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39E455" w14:textId="78472CA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9871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C155A8" w14:textId="1B3179B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110</w:t>
            </w:r>
          </w:p>
        </w:tc>
      </w:tr>
      <w:tr w:rsidR="00A82FB9" w14:paraId="0A32DCCD"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E81B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712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B460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593242" w14:textId="759A3B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9FA0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298F2C" w14:textId="6577B3E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6606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8D2BF4" w14:textId="1D2936A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C15F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448FC1" w14:textId="0DCB19B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BE13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0AD4DE" w14:textId="56939E1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507B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56B541" w14:textId="026E634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43F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A3B7A8" w14:textId="64669C5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96B0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1B6121" w14:textId="5329B76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9FF5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746F1D" w14:textId="3CE4601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7773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053DFE" w14:textId="5D8A223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7F7E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5EA028" w14:textId="54175C4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r>
      <w:tr w:rsidR="00A82FB9" w14:paraId="46C442C6"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D55C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07AB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002D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09B578" w14:textId="38E6669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37B6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2140AE" w14:textId="3C3DAA2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B4A7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25CA92" w14:textId="5121D16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9141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E5648A" w14:textId="43A6A55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F16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8FCC38" w14:textId="7824DA4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A44F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551359" w14:textId="5FE2A6C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3FFB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060D22" w14:textId="4F8953F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2C2A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61FFFE" w14:textId="026DF5A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69B2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99EB2C" w14:textId="2046E59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FDAF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DF0EDD" w14:textId="174FA6D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A20C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D87318" w14:textId="1F3C51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r>
      <w:tr w:rsidR="00A82FB9" w14:paraId="4F700474"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24284D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EFF17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0E704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0F5B00D" w14:textId="79FB80D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6FCA4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7AFBA79" w14:textId="24B4FF4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915BA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276934E" w14:textId="196BFDA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FDC54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785A8CE" w14:textId="6B222AA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A9BE4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3F582A9" w14:textId="38D6E01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A2515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A17E03C" w14:textId="1525FFC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1021EE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968A490" w14:textId="6267A6D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E7E12E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5A946DE" w14:textId="4F75346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10B02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D42AB98" w14:textId="5AE385A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1BDE7E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D770C65" w14:textId="65C17B6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23595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627C9A8" w14:textId="6811AA2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22.4</w:t>
            </w:r>
          </w:p>
        </w:tc>
      </w:tr>
      <w:tr w:rsidR="00A82FB9" w14:paraId="64700BF5"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767A87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Transport, Postal and Warehousing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78EC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DAAE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C16F4D" w14:textId="408B3A0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7B69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847BA0" w14:textId="4EB1CBE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7688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C15D0E" w14:textId="5EEE5B8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BB86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7E2ADA" w14:textId="18CC763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EA22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E03592" w14:textId="2660780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3F5B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A70303" w14:textId="6DD28F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B82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3A3E5E" w14:textId="3D794E9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77C2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1F1FA" w14:textId="5E68F4A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CE48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A8E22C" w14:textId="658B852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969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516A8F" w14:textId="4AA7CF5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1AA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AB51DB" w14:textId="08B94D6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1,292</w:t>
            </w:r>
          </w:p>
        </w:tc>
      </w:tr>
      <w:tr w:rsidR="00A82FB9" w14:paraId="743629F7"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7A83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C591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363E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1D9CB8" w14:textId="383D40A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210F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21B091" w14:textId="15E7AAC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F86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592A22" w14:textId="79398FB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2379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0A67A6" w14:textId="76E09C9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751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3BA1D4" w14:textId="5DE86C1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C3D0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7ED8F0" w14:textId="41D4EE1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5586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2CA8B4" w14:textId="71C8DCA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0D9F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C65A4E" w14:textId="7B7E2D8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335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97484F" w14:textId="347F099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DB99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85CD37" w14:textId="22CA544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E9E6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AEE28D" w14:textId="47DBE50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r>
      <w:tr w:rsidR="00A82FB9" w14:paraId="511FC5EA"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4D48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B0DC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B412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1EB302" w14:textId="20E6566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61EB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95BEF4" w14:textId="738FF3B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B7A5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225F4A" w14:textId="304C867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E460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C0E0C5" w14:textId="21E4EB1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BACD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A1EA87" w14:textId="3886C0B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F08A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EB8658" w14:textId="20BDAEC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DC71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1BB77C" w14:textId="41C6F9A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B131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F87414" w14:textId="32A4F7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A26D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00DE72" w14:textId="089F03E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29B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E7C612" w14:textId="470F5A6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6674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D4ADE3" w14:textId="59ED16C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r>
      <w:tr w:rsidR="00A82FB9" w14:paraId="2FE4DDE5"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F883C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AE4B7C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6BD7A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B3D6456" w14:textId="3F8CAFE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3EE71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1356CBA" w14:textId="7486196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98D49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7208776" w14:textId="02CED18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F9A0B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49881FF" w14:textId="661B595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BFFFD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5C6734F" w14:textId="249CD01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426AE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40AF0A9" w14:textId="27E6253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BF62B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33A6F08" w14:textId="0964014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C23F0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F7CC94" w14:textId="7DA655F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6FFA9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0EE69B9" w14:textId="5766656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5AAE6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2E0A6B6" w14:textId="330B962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688E6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92BC9AD" w14:textId="778EB73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189.8</w:t>
            </w:r>
          </w:p>
        </w:tc>
      </w:tr>
      <w:tr w:rsidR="00A82FB9" w14:paraId="223FADB6"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A2171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Information Media and Telecommunications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ED7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6D74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BED820" w14:textId="1345745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6291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12BBDC" w14:textId="578AA2B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DA7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CA565A" w14:textId="5349FE0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FA40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2522AC" w14:textId="42407C0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FF0E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B8E41F" w14:textId="2EE84D3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440D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077DAC" w14:textId="432F6A0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D10F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30B9A2" w14:textId="5C923F4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E56E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6836E7" w14:textId="713C869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F201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4F334C" w14:textId="0E4DE7A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FF11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817472" w14:textId="5E8D331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D18E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900C96" w14:textId="39178F4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64</w:t>
            </w:r>
          </w:p>
        </w:tc>
      </w:tr>
      <w:tr w:rsidR="00A82FB9" w14:paraId="38CB1E77"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7E3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F467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E1E5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6DC4EA" w14:textId="6A8CAFE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84D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3BAB9F" w14:textId="7C906BB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3C9A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CCE6A8" w14:textId="58A2B99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9C2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5652DA" w14:textId="3EE4308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53EC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361A01" w14:textId="20E5F8D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07DB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34B2A5" w14:textId="0D046D3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64ED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FC55EA" w14:textId="7191BCD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E5E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196893" w14:textId="3A04795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DA1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A92F4A" w14:textId="5DBBEDF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81E7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05D3B5" w14:textId="69EE8F3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7B91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A4AE9A" w14:textId="57E13A0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r>
      <w:tr w:rsidR="00A82FB9" w14:paraId="33B582ED"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C90D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EAC7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AB82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96A9AD" w14:textId="3246092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8039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AEF5CC" w14:textId="4B82332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87E8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BBF98F" w14:textId="75B6DA6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1B30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1EB3DF" w14:textId="5326862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723B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510130" w14:textId="31871D4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757A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DA1A2C" w14:textId="7DDE671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B03E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41300D" w14:textId="7F06533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D1DB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C8E745" w14:textId="58AEFB4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D15F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214F2C" w14:textId="0DA42A5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710A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77557A" w14:textId="7FF8125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728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6D0DC1" w14:textId="767C6CE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r>
      <w:tr w:rsidR="00A82FB9" w14:paraId="4DBA739E"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6C817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AF4AA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CFF11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561B674" w14:textId="43D96F1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A186F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FC27657" w14:textId="5CF09AC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242903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EA3790E" w14:textId="02E587A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67D73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AB83D9C" w14:textId="07F5819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20615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430E04" w14:textId="277A0A5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7D66E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AE16F47" w14:textId="5825B93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76DBF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BE0B526" w14:textId="30B3D11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922B4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094012B" w14:textId="4BE9DCD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8FD7A1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F413898" w14:textId="6DF8314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24F0A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831949B" w14:textId="6AE518C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1ED8E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773BA30" w14:textId="1E6A702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41.4</w:t>
            </w:r>
          </w:p>
        </w:tc>
      </w:tr>
      <w:tr w:rsidR="00A82FB9" w14:paraId="45351624"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4F251E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Financial and Insurance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BB58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FA38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2167AE" w14:textId="0787840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35EC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A870C1" w14:textId="156DE48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A823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634E1B" w14:textId="3A90AF4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823A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3D4A5D" w14:textId="7078C47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A933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CDD4F6" w14:textId="0FEBD9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F952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B973A1" w14:textId="3A3F677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58A0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DD24A1" w14:textId="7D68D39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3188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606CAC" w14:textId="65CA9B2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5F1D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8B28DB" w14:textId="65865D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B477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E1FF24" w14:textId="71F578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5F08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94CD3" w14:textId="745E1FD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73</w:t>
            </w:r>
          </w:p>
        </w:tc>
      </w:tr>
      <w:tr w:rsidR="00A82FB9" w14:paraId="219039E3"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F349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1C36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1F68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7B3DAF" w14:textId="74DFA1C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359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E6EBF3" w14:textId="33E5305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69A0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80B738" w14:textId="5BA24DA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1B8A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15F2A7" w14:textId="6415B77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AC0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896019" w14:textId="6615A63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837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19152C" w14:textId="2D7237E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E0C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4C24CC" w14:textId="398A343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C9A6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2C114C" w14:textId="28AEAF4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06D1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852AEC" w14:textId="6EC013C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C825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B11EF2" w14:textId="711B612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CED7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301B33" w14:textId="59F9B0A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r>
      <w:tr w:rsidR="00A82FB9" w14:paraId="3FC29D6A"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9827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E261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8B9B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A98E81" w14:textId="424E4ED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CA9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89CE44" w14:textId="7A7D3C6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AE81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67591B" w14:textId="7C89FC5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23FF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ECDACB" w14:textId="302C068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2857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164F3E" w14:textId="679612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AB57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4196EA" w14:textId="11D828D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7577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F33C82" w14:textId="06017B8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51D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2E20CC" w14:textId="5086687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D094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48BF9C" w14:textId="59C3E1E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B719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72080B" w14:textId="426AA24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B8BC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1F1057" w14:textId="5AFC216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r>
      <w:tr w:rsidR="00A82FB9" w14:paraId="5B884BF4"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1DD41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B5EFF8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67DB13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F045649" w14:textId="5132AE1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6EF70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00880F8" w14:textId="3182DC0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1487C5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4D7E690" w14:textId="54A2C5C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9B4CFA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88EC2A8" w14:textId="2404438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7CE9F7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CC787EB" w14:textId="033F4B8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DB6228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F568A6C" w14:textId="2CA353E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609501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E5249C4" w14:textId="01ED565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E49BA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E341908" w14:textId="4F638AB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B106B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55ABCBE" w14:textId="4ABD694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507BC4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4D00321" w14:textId="0FE075E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B15006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BE1DC2" w14:textId="1599977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175.7</w:t>
            </w:r>
          </w:p>
        </w:tc>
      </w:tr>
      <w:tr w:rsidR="00A82FB9" w14:paraId="4B518BE2"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D6BD7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Rental, Hiring and Real Estate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022D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4DE4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BF4924" w14:textId="204EC15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5C8A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CEF7E6" w14:textId="043F398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8EE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B27AF8" w14:textId="0389A52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4471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C85D1B" w14:textId="529ECED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922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FC991E" w14:textId="2E4216F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B0CC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7547DD" w14:textId="10D6038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2DDD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16A620" w14:textId="091729F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00C0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0AC37D" w14:textId="38CE036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A3C7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EDB76F" w14:textId="5F7BA76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2E4E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33777C" w14:textId="3117FF4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BB1A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5C2DAF" w14:textId="4053F15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58</w:t>
            </w:r>
          </w:p>
        </w:tc>
      </w:tr>
      <w:tr w:rsidR="00A82FB9" w14:paraId="468A3A37"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039D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8A8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8BED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8DCE36" w14:textId="085B030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CEFD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F9FF9E" w14:textId="088ED31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03B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8939F5" w14:textId="5292994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14C9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63F581" w14:textId="31719DD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E15A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208B11" w14:textId="3879060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3F34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17C38E" w14:textId="7D51561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5E8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9B5B33" w14:textId="58B0DB9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6BB1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439202" w14:textId="526617C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522D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56F404" w14:textId="25D1C42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C09B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6E2153" w14:textId="00A910E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1578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88935D" w14:textId="6F5F6DC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r>
      <w:tr w:rsidR="00A82FB9" w14:paraId="7E821910"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82B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FCC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548A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22108F" w14:textId="26905C7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1ED2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53DBA5" w14:textId="6A4544D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E00B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0D3F2C" w14:textId="5D0FCC4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D4FA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259D3F" w14:textId="6EC1207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E631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FC1DBC" w14:textId="15E8759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D67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4867CC" w14:textId="34615FB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2F63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6BA405" w14:textId="13E432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035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80EAE6" w14:textId="31AA38E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060F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5463F4" w14:textId="7B5EECA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B766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497947" w14:textId="70FA13A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E4CF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9AA394" w14:textId="3B0341D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r>
      <w:tr w:rsidR="00A82FB9" w14:paraId="5622C6A5"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00872C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F27E86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90C76E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E3AB643" w14:textId="0B38262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6F1EA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F7BF51" w14:textId="7E6FC9D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D73475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A83AD71" w14:textId="421DA20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A198A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6AE969" w14:textId="02083E0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2891C5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110FC1D" w14:textId="11F4B75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3A4BB7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1B81F98" w14:textId="16A2C15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A0C48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59FBB92" w14:textId="346EFAE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BEBA2A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9CCFAD4" w14:textId="6A56D8E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7BF562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25A0146" w14:textId="03AA80E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EF96B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76FFB2" w14:textId="44D1E90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33C0F2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21D390F" w14:textId="070180C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r>
      <w:tr w:rsidR="00A82FB9" w14:paraId="490C96AA"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2B8BC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Professional, Scientific and Technical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CF62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9B1E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E8AF7A" w14:textId="041CC01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09F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02BDB7" w14:textId="21A045F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5095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B361BB" w14:textId="05DEC52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9460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C1827E" w14:textId="113FFAC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7FBD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44EEF9" w14:textId="7429698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0A3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CCB07E" w14:textId="7CDFB46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BD29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EA3488" w14:textId="209B529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E2B2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FA90FF" w14:textId="20CCED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95CF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8FE013" w14:textId="3F1F6EC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93EDC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16B473" w14:textId="43E5AFC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59E0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5C754A" w14:textId="5FB69B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131</w:t>
            </w:r>
          </w:p>
        </w:tc>
      </w:tr>
      <w:tr w:rsidR="00A82FB9" w14:paraId="04CE29C3"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CCF3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5B06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CD6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6DEC1A" w14:textId="5E014FD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7881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FCFB3A" w14:textId="1CA888A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EB93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55127B" w14:textId="4E3D7F3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2D0C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011354" w14:textId="5E85015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F429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BAD38E" w14:textId="73C153D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2BE9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674036" w14:textId="2D184A5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733C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2A432B" w14:textId="01BB73C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F95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F1512C" w14:textId="70BEC1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3D6A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0EC46B" w14:textId="33EA0B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2317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80479E" w14:textId="5D9601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86AB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33B5B2" w14:textId="7B6EC63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r>
      <w:tr w:rsidR="00A82FB9" w14:paraId="4C5264D7"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4C4E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1B79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C08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B39887" w14:textId="736030F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F21B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ED9644" w14:textId="088FD89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A834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7BD739" w14:textId="2846675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C6CA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19020" w14:textId="2F91049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2D1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06263C" w14:textId="5ABAB1E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5C30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46FD31" w14:textId="17E9397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15F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949F44" w14:textId="0F561AE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EE66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CA743A" w14:textId="610897F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9E1B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B4DAB5" w14:textId="34CA2E1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7388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818185" w14:textId="5EC15DA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28E4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2A141D" w14:textId="63B7B96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r>
      <w:tr w:rsidR="00A82FB9" w14:paraId="66083A4D"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FF370D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3B93D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DA33C0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42B6BB" w14:textId="4C43290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68E3C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EF6F37B" w14:textId="11751C3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2E7734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43E2A1D" w14:textId="2FF6CF2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E23A4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4E3B3C6" w14:textId="69696E6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74574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044CF94" w14:textId="4746DCE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ADC2E9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BF532AC" w14:textId="694D2FE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A5D11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C52582F" w14:textId="7552AF7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0DE93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6B83979" w14:textId="21BB490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48198A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CABD6D" w14:textId="4B55EFB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D1C84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0FC2E4B" w14:textId="3B33C70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588D46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D4A4A11" w14:textId="1A5144F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23.3</w:t>
            </w:r>
          </w:p>
        </w:tc>
      </w:tr>
      <w:tr w:rsidR="00A82FB9" w14:paraId="05DFC032"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4B18AC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Administrative and Support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65A0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86E9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96C16F" w14:textId="4788EAE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7BCD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63F45E" w14:textId="54C7E0B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2B4C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FF2A03" w14:textId="2A7578D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93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566A3F" w14:textId="0CBDD1B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6B7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1A129F" w14:textId="0496684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9128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5800A3" w14:textId="51330C2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D26E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6A8D3D" w14:textId="002244C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939C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EA27E4" w14:textId="28ED915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909D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CAE61B" w14:textId="3ADAC3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A565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FFA28B" w14:textId="4C68650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BA54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CFAAFF" w14:textId="3ACFA4A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177</w:t>
            </w:r>
          </w:p>
        </w:tc>
      </w:tr>
      <w:tr w:rsidR="00A82FB9" w14:paraId="55F64191"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D038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DF35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D369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B3D423" w14:textId="6AA843B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E18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50ACE3" w14:textId="1303AC1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566D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463E68" w14:textId="77A88A2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51DD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E740FD" w14:textId="69243BD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4E90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5B7C97" w14:textId="192B797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793A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7875F7" w14:textId="2E6520B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247B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962029" w14:textId="3DB4F9A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C6ED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15AD9B" w14:textId="3CEEBEB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1C6A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1E1EF3" w14:textId="758D0AA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631E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05851E" w14:textId="5BF8FB4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0C90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BE1346" w14:textId="4AED5EB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4.5</w:t>
            </w:r>
          </w:p>
        </w:tc>
      </w:tr>
      <w:tr w:rsidR="00A82FB9" w14:paraId="7FFBC2AE"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E290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9953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F23E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2FEC43" w14:textId="543B566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7C6C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E133C8" w14:textId="0EEC996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C4CA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66A4EC" w14:textId="17C88B5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1D95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8C805A" w14:textId="2E1799F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4E60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9A1CAD" w14:textId="33E0500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AC2E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232E1E" w14:textId="78A4AD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D22D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1D97BF" w14:textId="62D97AF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362D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038DAD" w14:textId="2E16ED6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EE8D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172A6B" w14:textId="3EDDBFD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3449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2BFCC0" w14:textId="79CC0FE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C10B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691FF4" w14:textId="0F581CA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r>
      <w:tr w:rsidR="00A82FB9" w14:paraId="018757AA"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86894E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F25605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ED141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296CB6" w14:textId="036E250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3C433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7EC025A" w14:textId="25C6227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423215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2C20C8C" w14:textId="0395DFE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96834D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DBF2D97" w14:textId="5A79844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44B06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8304240" w14:textId="3F6B0F6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6A5B2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136DE93" w14:textId="60B30AB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105824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B646FBC" w14:textId="4C4E558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71F35C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35EA26D" w14:textId="409DBB5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08A23F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E9271A8" w14:textId="5C1596F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31EF2F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55C3C76" w14:textId="248A231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E88340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A412DD1" w14:textId="424F072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18.7</w:t>
            </w:r>
          </w:p>
        </w:tc>
      </w:tr>
      <w:tr w:rsidR="00A82FB9" w14:paraId="394E2A18"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3AB2B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Public Administration and Safety</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77C9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364D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5FE6CB" w14:textId="338F4A3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5C20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92516E" w14:textId="3D2425F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AA13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183E16" w14:textId="27BC226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289D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3DD6C4" w14:textId="02D537F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4EDC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01C2B4" w14:textId="093AF41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7591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40CDBF" w14:textId="4FAEDFA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1F9C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78BFAD" w14:textId="7433FE0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E555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FDEB5D" w14:textId="7E27EFC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B1E1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FD0607" w14:textId="434D3ED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D3FE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E9DA23" w14:textId="62705EF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23A4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633752" w14:textId="6CD26BF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425</w:t>
            </w:r>
          </w:p>
        </w:tc>
      </w:tr>
      <w:tr w:rsidR="00A82FB9" w14:paraId="6C0F92AD"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1A46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BBF8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08BC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2ECE99" w14:textId="1B1E330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888B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62AD9B" w14:textId="2ED1313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AB8D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8236C0" w14:textId="777F74D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B2D0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7B581C" w14:textId="48D0EF3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FF99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472ABD" w14:textId="35B2814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F6B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091B79" w14:textId="02C5F2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FD9D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058BC9" w14:textId="09A602A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087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DA8A57" w14:textId="5D26D84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A0C7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BDEBED" w14:textId="0571D33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0DF1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4BD9E3" w14:textId="0BF7825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2B39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E1087D" w14:textId="5F85964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r>
      <w:tr w:rsidR="00A82FB9" w14:paraId="69165389"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AED0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350C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F919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A1A594" w14:textId="7098B60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9E7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02823E" w14:textId="2A593B6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B632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27DF2E" w14:textId="6FB2769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9C5E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19C864" w14:textId="127543A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99B3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35571D" w14:textId="1C173F3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BD93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A8D91D" w14:textId="7EF383F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E07F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A4BE83" w14:textId="40C18B7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865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88E218" w14:textId="3644B33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6AF0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856035" w14:textId="7AC1D06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8A1C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F4196E" w14:textId="314F48C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0504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9479EC" w14:textId="22E446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r>
      <w:tr w:rsidR="00A82FB9" w14:paraId="663D5F3B"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88F91D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6DA2A7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A9ADBE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1F34F96" w14:textId="2D8D5CD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41147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1BA2312" w14:textId="3C48E25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CE0323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FF36F86" w14:textId="2C7D072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0A581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CE19610" w14:textId="37B1637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46B06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3E9B83A" w14:textId="42E1DFF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84D895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19AF3FA" w14:textId="5F197DA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8E6CBA"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2EDEA2B" w14:textId="5C109EF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C3D6DB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BA6F1D4" w14:textId="049B925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E981E8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CD7993F" w14:textId="786417C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1F0A4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FDA6ADD" w14:textId="49A89F1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94259C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17A272B" w14:textId="2A834BA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412.9</w:t>
            </w:r>
          </w:p>
        </w:tc>
      </w:tr>
      <w:tr w:rsidR="00A82FB9" w14:paraId="2BAE7760"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B7B46A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Education and Training</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1736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59D0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26B2A5" w14:textId="232F02C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0433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40C9E4" w14:textId="532104F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DE8F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306F2F" w14:textId="5387495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60AF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7F2B46" w14:textId="2B429BF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C073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9D2983" w14:textId="6E59507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E555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CC0C6" w14:textId="6FF777E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C41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96AFBD" w14:textId="04B0175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0C7E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6154AF" w14:textId="5F49827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ABC2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100FCE" w14:textId="32F198A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B5F8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CC841A" w14:textId="64ECEFA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4ACF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9D540F" w14:textId="09F9D19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529</w:t>
            </w:r>
          </w:p>
        </w:tc>
      </w:tr>
      <w:tr w:rsidR="00A82FB9" w14:paraId="70D1BAA6"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672F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6614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F977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81CD67" w14:textId="5D89D33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1ABD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1AB651" w14:textId="34C8693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11F6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ADEA43" w14:textId="08156B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0E95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03FEF3" w14:textId="3566E9C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89C6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74EA06" w14:textId="73716B6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28A0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B6CC19" w14:textId="03C047F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0977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7FE63C" w14:textId="727B5C3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047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A60485" w14:textId="221E38C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857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0EED34" w14:textId="7979B9F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EC0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18FBF4" w14:textId="70B3BF5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677C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AD4F8E" w14:textId="4FEA166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r>
      <w:tr w:rsidR="00A82FB9" w14:paraId="3C504F18"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257C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D9C2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C1C2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D09613" w14:textId="0B7815A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A408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2B3F67" w14:textId="077A76D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C5EF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44BA18" w14:textId="38DBC90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40EA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D3C229" w14:textId="4822C82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C8B6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0C55C5" w14:textId="61323DD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3234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AC79C2" w14:textId="0294ACD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7FF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90DEC1" w14:textId="018E538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E791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3761AF" w14:textId="7C74798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B4E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F3C748" w14:textId="4DDF681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104B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8F18E1" w14:textId="3AC1A5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A4A4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BF6347" w14:textId="626A15A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r>
      <w:tr w:rsidR="00A82FB9" w14:paraId="173C9375"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FF71D5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62C7ED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40B1D2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96B392A" w14:textId="18E2B3F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7CD6B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D466893" w14:textId="002E17F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126A26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231F877" w14:textId="62BB293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215CCA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9590113" w14:textId="7965C36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78.9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68B310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4E40446" w14:textId="5F7B187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A84D68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526146B" w14:textId="1CB66D4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0EA028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C6F8441" w14:textId="4C26FA8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168.4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31869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004DB39" w14:textId="1B668D4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55ACC2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756178F" w14:textId="0EA9C2E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148.4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CD28F4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4D092AE" w14:textId="31F9372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97F40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07A8492" w14:textId="1ACD964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476.1</w:t>
            </w:r>
          </w:p>
        </w:tc>
      </w:tr>
      <w:tr w:rsidR="00A82FB9" w14:paraId="36101AE4"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9F1AEB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Health Care and Social Assistance</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9948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4C3C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E7B256" w14:textId="4C1F6CA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16F8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1133AF" w14:textId="0359E38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8BB1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2DEDDE" w14:textId="412A0F5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B444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48121F" w14:textId="50073A7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BE22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4F3F5E" w14:textId="1066E31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ECD2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50CFAC" w14:textId="1D89E0E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BBB0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8392BA" w14:textId="0E668F8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0BB7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44B287" w14:textId="4846ABD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1A6E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ECDF29" w14:textId="21A7E6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9E94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B84521" w14:textId="40C531E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0DD2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70022B" w14:textId="5C0A661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869</w:t>
            </w:r>
          </w:p>
        </w:tc>
      </w:tr>
      <w:tr w:rsidR="00A82FB9" w14:paraId="6680006E"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46CA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8212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B8AC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5829C6" w14:textId="6C979BD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741D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B65FDA" w14:textId="2A7A7D8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7FA4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982ABD" w14:textId="059BFC1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C650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ADC678" w14:textId="4059AEA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3B12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CFEA8D" w14:textId="5622392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604B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CF534A" w14:textId="4D85042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B3F4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77A1AC" w14:textId="0F9DC62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2084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840F2A" w14:textId="5A3B492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69EC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459D3F" w14:textId="4138EB2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E3DC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849E22" w14:textId="68182BE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369F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F462D3" w14:textId="15FAC9A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r>
      <w:tr w:rsidR="00A82FB9" w14:paraId="3E7C0635"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D7C9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2682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2873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A959A2" w14:textId="0F42F6F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09F5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4E1124" w14:textId="382D55F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47CE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696AB0" w14:textId="4C23A72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EAC9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9F0D38" w14:textId="4B8F3AC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AEF5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4BC553" w14:textId="79F8550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DE54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B0E23A" w14:textId="02FD6C5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3AF5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C9DE7D" w14:textId="32C692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94B5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7CDC1E" w14:textId="2F71FBD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540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5CBF72" w14:textId="3FA2496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94E4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AD0025" w14:textId="0258431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B32B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050420" w14:textId="51171B4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r>
      <w:tr w:rsidR="00A82FB9" w14:paraId="15F3D86C"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06FD2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22A186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3F72ED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CCBC404" w14:textId="1708B2C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2BC13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9A04D40" w14:textId="3E482D80"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50.5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5C043C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BF5E81D" w14:textId="0ED022A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3D675C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5722E70" w14:textId="50CFB26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86C46EC"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CE9831B" w14:textId="46E3CE8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557859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9ABCE97" w14:textId="4F3312F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F21323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8FA2F8" w14:textId="06EBCFB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275.0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C6BF92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5415C8E" w14:textId="42D63F9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8866D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6DE02E0" w14:textId="4FE7CA0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101.3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E210AC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34A6CE4E" w14:textId="0F126F7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E455CA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6005619" w14:textId="7E7F610A"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544.0</w:t>
            </w:r>
          </w:p>
        </w:tc>
      </w:tr>
      <w:tr w:rsidR="00A82FB9" w14:paraId="1F3F76CD"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6C26AD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Arts and Recreation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8CDF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3124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F08CC0" w14:textId="43BE4DD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779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7DC862" w14:textId="7206693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D253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0A02CE" w14:textId="61CDAC2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A5F6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CB69C2" w14:textId="4AFBCA6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501E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45FCBE" w14:textId="2C77062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DBCF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485069" w14:textId="756B45C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1BAD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A8A258" w14:textId="1F8C65D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8C93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FBDBC9" w14:textId="305171D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B7D3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6FA6F6" w14:textId="0A3DD91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4E82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2A461B" w14:textId="514C201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046E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3D2EF7" w14:textId="77BAB77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136</w:t>
            </w:r>
          </w:p>
        </w:tc>
      </w:tr>
      <w:tr w:rsidR="00A82FB9" w14:paraId="0824074D"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D4B5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15E7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2DF9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987933" w14:textId="76BDD02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6F1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A8D631" w14:textId="7AFEEAB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DF3E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F310E1" w14:textId="2A51D49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B5C6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74E55D" w14:textId="3891632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FE3B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1F055F" w14:textId="6D3402B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DE1F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7242AE" w14:textId="2F60CF0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4DC6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3881C3" w14:textId="682BB21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3.3</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6D29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5A6A11" w14:textId="3F885E7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3B4E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604B53" w14:textId="01BF095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6929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A23965" w14:textId="7077479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0944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C67283" w14:textId="511C38C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r>
      <w:tr w:rsidR="00A82FB9" w14:paraId="000F3254"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8C44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DBCB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CAC4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FA727E" w14:textId="6AE7633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71CE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D58B6" w14:textId="207EA3C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102F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8C07E3" w14:textId="20568EB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76C0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97225B" w14:textId="3C94D74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DB52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EC816D" w14:textId="7F58628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E09B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387B04" w14:textId="2FF3944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41CC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5FB27E" w14:textId="6F5BCCA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F3CD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DE5010" w14:textId="6D9C67D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239C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5F311A" w14:textId="18D57C3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B99E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7CC6A7" w14:textId="2B01C7F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DF4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CC0600" w14:textId="42BBE6B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w:t>
            </w:r>
          </w:p>
        </w:tc>
      </w:tr>
      <w:tr w:rsidR="00A82FB9" w14:paraId="73FA3C7E"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20A6B99"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4CEB76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95FDF3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02014F" w14:textId="49D57F4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DF941D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E5F9E9C" w14:textId="355DDF8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9.4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554A7C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BB566B7" w14:textId="33ACAEE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326A1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E1E19D3" w14:textId="3513CD6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5.6</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3D1A97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D5E1C34" w14:textId="7CC86BE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1E6CF40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4DA4AD8" w14:textId="2E8BC22E"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0.9</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57610F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D74CA8A" w14:textId="2FC8357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17.8</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748AD39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0CE34DCD" w14:textId="2447E1C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72C692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DCA88B5" w14:textId="5109F86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DEB608B"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9E397B3" w14:textId="7E61286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B3F9AC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422080CE" w14:textId="3D8ED6F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38.2</w:t>
            </w:r>
          </w:p>
        </w:tc>
      </w:tr>
      <w:tr w:rsidR="00A82FB9" w14:paraId="5053D623" w14:textId="77777777" w:rsidTr="00465E80">
        <w:trPr>
          <w:jc w:val="center"/>
        </w:trPr>
        <w:tc>
          <w:tcPr>
            <w:tcW w:w="2154" w:type="dxa"/>
            <w:vMerge w:val="restart"/>
            <w:tcBorders>
              <w:top w:val="single" w:sz="8" w:space="0" w:color="666666"/>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61EFAFE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t>Other Services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CDE3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5593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B80A5" w14:textId="1E7FD7D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31D9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F34063" w14:textId="6D55673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9EC9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F5E911" w14:textId="02BDEFB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225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60620E" w14:textId="53BAF57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8AC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3DD584" w14:textId="2FE0197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52D2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110E59" w14:textId="42A5318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0519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25C412" w14:textId="2EB89CB5"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FE0A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BB0352" w14:textId="74AD0D6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B3CA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D2A0AB" w14:textId="068B9CC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9D5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229E38" w14:textId="70587AF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CAA1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B68688" w14:textId="2BD8BAF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237</w:t>
            </w:r>
          </w:p>
        </w:tc>
      </w:tr>
      <w:tr w:rsidR="00A82FB9" w14:paraId="5D94BFE8" w14:textId="77777777" w:rsidTr="00465E80">
        <w:trPr>
          <w:jc w:val="center"/>
        </w:trPr>
        <w:tc>
          <w:tcPr>
            <w:tcW w:w="2154" w:type="dxa"/>
            <w:vMerge/>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E88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C7B83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31E2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D78D0A" w14:textId="2987931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A833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979802" w14:textId="006621D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F812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FBB6AD" w14:textId="4BA3051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BD31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FD8400" w14:textId="4668311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DD6D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E77342" w14:textId="433DCC0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D889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ACD121" w14:textId="5669170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FD08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4EC5D2" w14:textId="7B608A3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7E4C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E077D0" w14:textId="2DE8AD5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1586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8857C9" w14:textId="35094BF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65A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F3A064" w14:textId="0D725DB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CE58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DE7E00" w14:textId="3488456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r>
      <w:tr w:rsidR="00A82FB9" w14:paraId="4C522321"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3156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9D0E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F699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6426027" w14:textId="5123BB1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FAF0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999680" w14:textId="692C319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F7DF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FF97C3" w14:textId="48083979"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DEE6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60BC98" w14:textId="2630558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FC36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67F207" w14:textId="34C86A8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CC59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F523E5" w14:textId="18A62AD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EF39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82C052" w14:textId="41A4591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8B79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473534" w14:textId="524DE88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102A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5F96B1" w14:textId="40B410E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4A57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EDBE85" w14:textId="7782761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D5C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C0D903" w14:textId="6ADC684C"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r>
      <w:tr w:rsidR="00A82FB9" w14:paraId="4B7F4A2A" w14:textId="77777777" w:rsidTr="00465E80">
        <w:trPr>
          <w:jc w:val="center"/>
        </w:trPr>
        <w:tc>
          <w:tcPr>
            <w:tcW w:w="2154" w:type="dxa"/>
            <w:vMerge/>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061A771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5684F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238D87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69D639E7" w14:textId="62CD4F5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0.1</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A7854D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55BBAF5" w14:textId="5F77E99D"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B2036B3"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DDF47DE" w14:textId="7E91C52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0.2</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9D4FD7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B0DAF8D" w14:textId="274D5CB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3.4</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1499D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2C5E192F" w14:textId="07AAA16C"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1.5</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0F8D846"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58DB1BF" w14:textId="39C70B4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37E8CEB2"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794E4220" w14:textId="58FACF3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6.7</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A4BC00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713D1CB" w14:textId="11DF20D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2E644A7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88A6CE8" w14:textId="56F872E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8.3</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5180F5C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5B615936" w14:textId="62FA5D06"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0.0</w:t>
            </w:r>
          </w:p>
        </w:tc>
        <w:tc>
          <w:tcPr>
            <w:tcW w:w="57"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vAlign w:val="center"/>
          </w:tcPr>
          <w:p w14:paraId="40A853DE"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666666"/>
              <w:right w:val="none" w:sz="0" w:space="0" w:color="000000"/>
            </w:tcBorders>
            <w:shd w:val="clear" w:color="auto" w:fill="FFFFFF"/>
            <w:tcMar>
              <w:top w:w="0" w:type="dxa"/>
              <w:left w:w="0" w:type="dxa"/>
              <w:bottom w:w="0" w:type="dxa"/>
              <w:right w:w="0" w:type="dxa"/>
            </w:tcMar>
          </w:tcPr>
          <w:p w14:paraId="14A65108" w14:textId="249A158F"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26.9</w:t>
            </w:r>
          </w:p>
        </w:tc>
      </w:tr>
      <w:tr w:rsidR="00A82FB9" w14:paraId="2921E2B0" w14:textId="77777777" w:rsidTr="00465E80">
        <w:trPr>
          <w:jc w:val="center"/>
        </w:trPr>
        <w:tc>
          <w:tcPr>
            <w:tcW w:w="2154" w:type="dxa"/>
            <w:vMerge w:val="restart"/>
            <w:tcBorders>
              <w:top w:val="single" w:sz="8"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D18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r>
              <w:rPr>
                <w:rFonts w:ascii="Aptos" w:eastAsia="Aptos" w:hAnsi="Aptos" w:cs="Aptos"/>
                <w:b/>
                <w:color w:val="000000"/>
                <w:sz w:val="18"/>
                <w:szCs w:val="18"/>
              </w:rPr>
              <w:lastRenderedPageBreak/>
              <w:t>All Industries</w:t>
            </w:r>
          </w:p>
        </w:tc>
        <w:tc>
          <w:tcPr>
            <w:tcW w:w="1701"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57E4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Agreements</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9E3BA"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D21510" w14:textId="7969FC0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135</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ECD0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8C1A39" w14:textId="164A20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2,047</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6DBA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B501BE" w14:textId="3946309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136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07D5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A61A20" w14:textId="5DEB391D"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1,793</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50015"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212A42" w14:textId="37FF557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598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ED1F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A995BF" w14:textId="2409202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326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28FE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B6C697" w14:textId="28EBBD6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2,979</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D6180"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C252BF" w14:textId="37FAE99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1,016</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D752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B343AF" w14:textId="145C3E9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2,268</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8827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F1ECAB" w14:textId="39CFA06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w:t>
            </w:r>
          </w:p>
        </w:tc>
        <w:tc>
          <w:tcPr>
            <w:tcW w:w="57"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12301"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single" w:sz="8"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78B0C2" w14:textId="4639E2CB"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11,302</w:t>
            </w:r>
          </w:p>
        </w:tc>
      </w:tr>
      <w:tr w:rsidR="00A82FB9" w14:paraId="178545A7" w14:textId="77777777" w:rsidTr="00465E80">
        <w:trPr>
          <w:jc w:val="center"/>
        </w:trPr>
        <w:tc>
          <w:tcPr>
            <w:tcW w:w="2154" w:type="dxa"/>
            <w:vMerge/>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2361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27E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AAWI (%)</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F726C"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A54631" w14:textId="71F735B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29F0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1C294A" w14:textId="34C4068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8A98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3BF82E" w14:textId="54C37B7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CE4A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CC1895" w14:textId="23FAFCC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7DE0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6D7A79" w14:textId="597DCC81"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4.2</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5C2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DD43F2" w14:textId="0D224A5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4A90E"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564796" w14:textId="76CEFFF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54CF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6662CA" w14:textId="2FDFFC6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3.6</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8CF0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5B0BBF" w14:textId="31D8FAD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3.9</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E6DC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278CB8" w14:textId="6D492E2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E45AF"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D4386A" w14:textId="35BE696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3.8</w:t>
            </w:r>
          </w:p>
        </w:tc>
      </w:tr>
      <w:tr w:rsidR="00A82FB9" w14:paraId="6FC16317" w14:textId="77777777" w:rsidTr="00465E80">
        <w:trPr>
          <w:jc w:val="center"/>
        </w:trPr>
        <w:tc>
          <w:tcPr>
            <w:tcW w:w="2154"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DD6FB"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D47A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Duration (yrs.)</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3B8A7"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7F9B5B" w14:textId="33D4BA46"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7F73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537D8D" w14:textId="5F3B2343"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46723"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F5662F" w14:textId="6A64067A"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3.1</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DE2F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D88839" w14:textId="6EC13A8F"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EEDE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290EFB" w14:textId="4A1B65C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2.7</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09424"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B00491" w14:textId="778A8F7E"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2.4</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C0032"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906FFA" w14:textId="7E3FCE12"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4C6B9"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E89F8B" w14:textId="3EE2DE4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D6666"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8E14CC" w14:textId="6C1B2254"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0A35D"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47E4AD" w14:textId="2B7BE0B0"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3.5</w:t>
            </w:r>
          </w:p>
        </w:tc>
        <w:tc>
          <w:tcPr>
            <w:tcW w:w="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1C9C08" w14:textId="77777777" w:rsidR="00A82FB9" w:rsidRDefault="00A82FB9" w:rsidP="00A82FB9">
            <w:pPr>
              <w:keepNext/>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9AE148" w14:textId="64DE5E38" w:rsidR="00A82FB9" w:rsidRDefault="00A82FB9" w:rsidP="00A82FB9">
            <w:pPr>
              <w:keepNext/>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3.0</w:t>
            </w:r>
          </w:p>
        </w:tc>
      </w:tr>
      <w:tr w:rsidR="00A82FB9" w14:paraId="3E95AEA5" w14:textId="77777777" w:rsidTr="00465E80">
        <w:trPr>
          <w:jc w:val="center"/>
        </w:trPr>
        <w:tc>
          <w:tcPr>
            <w:tcW w:w="2154" w:type="dxa"/>
            <w:vMerge/>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364A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80" w:right="100"/>
              <w:rPr>
                <w:rFonts w:ascii="Aptos" w:eastAsia="Aptos" w:hAnsi="Aptos" w:cs="Aptos"/>
                <w:b/>
                <w:color w:val="000000"/>
                <w:sz w:val="18"/>
                <w:szCs w:val="18"/>
              </w:rPr>
            </w:pPr>
          </w:p>
        </w:tc>
        <w:tc>
          <w:tcPr>
            <w:tcW w:w="170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A8D2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rPr>
                <w:rFonts w:ascii="Aptos" w:eastAsia="Aptos" w:hAnsi="Aptos" w:cs="Aptos"/>
                <w:b/>
                <w:color w:val="000000"/>
                <w:sz w:val="18"/>
                <w:szCs w:val="18"/>
              </w:rPr>
            </w:pPr>
            <w:r>
              <w:rPr>
                <w:rFonts w:ascii="Aptos" w:eastAsia="Aptos" w:hAnsi="Aptos" w:cs="Aptos"/>
                <w:b/>
                <w:color w:val="000000"/>
                <w:sz w:val="18"/>
                <w:szCs w:val="18"/>
              </w:rPr>
              <w:t>Employees ('000)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46DE0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48BF79FF" w14:textId="02FACE9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43.5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7F6D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0866436" w14:textId="7AC4A058"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232.2</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BF430F"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A7C6F51" w14:textId="1A596165"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22.0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C73A3D"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011F866" w14:textId="05F063F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259.0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732A68"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192ED151" w14:textId="181B5E61"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64.7</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0DBE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BA01D34" w14:textId="19AFD534"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37.0</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D4541"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5EA6C812" w14:textId="70D1933B"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748.3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64550"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BADE1AE" w14:textId="20750722"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109.5</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7C554"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D19D766" w14:textId="6800DAC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1,284.8</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91A27"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21D298D" w14:textId="4A679009"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0.3</w:t>
            </w:r>
          </w:p>
        </w:tc>
        <w:tc>
          <w:tcPr>
            <w:tcW w:w="57"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FE8D5" w14:textId="77777777" w:rsidR="00A82FB9" w:rsidRDefault="00A82FB9" w:rsidP="00A82FB9">
            <w:pPr>
              <w:pBdr>
                <w:top w:val="none" w:sz="0" w:space="0" w:color="000000"/>
                <w:left w:val="none" w:sz="0" w:space="0" w:color="000000"/>
                <w:bottom w:val="none" w:sz="0" w:space="0" w:color="000000"/>
                <w:right w:val="none" w:sz="0" w:space="0" w:color="000000"/>
              </w:pBdr>
              <w:spacing w:before="20" w:after="20"/>
              <w:jc w:val="center"/>
              <w:rPr>
                <w:rFonts w:ascii="Aptos" w:eastAsia="Aptos" w:hAnsi="Aptos" w:cs="Aptos"/>
                <w:color w:val="000000"/>
                <w:sz w:val="20"/>
                <w:szCs w:val="20"/>
              </w:rPr>
            </w:pP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2A23E85B" w14:textId="41D18753" w:rsidR="00A82FB9" w:rsidRDefault="00A82FB9" w:rsidP="00A82FB9">
            <w:pPr>
              <w:pBdr>
                <w:top w:val="none" w:sz="0" w:space="0" w:color="000000"/>
                <w:left w:val="none" w:sz="0" w:space="0" w:color="000000"/>
                <w:bottom w:val="none" w:sz="0" w:space="0" w:color="000000"/>
                <w:right w:val="none" w:sz="0" w:space="0" w:color="000000"/>
              </w:pBdr>
              <w:spacing w:before="20" w:after="20"/>
              <w:ind w:left="100" w:right="100"/>
              <w:jc w:val="center"/>
              <w:rPr>
                <w:rFonts w:ascii="Aptos" w:eastAsia="Aptos" w:hAnsi="Aptos" w:cs="Aptos"/>
                <w:color w:val="000000"/>
                <w:sz w:val="20"/>
                <w:szCs w:val="20"/>
              </w:rPr>
            </w:pPr>
            <w:r>
              <w:rPr>
                <w:rFonts w:ascii="Calibri" w:hAnsi="Calibri" w:cs="Calibri"/>
                <w:sz w:val="20"/>
                <w:szCs w:val="20"/>
              </w:rPr>
              <w:t>2,801.3</w:t>
            </w:r>
          </w:p>
        </w:tc>
      </w:tr>
    </w:tbl>
    <w:p w14:paraId="0F59C3A4" w14:textId="322F2B02" w:rsidR="00AB0A8C" w:rsidRDefault="00AE47E5">
      <w:pPr>
        <w:pBdr>
          <w:top w:val="none" w:sz="0" w:space="0" w:color="000000"/>
          <w:left w:val="none" w:sz="0" w:space="0" w:color="000000"/>
          <w:bottom w:val="none" w:sz="0" w:space="0" w:color="000000"/>
          <w:right w:val="none" w:sz="0" w:space="0" w:color="000000"/>
        </w:pBdr>
        <w:spacing w:after="240"/>
      </w:pPr>
      <w:r>
        <w:rPr>
          <w:rFonts w:ascii="Aptos" w:eastAsia="Aptos" w:hAnsi="Aptos" w:cs="Aptos"/>
          <w:b/>
          <w:color w:val="000000"/>
          <w:sz w:val="20"/>
          <w:szCs w:val="20"/>
        </w:rPr>
        <w:t>Source</w:t>
      </w:r>
      <w:r w:rsidR="007639BC">
        <w:rPr>
          <w:rFonts w:ascii="Aptos" w:eastAsia="Aptos" w:hAnsi="Aptos" w:cs="Aptos"/>
          <w:b/>
          <w:color w:val="000000"/>
          <w:sz w:val="20"/>
          <w:szCs w:val="20"/>
        </w:rPr>
        <w:t xml:space="preserve">: </w:t>
      </w:r>
      <w:r w:rsidR="007639BC">
        <w:rPr>
          <w:rFonts w:ascii="Aptos" w:eastAsia="Aptos" w:hAnsi="Aptos" w:cs="Aptos"/>
          <w:color w:val="000000"/>
          <w:sz w:val="20"/>
          <w:szCs w:val="20"/>
        </w:rPr>
        <w:t>Department of Employment and Workplace Relations, Workplace Agreements Database.</w:t>
      </w:r>
    </w:p>
    <w:p w14:paraId="01B319F0" w14:textId="77777777" w:rsidR="00AB0A8C" w:rsidRDefault="007639BC">
      <w:pPr>
        <w:pBdr>
          <w:top w:val="none" w:sz="0" w:space="0" w:color="000000"/>
          <w:left w:val="none" w:sz="0" w:space="0" w:color="000000"/>
          <w:bottom w:val="none" w:sz="0" w:space="0" w:color="000000"/>
          <w:right w:val="none" w:sz="0" w:space="0" w:color="000000"/>
        </w:pBdr>
        <w:spacing w:before="120" w:after="0"/>
      </w:pPr>
      <w:r>
        <w:rPr>
          <w:rFonts w:ascii="Aptos" w:eastAsia="Aptos" w:hAnsi="Aptos" w:cs="Aptos"/>
          <w:b/>
          <w:color w:val="000000"/>
          <w:sz w:val="22"/>
          <w:szCs w:val="22"/>
        </w:rPr>
        <w:t>Notes:</w:t>
      </w:r>
    </w:p>
    <w:p w14:paraId="69F8BBE1" w14:textId="5BAA3492" w:rsidR="00AB0A8C" w:rsidRPr="00F862F5" w:rsidRDefault="007639BC" w:rsidP="00BD6A47">
      <w:pPr>
        <w:pStyle w:val="ListParagraph"/>
        <w:numPr>
          <w:ilvl w:val="0"/>
          <w:numId w:val="26"/>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AAWI = Average Annualised Wage Increase per employee.</w:t>
      </w:r>
    </w:p>
    <w:p w14:paraId="064C9DBA" w14:textId="2939F27B" w:rsidR="00AB0A8C" w:rsidRPr="00F862F5" w:rsidRDefault="007639BC" w:rsidP="00BD6A47">
      <w:pPr>
        <w:pStyle w:val="ListParagraph"/>
        <w:numPr>
          <w:ilvl w:val="0"/>
          <w:numId w:val="26"/>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Agreement and employee estimates are for all federal wage agreements in the period, while estimates of AAWI per employee are based on quantifiable wage agreements.</w:t>
      </w:r>
    </w:p>
    <w:p w14:paraId="444BAD21" w14:textId="39CC5DA0" w:rsidR="00AB0A8C" w:rsidRPr="00F862F5" w:rsidRDefault="007639BC" w:rsidP="00BD6A47">
      <w:pPr>
        <w:pStyle w:val="ListParagraph"/>
        <w:numPr>
          <w:ilvl w:val="0"/>
          <w:numId w:val="26"/>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The Manufacturing category has been disaggregated into Metals and non-Metals industries.</w:t>
      </w:r>
    </w:p>
    <w:p w14:paraId="263DAC8C" w14:textId="1084AA04" w:rsidR="00AB0A8C" w:rsidRPr="00F862F5" w:rsidRDefault="007639BC" w:rsidP="00BD6A47">
      <w:pPr>
        <w:pStyle w:val="ListParagraph"/>
        <w:numPr>
          <w:ilvl w:val="0"/>
          <w:numId w:val="26"/>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 Where asterisk occurs, there are no quantifiable agreements in this </w:t>
      </w:r>
      <w:proofErr w:type="gramStart"/>
      <w:r w:rsidRPr="00F862F5">
        <w:rPr>
          <w:rFonts w:ascii="Aptos" w:eastAsia="Aptos" w:hAnsi="Aptos" w:cs="Aptos"/>
          <w:i/>
          <w:sz w:val="20"/>
          <w:szCs w:val="20"/>
        </w:rPr>
        <w:t>quarter</w:t>
      </w:r>
      <w:proofErr w:type="gramEnd"/>
      <w:r w:rsidRPr="00F862F5">
        <w:rPr>
          <w:rFonts w:ascii="Aptos" w:eastAsia="Aptos" w:hAnsi="Aptos" w:cs="Aptos"/>
          <w:i/>
          <w:sz w:val="20"/>
          <w:szCs w:val="20"/>
        </w:rPr>
        <w:t xml:space="preserve"> so no AAWI is calculable.</w:t>
      </w:r>
    </w:p>
    <w:p w14:paraId="27113D5E" w14:textId="78F2AED2" w:rsidR="00AB0A8C" w:rsidRPr="00F862F5" w:rsidRDefault="007639BC" w:rsidP="00BD6A47">
      <w:pPr>
        <w:pStyle w:val="ListParagraph"/>
        <w:numPr>
          <w:ilvl w:val="0"/>
          <w:numId w:val="26"/>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i/>
          <w:sz w:val="20"/>
          <w:szCs w:val="20"/>
        </w:rPr>
        <w:t xml:space="preserve">All estimates are rounded and are subject to revision. Revisions have been made </w:t>
      </w:r>
      <w:proofErr w:type="gramStart"/>
      <w:r w:rsidRPr="00F862F5">
        <w:rPr>
          <w:rFonts w:ascii="Aptos" w:eastAsia="Aptos" w:hAnsi="Aptos" w:cs="Aptos"/>
          <w:i/>
          <w:sz w:val="20"/>
          <w:szCs w:val="20"/>
        </w:rPr>
        <w:t>to</w:t>
      </w:r>
      <w:proofErr w:type="gramEnd"/>
      <w:r w:rsidRPr="00F862F5">
        <w:rPr>
          <w:rFonts w:ascii="Aptos" w:eastAsia="Aptos" w:hAnsi="Aptos" w:cs="Aptos"/>
          <w:i/>
          <w:sz w:val="20"/>
          <w:szCs w:val="20"/>
        </w:rPr>
        <w:t xml:space="preserve"> historical series.</w:t>
      </w:r>
    </w:p>
    <w:p w14:paraId="5C9758A0" w14:textId="49F3B143"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How to read: </w:t>
      </w:r>
      <w:r>
        <w:rPr>
          <w:rFonts w:ascii="Aptos" w:eastAsia="Aptos" w:hAnsi="Aptos" w:cs="Aptos"/>
          <w:i/>
          <w:color w:val="000000"/>
          <w:sz w:val="22"/>
          <w:szCs w:val="22"/>
        </w:rPr>
        <w:t xml:space="preserve">Of the 122 Agriculture, Forestry and Fishing agreements current as </w:t>
      </w:r>
      <w:proofErr w:type="gramStart"/>
      <w:r>
        <w:rPr>
          <w:rFonts w:ascii="Aptos" w:eastAsia="Aptos" w:hAnsi="Aptos" w:cs="Aptos"/>
          <w:i/>
          <w:color w:val="000000"/>
          <w:sz w:val="22"/>
          <w:szCs w:val="22"/>
        </w:rPr>
        <w:t>at</w:t>
      </w:r>
      <w:proofErr w:type="gramEnd"/>
      <w:r>
        <w:rPr>
          <w:rFonts w:ascii="Aptos" w:eastAsia="Aptos" w:hAnsi="Aptos" w:cs="Aptos"/>
          <w:i/>
          <w:color w:val="000000"/>
          <w:sz w:val="22"/>
          <w:szCs w:val="22"/>
        </w:rPr>
        <w:t xml:space="preserve"> 30 June 2025, 28 operate solely in New South Wales. These 28 agreements cover 2,400 employees, with an AAWI of </w:t>
      </w:r>
      <w:r w:rsidR="003F26CA">
        <w:rPr>
          <w:rFonts w:ascii="Aptos" w:eastAsia="Aptos" w:hAnsi="Aptos" w:cs="Aptos"/>
          <w:i/>
          <w:color w:val="000000"/>
          <w:sz w:val="22"/>
          <w:szCs w:val="22"/>
        </w:rPr>
        <w:t>3.7</w:t>
      </w:r>
      <w:r>
        <w:rPr>
          <w:rFonts w:ascii="Aptos" w:eastAsia="Aptos" w:hAnsi="Aptos" w:cs="Aptos"/>
          <w:i/>
          <w:color w:val="000000"/>
          <w:sz w:val="22"/>
          <w:szCs w:val="22"/>
        </w:rPr>
        <w:t>% and an average duration of 2.6 years.</w:t>
      </w:r>
    </w:p>
    <w:p w14:paraId="352FD2C9" w14:textId="77777777" w:rsidR="00AB0A8C" w:rsidRDefault="00AB0A8C">
      <w:pPr>
        <w:sectPr w:rsidR="00AB0A8C">
          <w:type w:val="continuous"/>
          <w:pgSz w:w="16838" w:h="11906" w:orient="landscape"/>
          <w:pgMar w:top="1008" w:right="1152" w:bottom="1008" w:left="1152" w:header="720" w:footer="720" w:gutter="0"/>
          <w:cols w:space="720"/>
        </w:sectPr>
      </w:pPr>
    </w:p>
    <w:p w14:paraId="06B628A3" w14:textId="77777777" w:rsidR="00AB0A8C" w:rsidRDefault="007639BC">
      <w:pPr>
        <w:pBdr>
          <w:top w:val="none" w:sz="0" w:space="0" w:color="000000"/>
          <w:left w:val="none" w:sz="0" w:space="0" w:color="000000"/>
          <w:bottom w:val="none" w:sz="0" w:space="0" w:color="000000"/>
          <w:right w:val="none" w:sz="0" w:space="0" w:color="000000"/>
        </w:pBdr>
        <w:spacing w:after="240"/>
        <w:jc w:val="center"/>
      </w:pPr>
      <w:r>
        <w:rPr>
          <w:rFonts w:ascii="Aptos" w:eastAsia="Aptos" w:hAnsi="Aptos" w:cs="Aptos"/>
          <w:b/>
          <w:color w:val="000000"/>
          <w:sz w:val="36"/>
          <w:szCs w:val="36"/>
        </w:rPr>
        <w:lastRenderedPageBreak/>
        <w:t>Trends in Federal Enterprise Bargaining Report</w:t>
      </w:r>
    </w:p>
    <w:p w14:paraId="1541B0D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The Workplace Agreements Database</w:t>
      </w:r>
    </w:p>
    <w:p w14:paraId="142AB1E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Data presented in the </w:t>
      </w:r>
      <w:r>
        <w:rPr>
          <w:rFonts w:ascii="Aptos" w:eastAsia="Aptos" w:hAnsi="Aptos" w:cs="Aptos"/>
          <w:i/>
          <w:color w:val="000000"/>
          <w:sz w:val="22"/>
          <w:szCs w:val="22"/>
        </w:rPr>
        <w:t xml:space="preserve">Trends in Federal Enterprise Bargaining </w:t>
      </w:r>
      <w:r>
        <w:rPr>
          <w:rFonts w:ascii="Aptos" w:eastAsia="Aptos" w:hAnsi="Aptos" w:cs="Aptos"/>
          <w:color w:val="000000"/>
          <w:sz w:val="22"/>
          <w:szCs w:val="22"/>
        </w:rPr>
        <w:t>report (Trends) are drawn from the Workplace Agreements Database (WAD), which is maintained by the Office of the Chief Economist in the Department of Employment and Workplace Relations. The WAD contains information on all known federal enterprise agreements that have operated since the introduction of the Enterprise Bargaining Principle in October 1991 and that have been subsequently provided to the Department. The WAD covers general details (such as sector, ANZSIC, duration, employees covered), wage details (quantum and timing of increases) and a range of employment conditions.</w:t>
      </w:r>
    </w:p>
    <w:p w14:paraId="44F6C2E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Agreements included in the WAD</w:t>
      </w:r>
    </w:p>
    <w:p w14:paraId="49A0F52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The following agreements are included in the WAD and thus in Trends:</w:t>
      </w:r>
    </w:p>
    <w:p w14:paraId="2FDF99AC" w14:textId="77777777" w:rsidR="00AB0A8C" w:rsidRDefault="007639BC" w:rsidP="00BD6A47">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F862F5">
        <w:rPr>
          <w:rFonts w:ascii="Aptos" w:eastAsia="Aptos" w:hAnsi="Aptos" w:cs="Aptos"/>
          <w:color w:val="000000"/>
          <w:sz w:val="22"/>
          <w:szCs w:val="22"/>
        </w:rPr>
        <w:t xml:space="preserve">For agreements made under the </w:t>
      </w:r>
      <w:r w:rsidRPr="00F862F5">
        <w:rPr>
          <w:rFonts w:ascii="Aptos" w:eastAsia="Aptos" w:hAnsi="Aptos" w:cs="Aptos"/>
          <w:i/>
          <w:color w:val="000000"/>
          <w:sz w:val="22"/>
          <w:szCs w:val="22"/>
        </w:rPr>
        <w:t xml:space="preserve">Fair Work Act 2009 </w:t>
      </w:r>
      <w:r w:rsidRPr="00F862F5">
        <w:rPr>
          <w:rFonts w:ascii="Aptos" w:eastAsia="Aptos" w:hAnsi="Aptos" w:cs="Aptos"/>
          <w:color w:val="000000"/>
          <w:sz w:val="22"/>
          <w:szCs w:val="22"/>
        </w:rPr>
        <w:t xml:space="preserve">or before the Work Choices amendments to the </w:t>
      </w:r>
      <w:r w:rsidRPr="00F862F5">
        <w:rPr>
          <w:rFonts w:ascii="Aptos" w:eastAsia="Aptos" w:hAnsi="Aptos" w:cs="Aptos"/>
          <w:i/>
          <w:color w:val="000000"/>
          <w:sz w:val="22"/>
          <w:szCs w:val="22"/>
        </w:rPr>
        <w:t xml:space="preserve">Workplace Relations Act 1996 </w:t>
      </w:r>
      <w:r w:rsidRPr="00F862F5">
        <w:rPr>
          <w:rFonts w:ascii="Aptos" w:eastAsia="Aptos" w:hAnsi="Aptos" w:cs="Aptos"/>
          <w:color w:val="000000"/>
          <w:sz w:val="22"/>
          <w:szCs w:val="22"/>
        </w:rPr>
        <w:t>(WR Act), those that have been certified by the Australian Industrial Relations Commission (AIRC) or approved by the Fair Work Commission (FWC).</w:t>
      </w:r>
    </w:p>
    <w:p w14:paraId="3017225E" w14:textId="77777777" w:rsidR="00AB0A8C" w:rsidRDefault="007639BC" w:rsidP="00BD6A47">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F862F5">
        <w:rPr>
          <w:rFonts w:ascii="Aptos" w:eastAsia="Aptos" w:hAnsi="Aptos" w:cs="Aptos"/>
          <w:color w:val="000000"/>
          <w:sz w:val="22"/>
          <w:szCs w:val="22"/>
        </w:rPr>
        <w:t>For agreements made under the Work Choices amendments but before the introduction of the Fairness Test, those that were lodged with the Office of the Employment Advocate (OEA).</w:t>
      </w:r>
    </w:p>
    <w:p w14:paraId="028E438C" w14:textId="77777777" w:rsidR="00AB0A8C" w:rsidRDefault="007639BC" w:rsidP="00BD6A47">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F862F5">
        <w:rPr>
          <w:rFonts w:ascii="Aptos" w:eastAsia="Aptos" w:hAnsi="Aptos" w:cs="Aptos"/>
          <w:color w:val="000000"/>
          <w:sz w:val="22"/>
          <w:szCs w:val="22"/>
        </w:rPr>
        <w:t>For agreements made under the fairness test, those that were lodged with the Workplace Authority. However, agreements were subsequently deleted and do not appear in the data if they ceased to operate because they did not pass the fairness test.</w:t>
      </w:r>
    </w:p>
    <w:p w14:paraId="26C20BB5" w14:textId="77777777" w:rsidR="00AB0A8C" w:rsidRDefault="007639BC" w:rsidP="00BD6A47">
      <w:pPr>
        <w:pStyle w:val="ListParagraph"/>
        <w:numPr>
          <w:ilvl w:val="0"/>
          <w:numId w:val="27"/>
        </w:numPr>
        <w:pBdr>
          <w:top w:val="none" w:sz="0" w:space="0" w:color="000000"/>
          <w:left w:val="none" w:sz="0" w:space="0" w:color="000000"/>
          <w:bottom w:val="none" w:sz="0" w:space="0" w:color="000000"/>
          <w:right w:val="none" w:sz="0" w:space="0" w:color="000000"/>
        </w:pBdr>
        <w:spacing w:before="120" w:after="240"/>
        <w:ind w:left="714" w:hanging="357"/>
        <w:contextualSpacing w:val="0"/>
      </w:pPr>
      <w:r w:rsidRPr="00F862F5">
        <w:rPr>
          <w:rFonts w:ascii="Aptos" w:eastAsia="Aptos" w:hAnsi="Aptos" w:cs="Aptos"/>
          <w:color w:val="000000"/>
          <w:sz w:val="22"/>
          <w:szCs w:val="22"/>
        </w:rPr>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48A67B1B"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Wider context for Trends data</w:t>
      </w:r>
    </w:p>
    <w:p w14:paraId="35CD9FE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About one third of all employees in the Australian </w:t>
      </w:r>
      <w:proofErr w:type="spellStart"/>
      <w:r>
        <w:rPr>
          <w:rFonts w:ascii="Aptos" w:eastAsia="Aptos" w:hAnsi="Aptos" w:cs="Aptos"/>
          <w:color w:val="000000"/>
          <w:sz w:val="22"/>
          <w:szCs w:val="22"/>
        </w:rPr>
        <w:t>labour</w:t>
      </w:r>
      <w:proofErr w:type="spellEnd"/>
      <w:r>
        <w:rPr>
          <w:rFonts w:ascii="Aptos" w:eastAsia="Aptos" w:hAnsi="Aptos" w:cs="Aptos"/>
          <w:color w:val="000000"/>
          <w:sz w:val="22"/>
          <w:szCs w:val="22"/>
        </w:rPr>
        <w:t xml:space="preserve"> market (as measured by the ABS 2023 </w:t>
      </w:r>
      <w:hyperlink r:id="rId24">
        <w:r w:rsidR="00AB0A8C">
          <w:rPr>
            <w:rFonts w:ascii="Aptos" w:eastAsia="Aptos" w:hAnsi="Aptos" w:cs="Aptos"/>
            <w:color w:val="165788"/>
            <w:sz w:val="22"/>
            <w:szCs w:val="22"/>
            <w:u w:val="single"/>
          </w:rPr>
          <w:t xml:space="preserve">Employee Earnings and Hours </w:t>
        </w:r>
      </w:hyperlink>
      <w:r>
        <w:rPr>
          <w:rFonts w:ascii="Aptos" w:eastAsia="Aptos" w:hAnsi="Aptos" w:cs="Aptos"/>
          <w:color w:val="000000"/>
          <w:sz w:val="22"/>
          <w:szCs w:val="22"/>
        </w:rPr>
        <w:t>survey) are covered by federal enterprise agreements. The table below shows the growth in coverage by federally registered agreements.</w:t>
      </w:r>
    </w:p>
    <w:p w14:paraId="4DED8E2F" w14:textId="77777777" w:rsidR="0007547C" w:rsidRDefault="0007547C">
      <w:pPr>
        <w:rPr>
          <w:rFonts w:ascii="Aptos" w:eastAsia="Aptos" w:hAnsi="Aptos" w:cs="Aptos"/>
          <w:b/>
          <w:color w:val="000000"/>
          <w:sz w:val="28"/>
          <w:szCs w:val="28"/>
        </w:rPr>
      </w:pPr>
      <w:r>
        <w:rPr>
          <w:rFonts w:ascii="Aptos" w:eastAsia="Aptos" w:hAnsi="Aptos" w:cs="Aptos"/>
          <w:b/>
          <w:color w:val="000000"/>
          <w:sz w:val="28"/>
          <w:szCs w:val="28"/>
        </w:rPr>
        <w:br w:type="page"/>
      </w:r>
    </w:p>
    <w:p w14:paraId="2C7BA294" w14:textId="2BDCBA8D"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lastRenderedPageBreak/>
        <w:t>Technical Notes Table - Instrument providing rates of pay for all employees, 2014-2023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AB0A8C" w14:paraId="47E5F67F" w14:textId="7777777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18DCD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FFFFFF"/>
                <w:sz w:val="20"/>
                <w:szCs w:val="20"/>
              </w:rPr>
            </w:pPr>
            <w:r>
              <w:rPr>
                <w:rFonts w:ascii="Arial" w:eastAsia="Arial" w:hAnsi="Arial"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DBD142"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F7A59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97AEA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1403A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DBEB7E"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FFFFFF"/>
                <w:sz w:val="20"/>
                <w:szCs w:val="20"/>
              </w:rPr>
            </w:pPr>
            <w:r>
              <w:rPr>
                <w:rFonts w:ascii="Arial" w:eastAsia="Arial" w:hAnsi="Arial" w:cs="Arial"/>
                <w:b/>
                <w:color w:val="FFFFFF"/>
                <w:sz w:val="20"/>
                <w:szCs w:val="20"/>
              </w:rPr>
              <w:t>2023 (%)</w:t>
            </w:r>
          </w:p>
        </w:tc>
      </w:tr>
      <w:tr w:rsidR="00AB0A8C" w14:paraId="689BDAC1"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E490A"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4FBD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E66F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B42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FAB3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73AE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23.2</w:t>
            </w:r>
          </w:p>
        </w:tc>
      </w:tr>
      <w:tr w:rsidR="00AB0A8C" w14:paraId="56668A32"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3FD5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B140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B2794"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 xml:space="preserve">38.5 (across all collective </w:t>
            </w:r>
            <w:proofErr w:type="gramStart"/>
            <w:r>
              <w:rPr>
                <w:rFonts w:ascii="Arial" w:eastAsia="Arial" w:hAnsi="Arial" w:cs="Arial"/>
                <w:color w:val="000000"/>
                <w:sz w:val="16"/>
                <w:szCs w:val="16"/>
              </w:rPr>
              <w:t>agreements)*</w:t>
            </w:r>
            <w:proofErr w:type="gramEnd"/>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A41F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17B7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 xml:space="preserve">35.1 (across all collective </w:t>
            </w:r>
            <w:proofErr w:type="gramStart"/>
            <w:r>
              <w:rPr>
                <w:rFonts w:ascii="Arial" w:eastAsia="Arial" w:hAnsi="Arial" w:cs="Arial"/>
                <w:color w:val="000000"/>
                <w:sz w:val="16"/>
                <w:szCs w:val="16"/>
              </w:rPr>
              <w:t>agreements)*</w:t>
            </w:r>
            <w:proofErr w:type="gramEnd"/>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A832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 xml:space="preserve">34.0 (across all collective </w:t>
            </w:r>
            <w:proofErr w:type="gramStart"/>
            <w:r>
              <w:rPr>
                <w:rFonts w:ascii="Arial" w:eastAsia="Arial" w:hAnsi="Arial" w:cs="Arial"/>
                <w:color w:val="000000"/>
                <w:sz w:val="16"/>
                <w:szCs w:val="16"/>
              </w:rPr>
              <w:t>agreements)*</w:t>
            </w:r>
            <w:proofErr w:type="gramEnd"/>
          </w:p>
        </w:tc>
      </w:tr>
      <w:tr w:rsidR="00AB0A8C" w14:paraId="71BA1413"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072E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4365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4C90B"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1A282"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42434"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DA399"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AB0A8C" w14:paraId="1ACDD9F3"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1018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49625"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0FE2E"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40466"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9A727"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E64CD" w14:textId="77777777" w:rsidR="00AB0A8C" w:rsidRDefault="00AB0A8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p>
        </w:tc>
      </w:tr>
      <w:tr w:rsidR="00AB0A8C" w14:paraId="2DCC4DA8" w14:textId="7777777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F1212"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531BA"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189B5"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CB62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93CD82"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FAC9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38.7</w:t>
            </w:r>
          </w:p>
        </w:tc>
      </w:tr>
      <w:tr w:rsidR="00AB0A8C" w14:paraId="2B06BF40" w14:textId="7777777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CC001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16"/>
                <w:szCs w:val="16"/>
              </w:rPr>
            </w:pPr>
            <w:r>
              <w:rPr>
                <w:rFonts w:ascii="Arial" w:eastAsia="Arial" w:hAnsi="Arial"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C7F4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C53A2"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1639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572F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E7431F"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16"/>
                <w:szCs w:val="16"/>
              </w:rPr>
            </w:pPr>
            <w:r>
              <w:rPr>
                <w:rFonts w:ascii="Arial" w:eastAsia="Arial" w:hAnsi="Arial" w:cs="Arial"/>
                <w:color w:val="000000"/>
                <w:sz w:val="16"/>
                <w:szCs w:val="16"/>
              </w:rPr>
              <w:t>4.1</w:t>
            </w:r>
          </w:p>
        </w:tc>
      </w:tr>
    </w:tbl>
    <w:p w14:paraId="3CE3BC90" w14:textId="77777777" w:rsidR="00AB0A8C" w:rsidRDefault="007639BC">
      <w:pPr>
        <w:pBdr>
          <w:top w:val="none" w:sz="0" w:space="0" w:color="000000"/>
          <w:left w:val="none" w:sz="0" w:space="0" w:color="000000"/>
          <w:bottom w:val="none" w:sz="0" w:space="0" w:color="000000"/>
          <w:right w:val="none" w:sz="0" w:space="0" w:color="000000"/>
        </w:pBdr>
        <w:spacing w:after="0"/>
      </w:pPr>
      <w:r>
        <w:rPr>
          <w:rFonts w:ascii="Aptos" w:eastAsia="Aptos" w:hAnsi="Aptos" w:cs="Aptos"/>
          <w:b/>
          <w:color w:val="000000"/>
          <w:sz w:val="20"/>
          <w:szCs w:val="20"/>
        </w:rPr>
        <w:t xml:space="preserve">Source: </w:t>
      </w:r>
      <w:r>
        <w:rPr>
          <w:rFonts w:ascii="Aptos" w:eastAsia="Aptos" w:hAnsi="Aptos" w:cs="Aptos"/>
          <w:color w:val="000000"/>
          <w:sz w:val="20"/>
          <w:szCs w:val="20"/>
        </w:rPr>
        <w:t xml:space="preserve">ABS, </w:t>
      </w:r>
      <w:r>
        <w:rPr>
          <w:rFonts w:ascii="Aptos" w:eastAsia="Aptos" w:hAnsi="Aptos" w:cs="Aptos"/>
          <w:i/>
          <w:color w:val="000000"/>
          <w:sz w:val="20"/>
          <w:szCs w:val="20"/>
        </w:rPr>
        <w:t xml:space="preserve">Employee Earnings and Hours </w:t>
      </w:r>
      <w:r>
        <w:rPr>
          <w:rFonts w:ascii="Aptos" w:eastAsia="Aptos" w:hAnsi="Aptos" w:cs="Aptos"/>
          <w:color w:val="000000"/>
          <w:sz w:val="20"/>
          <w:szCs w:val="20"/>
        </w:rPr>
        <w:t>(May 2014, May 2016, May 2018, May 2021 and May 2023), unpublished data, including revised data for the 2016 Award and all Collective Agreement categories released at the time of the 2018 data – all employees.</w:t>
      </w:r>
    </w:p>
    <w:p w14:paraId="07C5B0A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0"/>
          <w:szCs w:val="20"/>
        </w:rPr>
        <w:t xml:space="preserve">* For 2016, a comparable breakdown of the Collective Agreement category is not available. In 2018, </w:t>
      </w:r>
      <w:proofErr w:type="gramStart"/>
      <w:r>
        <w:rPr>
          <w:rFonts w:ascii="Aptos" w:eastAsia="Aptos" w:hAnsi="Aptos" w:cs="Aptos"/>
          <w:color w:val="000000"/>
          <w:sz w:val="20"/>
          <w:szCs w:val="20"/>
        </w:rPr>
        <w:t>the ABS</w:t>
      </w:r>
      <w:proofErr w:type="gramEnd"/>
      <w:r>
        <w:rPr>
          <w:rFonts w:ascii="Aptos" w:eastAsia="Aptos" w:hAnsi="Aptos" w:cs="Aptos"/>
          <w:color w:val="000000"/>
          <w:sz w:val="20"/>
          <w:szCs w:val="20"/>
        </w:rPr>
        <w:t xml:space="preserve">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and 2023 data are not available.</w:t>
      </w:r>
    </w:p>
    <w:p w14:paraId="46162C44" w14:textId="77777777" w:rsidR="00AB0A8C" w:rsidRDefault="007639BC">
      <w:pPr>
        <w:pBdr>
          <w:top w:val="none" w:sz="0" w:space="0" w:color="000000"/>
          <w:left w:val="none" w:sz="0" w:space="0" w:color="000000"/>
          <w:bottom w:val="none" w:sz="0" w:space="0" w:color="000000"/>
          <w:right w:val="none" w:sz="0" w:space="0" w:color="000000"/>
        </w:pBdr>
        <w:spacing w:after="0"/>
      </w:pPr>
      <w:r>
        <w:rPr>
          <w:rFonts w:ascii="Aptos" w:eastAsia="Aptos" w:hAnsi="Aptos" w:cs="Aptos"/>
          <w:b/>
          <w:color w:val="000000"/>
          <w:sz w:val="20"/>
          <w:szCs w:val="20"/>
        </w:rPr>
        <w:t>Notes:</w:t>
      </w:r>
    </w:p>
    <w:p w14:paraId="5BACF861" w14:textId="77777777" w:rsidR="00AB0A8C" w:rsidRDefault="007639BC" w:rsidP="00BD6A47">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color w:val="000000"/>
          <w:sz w:val="20"/>
          <w:szCs w:val="20"/>
        </w:rPr>
        <w:t xml:space="preserve">This table is not intended to be </w:t>
      </w:r>
      <w:proofErr w:type="spellStart"/>
      <w:r w:rsidRPr="00F862F5">
        <w:rPr>
          <w:rFonts w:ascii="Aptos" w:eastAsia="Aptos" w:hAnsi="Aptos" w:cs="Aptos"/>
          <w:color w:val="000000"/>
          <w:sz w:val="20"/>
          <w:szCs w:val="20"/>
        </w:rPr>
        <w:t>analysed</w:t>
      </w:r>
      <w:proofErr w:type="spellEnd"/>
      <w:r w:rsidRPr="00F862F5">
        <w:rPr>
          <w:rFonts w:ascii="Aptos" w:eastAsia="Aptos" w:hAnsi="Aptos" w:cs="Aptos"/>
          <w:color w:val="000000"/>
          <w:sz w:val="20"/>
          <w:szCs w:val="20"/>
        </w:rPr>
        <w:t xml:space="preserve"> as a time series. Figures are extracted from published and unpublished ABS, </w:t>
      </w:r>
      <w:r w:rsidRPr="00F862F5">
        <w:rPr>
          <w:rFonts w:ascii="Aptos" w:eastAsia="Aptos" w:hAnsi="Aptos" w:cs="Aptos"/>
          <w:i/>
          <w:color w:val="000000"/>
          <w:sz w:val="20"/>
          <w:szCs w:val="20"/>
        </w:rPr>
        <w:t>Employee Earnings and Hours</w:t>
      </w:r>
      <w:r w:rsidRPr="00F862F5">
        <w:rPr>
          <w:rFonts w:ascii="Aptos" w:eastAsia="Aptos" w:hAnsi="Aptos" w:cs="Aptos"/>
          <w:color w:val="000000"/>
          <w:sz w:val="20"/>
          <w:szCs w:val="20"/>
        </w:rPr>
        <w:t>. Disaggregation of revised 2016 data is not available.</w:t>
      </w:r>
    </w:p>
    <w:p w14:paraId="15C18C9D" w14:textId="77777777" w:rsidR="00AB0A8C" w:rsidRDefault="007639BC" w:rsidP="00BD6A47">
      <w:pPr>
        <w:pStyle w:val="ListParagraph"/>
        <w:numPr>
          <w:ilvl w:val="0"/>
          <w:numId w:val="28"/>
        </w:numPr>
        <w:pBdr>
          <w:top w:val="none" w:sz="0" w:space="0" w:color="000000"/>
          <w:left w:val="none" w:sz="0" w:space="0" w:color="000000"/>
          <w:bottom w:val="none" w:sz="0" w:space="0" w:color="000000"/>
          <w:right w:val="none" w:sz="0" w:space="0" w:color="000000"/>
        </w:pBdr>
        <w:spacing w:after="0"/>
      </w:pPr>
      <w:r w:rsidRPr="00F862F5">
        <w:rPr>
          <w:rFonts w:ascii="Aptos" w:eastAsia="Aptos" w:hAnsi="Aptos" w:cs="Aptos"/>
          <w:color w:val="000000"/>
          <w:sz w:val="20"/>
          <w:szCs w:val="20"/>
        </w:rPr>
        <w:t xml:space="preserve">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t>
      </w:r>
      <w:proofErr w:type="gramStart"/>
      <w:r w:rsidRPr="00F862F5">
        <w:rPr>
          <w:rFonts w:ascii="Aptos" w:eastAsia="Aptos" w:hAnsi="Aptos" w:cs="Aptos"/>
          <w:color w:val="000000"/>
          <w:sz w:val="20"/>
          <w:szCs w:val="20"/>
        </w:rPr>
        <w:t>whether or not</w:t>
      </w:r>
      <w:proofErr w:type="gramEnd"/>
      <w:r w:rsidRPr="00F862F5">
        <w:rPr>
          <w:rFonts w:ascii="Aptos" w:eastAsia="Aptos" w:hAnsi="Aptos" w:cs="Aptos"/>
          <w:color w:val="000000"/>
          <w:sz w:val="20"/>
          <w:szCs w:val="20"/>
        </w:rPr>
        <w:t xml:space="preserve"> written, including where employees receive over-award payments.</w:t>
      </w:r>
    </w:p>
    <w:p w14:paraId="3D3C21AD"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Presentation of Trends in Federal Enterprise Bargaining data</w:t>
      </w:r>
    </w:p>
    <w:p w14:paraId="46E4BDF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A typical row of data in Trends appears as follows:</w:t>
      </w:r>
    </w:p>
    <w:tbl>
      <w:tblPr>
        <w:tblW w:w="0" w:type="auto"/>
        <w:jc w:val="center"/>
        <w:tblLayout w:type="fixed"/>
        <w:tblLook w:val="0420" w:firstRow="1" w:lastRow="0" w:firstColumn="0" w:lastColumn="0" w:noHBand="0" w:noVBand="1"/>
      </w:tblPr>
      <w:tblGrid>
        <w:gridCol w:w="2268"/>
        <w:gridCol w:w="6803"/>
      </w:tblGrid>
      <w:tr w:rsidR="00AB0A8C" w14:paraId="00EEBEA2" w14:textId="77777777">
        <w:trPr>
          <w:tblHeader/>
          <w:jc w:val="center"/>
        </w:trPr>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59927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Pr>
                <w:rFonts w:ascii="Aptos" w:eastAsia="Aptos" w:hAnsi="Aptos" w:cs="Aptos"/>
                <w:b/>
                <w:color w:val="FFFFFF"/>
                <w:sz w:val="22"/>
                <w:szCs w:val="22"/>
              </w:rPr>
              <w:t>Field</w:t>
            </w:r>
          </w:p>
        </w:tc>
        <w:tc>
          <w:tcPr>
            <w:tcW w:w="680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53B26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Pr>
                <w:rFonts w:ascii="Aptos" w:eastAsia="Aptos" w:hAnsi="Aptos" w:cs="Aptos"/>
                <w:b/>
                <w:color w:val="FFFFFF"/>
                <w:sz w:val="22"/>
                <w:szCs w:val="22"/>
              </w:rPr>
              <w:t>Description</w:t>
            </w:r>
          </w:p>
        </w:tc>
      </w:tr>
      <w:tr w:rsidR="00AB0A8C" w14:paraId="57702428"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3F15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All Industries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E820E"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Total number of agreements for a given quarter</w:t>
            </w:r>
          </w:p>
        </w:tc>
      </w:tr>
      <w:tr w:rsidR="00AB0A8C" w14:paraId="4FED9C81"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800E8"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AAWI (%)</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766C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Average Annualised Wage Increase for the quarter</w:t>
            </w:r>
          </w:p>
        </w:tc>
      </w:tr>
      <w:tr w:rsidR="00AB0A8C" w14:paraId="4CED2951" w14:textId="7777777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9E903"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Duration (yrs.)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D045C"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Average formal duration per employee for the quarter</w:t>
            </w:r>
          </w:p>
        </w:tc>
      </w:tr>
      <w:tr w:rsidR="00AB0A8C" w14:paraId="7C0B88C6" w14:textId="77777777">
        <w:trPr>
          <w:jc w:val="center"/>
        </w:trPr>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6F7D8"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Employees ('000)</w:t>
            </w:r>
          </w:p>
        </w:tc>
        <w:tc>
          <w:tcPr>
            <w:tcW w:w="680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6EF72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0"/>
                <w:szCs w:val="20"/>
              </w:rPr>
            </w:pPr>
            <w:r>
              <w:rPr>
                <w:rFonts w:ascii="Aptos" w:eastAsia="Aptos" w:hAnsi="Aptos" w:cs="Aptos"/>
                <w:color w:val="000000"/>
                <w:sz w:val="20"/>
                <w:szCs w:val="20"/>
              </w:rPr>
              <w:t>Estimated total number of employees covered by the number of agreements in the first row</w:t>
            </w:r>
          </w:p>
        </w:tc>
      </w:tr>
    </w:tbl>
    <w:p w14:paraId="618B0153"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0"/>
          <w:szCs w:val="20"/>
        </w:rPr>
        <w:t xml:space="preserve">Note: </w:t>
      </w:r>
      <w:r>
        <w:rPr>
          <w:rFonts w:ascii="Aptos" w:eastAsia="Aptos" w:hAnsi="Aptos" w:cs="Aptos"/>
          <w:color w:val="000000"/>
          <w:sz w:val="20"/>
          <w:szCs w:val="20"/>
        </w:rPr>
        <w:t xml:space="preserve">Not all agreements contain quantifiable wage increases </w:t>
      </w:r>
      <w:proofErr w:type="gramStart"/>
      <w:r>
        <w:rPr>
          <w:rFonts w:ascii="Aptos" w:eastAsia="Aptos" w:hAnsi="Aptos" w:cs="Aptos"/>
          <w:color w:val="000000"/>
          <w:sz w:val="20"/>
          <w:szCs w:val="20"/>
        </w:rPr>
        <w:t>and in most cases</w:t>
      </w:r>
      <w:proofErr w:type="gramEnd"/>
      <w:r>
        <w:rPr>
          <w:rFonts w:ascii="Aptos" w:eastAsia="Aptos" w:hAnsi="Aptos" w:cs="Aptos"/>
          <w:color w:val="000000"/>
          <w:sz w:val="20"/>
          <w:szCs w:val="20"/>
        </w:rPr>
        <w:t xml:space="preserve"> the AAWI is not derived from the total number of agreements shown in the first row or the total number of employees shown in the fourth </w:t>
      </w:r>
      <w:r>
        <w:rPr>
          <w:rFonts w:ascii="Aptos" w:eastAsia="Aptos" w:hAnsi="Aptos" w:cs="Aptos"/>
          <w:color w:val="000000"/>
          <w:sz w:val="20"/>
          <w:szCs w:val="20"/>
        </w:rPr>
        <w:lastRenderedPageBreak/>
        <w:t xml:space="preserve">row. A more detailed explanation of why this is the case is provided below under </w:t>
      </w:r>
      <w:r>
        <w:rPr>
          <w:rFonts w:ascii="Aptos" w:eastAsia="Aptos" w:hAnsi="Aptos" w:cs="Aptos"/>
          <w:b/>
          <w:color w:val="000000"/>
          <w:sz w:val="20"/>
          <w:szCs w:val="20"/>
        </w:rPr>
        <w:t>Average Annualised Wage Increases.</w:t>
      </w:r>
    </w:p>
    <w:p w14:paraId="2CBEAE7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Employee coverage</w:t>
      </w:r>
    </w:p>
    <w:p w14:paraId="2A38A30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Information on the number of employees covered by an agreement is drawn from the information provided to the FWC (Fair Work Commission), the Workplace Authority or the AIRC (Australian Industrial Relations Commission) by the employer who lodges the agreement.</w:t>
      </w:r>
    </w:p>
    <w:p w14:paraId="59D28D5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In the Trends data, the number of employees covered by agreements is presented as an estimated figure, as employee coverage figures are not always provided when an agreement is lodged.</w:t>
      </w:r>
    </w:p>
    <w:p w14:paraId="7D8642D6"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w:t>
      </w:r>
      <w:proofErr w:type="gramStart"/>
      <w:r>
        <w:rPr>
          <w:rFonts w:ascii="Aptos" w:eastAsia="Aptos" w:hAnsi="Aptos" w:cs="Aptos"/>
          <w:color w:val="000000"/>
          <w:sz w:val="22"/>
          <w:szCs w:val="22"/>
        </w:rPr>
        <w:t>mean</w:t>
      </w:r>
      <w:proofErr w:type="gramEnd"/>
      <w:r>
        <w:rPr>
          <w:rFonts w:ascii="Aptos" w:eastAsia="Aptos" w:hAnsi="Aptos" w:cs="Aptos"/>
          <w:color w:val="000000"/>
          <w:sz w:val="22"/>
          <w:szCs w:val="22"/>
        </w:rPr>
        <w:t xml:space="preserve"> is generated for each industry group by current </w:t>
      </w:r>
      <w:proofErr w:type="gramStart"/>
      <w:r>
        <w:rPr>
          <w:rFonts w:ascii="Aptos" w:eastAsia="Aptos" w:hAnsi="Aptos" w:cs="Aptos"/>
          <w:color w:val="000000"/>
          <w:sz w:val="22"/>
          <w:szCs w:val="22"/>
        </w:rPr>
        <w:t>quarter</w:t>
      </w:r>
      <w:proofErr w:type="gramEnd"/>
      <w:r>
        <w:rPr>
          <w:rFonts w:ascii="Aptos" w:eastAsia="Aptos" w:hAnsi="Aptos" w:cs="Aptos"/>
          <w:color w:val="000000"/>
          <w:sz w:val="22"/>
          <w:szCs w:val="22"/>
        </w:rPr>
        <w:t xml:space="preserve"> removing the largest 5% and smallest 5% of agreements and then calculating the </w:t>
      </w:r>
      <w:proofErr w:type="gramStart"/>
      <w:r>
        <w:rPr>
          <w:rFonts w:ascii="Aptos" w:eastAsia="Aptos" w:hAnsi="Aptos" w:cs="Aptos"/>
          <w:color w:val="000000"/>
          <w:sz w:val="22"/>
          <w:szCs w:val="22"/>
        </w:rPr>
        <w:t>mean</w:t>
      </w:r>
      <w:proofErr w:type="gramEnd"/>
      <w:r>
        <w:rPr>
          <w:rFonts w:ascii="Aptos" w:eastAsia="Aptos" w:hAnsi="Aptos" w:cs="Aptos"/>
          <w:color w:val="000000"/>
          <w:sz w:val="22"/>
          <w:szCs w:val="22"/>
        </w:rPr>
        <w:t xml:space="preserve"> of the remainder.</w:t>
      </w:r>
    </w:p>
    <w:p w14:paraId="22BEF6F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131538E0" w14:textId="224376DD" w:rsidR="00AB0A8C" w:rsidRDefault="00CF1513">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br/>
        <w:t>Duration of agreements</w:t>
      </w:r>
    </w:p>
    <w:p w14:paraId="3033A65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2"/>
          <w:szCs w:val="22"/>
        </w:rPr>
        <w:t xml:space="preserve">'Formal duration' </w:t>
      </w:r>
      <w:r>
        <w:rPr>
          <w:rFonts w:ascii="Aptos" w:eastAsia="Aptos" w:hAnsi="Aptos" w:cs="Aptos"/>
          <w:color w:val="000000"/>
          <w:sz w:val="22"/>
          <w:szCs w:val="22"/>
        </w:rPr>
        <w:t>is defined as the period from certification to expiry in years.</w:t>
      </w:r>
    </w:p>
    <w:p w14:paraId="4882387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The </w:t>
      </w:r>
      <w:r>
        <w:rPr>
          <w:rFonts w:ascii="Aptos" w:eastAsia="Aptos" w:hAnsi="Aptos" w:cs="Aptos"/>
          <w:b/>
          <w:color w:val="000000"/>
          <w:sz w:val="22"/>
          <w:szCs w:val="22"/>
        </w:rPr>
        <w:t xml:space="preserve">effective duration' </w:t>
      </w:r>
      <w:r>
        <w:rPr>
          <w:rFonts w:ascii="Aptos" w:eastAsia="Aptos" w:hAnsi="Aptos" w:cs="Aptos"/>
          <w:color w:val="000000"/>
          <w:sz w:val="22"/>
          <w:szCs w:val="22"/>
        </w:rPr>
        <w:t>of each agreement is used to calculate the AAWI rather than formal duration (that is, the period from certification to expiry). The effective duration of a wage agreement is the difference in years between: certification, commencement or the date of the first wage increase (whichever is earliest); and the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46BC2E2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Though the effective duration is used for AAWI calculations, where duration is mentioned in the tables of the Trends report, the ‘formal duration’ of the relevant agreements is used.</w:t>
      </w:r>
    </w:p>
    <w:p w14:paraId="3C43659C"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Average Annualised Wage Increases</w:t>
      </w:r>
    </w:p>
    <w:p w14:paraId="009DEA8B"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Estimates of average wage increases are calculated for those federal enterprise agreements that provide quantifiable wage increases over the life of the agreement. Enterprise agreements for which average percentage wage increases </w:t>
      </w:r>
      <w:proofErr w:type="gramStart"/>
      <w:r>
        <w:rPr>
          <w:rFonts w:ascii="Aptos" w:eastAsia="Aptos" w:hAnsi="Aptos" w:cs="Aptos"/>
          <w:color w:val="000000"/>
          <w:sz w:val="22"/>
          <w:szCs w:val="22"/>
        </w:rPr>
        <w:t>cannot not</w:t>
      </w:r>
      <w:proofErr w:type="gramEnd"/>
      <w:r>
        <w:rPr>
          <w:rFonts w:ascii="Aptos" w:eastAsia="Aptos" w:hAnsi="Aptos" w:cs="Aptos"/>
          <w:color w:val="000000"/>
          <w:sz w:val="22"/>
          <w:szCs w:val="22"/>
        </w:rPr>
        <w:t xml:space="preserve"> be quantified (e.g. those with inconsistent increases) are excluded from these estimates. </w:t>
      </w:r>
    </w:p>
    <w:p w14:paraId="453B73F1"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lastRenderedPageBreak/>
        <w:t xml:space="preserve">AAWI data examines only increases to the base rate of pay and does not </w:t>
      </w:r>
      <w:proofErr w:type="gramStart"/>
      <w:r>
        <w:rPr>
          <w:rFonts w:ascii="Aptos" w:eastAsia="Aptos" w:hAnsi="Aptos" w:cs="Aptos"/>
          <w:color w:val="000000"/>
          <w:sz w:val="22"/>
          <w:szCs w:val="22"/>
        </w:rPr>
        <w:t>take into account</w:t>
      </w:r>
      <w:proofErr w:type="gramEnd"/>
      <w:r>
        <w:rPr>
          <w:rFonts w:ascii="Aptos" w:eastAsia="Aptos" w:hAnsi="Aptos" w:cs="Aptos"/>
          <w:color w:val="000000"/>
          <w:sz w:val="22"/>
          <w:szCs w:val="22"/>
        </w:rPr>
        <w:t xml:space="preserve"> allowances and bonus payments that are paid separately to the base wage. The ABS produces a more comprehensive dataset on total </w:t>
      </w:r>
      <w:proofErr w:type="spellStart"/>
      <w:r>
        <w:rPr>
          <w:rFonts w:ascii="Aptos" w:eastAsia="Aptos" w:hAnsi="Aptos" w:cs="Aptos"/>
          <w:color w:val="000000"/>
          <w:sz w:val="22"/>
          <w:szCs w:val="22"/>
        </w:rPr>
        <w:t>labour</w:t>
      </w:r>
      <w:proofErr w:type="spellEnd"/>
      <w:r>
        <w:rPr>
          <w:rFonts w:ascii="Aptos" w:eastAsia="Aptos" w:hAnsi="Aptos" w:cs="Aptos"/>
          <w:color w:val="000000"/>
          <w:sz w:val="22"/>
          <w:szCs w:val="22"/>
        </w:rPr>
        <w:t xml:space="preserve"> costs (</w:t>
      </w:r>
      <w:hyperlink r:id="rId25">
        <w:r w:rsidR="00AB0A8C">
          <w:rPr>
            <w:rFonts w:ascii="Aptos" w:eastAsia="Aptos" w:hAnsi="Aptos" w:cs="Aptos"/>
            <w:color w:val="165788"/>
            <w:sz w:val="22"/>
            <w:szCs w:val="22"/>
            <w:u w:val="single"/>
          </w:rPr>
          <w:t>Wages Price Index</w:t>
        </w:r>
      </w:hyperlink>
      <w:r>
        <w:rPr>
          <w:rFonts w:ascii="Aptos" w:eastAsia="Aptos" w:hAnsi="Aptos" w:cs="Aptos"/>
          <w:color w:val="000000"/>
          <w:sz w:val="22"/>
          <w:szCs w:val="22"/>
        </w:rPr>
        <w:t>).</w:t>
      </w:r>
    </w:p>
    <w:p w14:paraId="14DBCD28"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For agreements with quantifiable wage increases, the average </w:t>
      </w:r>
      <w:proofErr w:type="spellStart"/>
      <w:r>
        <w:rPr>
          <w:rFonts w:ascii="Aptos" w:eastAsia="Aptos" w:hAnsi="Aptos" w:cs="Aptos"/>
          <w:color w:val="000000"/>
          <w:sz w:val="22"/>
          <w:szCs w:val="22"/>
        </w:rPr>
        <w:t>annualised</w:t>
      </w:r>
      <w:proofErr w:type="spellEnd"/>
      <w:r>
        <w:rPr>
          <w:rFonts w:ascii="Aptos" w:eastAsia="Aptos" w:hAnsi="Aptos" w:cs="Aptos"/>
          <w:color w:val="000000"/>
          <w:sz w:val="22"/>
          <w:szCs w:val="22"/>
        </w:rPr>
        <w:t xml:space="preserve"> wage increase (AAWI) per agreement is calculated using the following formula:</w:t>
      </w:r>
    </w:p>
    <w:p w14:paraId="4F5A25FC" w14:textId="77777777" w:rsidR="00AB0A8C" w:rsidRDefault="007639BC" w:rsidP="00F862F5">
      <w:pPr>
        <w:pStyle w:val="FirstParagraph"/>
        <w:pBdr>
          <w:top w:val="single" w:sz="4" w:space="1" w:color="auto"/>
          <w:left w:val="single" w:sz="4" w:space="1" w:color="auto"/>
          <w:bottom w:val="single" w:sz="4" w:space="1" w:color="auto"/>
          <w:right w:val="single" w:sz="4" w:space="1" w:color="auto"/>
        </w:pBdr>
      </w:pPr>
      <m:oMathPara>
        <m:oMath>
          <m:r>
            <w:rPr>
              <w:rFonts w:ascii="Cambria Math" w:hAnsi="Cambria Math"/>
            </w:rPr>
            <m:t>100</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e>
                      </m:d>
                    </m:e>
                  </m:nary>
                </m:e>
              </m:d>
            </m:e>
            <m:sup>
              <m:f>
                <m:fPr>
                  <m:ctrlPr>
                    <w:rPr>
                      <w:rFonts w:ascii="Cambria Math" w:hAnsi="Cambria Math"/>
                    </w:rPr>
                  </m:ctrlPr>
                </m:fPr>
                <m:num>
                  <m:r>
                    <w:rPr>
                      <w:rFonts w:ascii="Cambria Math" w:hAnsi="Cambria Math"/>
                    </w:rPr>
                    <m:t>1</m:t>
                  </m:r>
                </m:num>
                <m:den>
                  <m:r>
                    <w:rPr>
                      <w:rFonts w:ascii="Cambria Math" w:hAnsi="Cambria Math"/>
                    </w:rPr>
                    <m:t>d</m:t>
                  </m:r>
                </m:den>
              </m:f>
            </m:sup>
          </m:sSup>
          <m:r>
            <m:rPr>
              <m:sty m:val="p"/>
            </m:rPr>
            <w:rPr>
              <w:rFonts w:ascii="Cambria Math" w:hAnsi="Cambria Math"/>
            </w:rPr>
            <m:t>-</m:t>
          </m:r>
          <m:r>
            <w:rPr>
              <w:rFonts w:ascii="Cambria Math" w:hAnsi="Cambria Math"/>
            </w:rPr>
            <m:t>1</m:t>
          </m:r>
        </m:oMath>
      </m:oMathPara>
    </w:p>
    <w:p w14:paraId="50702610" w14:textId="77777777" w:rsidR="00AB0A8C" w:rsidRDefault="007639BC" w:rsidP="00F862F5">
      <w:pPr>
        <w:pBdr>
          <w:top w:val="single" w:sz="4" w:space="1" w:color="auto"/>
          <w:left w:val="single" w:sz="4" w:space="1" w:color="auto"/>
          <w:bottom w:val="single" w:sz="4" w:space="1" w:color="auto"/>
          <w:right w:val="single" w:sz="4" w:space="1" w:color="auto"/>
        </w:pBdr>
        <w:spacing w:after="0"/>
      </w:pPr>
      <w:proofErr w:type="spellStart"/>
      <w:r>
        <w:rPr>
          <w:rFonts w:ascii="Aptos" w:eastAsia="Aptos" w:hAnsi="Aptos" w:cs="Aptos"/>
          <w:color w:val="000000"/>
          <w:sz w:val="22"/>
          <w:szCs w:val="22"/>
        </w:rPr>
        <w:t>r</w:t>
      </w:r>
      <w:r>
        <w:rPr>
          <w:rFonts w:ascii="Aptos" w:eastAsia="Aptos" w:hAnsi="Aptos" w:cs="Aptos"/>
          <w:color w:val="000000"/>
          <w:sz w:val="22"/>
          <w:szCs w:val="22"/>
          <w:vertAlign w:val="subscript"/>
        </w:rPr>
        <w:t>i</w:t>
      </w:r>
      <w:proofErr w:type="spellEnd"/>
      <w:r>
        <w:rPr>
          <w:rFonts w:ascii="Aptos" w:eastAsia="Aptos" w:hAnsi="Aptos" w:cs="Aptos"/>
          <w:color w:val="000000"/>
          <w:sz w:val="22"/>
          <w:szCs w:val="22"/>
        </w:rPr>
        <w:t xml:space="preserve"> = % increases of the </w:t>
      </w:r>
      <w:proofErr w:type="spellStart"/>
      <w:r>
        <w:rPr>
          <w:rFonts w:ascii="Aptos" w:eastAsia="Aptos" w:hAnsi="Aptos" w:cs="Aptos"/>
          <w:i/>
          <w:color w:val="000000"/>
          <w:sz w:val="22"/>
          <w:szCs w:val="22"/>
        </w:rPr>
        <w:t>i</w:t>
      </w:r>
      <w:r>
        <w:rPr>
          <w:rFonts w:ascii="Aptos" w:eastAsia="Aptos" w:hAnsi="Aptos" w:cs="Aptos"/>
          <w:color w:val="000000"/>
          <w:sz w:val="22"/>
          <w:szCs w:val="22"/>
          <w:vertAlign w:val="superscript"/>
        </w:rPr>
        <w:t>th</w:t>
      </w:r>
      <w:proofErr w:type="spellEnd"/>
      <w:r>
        <w:rPr>
          <w:rFonts w:ascii="Aptos" w:eastAsia="Aptos" w:hAnsi="Aptos" w:cs="Aptos"/>
          <w:color w:val="000000"/>
          <w:sz w:val="22"/>
          <w:szCs w:val="22"/>
        </w:rPr>
        <w:t xml:space="preserve"> time*</w:t>
      </w:r>
    </w:p>
    <w:p w14:paraId="797114C4" w14:textId="77777777" w:rsidR="00AB0A8C" w:rsidRDefault="007639BC" w:rsidP="00F862F5">
      <w:pPr>
        <w:pBdr>
          <w:top w:val="single" w:sz="4" w:space="1" w:color="auto"/>
          <w:left w:val="single" w:sz="4" w:space="1" w:color="auto"/>
          <w:bottom w:val="single" w:sz="4" w:space="1" w:color="auto"/>
          <w:right w:val="single" w:sz="4" w:space="1" w:color="auto"/>
        </w:pBdr>
        <w:spacing w:after="0"/>
      </w:pPr>
      <w:r>
        <w:rPr>
          <w:rFonts w:ascii="Aptos" w:eastAsia="Aptos" w:hAnsi="Aptos" w:cs="Aptos"/>
          <w:color w:val="000000"/>
          <w:sz w:val="22"/>
          <w:szCs w:val="22"/>
        </w:rPr>
        <w:t>N = the number of increases over the life of the agreement</w:t>
      </w:r>
    </w:p>
    <w:p w14:paraId="0236A50F" w14:textId="77777777" w:rsidR="00AB0A8C" w:rsidRDefault="007639BC" w:rsidP="00F862F5">
      <w:pPr>
        <w:pBdr>
          <w:top w:val="single" w:sz="4" w:space="1" w:color="auto"/>
          <w:left w:val="single" w:sz="4" w:space="1" w:color="auto"/>
          <w:bottom w:val="single" w:sz="4" w:space="1" w:color="auto"/>
          <w:right w:val="single" w:sz="4" w:space="1" w:color="auto"/>
        </w:pBdr>
        <w:spacing w:after="0"/>
      </w:pPr>
      <w:r>
        <w:rPr>
          <w:rFonts w:ascii="Aptos" w:eastAsia="Aptos" w:hAnsi="Aptos" w:cs="Aptos"/>
          <w:color w:val="000000"/>
          <w:sz w:val="22"/>
          <w:szCs w:val="22"/>
        </w:rPr>
        <w:t>d = the effective duration of the agreement in years</w:t>
      </w:r>
    </w:p>
    <w:p w14:paraId="0566DBB0" w14:textId="77777777" w:rsidR="00AB0A8C" w:rsidRDefault="007639BC" w:rsidP="00F862F5">
      <w:pPr>
        <w:pBdr>
          <w:top w:val="single" w:sz="4" w:space="1" w:color="auto"/>
          <w:left w:val="single" w:sz="4" w:space="1" w:color="auto"/>
          <w:bottom w:val="single" w:sz="4" w:space="1" w:color="auto"/>
          <w:right w:val="single" w:sz="4" w:space="1" w:color="auto"/>
        </w:pBdr>
        <w:spacing w:after="0"/>
      </w:pPr>
      <w:r>
        <w:rPr>
          <w:rFonts w:ascii="Aptos" w:eastAsia="Aptos" w:hAnsi="Aptos" w:cs="Aptos"/>
          <w:color w:val="000000"/>
          <w:sz w:val="20"/>
          <w:szCs w:val="20"/>
        </w:rPr>
        <w:t xml:space="preserve">*Flat dollar increases are converted to a percentage using average weekly ordinary time earnings (AWOTE) drawn from </w:t>
      </w:r>
      <w:hyperlink r:id="rId26">
        <w:r w:rsidR="00AB0A8C">
          <w:rPr>
            <w:rFonts w:ascii="Aptos" w:eastAsia="Aptos" w:hAnsi="Aptos" w:cs="Aptos"/>
            <w:color w:val="165788"/>
            <w:sz w:val="20"/>
            <w:szCs w:val="20"/>
            <w:u w:val="single"/>
          </w:rPr>
          <w:t>ABS, Average Weekly Earnings, Australia</w:t>
        </w:r>
      </w:hyperlink>
      <w:r>
        <w:rPr>
          <w:rFonts w:ascii="Aptos" w:eastAsia="Aptos" w:hAnsi="Aptos" w:cs="Aptos"/>
          <w:color w:val="000000"/>
          <w:sz w:val="20"/>
          <w:szCs w:val="20"/>
        </w:rPr>
        <w:t xml:space="preserve"> for the relevant ANZSIC industry division and quarter.</w:t>
      </w:r>
    </w:p>
    <w:p w14:paraId="56069AFF"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AAWI per agreement provides only a simple unweighted average and tends to overstate the average wage increase received by employees. For this reason, Trends reports the AAWI per employee, which is calculated by </w:t>
      </w:r>
      <w:proofErr w:type="gramStart"/>
      <w:r>
        <w:rPr>
          <w:rFonts w:ascii="Aptos" w:eastAsia="Aptos" w:hAnsi="Aptos" w:cs="Aptos"/>
          <w:color w:val="000000"/>
          <w:sz w:val="22"/>
          <w:szCs w:val="22"/>
        </w:rPr>
        <w:t>weighting</w:t>
      </w:r>
      <w:proofErr w:type="gramEnd"/>
      <w:r>
        <w:rPr>
          <w:rFonts w:ascii="Aptos" w:eastAsia="Aptos" w:hAnsi="Aptos" w:cs="Aptos"/>
          <w:color w:val="000000"/>
          <w:sz w:val="22"/>
          <w:szCs w:val="22"/>
        </w:rPr>
        <w:t xml:space="preserve"> AAWI per agreement by the number of employees covered by that agreement.</w:t>
      </w:r>
    </w:p>
    <w:p w14:paraId="567511FA"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643F7D35"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Estimates of AAWI generally exclude increases paid in the form of conditional performance pay, one-off bonuses, profit sharing or share acquisition, as these data cannot readily be either quantified or </w:t>
      </w:r>
      <w:proofErr w:type="spellStart"/>
      <w:r>
        <w:rPr>
          <w:rFonts w:ascii="Aptos" w:eastAsia="Aptos" w:hAnsi="Aptos" w:cs="Aptos"/>
          <w:color w:val="000000"/>
          <w:sz w:val="22"/>
          <w:szCs w:val="22"/>
        </w:rPr>
        <w:t>annualised</w:t>
      </w:r>
      <w:proofErr w:type="spellEnd"/>
      <w:r>
        <w:rPr>
          <w:rFonts w:ascii="Aptos" w:eastAsia="Aptos" w:hAnsi="Aptos" w:cs="Aptos"/>
          <w:color w:val="000000"/>
          <w:sz w:val="22"/>
          <w:szCs w:val="22"/>
        </w:rPr>
        <w:t>.</w:t>
      </w:r>
    </w:p>
    <w:p w14:paraId="72B34ED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Australian and New Zealand Standard Industrial Classification (ANZSIC)</w:t>
      </w:r>
    </w:p>
    <w:p w14:paraId="63E48038"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From the September </w:t>
      </w:r>
      <w:proofErr w:type="gramStart"/>
      <w:r>
        <w:rPr>
          <w:rFonts w:ascii="Aptos" w:eastAsia="Aptos" w:hAnsi="Aptos" w:cs="Aptos"/>
          <w:color w:val="000000"/>
          <w:sz w:val="22"/>
          <w:szCs w:val="22"/>
        </w:rPr>
        <w:t>quarter</w:t>
      </w:r>
      <w:proofErr w:type="gramEnd"/>
      <w:r>
        <w:rPr>
          <w:rFonts w:ascii="Aptos" w:eastAsia="Aptos" w:hAnsi="Aptos" w:cs="Aptos"/>
          <w:color w:val="000000"/>
          <w:sz w:val="22"/>
          <w:szCs w:val="22"/>
        </w:rPr>
        <w:t xml:space="preserve"> 2009 the Trends report 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017D6C2"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From the September quarter 2009, historical industry data contained in the Trends report have also been produced using ANZSIC 2006 divisions. </w:t>
      </w:r>
    </w:p>
    <w:p w14:paraId="3D96B85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Union coverage</w:t>
      </w:r>
    </w:p>
    <w:p w14:paraId="5A2A3EEA"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Care should be taken when </w:t>
      </w:r>
      <w:proofErr w:type="spellStart"/>
      <w:r>
        <w:rPr>
          <w:rFonts w:ascii="Aptos" w:eastAsia="Aptos" w:hAnsi="Aptos" w:cs="Aptos"/>
          <w:color w:val="000000"/>
          <w:sz w:val="22"/>
          <w:szCs w:val="22"/>
        </w:rPr>
        <w:t>analysing</w:t>
      </w:r>
      <w:proofErr w:type="spellEnd"/>
      <w:r>
        <w:rPr>
          <w:rFonts w:ascii="Aptos" w:eastAsia="Aptos" w:hAnsi="Aptos" w:cs="Aptos"/>
          <w:color w:val="000000"/>
          <w:sz w:val="22"/>
          <w:szCs w:val="22"/>
        </w:rPr>
        <w:t xml:space="preserve"> data in Tables 13 and 14</w:t>
      </w:r>
      <w:proofErr w:type="gramStart"/>
      <w:r>
        <w:rPr>
          <w:rFonts w:ascii="Aptos" w:eastAsia="Aptos" w:hAnsi="Aptos" w:cs="Aptos"/>
          <w:color w:val="000000"/>
          <w:sz w:val="22"/>
          <w:szCs w:val="22"/>
        </w:rPr>
        <w:t>, in</w:t>
      </w:r>
      <w:proofErr w:type="gramEnd"/>
      <w:r>
        <w:rPr>
          <w:rFonts w:ascii="Aptos" w:eastAsia="Aptos" w:hAnsi="Aptos" w:cs="Aptos"/>
          <w:color w:val="000000"/>
          <w:sz w:val="22"/>
          <w:szCs w:val="22"/>
        </w:rPr>
        <w:t xml:space="preserve"> comparing agreements that cover a union and those that do not.</w:t>
      </w:r>
    </w:p>
    <w:p w14:paraId="21BC6D07"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Data about unions covered by agreements made under the </w:t>
      </w:r>
      <w:r>
        <w:rPr>
          <w:rFonts w:ascii="Aptos" w:eastAsia="Aptos" w:hAnsi="Aptos" w:cs="Aptos"/>
          <w:i/>
          <w:color w:val="000000"/>
          <w:sz w:val="22"/>
          <w:szCs w:val="22"/>
        </w:rPr>
        <w:t xml:space="preserve">Fair Work Act 2009 </w:t>
      </w:r>
      <w:r>
        <w:rPr>
          <w:rFonts w:ascii="Aptos" w:eastAsia="Aptos" w:hAnsi="Aptos" w:cs="Aptos"/>
          <w:color w:val="000000"/>
          <w:sz w:val="22"/>
          <w:szCs w:val="22"/>
        </w:rPr>
        <w:t xml:space="preserve">may not provide an accurate reflection of union involvement in bargaining for agreements. Under the </w:t>
      </w:r>
      <w:r>
        <w:rPr>
          <w:rFonts w:ascii="Aptos" w:eastAsia="Aptos" w:hAnsi="Aptos" w:cs="Aptos"/>
          <w:i/>
          <w:color w:val="000000"/>
          <w:sz w:val="22"/>
          <w:szCs w:val="22"/>
        </w:rPr>
        <w:t xml:space="preserve">Fair Work Act </w:t>
      </w:r>
      <w:r>
        <w:rPr>
          <w:rFonts w:ascii="Aptos" w:eastAsia="Aptos" w:hAnsi="Aptos" w:cs="Aptos"/>
          <w:i/>
          <w:color w:val="000000"/>
          <w:sz w:val="22"/>
          <w:szCs w:val="22"/>
        </w:rPr>
        <w:lastRenderedPageBreak/>
        <w:t xml:space="preserve">2009 </w:t>
      </w:r>
      <w:r>
        <w:rPr>
          <w:rFonts w:ascii="Aptos" w:eastAsia="Aptos" w:hAnsi="Aptos" w:cs="Aptos"/>
          <w:color w:val="000000"/>
          <w:sz w:val="22"/>
          <w:szCs w:val="22"/>
        </w:rPr>
        <w:t>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4AF6D19"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Further, data about non-Greenfields agreements made under the </w:t>
      </w:r>
      <w:r>
        <w:rPr>
          <w:rFonts w:ascii="Aptos" w:eastAsia="Aptos" w:hAnsi="Aptos" w:cs="Aptos"/>
          <w:i/>
          <w:color w:val="000000"/>
          <w:sz w:val="22"/>
          <w:szCs w:val="22"/>
        </w:rPr>
        <w:t xml:space="preserve">Fair Work Act 2009 </w:t>
      </w:r>
      <w:r>
        <w:rPr>
          <w:rFonts w:ascii="Aptos" w:eastAsia="Aptos" w:hAnsi="Aptos" w:cs="Aptos"/>
          <w:color w:val="000000"/>
          <w:sz w:val="22"/>
          <w:szCs w:val="22"/>
        </w:rPr>
        <w:t xml:space="preserve">that cover a union cannot be directly compared with data about union collective agreements or s.170LJ agreements made under the </w:t>
      </w:r>
      <w:r>
        <w:rPr>
          <w:rFonts w:ascii="Aptos" w:eastAsia="Aptos" w:hAnsi="Aptos" w:cs="Aptos"/>
          <w:i/>
          <w:color w:val="000000"/>
          <w:sz w:val="22"/>
          <w:szCs w:val="22"/>
        </w:rPr>
        <w:t>Workplace Relations Act 1996</w:t>
      </w:r>
      <w:r>
        <w:rPr>
          <w:rFonts w:ascii="Aptos" w:eastAsia="Aptos" w:hAnsi="Aptos" w:cs="Aptos"/>
          <w:color w:val="000000"/>
          <w:sz w:val="22"/>
          <w:szCs w:val="22"/>
        </w:rPr>
        <w:t xml:space="preserve">, which had to be made with a union. While a union may be a bargaining representative, there is no imperative under the </w:t>
      </w:r>
      <w:r>
        <w:rPr>
          <w:rFonts w:ascii="Aptos" w:eastAsia="Aptos" w:hAnsi="Aptos" w:cs="Aptos"/>
          <w:i/>
          <w:color w:val="000000"/>
          <w:sz w:val="22"/>
          <w:szCs w:val="22"/>
        </w:rPr>
        <w:t xml:space="preserve">Fair Work Act 2009 </w:t>
      </w:r>
      <w:r>
        <w:rPr>
          <w:rFonts w:ascii="Aptos" w:eastAsia="Aptos" w:hAnsi="Aptos" w:cs="Aptos"/>
          <w:color w:val="000000"/>
          <w:sz w:val="22"/>
          <w:szCs w:val="22"/>
        </w:rPr>
        <w:t>for agreements (other than Greenfields agreements) to be made with a union.</w:t>
      </w:r>
    </w:p>
    <w:p w14:paraId="68F943D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Non-quantifiable wage increases</w:t>
      </w:r>
    </w:p>
    <w:p w14:paraId="3DABFD7F"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Wage increases are only recorded in the WAD if the same percentage wage increase that applies to all employees covered by the agreement can be quantified. There are many reasons why wage increases provided for in federal enterprise agreements may not be </w:t>
      </w:r>
      <w:proofErr w:type="gramStart"/>
      <w:r>
        <w:rPr>
          <w:rFonts w:ascii="Aptos" w:eastAsia="Aptos" w:hAnsi="Aptos" w:cs="Aptos"/>
          <w:color w:val="000000"/>
          <w:sz w:val="22"/>
          <w:szCs w:val="22"/>
        </w:rPr>
        <w:t>quantifiable</w:t>
      </w:r>
      <w:proofErr w:type="gramEnd"/>
      <w:r>
        <w:rPr>
          <w:rFonts w:ascii="Aptos" w:eastAsia="Aptos" w:hAnsi="Aptos" w:cs="Aptos"/>
          <w:color w:val="000000"/>
          <w:sz w:val="22"/>
          <w:szCs w:val="22"/>
        </w:rPr>
        <w:t>. The list of reasons recorded in the WAD about why wage increases cannot be quantified are shown in the following table.</w:t>
      </w:r>
    </w:p>
    <w:tbl>
      <w:tblPr>
        <w:tblW w:w="0" w:type="auto"/>
        <w:jc w:val="center"/>
        <w:tblLayout w:type="fixed"/>
        <w:tblLook w:val="0420" w:firstRow="1" w:lastRow="0" w:firstColumn="0" w:lastColumn="0" w:noHBand="0" w:noVBand="1"/>
      </w:tblPr>
      <w:tblGrid>
        <w:gridCol w:w="2835"/>
        <w:gridCol w:w="6236"/>
      </w:tblGrid>
      <w:tr w:rsidR="00AB0A8C" w14:paraId="1A851590" w14:textId="77777777">
        <w:trPr>
          <w:tblHeader/>
          <w:jc w:val="center"/>
        </w:trPr>
        <w:tc>
          <w:tcPr>
            <w:tcW w:w="2835" w:type="dxa"/>
            <w:tcBorders>
              <w:top w:val="none" w:sz="0" w:space="0" w:color="000000"/>
              <w:left w:val="none" w:sz="0" w:space="0" w:color="000000"/>
              <w:bottom w:val="none" w:sz="0" w:space="0" w:color="000000"/>
              <w:right w:val="single" w:sz="8" w:space="0" w:color="000000"/>
            </w:tcBorders>
            <w:shd w:val="clear" w:color="auto" w:fill="000000"/>
            <w:tcMar>
              <w:top w:w="0" w:type="dxa"/>
              <w:left w:w="0" w:type="dxa"/>
              <w:bottom w:w="0" w:type="dxa"/>
              <w:right w:w="0" w:type="dxa"/>
            </w:tcMar>
            <w:vAlign w:val="center"/>
          </w:tcPr>
          <w:p w14:paraId="0A28D70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Pr>
                <w:rFonts w:ascii="Aptos" w:eastAsia="Aptos" w:hAnsi="Aptos" w:cs="Aptos"/>
                <w:b/>
                <w:color w:val="FFFFFF"/>
                <w:sz w:val="22"/>
                <w:szCs w:val="22"/>
              </w:rPr>
              <w:t>Reason</w:t>
            </w:r>
          </w:p>
        </w:tc>
        <w:tc>
          <w:tcPr>
            <w:tcW w:w="6236" w:type="dxa"/>
            <w:tcBorders>
              <w:top w:val="none" w:sz="0" w:space="0" w:color="000000"/>
              <w:left w:val="single" w:sz="8"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CE75A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b/>
                <w:color w:val="FFFFFF"/>
                <w:sz w:val="22"/>
                <w:szCs w:val="22"/>
              </w:rPr>
            </w:pPr>
            <w:r>
              <w:rPr>
                <w:rFonts w:ascii="Aptos" w:eastAsia="Aptos" w:hAnsi="Aptos" w:cs="Aptos"/>
                <w:b/>
                <w:color w:val="FFFFFF"/>
                <w:sz w:val="22"/>
                <w:szCs w:val="22"/>
              </w:rPr>
              <w:t>Definition</w:t>
            </w:r>
          </w:p>
        </w:tc>
      </w:tr>
      <w:tr w:rsidR="00AB0A8C" w14:paraId="326B8A63" w14:textId="77777777">
        <w:trPr>
          <w:jc w:val="center"/>
        </w:trPr>
        <w:tc>
          <w:tcPr>
            <w:tcW w:w="2835"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8F320"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Inconsistent increase</w:t>
            </w:r>
          </w:p>
        </w:tc>
        <w:tc>
          <w:tcPr>
            <w:tcW w:w="6236" w:type="dxa"/>
            <w:tcBorders>
              <w:top w:val="none" w:sz="0"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40D35"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Percentage wage increases vary between classifications in the agreement.</w:t>
            </w:r>
          </w:p>
        </w:tc>
      </w:tr>
      <w:tr w:rsidR="00AB0A8C" w14:paraId="664BE119"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8D38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Performance linked</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7BA8A"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 xml:space="preserve">Wage increases are </w:t>
            </w:r>
            <w:proofErr w:type="gramStart"/>
            <w:r>
              <w:rPr>
                <w:rFonts w:ascii="Aptos" w:eastAsia="Aptos" w:hAnsi="Aptos" w:cs="Aptos"/>
                <w:color w:val="000000"/>
                <w:sz w:val="22"/>
                <w:szCs w:val="22"/>
              </w:rPr>
              <w:t>awarded</w:t>
            </w:r>
            <w:proofErr w:type="gramEnd"/>
            <w:r>
              <w:rPr>
                <w:rFonts w:ascii="Aptos" w:eastAsia="Aptos" w:hAnsi="Aptos" w:cs="Aptos"/>
                <w:color w:val="000000"/>
                <w:sz w:val="22"/>
                <w:szCs w:val="22"/>
              </w:rPr>
              <w:t xml:space="preserve"> only if certain productivity improvements are made, or wage increases are dependent upon individual or company performance.</w:t>
            </w:r>
          </w:p>
        </w:tc>
      </w:tr>
      <w:tr w:rsidR="00AB0A8C" w14:paraId="1A5FF3DD"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7794B"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Linked to CPI</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4EA5F"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Wage increases in the agreement are linked to future CPI movements and cannot be quantified at the time of calculating the AAWIs in this report.</w:t>
            </w:r>
          </w:p>
        </w:tc>
      </w:tr>
      <w:tr w:rsidR="00AB0A8C" w14:paraId="711572C2"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1B255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Linked to minimum wages</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74ACC9"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Wage increases in the agreement are linked to future minimum wage or award wage increase decisions and cannot be quantified at the time of calculating the AAWIs in this report.</w:t>
            </w:r>
          </w:p>
        </w:tc>
      </w:tr>
      <w:tr w:rsidR="00AB0A8C" w14:paraId="13E55DF7" w14:textId="7777777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E07137"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Other reason</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6424D1" w14:textId="77777777" w:rsidR="00AB0A8C" w:rsidRDefault="007639BC">
            <w:pPr>
              <w:pBdr>
                <w:top w:val="none" w:sz="0" w:space="0" w:color="000000"/>
                <w:left w:val="none" w:sz="0" w:space="0" w:color="000000"/>
                <w:bottom w:val="none" w:sz="0" w:space="0" w:color="000000"/>
                <w:right w:val="none" w:sz="0" w:space="0" w:color="000000"/>
              </w:pBdr>
              <w:spacing w:before="100" w:after="100"/>
              <w:ind w:left="100" w:right="100"/>
              <w:rPr>
                <w:rFonts w:ascii="Aptos" w:eastAsia="Aptos" w:hAnsi="Aptos" w:cs="Aptos"/>
                <w:color w:val="000000"/>
                <w:sz w:val="22"/>
                <w:szCs w:val="22"/>
              </w:rPr>
            </w:pPr>
            <w:r>
              <w:rPr>
                <w:rFonts w:ascii="Aptos" w:eastAsia="Aptos" w:hAnsi="Aptos" w:cs="Aptos"/>
                <w:color w:val="000000"/>
                <w:sz w:val="22"/>
                <w:szCs w:val="22"/>
              </w:rPr>
              <w:t>Wage increases cannot be quantified due to a reason not elsewhere classified.</w:t>
            </w:r>
          </w:p>
        </w:tc>
      </w:tr>
    </w:tbl>
    <w:p w14:paraId="61527FC1" w14:textId="1133B875" w:rsidR="00AB0A8C" w:rsidRDefault="00CF1513">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br/>
        <w:t>Types of enterprise agreement</w:t>
      </w:r>
    </w:p>
    <w:p w14:paraId="34FC03B4"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Tables 5, 6 and 12a and 12b in Trends include information about enterprise agreements broken down by the type of agreement, as determined by the relevant legislation. The following list shows the types of enterprise agreements available under the legislation included in this report.</w:t>
      </w:r>
    </w:p>
    <w:p w14:paraId="4326DC25"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Types of enterprise agreements made under the </w:t>
      </w:r>
      <w:r>
        <w:rPr>
          <w:rFonts w:ascii="Aptos" w:eastAsia="Aptos" w:hAnsi="Aptos" w:cs="Aptos"/>
          <w:i/>
          <w:color w:val="000000"/>
          <w:sz w:val="22"/>
          <w:szCs w:val="22"/>
        </w:rPr>
        <w:t>Fair Work Act 2009:</w:t>
      </w:r>
    </w:p>
    <w:p w14:paraId="379F40C1" w14:textId="77777777" w:rsidR="00AB0A8C" w:rsidRDefault="007639BC" w:rsidP="00BD6A47">
      <w:pPr>
        <w:pStyle w:val="ListParagraph"/>
        <w:numPr>
          <w:ilvl w:val="1"/>
          <w:numId w:val="29"/>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lastRenderedPageBreak/>
        <w:t>single enterprise non-Greenfields</w:t>
      </w:r>
    </w:p>
    <w:p w14:paraId="738400A1" w14:textId="77777777" w:rsidR="00AB0A8C" w:rsidRDefault="007639BC" w:rsidP="00BD6A47">
      <w:pPr>
        <w:pStyle w:val="ListParagraph"/>
        <w:numPr>
          <w:ilvl w:val="1"/>
          <w:numId w:val="29"/>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t>single enterprise Greenfields</w:t>
      </w:r>
    </w:p>
    <w:p w14:paraId="2A191C7F" w14:textId="77777777" w:rsidR="00AB0A8C" w:rsidRDefault="007639BC" w:rsidP="00BD6A47">
      <w:pPr>
        <w:pStyle w:val="ListParagraph"/>
        <w:numPr>
          <w:ilvl w:val="1"/>
          <w:numId w:val="29"/>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t>multi-enterprise non-Greenfields</w:t>
      </w:r>
    </w:p>
    <w:p w14:paraId="2A5C9AD7" w14:textId="63C1B61A" w:rsidR="00AB0A8C" w:rsidRDefault="007639BC" w:rsidP="00BD6A47">
      <w:pPr>
        <w:pStyle w:val="ListParagraph"/>
        <w:numPr>
          <w:ilvl w:val="1"/>
          <w:numId w:val="29"/>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t>multi-enterprise Greenfields</w:t>
      </w:r>
    </w:p>
    <w:p w14:paraId="3DAD0598"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Under section 172 of the Fair Work Act 2009 the primary division between types of agreements is whether they cover </w:t>
      </w:r>
      <w:proofErr w:type="gramStart"/>
      <w:r>
        <w:rPr>
          <w:rFonts w:ascii="Aptos" w:eastAsia="Aptos" w:hAnsi="Aptos" w:cs="Aptos"/>
          <w:color w:val="000000"/>
          <w:sz w:val="22"/>
          <w:szCs w:val="22"/>
        </w:rPr>
        <w:t>a single</w:t>
      </w:r>
      <w:proofErr w:type="gramEnd"/>
      <w:r>
        <w:rPr>
          <w:rFonts w:ascii="Aptos" w:eastAsia="Aptos" w:hAnsi="Aptos" w:cs="Aptos"/>
          <w:color w:val="000000"/>
          <w:sz w:val="22"/>
          <w:szCs w:val="22"/>
        </w:rPr>
        <w:t xml:space="preserve"> or multiple enterprises. The secondary division under the Fair Work Act 2009 is </w:t>
      </w:r>
      <w:proofErr w:type="gramStart"/>
      <w:r>
        <w:rPr>
          <w:rFonts w:ascii="Aptos" w:eastAsia="Aptos" w:hAnsi="Aptos" w:cs="Aptos"/>
          <w:color w:val="000000"/>
          <w:sz w:val="22"/>
          <w:szCs w:val="22"/>
        </w:rPr>
        <w:t>whether or not</w:t>
      </w:r>
      <w:proofErr w:type="gramEnd"/>
      <w:r>
        <w:rPr>
          <w:rFonts w:ascii="Aptos" w:eastAsia="Aptos" w:hAnsi="Aptos" w:cs="Aptos"/>
          <w:color w:val="000000"/>
          <w:sz w:val="22"/>
          <w:szCs w:val="22"/>
        </w:rPr>
        <w:t xml:space="preserve"> the agreement is a Greenfields agreement, that is, it is made to cover a genuine new enterprise or an undertaking for which no </w:t>
      </w:r>
      <w:proofErr w:type="gramStart"/>
      <w:r>
        <w:rPr>
          <w:rFonts w:ascii="Aptos" w:eastAsia="Aptos" w:hAnsi="Aptos" w:cs="Aptos"/>
          <w:color w:val="000000"/>
          <w:sz w:val="22"/>
          <w:szCs w:val="22"/>
        </w:rPr>
        <w:t>persons</w:t>
      </w:r>
      <w:proofErr w:type="gramEnd"/>
      <w:r>
        <w:rPr>
          <w:rFonts w:ascii="Aptos" w:eastAsia="Aptos" w:hAnsi="Aptos" w:cs="Aptos"/>
          <w:color w:val="000000"/>
          <w:sz w:val="22"/>
          <w:szCs w:val="22"/>
        </w:rPr>
        <w:t xml:space="preserve"> have yet been employed who will be covered by the agreement.</w:t>
      </w:r>
    </w:p>
    <w:p w14:paraId="31BC69BE"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b/>
          <w:color w:val="000000"/>
          <w:sz w:val="28"/>
          <w:szCs w:val="28"/>
        </w:rPr>
        <w:t>Recent methodological change</w:t>
      </w:r>
    </w:p>
    <w:p w14:paraId="2431697A"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Pre-reform Agreements were approved under the </w:t>
      </w:r>
      <w:r>
        <w:rPr>
          <w:rFonts w:ascii="Aptos" w:eastAsia="Aptos" w:hAnsi="Aptos" w:cs="Aptos"/>
          <w:i/>
          <w:color w:val="000000"/>
          <w:sz w:val="22"/>
          <w:szCs w:val="22"/>
        </w:rPr>
        <w:t>Workplace Relations Act 1996</w:t>
      </w:r>
      <w:r>
        <w:rPr>
          <w:rFonts w:ascii="Aptos" w:eastAsia="Aptos" w:hAnsi="Aptos" w:cs="Aptos"/>
          <w:color w:val="000000"/>
          <w:sz w:val="22"/>
          <w:szCs w:val="22"/>
        </w:rPr>
        <w:t xml:space="preserve">, before the </w:t>
      </w:r>
      <w:r>
        <w:rPr>
          <w:rFonts w:ascii="Aptos" w:eastAsia="Aptos" w:hAnsi="Aptos" w:cs="Aptos"/>
          <w:i/>
          <w:color w:val="000000"/>
          <w:sz w:val="22"/>
          <w:szCs w:val="22"/>
        </w:rPr>
        <w:t>Fair Work Act 2009.</w:t>
      </w:r>
      <w:r>
        <w:rPr>
          <w:rFonts w:ascii="Aptos" w:eastAsia="Aptos" w:hAnsi="Aptos" w:cs="Aptos"/>
          <w:color w:val="000000"/>
          <w:sz w:val="22"/>
          <w:szCs w:val="22"/>
        </w:rPr>
        <w:t>Pre-reform agreement types appearing in this report (Table 6) include:</w:t>
      </w:r>
    </w:p>
    <w:p w14:paraId="503D6763" w14:textId="77777777" w:rsidR="00AB0A8C" w:rsidRDefault="007639BC" w:rsidP="00BD6A47">
      <w:pPr>
        <w:pStyle w:val="ListParagraph"/>
        <w:numPr>
          <w:ilvl w:val="1"/>
          <w:numId w:val="30"/>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t>Union Collective Agreements</w:t>
      </w:r>
    </w:p>
    <w:p w14:paraId="5EB413FC" w14:textId="77777777" w:rsidR="00AB0A8C" w:rsidRDefault="007639BC" w:rsidP="00BD6A47">
      <w:pPr>
        <w:pStyle w:val="ListParagraph"/>
        <w:numPr>
          <w:ilvl w:val="1"/>
          <w:numId w:val="30"/>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t>Employee Collective Agreements</w:t>
      </w:r>
    </w:p>
    <w:p w14:paraId="3D6F8E47" w14:textId="77777777" w:rsidR="00AB0A8C" w:rsidRDefault="007639BC" w:rsidP="00BD6A47">
      <w:pPr>
        <w:pStyle w:val="ListParagraph"/>
        <w:numPr>
          <w:ilvl w:val="1"/>
          <w:numId w:val="30"/>
        </w:numPr>
        <w:pBdr>
          <w:top w:val="none" w:sz="0" w:space="0" w:color="000000"/>
          <w:left w:val="none" w:sz="0" w:space="0" w:color="000000"/>
          <w:bottom w:val="none" w:sz="0" w:space="0" w:color="000000"/>
          <w:right w:val="none" w:sz="0" w:space="0" w:color="000000"/>
        </w:pBdr>
        <w:spacing w:before="120" w:after="240"/>
      </w:pPr>
      <w:r w:rsidRPr="00F862F5">
        <w:rPr>
          <w:rFonts w:ascii="Aptos" w:eastAsia="Aptos" w:hAnsi="Aptos" w:cs="Aptos"/>
          <w:color w:val="000000"/>
          <w:sz w:val="22"/>
          <w:szCs w:val="22"/>
        </w:rPr>
        <w:t>Employer Greenfield Agreements</w:t>
      </w:r>
    </w:p>
    <w:p w14:paraId="784C2F2B" w14:textId="77777777" w:rsidR="00AB0A8C" w:rsidRDefault="007639BC">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 xml:space="preserve">On application to the Fair Work Commission, the default period for Pre-reform Agreements can be extended, meaning that </w:t>
      </w:r>
      <w:hyperlink r:id="rId27">
        <w:r w:rsidR="00AB0A8C">
          <w:rPr>
            <w:rFonts w:ascii="Aptos" w:eastAsia="Aptos" w:hAnsi="Aptos" w:cs="Aptos"/>
            <w:color w:val="165788"/>
            <w:sz w:val="22"/>
            <w:szCs w:val="22"/>
            <w:u w:val="single"/>
          </w:rPr>
          <w:t>extended agreements</w:t>
        </w:r>
      </w:hyperlink>
      <w:r>
        <w:rPr>
          <w:rFonts w:ascii="Aptos" w:eastAsia="Aptos" w:hAnsi="Aptos" w:cs="Aptos"/>
          <w:color w:val="000000"/>
          <w:sz w:val="22"/>
          <w:szCs w:val="22"/>
        </w:rPr>
        <w:t xml:space="preserve"> did not sunset and continue to operate on and after 7 December 2023.</w:t>
      </w:r>
    </w:p>
    <w:p w14:paraId="04200213" w14:textId="42223543" w:rsidR="00A369D8" w:rsidRDefault="007639BC" w:rsidP="006B228E">
      <w:pPr>
        <w:pBdr>
          <w:top w:val="none" w:sz="0" w:space="0" w:color="000000"/>
          <w:left w:val="none" w:sz="0" w:space="0" w:color="000000"/>
          <w:bottom w:val="none" w:sz="0" w:space="0" w:color="000000"/>
          <w:right w:val="none" w:sz="0" w:space="0" w:color="000000"/>
        </w:pBdr>
        <w:spacing w:before="120" w:after="240"/>
      </w:pPr>
      <w:r>
        <w:rPr>
          <w:rFonts w:ascii="Aptos" w:eastAsia="Aptos" w:hAnsi="Aptos" w:cs="Aptos"/>
          <w:color w:val="000000"/>
          <w:sz w:val="22"/>
          <w:szCs w:val="22"/>
        </w:rPr>
        <w:t>These agreements appeared for the first time in the December 2023 Trends in Federal Enterprise Bargaining report. They are considered current and will affect historical data.</w:t>
      </w:r>
    </w:p>
    <w:sectPr w:rsidR="00A369D8">
      <w:footerReference w:type="even" r:id="rId28"/>
      <w:footerReference w:type="default" r:id="rId29"/>
      <w:type w:val="continuous"/>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512F" w14:textId="77777777" w:rsidR="0040401E" w:rsidRDefault="0040401E">
      <w:pPr>
        <w:spacing w:after="0"/>
      </w:pPr>
      <w:r>
        <w:separator/>
      </w:r>
    </w:p>
  </w:endnote>
  <w:endnote w:type="continuationSeparator" w:id="0">
    <w:p w14:paraId="58B98369" w14:textId="77777777" w:rsidR="0040401E" w:rsidRDefault="00404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433314"/>
      <w:docPartObj>
        <w:docPartGallery w:val="Page Numbers (Bottom of Page)"/>
        <w:docPartUnique/>
      </w:docPartObj>
    </w:sdtPr>
    <w:sdtEndPr/>
    <w:sdtContent>
      <w:p w14:paraId="724EAD82" w14:textId="77777777" w:rsidR="009642A7" w:rsidRPr="003F63AA" w:rsidRDefault="009642A7">
        <w:pPr>
          <w:pStyle w:val="Footer"/>
          <w:jc w:val="center"/>
        </w:pPr>
        <w:r w:rsidRPr="003F63AA">
          <w:fldChar w:fldCharType="begin"/>
        </w:r>
        <w:r w:rsidRPr="003F63AA">
          <w:instrText xml:space="preserve"> PAGE   \* MERGEFORMAT </w:instrText>
        </w:r>
        <w:r w:rsidRPr="003F63AA">
          <w:fldChar w:fldCharType="separate"/>
        </w:r>
        <w:r w:rsidRPr="003F63AA">
          <w:t>2</w:t>
        </w:r>
        <w:r w:rsidRPr="003F63AA">
          <w:fldChar w:fldCharType="end"/>
        </w:r>
      </w:p>
    </w:sdtContent>
  </w:sdt>
  <w:p w14:paraId="4F634F8F" w14:textId="77777777" w:rsidR="009642A7" w:rsidRPr="003F63AA" w:rsidRDefault="00964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282442"/>
      <w:docPartObj>
        <w:docPartGallery w:val="Page Numbers (Bottom of Page)"/>
        <w:docPartUnique/>
      </w:docPartObj>
    </w:sdtPr>
    <w:sdtEndPr>
      <w:rPr>
        <w:rStyle w:val="PageNumber"/>
      </w:rPr>
    </w:sdtEndPr>
    <w:sdtContent>
      <w:p w14:paraId="43259F41" w14:textId="77777777" w:rsidR="00953C36" w:rsidRDefault="007639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B4879" w14:textId="77777777" w:rsidR="00953C36" w:rsidRDefault="00953C36">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8616856"/>
      <w:docPartObj>
        <w:docPartGallery w:val="Page Numbers (Bottom of Page)"/>
        <w:docPartUnique/>
      </w:docPartObj>
    </w:sdtPr>
    <w:sdtEndPr>
      <w:rPr>
        <w:rStyle w:val="PageNumber"/>
      </w:rPr>
    </w:sdtEndPr>
    <w:sdtContent>
      <w:p w14:paraId="6ADEF031" w14:textId="77777777" w:rsidR="00953C36" w:rsidRDefault="007639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B16F35" w14:textId="77777777" w:rsidR="00953C36" w:rsidRDefault="00953C36">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CDD4" w14:textId="77777777" w:rsidR="0040401E" w:rsidRDefault="0040401E">
      <w:pPr>
        <w:spacing w:after="0"/>
      </w:pPr>
      <w:r>
        <w:separator/>
      </w:r>
    </w:p>
  </w:footnote>
  <w:footnote w:type="continuationSeparator" w:id="0">
    <w:p w14:paraId="0A3A2043" w14:textId="77777777" w:rsidR="0040401E" w:rsidRDefault="0040401E">
      <w:pPr>
        <w:spacing w:after="0"/>
      </w:pPr>
      <w:r>
        <w:continuationSeparator/>
      </w:r>
    </w:p>
  </w:footnote>
  <w:footnote w:id="1">
    <w:p w14:paraId="4EBEF9DF" w14:textId="3F662B88" w:rsidR="006B27F5" w:rsidRPr="006B27F5" w:rsidRDefault="006B27F5">
      <w:pPr>
        <w:pStyle w:val="FootnoteText"/>
        <w:rPr>
          <w:lang w:val="en-AU"/>
        </w:rPr>
      </w:pPr>
      <w:r w:rsidRPr="006B27F5">
        <w:rPr>
          <w:rStyle w:val="FootnoteReference"/>
        </w:rPr>
        <w:footnoteRef/>
      </w:r>
      <w:r w:rsidRPr="006B27F5">
        <w:t xml:space="preserve"> </w:t>
      </w:r>
      <w:r w:rsidRPr="006B27F5">
        <w:rPr>
          <w:rFonts w:ascii="Aptos" w:eastAsia="Aptos" w:hAnsi="Aptos" w:cs="Aptos"/>
          <w:sz w:val="20"/>
          <w:szCs w:val="20"/>
        </w:rPr>
        <w:t>See Note 1 at the end of this summary for more details.</w:t>
      </w:r>
    </w:p>
  </w:footnote>
  <w:footnote w:id="2">
    <w:p w14:paraId="059FC978" w14:textId="66376556" w:rsidR="006B27F5" w:rsidRPr="006B27F5" w:rsidRDefault="006B27F5">
      <w:pPr>
        <w:pStyle w:val="FootnoteText"/>
        <w:rPr>
          <w:lang w:val="en-AU"/>
        </w:rPr>
      </w:pPr>
      <w:r w:rsidRPr="006B27F5">
        <w:rPr>
          <w:rStyle w:val="FootnoteReference"/>
        </w:rPr>
        <w:footnoteRef/>
      </w:r>
      <w:r w:rsidRPr="006B27F5">
        <w:t xml:space="preserve"> </w:t>
      </w:r>
      <w:r w:rsidRPr="006B27F5">
        <w:rPr>
          <w:rFonts w:ascii="Aptos" w:eastAsia="Aptos" w:hAnsi="Aptos" w:cs="Aptos"/>
          <w:sz w:val="20"/>
          <w:szCs w:val="20"/>
        </w:rPr>
        <w:t>An agreement is considered quantifiable if it contains wage increases that are consistent for all employees and are known at the time the agreement was made. Common reasons an agreement may not be quantifiable include the following: periodic reviews of wages with no guarantee of an increase; inconsistent wage increases for different groups of employees; or linking the wage adjustments to other factors, such as movements in the Consumer Price Index or federal minimum wage. More information on non-quantifiable agreements can be found in Section 10 of this summary. See Note 2 (on non-quantifiable agreements) at the end of this summary for more details.</w:t>
      </w:r>
    </w:p>
  </w:footnote>
  <w:footnote w:id="3">
    <w:p w14:paraId="3B013FA0" w14:textId="257F4EE2" w:rsidR="006B27F5" w:rsidRPr="006B27F5" w:rsidRDefault="006B27F5">
      <w:pPr>
        <w:pStyle w:val="FootnoteText"/>
        <w:rPr>
          <w:lang w:val="en-AU"/>
        </w:rPr>
      </w:pPr>
      <w:r w:rsidRPr="006B27F5">
        <w:rPr>
          <w:rStyle w:val="FootnoteReference"/>
        </w:rPr>
        <w:footnoteRef/>
      </w:r>
      <w:r w:rsidRPr="006B27F5">
        <w:t xml:space="preserve"> </w:t>
      </w:r>
      <w:r w:rsidRPr="006B27F5">
        <w:rPr>
          <w:rFonts w:ascii="Aptos" w:eastAsia="Aptos" w:hAnsi="Aptos" w:cs="Aptos"/>
          <w:sz w:val="20"/>
          <w:szCs w:val="20"/>
        </w:rPr>
        <w:t xml:space="preserve">Australian Bureau of Statistics (ABC), </w:t>
      </w:r>
      <w:r w:rsidRPr="006B27F5">
        <w:rPr>
          <w:rFonts w:ascii="Aptos" w:eastAsia="Aptos" w:hAnsi="Aptos" w:cs="Aptos"/>
          <w:i/>
          <w:sz w:val="20"/>
          <w:szCs w:val="20"/>
        </w:rPr>
        <w:t>Employee Earnings and Hours</w:t>
      </w:r>
      <w:r w:rsidRPr="006B27F5">
        <w:rPr>
          <w:rFonts w:ascii="Aptos" w:eastAsia="Aptos" w:hAnsi="Aptos" w:cs="Aptos"/>
          <w:sz w:val="20"/>
          <w:szCs w:val="20"/>
        </w:rPr>
        <w:t>, Australia, May 2023. Detailed breakdowns by state- and federal-registered agreements for the May 2023 data are not available.</w:t>
      </w:r>
    </w:p>
  </w:footnote>
  <w:footnote w:id="4">
    <w:p w14:paraId="090BA219" w14:textId="28458205" w:rsidR="00AF72EF" w:rsidRPr="00AF72EF" w:rsidRDefault="00AF72EF">
      <w:pPr>
        <w:pStyle w:val="FootnoteText"/>
        <w:rPr>
          <w:rFonts w:ascii="Aptos" w:hAnsi="Aptos"/>
          <w:lang w:val="en-AU"/>
        </w:rPr>
      </w:pPr>
      <w:r w:rsidRPr="00AF72EF">
        <w:rPr>
          <w:rStyle w:val="FootnoteReference"/>
          <w:rFonts w:ascii="Aptos" w:hAnsi="Aptos"/>
        </w:rPr>
        <w:footnoteRef/>
      </w:r>
      <w:r w:rsidRPr="00AF72EF">
        <w:rPr>
          <w:rFonts w:ascii="Aptos" w:hAnsi="Aptos"/>
        </w:rPr>
        <w:t xml:space="preserve"> </w:t>
      </w:r>
      <w:r w:rsidRPr="00AF72EF">
        <w:rPr>
          <w:rFonts w:ascii="Aptos" w:eastAsia="Aptos" w:hAnsi="Aptos" w:cs="Aptos"/>
          <w:sz w:val="20"/>
          <w:szCs w:val="20"/>
        </w:rPr>
        <w:t>See Note 4 for more details.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73A1"/>
    <w:multiLevelType w:val="hybridMultilevel"/>
    <w:tmpl w:val="E2AEE45E"/>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1269C"/>
    <w:multiLevelType w:val="hybridMultilevel"/>
    <w:tmpl w:val="D5E66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706ED"/>
    <w:multiLevelType w:val="hybridMultilevel"/>
    <w:tmpl w:val="48EAAE64"/>
    <w:lvl w:ilvl="0" w:tplc="58E843C0">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E9271A"/>
    <w:multiLevelType w:val="hybridMultilevel"/>
    <w:tmpl w:val="36361D7E"/>
    <w:lvl w:ilvl="0" w:tplc="FFFFFFFF">
      <w:start w:val="1"/>
      <w:numFmt w:val="decimal"/>
      <w:lvlText w:val="%1."/>
      <w:lvlJc w:val="left"/>
      <w:pPr>
        <w:ind w:left="720" w:hanging="360"/>
      </w:pPr>
      <w:rPr>
        <w:rFonts w:ascii="Aptos" w:hAnsi="Aptos" w:hint="default"/>
        <w:sz w:val="22"/>
        <w:szCs w:val="22"/>
      </w:rPr>
    </w:lvl>
    <w:lvl w:ilvl="1" w:tplc="10DE7590">
      <w:start w:val="1"/>
      <w:numFmt w:val="bullet"/>
      <w:lvlText w:val=""/>
      <w:lvlJc w:val="left"/>
      <w:pPr>
        <w:ind w:left="1440" w:hanging="363"/>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57DA7"/>
    <w:multiLevelType w:val="hybridMultilevel"/>
    <w:tmpl w:val="C1EADDB2"/>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4B2D6B"/>
    <w:multiLevelType w:val="hybridMultilevel"/>
    <w:tmpl w:val="62F613CE"/>
    <w:lvl w:ilvl="0" w:tplc="58E843C0">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F5B19"/>
    <w:multiLevelType w:val="hybridMultilevel"/>
    <w:tmpl w:val="E07234B4"/>
    <w:lvl w:ilvl="0" w:tplc="41BC5D04">
      <w:start w:val="1"/>
      <w:numFmt w:val="decimal"/>
      <w:lvlText w:val="%1."/>
      <w:lvlJc w:val="left"/>
      <w:pPr>
        <w:ind w:left="720" w:hanging="360"/>
      </w:pPr>
      <w:rPr>
        <w:rFonts w:ascii="Aptos" w:eastAsia="Aptos" w:hAnsi="Aptos" w:cs="Aptos" w:hint="default"/>
        <w:i/>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B305A0"/>
    <w:multiLevelType w:val="hybridMultilevel"/>
    <w:tmpl w:val="B94C316E"/>
    <w:lvl w:ilvl="0" w:tplc="58E843C0">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1F7021"/>
    <w:multiLevelType w:val="hybridMultilevel"/>
    <w:tmpl w:val="B366E43C"/>
    <w:lvl w:ilvl="0" w:tplc="58E843C0">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FF16F6"/>
    <w:multiLevelType w:val="hybridMultilevel"/>
    <w:tmpl w:val="75407EB8"/>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9B7289"/>
    <w:multiLevelType w:val="hybridMultilevel"/>
    <w:tmpl w:val="6DFA8A54"/>
    <w:lvl w:ilvl="0" w:tplc="FFFFFFFF">
      <w:start w:val="1"/>
      <w:numFmt w:val="decimal"/>
      <w:lvlText w:val="%1."/>
      <w:lvlJc w:val="left"/>
      <w:pPr>
        <w:ind w:left="720" w:hanging="360"/>
      </w:pPr>
      <w:rPr>
        <w:rFonts w:ascii="Aptos" w:hAnsi="Aptos" w:hint="default"/>
        <w:sz w:val="22"/>
        <w:szCs w:val="22"/>
      </w:rPr>
    </w:lvl>
    <w:lvl w:ilvl="1" w:tplc="D8CEF60E">
      <w:start w:val="1"/>
      <w:numFmt w:val="bullet"/>
      <w:lvlText w:val=""/>
      <w:lvlJc w:val="left"/>
      <w:pPr>
        <w:ind w:left="703" w:hanging="346"/>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DD1F73"/>
    <w:multiLevelType w:val="hybridMultilevel"/>
    <w:tmpl w:val="7EA29430"/>
    <w:lvl w:ilvl="0" w:tplc="679C4D82">
      <w:start w:val="1"/>
      <w:numFmt w:val="decimal"/>
      <w:lvlText w:val="%1."/>
      <w:lvlJc w:val="left"/>
      <w:pPr>
        <w:ind w:left="720" w:hanging="360"/>
      </w:pPr>
      <w:rPr>
        <w:rFonts w:ascii="Aptos" w:eastAsia="Aptos" w:hAnsi="Aptos" w:cs="Aptos" w:hint="default"/>
        <w:i w:val="0"/>
        <w:i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83F610C"/>
    <w:multiLevelType w:val="hybridMultilevel"/>
    <w:tmpl w:val="ACB8A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0E52B0"/>
    <w:multiLevelType w:val="hybridMultilevel"/>
    <w:tmpl w:val="9AF2B1C6"/>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7A14DC"/>
    <w:multiLevelType w:val="hybridMultilevel"/>
    <w:tmpl w:val="3594EC5E"/>
    <w:lvl w:ilvl="0" w:tplc="58E843C0">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1C6792"/>
    <w:multiLevelType w:val="hybridMultilevel"/>
    <w:tmpl w:val="912CBD00"/>
    <w:lvl w:ilvl="0" w:tplc="407C240E">
      <w:start w:val="1"/>
      <w:numFmt w:val="decimal"/>
      <w:lvlText w:val="%1."/>
      <w:lvlJc w:val="left"/>
      <w:pPr>
        <w:ind w:left="720" w:hanging="360"/>
      </w:pPr>
      <w:rPr>
        <w:rFonts w:ascii="Aptos" w:eastAsia="Aptos" w:hAnsi="Aptos" w:cs="Aptos" w:hint="default"/>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486D7A"/>
    <w:multiLevelType w:val="hybridMultilevel"/>
    <w:tmpl w:val="24FC352E"/>
    <w:lvl w:ilvl="0" w:tplc="FFFFFFFF">
      <w:start w:val="1"/>
      <w:numFmt w:val="bullet"/>
      <w:lvlText w:val=""/>
      <w:lvlJc w:val="left"/>
      <w:pPr>
        <w:ind w:left="1083" w:hanging="363"/>
      </w:pPr>
      <w:rPr>
        <w:rFonts w:ascii="Symbol" w:hAnsi="Symbol" w:hint="default"/>
      </w:rPr>
    </w:lvl>
    <w:lvl w:ilvl="1" w:tplc="819242EA">
      <w:start w:val="1"/>
      <w:numFmt w:val="bullet"/>
      <w:lvlText w:val=""/>
      <w:lvlJc w:val="left"/>
      <w:pPr>
        <w:ind w:left="703" w:hanging="346"/>
      </w:pPr>
      <w:rPr>
        <w:rFonts w:ascii="Symbol" w:hAnsi="Symbol"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19" w15:restartNumberingAfterBreak="0">
    <w:nsid w:val="583412DB"/>
    <w:multiLevelType w:val="hybridMultilevel"/>
    <w:tmpl w:val="B62ADA50"/>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024DC0"/>
    <w:multiLevelType w:val="hybridMultilevel"/>
    <w:tmpl w:val="56185148"/>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066F5E"/>
    <w:multiLevelType w:val="hybridMultilevel"/>
    <w:tmpl w:val="F6B04F8A"/>
    <w:lvl w:ilvl="0" w:tplc="58E843C0">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8EF6CA0"/>
    <w:multiLevelType w:val="hybridMultilevel"/>
    <w:tmpl w:val="30C68238"/>
    <w:lvl w:ilvl="0" w:tplc="14EE5C08">
      <w:start w:val="1"/>
      <w:numFmt w:val="decimal"/>
      <w:lvlText w:val="%1."/>
      <w:lvlJc w:val="left"/>
      <w:pPr>
        <w:ind w:left="720" w:hanging="360"/>
      </w:pPr>
      <w:rPr>
        <w:rFonts w:ascii="Aptos" w:hAnsi="Aptos"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B8587B"/>
    <w:multiLevelType w:val="hybridMultilevel"/>
    <w:tmpl w:val="2FFC676E"/>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E024B2"/>
    <w:multiLevelType w:val="hybridMultilevel"/>
    <w:tmpl w:val="FAD20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44DD7"/>
    <w:multiLevelType w:val="hybridMultilevel"/>
    <w:tmpl w:val="AA62F7C6"/>
    <w:lvl w:ilvl="0" w:tplc="079AFA98">
      <w:start w:val="1"/>
      <w:numFmt w:val="decimal"/>
      <w:lvlText w:val="%1."/>
      <w:lvlJc w:val="left"/>
      <w:pPr>
        <w:ind w:left="720" w:hanging="360"/>
      </w:pPr>
      <w:rPr>
        <w:rFonts w:ascii="Aptos" w:hAnsi="Apto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191783"/>
    <w:multiLevelType w:val="multilevel"/>
    <w:tmpl w:val="4B88F8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7" w15:restartNumberingAfterBreak="0">
    <w:nsid w:val="790043B9"/>
    <w:multiLevelType w:val="hybridMultilevel"/>
    <w:tmpl w:val="43266BBC"/>
    <w:lvl w:ilvl="0" w:tplc="8C3C731A">
      <w:start w:val="1"/>
      <w:numFmt w:val="decimal"/>
      <w:lvlText w:val="%1."/>
      <w:lvlJc w:val="left"/>
      <w:pPr>
        <w:ind w:left="720" w:hanging="360"/>
      </w:pPr>
      <w:rPr>
        <w:rFonts w:ascii="Aptos" w:eastAsia="Aptos" w:hAnsi="Aptos" w:cs="Aptos" w:hint="default"/>
        <w:i/>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935456"/>
    <w:multiLevelType w:val="hybridMultilevel"/>
    <w:tmpl w:val="F244DBCA"/>
    <w:lvl w:ilvl="0" w:tplc="8C3C731A">
      <w:start w:val="1"/>
      <w:numFmt w:val="decimal"/>
      <w:lvlText w:val="%1."/>
      <w:lvlJc w:val="left"/>
      <w:pPr>
        <w:ind w:left="720" w:hanging="360"/>
      </w:pPr>
      <w:rPr>
        <w:rFonts w:ascii="Aptos" w:eastAsia="Aptos" w:hAnsi="Aptos" w:cs="Aptos" w:hint="default"/>
        <w: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5D78D6"/>
    <w:multiLevelType w:val="hybridMultilevel"/>
    <w:tmpl w:val="3FB09990"/>
    <w:lvl w:ilvl="0" w:tplc="FFFFFFFF">
      <w:start w:val="1"/>
      <w:numFmt w:val="decimal"/>
      <w:lvlText w:val="%1."/>
      <w:lvlJc w:val="left"/>
      <w:pPr>
        <w:ind w:left="720" w:hanging="360"/>
      </w:pPr>
      <w:rPr>
        <w:rFonts w:ascii="Aptos" w:hAnsi="Aptos" w:hint="default"/>
        <w:sz w:val="22"/>
        <w:szCs w:val="22"/>
      </w:rPr>
    </w:lvl>
    <w:lvl w:ilvl="1" w:tplc="4D005AB0">
      <w:start w:val="1"/>
      <w:numFmt w:val="bullet"/>
      <w:lvlText w:val=""/>
      <w:lvlJc w:val="left"/>
      <w:pPr>
        <w:ind w:left="1440" w:hanging="363"/>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9315709">
    <w:abstractNumId w:val="26"/>
  </w:num>
  <w:num w:numId="2" w16cid:durableId="1375154319">
    <w:abstractNumId w:val="7"/>
  </w:num>
  <w:num w:numId="3" w16cid:durableId="489449184">
    <w:abstractNumId w:val="8"/>
  </w:num>
  <w:num w:numId="4" w16cid:durableId="383870345">
    <w:abstractNumId w:val="24"/>
  </w:num>
  <w:num w:numId="5" w16cid:durableId="1504197895">
    <w:abstractNumId w:val="1"/>
  </w:num>
  <w:num w:numId="6" w16cid:durableId="1725832772">
    <w:abstractNumId w:val="14"/>
  </w:num>
  <w:num w:numId="7" w16cid:durableId="1675835501">
    <w:abstractNumId w:val="25"/>
  </w:num>
  <w:num w:numId="8" w16cid:durableId="1434476742">
    <w:abstractNumId w:val="22"/>
  </w:num>
  <w:num w:numId="9" w16cid:durableId="1998992004">
    <w:abstractNumId w:val="29"/>
  </w:num>
  <w:num w:numId="10" w16cid:durableId="1412198287">
    <w:abstractNumId w:val="3"/>
  </w:num>
  <w:num w:numId="11" w16cid:durableId="355271021">
    <w:abstractNumId w:val="6"/>
  </w:num>
  <w:num w:numId="12" w16cid:durableId="951592330">
    <w:abstractNumId w:val="27"/>
  </w:num>
  <w:num w:numId="13" w16cid:durableId="437334272">
    <w:abstractNumId w:val="28"/>
  </w:num>
  <w:num w:numId="14" w16cid:durableId="135533535">
    <w:abstractNumId w:val="23"/>
  </w:num>
  <w:num w:numId="15" w16cid:durableId="142506745">
    <w:abstractNumId w:val="0"/>
  </w:num>
  <w:num w:numId="16" w16cid:durableId="973603998">
    <w:abstractNumId w:val="19"/>
  </w:num>
  <w:num w:numId="17" w16cid:durableId="47073670">
    <w:abstractNumId w:val="4"/>
  </w:num>
  <w:num w:numId="18" w16cid:durableId="1409958851">
    <w:abstractNumId w:val="15"/>
  </w:num>
  <w:num w:numId="19" w16cid:durableId="620915573">
    <w:abstractNumId w:val="11"/>
  </w:num>
  <w:num w:numId="20" w16cid:durableId="1970626036">
    <w:abstractNumId w:val="20"/>
  </w:num>
  <w:num w:numId="21" w16cid:durableId="1907449546">
    <w:abstractNumId w:val="5"/>
  </w:num>
  <w:num w:numId="22" w16cid:durableId="1545288676">
    <w:abstractNumId w:val="10"/>
  </w:num>
  <w:num w:numId="23" w16cid:durableId="207938">
    <w:abstractNumId w:val="2"/>
  </w:num>
  <w:num w:numId="24" w16cid:durableId="1552645322">
    <w:abstractNumId w:val="16"/>
  </w:num>
  <w:num w:numId="25" w16cid:durableId="2049141389">
    <w:abstractNumId w:val="21"/>
  </w:num>
  <w:num w:numId="26" w16cid:durableId="1261915369">
    <w:abstractNumId w:val="9"/>
  </w:num>
  <w:num w:numId="27" w16cid:durableId="198857291">
    <w:abstractNumId w:val="17"/>
  </w:num>
  <w:num w:numId="28" w16cid:durableId="1618297821">
    <w:abstractNumId w:val="13"/>
  </w:num>
  <w:num w:numId="29" w16cid:durableId="899754608">
    <w:abstractNumId w:val="12"/>
  </w:num>
  <w:num w:numId="30" w16cid:durableId="1091126556">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A8C"/>
    <w:rsid w:val="00016FDA"/>
    <w:rsid w:val="00037A99"/>
    <w:rsid w:val="00046514"/>
    <w:rsid w:val="00062217"/>
    <w:rsid w:val="0007547C"/>
    <w:rsid w:val="000910AD"/>
    <w:rsid w:val="000941D1"/>
    <w:rsid w:val="00096335"/>
    <w:rsid w:val="000D52F0"/>
    <w:rsid w:val="000E0BB1"/>
    <w:rsid w:val="0010423D"/>
    <w:rsid w:val="00104D29"/>
    <w:rsid w:val="00111A64"/>
    <w:rsid w:val="001153C1"/>
    <w:rsid w:val="00151C69"/>
    <w:rsid w:val="001E70EE"/>
    <w:rsid w:val="00215ADE"/>
    <w:rsid w:val="00215BD3"/>
    <w:rsid w:val="0022428A"/>
    <w:rsid w:val="00252F78"/>
    <w:rsid w:val="00263264"/>
    <w:rsid w:val="00264CB6"/>
    <w:rsid w:val="00283509"/>
    <w:rsid w:val="00291AFD"/>
    <w:rsid w:val="002939E4"/>
    <w:rsid w:val="00297A6E"/>
    <w:rsid w:val="002A20F0"/>
    <w:rsid w:val="002A4205"/>
    <w:rsid w:val="00302594"/>
    <w:rsid w:val="00344E50"/>
    <w:rsid w:val="003541D4"/>
    <w:rsid w:val="00355E4F"/>
    <w:rsid w:val="00376C4E"/>
    <w:rsid w:val="003B0830"/>
    <w:rsid w:val="003F26CA"/>
    <w:rsid w:val="003F3FCC"/>
    <w:rsid w:val="0040401E"/>
    <w:rsid w:val="00446502"/>
    <w:rsid w:val="00451D21"/>
    <w:rsid w:val="00454FEC"/>
    <w:rsid w:val="004621E8"/>
    <w:rsid w:val="00463849"/>
    <w:rsid w:val="00464A4D"/>
    <w:rsid w:val="00493F82"/>
    <w:rsid w:val="004A3185"/>
    <w:rsid w:val="004C38B1"/>
    <w:rsid w:val="004C6226"/>
    <w:rsid w:val="004D1466"/>
    <w:rsid w:val="004D22CE"/>
    <w:rsid w:val="004D547D"/>
    <w:rsid w:val="004E0E2E"/>
    <w:rsid w:val="004F39DF"/>
    <w:rsid w:val="00501353"/>
    <w:rsid w:val="00524E17"/>
    <w:rsid w:val="00543DFB"/>
    <w:rsid w:val="0056710D"/>
    <w:rsid w:val="00574398"/>
    <w:rsid w:val="005A6DB9"/>
    <w:rsid w:val="005A7A32"/>
    <w:rsid w:val="005D47B7"/>
    <w:rsid w:val="005F026D"/>
    <w:rsid w:val="005F0EDB"/>
    <w:rsid w:val="00606B58"/>
    <w:rsid w:val="006202FF"/>
    <w:rsid w:val="00620E98"/>
    <w:rsid w:val="00631B2C"/>
    <w:rsid w:val="00633CE2"/>
    <w:rsid w:val="00647206"/>
    <w:rsid w:val="00653EA0"/>
    <w:rsid w:val="006735C9"/>
    <w:rsid w:val="006962BE"/>
    <w:rsid w:val="006A5E57"/>
    <w:rsid w:val="006B228E"/>
    <w:rsid w:val="006B27F5"/>
    <w:rsid w:val="006B5AF0"/>
    <w:rsid w:val="006D039C"/>
    <w:rsid w:val="006E1E33"/>
    <w:rsid w:val="006E31CF"/>
    <w:rsid w:val="007029FD"/>
    <w:rsid w:val="0072368D"/>
    <w:rsid w:val="00727EBC"/>
    <w:rsid w:val="007551FF"/>
    <w:rsid w:val="007639BC"/>
    <w:rsid w:val="00784C21"/>
    <w:rsid w:val="0078727A"/>
    <w:rsid w:val="00793CE6"/>
    <w:rsid w:val="00795E9E"/>
    <w:rsid w:val="007B5D16"/>
    <w:rsid w:val="007C243C"/>
    <w:rsid w:val="008331D1"/>
    <w:rsid w:val="00833FAD"/>
    <w:rsid w:val="008577CB"/>
    <w:rsid w:val="008675C0"/>
    <w:rsid w:val="008946EA"/>
    <w:rsid w:val="008B563A"/>
    <w:rsid w:val="008B7E79"/>
    <w:rsid w:val="008D3891"/>
    <w:rsid w:val="008F3C07"/>
    <w:rsid w:val="0090088A"/>
    <w:rsid w:val="00953C36"/>
    <w:rsid w:val="009608D9"/>
    <w:rsid w:val="009642A7"/>
    <w:rsid w:val="009642DB"/>
    <w:rsid w:val="0097543E"/>
    <w:rsid w:val="009771DA"/>
    <w:rsid w:val="00982E59"/>
    <w:rsid w:val="00996C7F"/>
    <w:rsid w:val="009A0B17"/>
    <w:rsid w:val="009B4D5D"/>
    <w:rsid w:val="00A364F4"/>
    <w:rsid w:val="00A369D8"/>
    <w:rsid w:val="00A5514E"/>
    <w:rsid w:val="00A73A7C"/>
    <w:rsid w:val="00A77CBA"/>
    <w:rsid w:val="00A82605"/>
    <w:rsid w:val="00A82A20"/>
    <w:rsid w:val="00A82FB9"/>
    <w:rsid w:val="00A925B3"/>
    <w:rsid w:val="00A976C0"/>
    <w:rsid w:val="00AA6902"/>
    <w:rsid w:val="00AB0A8C"/>
    <w:rsid w:val="00AD43F9"/>
    <w:rsid w:val="00AD7FA3"/>
    <w:rsid w:val="00AE47E5"/>
    <w:rsid w:val="00AF03E2"/>
    <w:rsid w:val="00AF72EF"/>
    <w:rsid w:val="00B2559A"/>
    <w:rsid w:val="00B41000"/>
    <w:rsid w:val="00B558A3"/>
    <w:rsid w:val="00BA10BC"/>
    <w:rsid w:val="00BC0EA3"/>
    <w:rsid w:val="00BD6A47"/>
    <w:rsid w:val="00BD6BAC"/>
    <w:rsid w:val="00BE6414"/>
    <w:rsid w:val="00C41F61"/>
    <w:rsid w:val="00C61F13"/>
    <w:rsid w:val="00C71189"/>
    <w:rsid w:val="00C96EAD"/>
    <w:rsid w:val="00CB3CC0"/>
    <w:rsid w:val="00CC0E20"/>
    <w:rsid w:val="00CD59B4"/>
    <w:rsid w:val="00CE7A50"/>
    <w:rsid w:val="00CF1513"/>
    <w:rsid w:val="00D0600D"/>
    <w:rsid w:val="00D5587C"/>
    <w:rsid w:val="00D640F3"/>
    <w:rsid w:val="00D80E64"/>
    <w:rsid w:val="00DD1B10"/>
    <w:rsid w:val="00DE48ED"/>
    <w:rsid w:val="00E1589D"/>
    <w:rsid w:val="00E31969"/>
    <w:rsid w:val="00E31FA9"/>
    <w:rsid w:val="00E33B91"/>
    <w:rsid w:val="00E34450"/>
    <w:rsid w:val="00E363CD"/>
    <w:rsid w:val="00E518A2"/>
    <w:rsid w:val="00E62986"/>
    <w:rsid w:val="00E6339D"/>
    <w:rsid w:val="00EB16A2"/>
    <w:rsid w:val="00ED3288"/>
    <w:rsid w:val="00EE258E"/>
    <w:rsid w:val="00EE7591"/>
    <w:rsid w:val="00EF7FDD"/>
    <w:rsid w:val="00F42540"/>
    <w:rsid w:val="00F5154C"/>
    <w:rsid w:val="00F81A09"/>
    <w:rsid w:val="00F862F5"/>
    <w:rsid w:val="00F90F15"/>
    <w:rsid w:val="00FC0D82"/>
    <w:rsid w:val="00FC35AC"/>
    <w:rsid w:val="00FF2A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6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9137D8"/>
    <w:pPr>
      <w:keepNext/>
      <w:keepLines/>
      <w:numPr>
        <w:numId w:val="1"/>
      </w:numPr>
      <w:spacing w:before="480" w:after="0"/>
      <w:outlineLvl w:val="0"/>
    </w:pPr>
    <w:rPr>
      <w:rFonts w:asciiTheme="majorHAnsi" w:eastAsiaTheme="majorEastAsia" w:hAnsiTheme="majorHAnsi" w:cstheme="majorBidi"/>
      <w:b/>
      <w:bCs/>
      <w:color w:val="000000" w:themeColor="text1"/>
      <w:sz w:val="32"/>
      <w:szCs w:val="32"/>
    </w:rPr>
  </w:style>
  <w:style w:type="paragraph" w:styleId="Heading2">
    <w:name w:val="heading 2"/>
    <w:basedOn w:val="Normal"/>
    <w:next w:val="BodyText"/>
    <w:uiPriority w:val="9"/>
    <w:unhideWhenUsed/>
    <w:qFormat/>
    <w:rsid w:val="009137D8"/>
    <w:pPr>
      <w:keepNext/>
      <w:keepLines/>
      <w:numPr>
        <w:ilvl w:val="1"/>
        <w:numId w:val="1"/>
      </w:numPr>
      <w:spacing w:before="200" w:after="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BodyText"/>
    <w:uiPriority w:val="9"/>
    <w:unhideWhenUsed/>
    <w:qFormat/>
    <w:rsid w:val="009137D8"/>
    <w:pPr>
      <w:keepNext/>
      <w:keepLines/>
      <w:numPr>
        <w:ilvl w:val="2"/>
        <w:numId w:val="1"/>
      </w:numPr>
      <w:spacing w:before="200" w:after="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BodyText"/>
    <w:uiPriority w:val="9"/>
    <w:unhideWhenUsed/>
    <w:qFormat/>
    <w:rsid w:val="009137D8"/>
    <w:pPr>
      <w:keepNext/>
      <w:keepLines/>
      <w:numPr>
        <w:ilvl w:val="3"/>
        <w:numId w:val="1"/>
      </w:numPr>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Normal"/>
    <w:next w:val="BodyText"/>
    <w:uiPriority w:val="9"/>
    <w:unhideWhenUsed/>
    <w:qFormat/>
    <w:rsid w:val="009137D8"/>
    <w:pPr>
      <w:keepNext/>
      <w:keepLines/>
      <w:numPr>
        <w:ilvl w:val="4"/>
        <w:numId w:val="1"/>
      </w:numPr>
      <w:spacing w:before="200" w:after="0"/>
      <w:outlineLvl w:val="4"/>
    </w:pPr>
    <w:rPr>
      <w:rFonts w:asciiTheme="majorHAnsi" w:eastAsiaTheme="majorEastAsia" w:hAnsiTheme="majorHAnsi" w:cstheme="majorBidi"/>
      <w:i/>
      <w:iCs/>
      <w:color w:val="000000" w:themeColor="text1"/>
    </w:rPr>
  </w:style>
  <w:style w:type="paragraph" w:styleId="Heading6">
    <w:name w:val="heading 6"/>
    <w:basedOn w:val="Normal"/>
    <w:next w:val="BodyText"/>
    <w:uiPriority w:val="9"/>
    <w:unhideWhenUsed/>
    <w:qFormat/>
    <w:rsid w:val="009137D8"/>
    <w:pPr>
      <w:keepNext/>
      <w:keepLines/>
      <w:numPr>
        <w:ilvl w:val="5"/>
        <w:numId w:val="1"/>
      </w:numPr>
      <w:spacing w:before="200" w:after="0"/>
      <w:outlineLvl w:val="5"/>
    </w:pPr>
    <w:rPr>
      <w:rFonts w:asciiTheme="majorHAnsi" w:eastAsiaTheme="majorEastAsia" w:hAnsiTheme="majorHAnsi" w:cstheme="majorBidi"/>
      <w:color w:val="000000" w:themeColor="text1"/>
    </w:rPr>
  </w:style>
  <w:style w:type="paragraph" w:styleId="Heading7">
    <w:name w:val="heading 7"/>
    <w:basedOn w:val="Normal"/>
    <w:next w:val="BodyText"/>
    <w:uiPriority w:val="9"/>
    <w:unhideWhenUsed/>
    <w:qFormat/>
    <w:rsid w:val="009137D8"/>
    <w:pPr>
      <w:keepNext/>
      <w:keepLines/>
      <w:numPr>
        <w:ilvl w:val="6"/>
        <w:numId w:val="1"/>
      </w:numPr>
      <w:spacing w:before="200" w:after="0"/>
      <w:outlineLvl w:val="6"/>
    </w:pPr>
    <w:rPr>
      <w:rFonts w:asciiTheme="majorHAnsi" w:eastAsiaTheme="majorEastAsia" w:hAnsiTheme="majorHAnsi" w:cstheme="majorBidi"/>
      <w:color w:val="000000" w:themeColor="text1"/>
    </w:rPr>
  </w:style>
  <w:style w:type="paragraph" w:styleId="Heading8">
    <w:name w:val="heading 8"/>
    <w:basedOn w:val="Normal"/>
    <w:next w:val="BodyText"/>
    <w:uiPriority w:val="9"/>
    <w:unhideWhenUsed/>
    <w:qFormat/>
    <w:rsid w:val="009137D8"/>
    <w:pPr>
      <w:keepNext/>
      <w:keepLines/>
      <w:numPr>
        <w:ilvl w:val="7"/>
        <w:numId w:val="1"/>
      </w:numPr>
      <w:spacing w:before="200" w:after="0"/>
      <w:outlineLvl w:val="7"/>
    </w:pPr>
    <w:rPr>
      <w:rFonts w:asciiTheme="majorHAnsi" w:eastAsiaTheme="majorEastAsia" w:hAnsiTheme="majorHAnsi" w:cstheme="majorBidi"/>
      <w:color w:val="000000" w:themeColor="text1"/>
    </w:rPr>
  </w:style>
  <w:style w:type="paragraph" w:styleId="Heading9">
    <w:name w:val="heading 9"/>
    <w:basedOn w:val="Normal"/>
    <w:next w:val="BodyText"/>
    <w:uiPriority w:val="9"/>
    <w:unhideWhenUsed/>
    <w:qFormat/>
    <w:rsid w:val="009137D8"/>
    <w:pPr>
      <w:keepNext/>
      <w:keepLines/>
      <w:numPr>
        <w:ilvl w:val="8"/>
        <w:numId w:val="1"/>
      </w:numPr>
      <w:spacing w:before="200" w:after="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9137D8"/>
    <w:pPr>
      <w:keepNext/>
      <w:keepLines/>
      <w:pBdr>
        <w:bottom w:val="single" w:sz="4" w:space="1" w:color="auto"/>
      </w:pBdr>
      <w:spacing w:before="480" w:after="240"/>
      <w:jc w:val="center"/>
    </w:pPr>
    <w:rPr>
      <w:rFonts w:asciiTheme="majorHAnsi" w:eastAsiaTheme="majorEastAsia" w:hAnsiTheme="majorHAnsi" w:cstheme="majorBidi"/>
      <w:b/>
      <w:bCs/>
      <w:color w:val="000000" w:themeColor="text1"/>
      <w:sz w:val="36"/>
      <w:szCs w:val="36"/>
    </w:rPr>
  </w:style>
  <w:style w:type="paragraph" w:styleId="Subtitle">
    <w:name w:val="Subtitle"/>
    <w:basedOn w:val="Title"/>
    <w:next w:val="BodyText"/>
    <w:qFormat/>
    <w:rsid w:val="009137D8"/>
    <w:pPr>
      <w:pBdr>
        <w:bottom w:val="none" w:sz="0" w:space="0" w:color="auto"/>
      </w:pBd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rsid w:val="00A33FE1"/>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A33FE1"/>
    <w:pPr>
      <w:jc w:val="center"/>
    </w:pPr>
  </w:style>
  <w:style w:type="paragraph" w:customStyle="1" w:styleId="ImageCaption">
    <w:name w:val="Image Caption"/>
    <w:basedOn w:val="Caption"/>
    <w:rsid w:val="00A33FE1"/>
    <w:pPr>
      <w:widowControl w:val="0"/>
      <w:jc w:val="center"/>
    </w:pPr>
  </w:style>
  <w:style w:type="paragraph" w:customStyle="1" w:styleId="Figure">
    <w:name w:val="Figure"/>
    <w:basedOn w:val="Normal"/>
    <w:rsid w:val="009B2D46"/>
    <w:pPr>
      <w:keepNext/>
      <w:keepLines/>
      <w:spacing w:before="60"/>
      <w:jc w:val="center"/>
    </w:pPr>
  </w:style>
  <w:style w:type="paragraph" w:customStyle="1" w:styleId="CaptionedFigure">
    <w:name w:val="Captioned Figure"/>
    <w:basedOn w:val="Figure"/>
    <w:rsid w:val="00A33FE1"/>
    <w:pPr>
      <w:keepNext w:val="0"/>
      <w:keepLines w:val="0"/>
      <w:widowControl w:val="0"/>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9137D8"/>
    <w:rPr>
      <w:rFonts w:ascii="Consolas" w:hAnsi="Consolas"/>
      <w:color w:val="C00000"/>
      <w:sz w:val="22"/>
      <w:u w:val="none"/>
      <w:bdr w:val="none" w:sz="0" w:space="0" w:color="auto"/>
      <w:shd w:val="clear" w:color="auto" w:fill="F2F2F2" w:themeFill="background1" w:themeFillShade="F2"/>
    </w:rPr>
  </w:style>
  <w:style w:type="character" w:styleId="FootnoteReference">
    <w:name w:val="footnote reference"/>
    <w:basedOn w:val="CaptionChar"/>
    <w:rPr>
      <w:vertAlign w:val="superscript"/>
    </w:rPr>
  </w:style>
  <w:style w:type="character" w:styleId="Hyperlink">
    <w:name w:val="Hyperlink"/>
    <w:basedOn w:val="CaptionChar"/>
    <w:rsid w:val="009137D8"/>
    <w:rPr>
      <w:color w:val="C00000"/>
    </w:rPr>
  </w:style>
  <w:style w:type="paragraph" w:styleId="TOCHeading">
    <w:name w:val="TOC Heading"/>
    <w:basedOn w:val="Heading1"/>
    <w:next w:val="BodyText"/>
    <w:uiPriority w:val="39"/>
    <w:unhideWhenUsed/>
    <w:qFormat/>
    <w:rsid w:val="009137D8"/>
    <w:pPr>
      <w:numPr>
        <w:numId w:val="0"/>
      </w:numPr>
      <w:spacing w:before="240" w:line="259" w:lineRule="auto"/>
      <w:jc w:val="center"/>
      <w:outlineLvl w:val="9"/>
    </w:pPr>
    <w:rPr>
      <w:b w:val="0"/>
      <w:bCs w:val="0"/>
    </w:rPr>
  </w:style>
  <w:style w:type="character" w:customStyle="1" w:styleId="BodyTextChar">
    <w:name w:val="Body Text Char"/>
    <w:basedOn w:val="DefaultParagraphFont"/>
    <w:link w:val="BodyText"/>
    <w:rsid w:val="009137D8"/>
  </w:style>
  <w:style w:type="paragraph" w:styleId="ListParagraph">
    <w:name w:val="List Paragraph"/>
    <w:basedOn w:val="Normal"/>
    <w:rsid w:val="005E0C3D"/>
    <w:pPr>
      <w:ind w:left="720"/>
      <w:contextualSpacing/>
    </w:pPr>
  </w:style>
  <w:style w:type="numbering" w:customStyle="1" w:styleId="Defaultul">
    <w:name w:val="Default ul"/>
    <w:basedOn w:val="NoList"/>
    <w:uiPriority w:val="99"/>
    <w:rsid w:val="005E0C3D"/>
    <w:pPr>
      <w:numPr>
        <w:numId w:val="2"/>
      </w:numPr>
    </w:pPr>
  </w:style>
  <w:style w:type="numbering" w:customStyle="1" w:styleId="Defaultol">
    <w:name w:val="Default ol"/>
    <w:basedOn w:val="NoList"/>
    <w:uiPriority w:val="99"/>
    <w:rsid w:val="005E0C3D"/>
    <w:pPr>
      <w:numPr>
        <w:numId w:val="3"/>
      </w:numPr>
    </w:pPr>
  </w:style>
  <w:style w:type="paragraph" w:styleId="Footer">
    <w:name w:val="footer"/>
    <w:basedOn w:val="Normal"/>
    <w:link w:val="FooterChar"/>
    <w:unhideWhenUsed/>
    <w:rsid w:val="00676DF8"/>
    <w:pPr>
      <w:tabs>
        <w:tab w:val="center" w:pos="4536"/>
        <w:tab w:val="right" w:pos="9072"/>
      </w:tabs>
      <w:spacing w:after="0"/>
    </w:pPr>
  </w:style>
  <w:style w:type="character" w:customStyle="1" w:styleId="FooterChar">
    <w:name w:val="Footer Char"/>
    <w:basedOn w:val="DefaultParagraphFont"/>
    <w:link w:val="Footer"/>
    <w:rsid w:val="00676DF8"/>
  </w:style>
  <w:style w:type="character" w:styleId="PageNumber">
    <w:name w:val="page number"/>
    <w:basedOn w:val="DefaultParagraphFont"/>
    <w:semiHidden/>
    <w:unhideWhenUsed/>
    <w:rsid w:val="00676DF8"/>
  </w:style>
  <w:style w:type="paragraph" w:styleId="Header">
    <w:name w:val="header"/>
    <w:basedOn w:val="Normal"/>
    <w:link w:val="HeaderChar"/>
    <w:unhideWhenUsed/>
    <w:rsid w:val="003F65B2"/>
    <w:pPr>
      <w:tabs>
        <w:tab w:val="center" w:pos="4536"/>
        <w:tab w:val="right" w:pos="9072"/>
      </w:tabs>
      <w:spacing w:after="0"/>
    </w:pPr>
  </w:style>
  <w:style w:type="character" w:customStyle="1" w:styleId="HeaderChar">
    <w:name w:val="Header Char"/>
    <w:basedOn w:val="DefaultParagraphFont"/>
    <w:link w:val="Header"/>
    <w:rsid w:val="003F65B2"/>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u w:val="none"/>
      <w:bdr w:val="none" w:sz="0" w:space="0" w:color="auto"/>
      <w:shd w:val="clear" w:color="auto" w:fill="F8F8F8"/>
    </w:rPr>
  </w:style>
  <w:style w:type="character" w:customStyle="1" w:styleId="DataTypeTok">
    <w:name w:val="DataTypeTok"/>
    <w:basedOn w:val="VerbatimChar"/>
    <w:rPr>
      <w:rFonts w:ascii="Consolas" w:hAnsi="Consolas"/>
      <w:color w:val="204A87"/>
      <w:sz w:val="22"/>
      <w:u w:val="none"/>
      <w:bdr w:val="none" w:sz="0" w:space="0" w:color="auto"/>
      <w:shd w:val="clear" w:color="auto" w:fill="F8F8F8"/>
    </w:rPr>
  </w:style>
  <w:style w:type="character" w:customStyle="1" w:styleId="DecValTok">
    <w:name w:val="DecValTok"/>
    <w:basedOn w:val="VerbatimChar"/>
    <w:rPr>
      <w:rFonts w:ascii="Consolas" w:hAnsi="Consolas"/>
      <w:color w:val="0000CF"/>
      <w:sz w:val="22"/>
      <w:u w:val="none"/>
      <w:bdr w:val="none" w:sz="0" w:space="0" w:color="auto"/>
      <w:shd w:val="clear" w:color="auto" w:fill="F8F8F8"/>
    </w:rPr>
  </w:style>
  <w:style w:type="character" w:customStyle="1" w:styleId="BaseNTok">
    <w:name w:val="BaseNTok"/>
    <w:basedOn w:val="VerbatimChar"/>
    <w:rPr>
      <w:rFonts w:ascii="Consolas" w:hAnsi="Consolas"/>
      <w:color w:val="0000CF"/>
      <w:sz w:val="22"/>
      <w:u w:val="none"/>
      <w:bdr w:val="none" w:sz="0" w:space="0" w:color="auto"/>
      <w:shd w:val="clear" w:color="auto" w:fill="F8F8F8"/>
    </w:rPr>
  </w:style>
  <w:style w:type="character" w:customStyle="1" w:styleId="FloatTok">
    <w:name w:val="FloatTok"/>
    <w:basedOn w:val="VerbatimChar"/>
    <w:rPr>
      <w:rFonts w:ascii="Consolas" w:hAnsi="Consolas"/>
      <w:color w:val="0000CF"/>
      <w:sz w:val="22"/>
      <w:u w:val="none"/>
      <w:bdr w:val="none" w:sz="0" w:space="0" w:color="auto"/>
      <w:shd w:val="clear" w:color="auto" w:fill="F8F8F8"/>
    </w:rPr>
  </w:style>
  <w:style w:type="character" w:customStyle="1" w:styleId="ConstantTok">
    <w:name w:val="ConstantTok"/>
    <w:basedOn w:val="VerbatimChar"/>
    <w:rPr>
      <w:rFonts w:ascii="Consolas" w:hAnsi="Consolas"/>
      <w:color w:val="8F5902"/>
      <w:sz w:val="22"/>
      <w:u w:val="none"/>
      <w:bdr w:val="none" w:sz="0" w:space="0" w:color="auto"/>
      <w:shd w:val="clear" w:color="auto" w:fill="F8F8F8"/>
    </w:rPr>
  </w:style>
  <w:style w:type="character" w:customStyle="1" w:styleId="CharTok">
    <w:name w:val="CharTok"/>
    <w:basedOn w:val="VerbatimChar"/>
    <w:rPr>
      <w:rFonts w:ascii="Consolas" w:hAnsi="Consolas"/>
      <w:color w:val="4E9A06"/>
      <w:sz w:val="22"/>
      <w:u w:val="none"/>
      <w:bdr w:val="none" w:sz="0" w:space="0" w:color="auto"/>
      <w:shd w:val="clear" w:color="auto" w:fill="F8F8F8"/>
    </w:rPr>
  </w:style>
  <w:style w:type="character" w:customStyle="1" w:styleId="SpecialCharTok">
    <w:name w:val="SpecialCharTok"/>
    <w:basedOn w:val="VerbatimChar"/>
    <w:rPr>
      <w:rFonts w:ascii="Consolas" w:hAnsi="Consolas"/>
      <w:b/>
      <w:color w:val="CE5C00"/>
      <w:sz w:val="22"/>
      <w:u w:val="none"/>
      <w:bdr w:val="none" w:sz="0" w:space="0" w:color="auto"/>
      <w:shd w:val="clear" w:color="auto" w:fill="F8F8F8"/>
    </w:rPr>
  </w:style>
  <w:style w:type="character" w:customStyle="1" w:styleId="StringTok">
    <w:name w:val="StringTok"/>
    <w:basedOn w:val="VerbatimChar"/>
    <w:rPr>
      <w:rFonts w:ascii="Consolas" w:hAnsi="Consolas"/>
      <w:color w:val="4E9A06"/>
      <w:sz w:val="22"/>
      <w:u w:val="none"/>
      <w:bdr w:val="none" w:sz="0" w:space="0" w:color="auto"/>
      <w:shd w:val="clear" w:color="auto" w:fill="F8F8F8"/>
    </w:rPr>
  </w:style>
  <w:style w:type="character" w:customStyle="1" w:styleId="VerbatimStringTok">
    <w:name w:val="VerbatimStringTok"/>
    <w:basedOn w:val="VerbatimChar"/>
    <w:rPr>
      <w:rFonts w:ascii="Consolas" w:hAnsi="Consolas"/>
      <w:color w:val="4E9A06"/>
      <w:sz w:val="22"/>
      <w:u w:val="none"/>
      <w:bdr w:val="none" w:sz="0" w:space="0" w:color="auto"/>
      <w:shd w:val="clear" w:color="auto" w:fill="F8F8F8"/>
    </w:rPr>
  </w:style>
  <w:style w:type="character" w:customStyle="1" w:styleId="SpecialStringTok">
    <w:name w:val="SpecialStringTok"/>
    <w:basedOn w:val="VerbatimChar"/>
    <w:rPr>
      <w:rFonts w:ascii="Consolas" w:hAnsi="Consolas"/>
      <w:color w:val="4E9A06"/>
      <w:sz w:val="22"/>
      <w:u w:val="none"/>
      <w:bdr w:val="none" w:sz="0" w:space="0" w:color="auto"/>
      <w:shd w:val="clear" w:color="auto" w:fill="F8F8F8"/>
    </w:rPr>
  </w:style>
  <w:style w:type="character" w:customStyle="1" w:styleId="ImportTok">
    <w:name w:val="ImportTok"/>
    <w:basedOn w:val="VerbatimChar"/>
    <w:rPr>
      <w:rFonts w:ascii="Consolas" w:hAnsi="Consolas"/>
      <w:color w:val="C00000"/>
      <w:sz w:val="22"/>
      <w:u w:val="none"/>
      <w:bdr w:val="none" w:sz="0" w:space="0" w:color="auto"/>
      <w:shd w:val="clear" w:color="auto" w:fill="F8F8F8"/>
    </w:rPr>
  </w:style>
  <w:style w:type="character" w:customStyle="1" w:styleId="CommentTok">
    <w:name w:val="CommentTok"/>
    <w:basedOn w:val="VerbatimChar"/>
    <w:rPr>
      <w:rFonts w:ascii="Consolas" w:hAnsi="Consolas"/>
      <w:i/>
      <w:color w:val="8F5902"/>
      <w:sz w:val="22"/>
      <w:u w:val="none"/>
      <w:bdr w:val="none" w:sz="0" w:space="0" w:color="auto"/>
      <w:shd w:val="clear" w:color="auto" w:fill="F8F8F8"/>
    </w:rPr>
  </w:style>
  <w:style w:type="character" w:customStyle="1" w:styleId="DocumentationTok">
    <w:name w:val="DocumentationTok"/>
    <w:basedOn w:val="VerbatimChar"/>
    <w:rPr>
      <w:rFonts w:ascii="Consolas" w:hAnsi="Consolas"/>
      <w:b/>
      <w:i/>
      <w:color w:val="8F5902"/>
      <w:sz w:val="22"/>
      <w:u w:val="none"/>
      <w:bdr w:val="none" w:sz="0" w:space="0" w:color="auto"/>
      <w:shd w:val="clear" w:color="auto" w:fill="F8F8F8"/>
    </w:rPr>
  </w:style>
  <w:style w:type="character" w:customStyle="1" w:styleId="AnnotationTok">
    <w:name w:val="AnnotationTok"/>
    <w:basedOn w:val="VerbatimChar"/>
    <w:rPr>
      <w:rFonts w:ascii="Consolas" w:hAnsi="Consolas"/>
      <w:b/>
      <w:i/>
      <w:color w:val="8F5902"/>
      <w:sz w:val="22"/>
      <w:u w:val="none"/>
      <w:bdr w:val="none" w:sz="0" w:space="0" w:color="auto"/>
      <w:shd w:val="clear" w:color="auto" w:fill="F8F8F8"/>
    </w:rPr>
  </w:style>
  <w:style w:type="character" w:customStyle="1" w:styleId="CommentVarTok">
    <w:name w:val="CommentVarTok"/>
    <w:basedOn w:val="VerbatimChar"/>
    <w:rPr>
      <w:rFonts w:ascii="Consolas" w:hAnsi="Consolas"/>
      <w:b/>
      <w:i/>
      <w:color w:val="8F5902"/>
      <w:sz w:val="22"/>
      <w:u w:val="none"/>
      <w:bdr w:val="none" w:sz="0" w:space="0" w:color="auto"/>
      <w:shd w:val="clear" w:color="auto" w:fill="F8F8F8"/>
    </w:rPr>
  </w:style>
  <w:style w:type="character" w:customStyle="1" w:styleId="OtherTok">
    <w:name w:val="OtherTok"/>
    <w:basedOn w:val="VerbatimChar"/>
    <w:rPr>
      <w:rFonts w:ascii="Consolas" w:hAnsi="Consolas"/>
      <w:color w:val="8F5902"/>
      <w:sz w:val="22"/>
      <w:u w:val="none"/>
      <w:bdr w:val="none" w:sz="0" w:space="0" w:color="auto"/>
      <w:shd w:val="clear" w:color="auto" w:fill="F8F8F8"/>
    </w:rPr>
  </w:style>
  <w:style w:type="character" w:customStyle="1" w:styleId="FunctionTok">
    <w:name w:val="FunctionTok"/>
    <w:basedOn w:val="VerbatimChar"/>
    <w:rPr>
      <w:rFonts w:ascii="Consolas" w:hAnsi="Consolas"/>
      <w:b/>
      <w:color w:val="204A87"/>
      <w:sz w:val="22"/>
      <w:u w:val="none"/>
      <w:bdr w:val="none" w:sz="0" w:space="0" w:color="auto"/>
      <w:shd w:val="clear" w:color="auto" w:fill="F8F8F8"/>
    </w:rPr>
  </w:style>
  <w:style w:type="character" w:customStyle="1" w:styleId="VariableTok">
    <w:name w:val="VariableTok"/>
    <w:basedOn w:val="VerbatimChar"/>
    <w:rPr>
      <w:rFonts w:ascii="Consolas" w:hAnsi="Consolas"/>
      <w:color w:val="000000"/>
      <w:sz w:val="22"/>
      <w:u w:val="none"/>
      <w:bdr w:val="none" w:sz="0" w:space="0" w:color="auto"/>
      <w:shd w:val="clear" w:color="auto" w:fill="F8F8F8"/>
    </w:rPr>
  </w:style>
  <w:style w:type="character" w:customStyle="1" w:styleId="ControlFlowTok">
    <w:name w:val="ControlFlowTok"/>
    <w:basedOn w:val="VerbatimChar"/>
    <w:rPr>
      <w:rFonts w:ascii="Consolas" w:hAnsi="Consolas"/>
      <w:b/>
      <w:color w:val="204A87"/>
      <w:sz w:val="22"/>
      <w:u w:val="none"/>
      <w:bdr w:val="none" w:sz="0" w:space="0" w:color="auto"/>
      <w:shd w:val="clear" w:color="auto" w:fill="F8F8F8"/>
    </w:rPr>
  </w:style>
  <w:style w:type="character" w:customStyle="1" w:styleId="OperatorTok">
    <w:name w:val="OperatorTok"/>
    <w:basedOn w:val="VerbatimChar"/>
    <w:rPr>
      <w:rFonts w:ascii="Consolas" w:hAnsi="Consolas"/>
      <w:b/>
      <w:color w:val="CE5C00"/>
      <w:sz w:val="22"/>
      <w:u w:val="none"/>
      <w:bdr w:val="none" w:sz="0" w:space="0" w:color="auto"/>
      <w:shd w:val="clear" w:color="auto" w:fill="F8F8F8"/>
    </w:rPr>
  </w:style>
  <w:style w:type="character" w:customStyle="1" w:styleId="BuiltInTok">
    <w:name w:val="BuiltInTok"/>
    <w:basedOn w:val="VerbatimChar"/>
    <w:rPr>
      <w:rFonts w:ascii="Consolas" w:hAnsi="Consolas"/>
      <w:color w:val="C00000"/>
      <w:sz w:val="22"/>
      <w:u w:val="none"/>
      <w:bdr w:val="none" w:sz="0" w:space="0" w:color="auto"/>
      <w:shd w:val="clear" w:color="auto" w:fill="F8F8F8"/>
    </w:rPr>
  </w:style>
  <w:style w:type="character" w:customStyle="1" w:styleId="ExtensionTok">
    <w:name w:val="ExtensionTok"/>
    <w:basedOn w:val="VerbatimChar"/>
    <w:rPr>
      <w:rFonts w:ascii="Consolas" w:hAnsi="Consolas"/>
      <w:color w:val="C00000"/>
      <w:sz w:val="22"/>
      <w:u w:val="none"/>
      <w:bdr w:val="none" w:sz="0" w:space="0" w:color="auto"/>
      <w:shd w:val="clear" w:color="auto" w:fill="F8F8F8"/>
    </w:rPr>
  </w:style>
  <w:style w:type="character" w:customStyle="1" w:styleId="PreprocessorTok">
    <w:name w:val="PreprocessorTok"/>
    <w:basedOn w:val="VerbatimChar"/>
    <w:rPr>
      <w:rFonts w:ascii="Consolas" w:hAnsi="Consolas"/>
      <w:i/>
      <w:color w:val="8F5902"/>
      <w:sz w:val="22"/>
      <w:u w:val="none"/>
      <w:bdr w:val="none" w:sz="0" w:space="0" w:color="auto"/>
      <w:shd w:val="clear" w:color="auto" w:fill="F8F8F8"/>
    </w:rPr>
  </w:style>
  <w:style w:type="character" w:customStyle="1" w:styleId="AttributeTok">
    <w:name w:val="AttributeTok"/>
    <w:basedOn w:val="VerbatimChar"/>
    <w:rPr>
      <w:rFonts w:ascii="Consolas" w:hAnsi="Consolas"/>
      <w:color w:val="204A87"/>
      <w:sz w:val="22"/>
      <w:u w:val="none"/>
      <w:bdr w:val="none" w:sz="0" w:space="0" w:color="auto"/>
      <w:shd w:val="clear" w:color="auto" w:fill="F8F8F8"/>
    </w:rPr>
  </w:style>
  <w:style w:type="character" w:customStyle="1" w:styleId="RegionMarkerTok">
    <w:name w:val="RegionMarkerTok"/>
    <w:basedOn w:val="VerbatimChar"/>
    <w:rPr>
      <w:rFonts w:ascii="Consolas" w:hAnsi="Consolas"/>
      <w:color w:val="C00000"/>
      <w:sz w:val="22"/>
      <w:u w:val="none"/>
      <w:bdr w:val="none" w:sz="0" w:space="0" w:color="auto"/>
      <w:shd w:val="clear" w:color="auto" w:fill="F8F8F8"/>
    </w:rPr>
  </w:style>
  <w:style w:type="character" w:customStyle="1" w:styleId="InformationTok">
    <w:name w:val="InformationTok"/>
    <w:basedOn w:val="VerbatimChar"/>
    <w:rPr>
      <w:rFonts w:ascii="Consolas" w:hAnsi="Consolas"/>
      <w:b/>
      <w:i/>
      <w:color w:val="8F5902"/>
      <w:sz w:val="22"/>
      <w:u w:val="none"/>
      <w:bdr w:val="none" w:sz="0" w:space="0" w:color="auto"/>
      <w:shd w:val="clear" w:color="auto" w:fill="F8F8F8"/>
    </w:rPr>
  </w:style>
  <w:style w:type="character" w:customStyle="1" w:styleId="WarningTok">
    <w:name w:val="WarningTok"/>
    <w:basedOn w:val="VerbatimChar"/>
    <w:rPr>
      <w:rFonts w:ascii="Consolas" w:hAnsi="Consolas"/>
      <w:b/>
      <w:i/>
      <w:color w:val="8F5902"/>
      <w:sz w:val="22"/>
      <w:u w:val="none"/>
      <w:bdr w:val="none" w:sz="0" w:space="0" w:color="auto"/>
      <w:shd w:val="clear" w:color="auto" w:fill="F8F8F8"/>
    </w:rPr>
  </w:style>
  <w:style w:type="character" w:customStyle="1" w:styleId="AlertTok">
    <w:name w:val="AlertTok"/>
    <w:basedOn w:val="VerbatimChar"/>
    <w:rPr>
      <w:rFonts w:ascii="Consolas" w:hAnsi="Consolas"/>
      <w:color w:val="EF2929"/>
      <w:sz w:val="22"/>
      <w:u w:val="none"/>
      <w:bdr w:val="none" w:sz="0" w:space="0" w:color="auto"/>
      <w:shd w:val="clear" w:color="auto" w:fill="F8F8F8"/>
    </w:rPr>
  </w:style>
  <w:style w:type="character" w:customStyle="1" w:styleId="ErrorTok">
    <w:name w:val="ErrorTok"/>
    <w:basedOn w:val="VerbatimChar"/>
    <w:rPr>
      <w:rFonts w:ascii="Consolas" w:hAnsi="Consolas"/>
      <w:b/>
      <w:color w:val="A40000"/>
      <w:sz w:val="22"/>
      <w:u w:val="none"/>
      <w:bdr w:val="none" w:sz="0" w:space="0" w:color="auto"/>
      <w:shd w:val="clear" w:color="auto" w:fill="F8F8F8"/>
    </w:rPr>
  </w:style>
  <w:style w:type="character" w:customStyle="1" w:styleId="NormalTok">
    <w:name w:val="NormalTok"/>
    <w:basedOn w:val="VerbatimChar"/>
    <w:rPr>
      <w:rFonts w:ascii="Consolas" w:hAnsi="Consolas"/>
      <w:color w:val="C00000"/>
      <w:sz w:val="22"/>
      <w:u w:val="none"/>
      <w:bdr w:val="none" w:sz="0" w:space="0" w:color="auto"/>
      <w:shd w:val="clear" w:color="auto" w:fill="F8F8F8"/>
    </w:rPr>
  </w:style>
  <w:style w:type="character" w:styleId="CommentReference">
    <w:name w:val="annotation reference"/>
    <w:basedOn w:val="DefaultParagraphFont"/>
    <w:semiHidden/>
    <w:unhideWhenUsed/>
    <w:rsid w:val="00AD7FA3"/>
    <w:rPr>
      <w:sz w:val="16"/>
      <w:szCs w:val="16"/>
    </w:rPr>
  </w:style>
  <w:style w:type="paragraph" w:styleId="CommentText">
    <w:name w:val="annotation text"/>
    <w:basedOn w:val="Normal"/>
    <w:link w:val="CommentTextChar"/>
    <w:unhideWhenUsed/>
    <w:rsid w:val="00AD7FA3"/>
    <w:rPr>
      <w:sz w:val="20"/>
      <w:szCs w:val="20"/>
    </w:rPr>
  </w:style>
  <w:style w:type="character" w:customStyle="1" w:styleId="CommentTextChar">
    <w:name w:val="Comment Text Char"/>
    <w:basedOn w:val="DefaultParagraphFont"/>
    <w:link w:val="CommentText"/>
    <w:rsid w:val="00AD7FA3"/>
    <w:rPr>
      <w:sz w:val="20"/>
      <w:szCs w:val="20"/>
    </w:rPr>
  </w:style>
  <w:style w:type="paragraph" w:styleId="CommentSubject">
    <w:name w:val="annotation subject"/>
    <w:basedOn w:val="CommentText"/>
    <w:next w:val="CommentText"/>
    <w:link w:val="CommentSubjectChar"/>
    <w:semiHidden/>
    <w:unhideWhenUsed/>
    <w:rsid w:val="00AD7FA3"/>
    <w:rPr>
      <w:b/>
      <w:bCs/>
    </w:rPr>
  </w:style>
  <w:style w:type="character" w:customStyle="1" w:styleId="CommentSubjectChar">
    <w:name w:val="Comment Subject Char"/>
    <w:basedOn w:val="CommentTextChar"/>
    <w:link w:val="CommentSubject"/>
    <w:semiHidden/>
    <w:rsid w:val="00AD7FA3"/>
    <w:rPr>
      <w:b/>
      <w:bCs/>
      <w:sz w:val="20"/>
      <w:szCs w:val="20"/>
    </w:rPr>
  </w:style>
  <w:style w:type="paragraph" w:styleId="Revision">
    <w:name w:val="Revision"/>
    <w:hidden/>
    <w:semiHidden/>
    <w:rsid w:val="00524E17"/>
    <w:pPr>
      <w:spacing w:after="0"/>
    </w:pPr>
  </w:style>
  <w:style w:type="character" w:styleId="Mention">
    <w:name w:val="Mention"/>
    <w:basedOn w:val="DefaultParagraphFont"/>
    <w:uiPriority w:val="99"/>
    <w:unhideWhenUsed/>
    <w:rsid w:val="009771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17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abs.gov.au/statistics/labour/earnings-and-work-hours/average-weekly-earnings-australia/latest-releas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6.png"/><Relationship Id="rId25" Type="http://schemas.openxmlformats.org/officeDocument/2006/relationships/hyperlink" Target="https://www.abs.gov.au/statistics/economy/price-indexes-and-inflation/wage-price-index-australia/latest-release"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hyperlink" Target="https://www.abs.gov.au/statistics/labour/earnings-and-working-conditions/employee-earnings-and-hours-australia/latest-release"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EBTrends@dewr.gov.au" TargetMode="External"/><Relationship Id="rId22" Type="http://schemas.openxmlformats.org/officeDocument/2006/relationships/image" Target="media/image11.png"/><Relationship Id="rId27" Type="http://schemas.openxmlformats.org/officeDocument/2006/relationships/hyperlink" Target="https://www.fwc.gov.au/agreements-awards/enterprise-agreements/sunsetting-pre-2010-agreements/zombie-agreements-extende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93AEA-7574-4427-8340-1FCD0C76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15965</Words>
  <Characters>91002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106754</CharactersWithSpaces>
  <SharedDoc>false</SharedDoc>
  <HLinks>
    <vt:vector size="138" baseType="variant">
      <vt:variant>
        <vt:i4>4390930</vt:i4>
      </vt:variant>
      <vt:variant>
        <vt:i4>66</vt:i4>
      </vt:variant>
      <vt:variant>
        <vt:i4>0</vt:i4>
      </vt:variant>
      <vt:variant>
        <vt:i4>5</vt:i4>
      </vt:variant>
      <vt:variant>
        <vt:lpwstr>https://www.fwc.gov.au/agreements-awards/enterprise-agreements/sunsetting-pre-2010-agreements/zombie-agreements-extended</vt:lpwstr>
      </vt:variant>
      <vt:variant>
        <vt:lpwstr/>
      </vt:variant>
      <vt:variant>
        <vt:i4>720921</vt:i4>
      </vt:variant>
      <vt:variant>
        <vt:i4>63</vt:i4>
      </vt:variant>
      <vt:variant>
        <vt:i4>0</vt:i4>
      </vt:variant>
      <vt:variant>
        <vt:i4>5</vt:i4>
      </vt:variant>
      <vt:variant>
        <vt:lpwstr>https://www.abs.gov.au/statistics/labour/earnings-and-work-hours/average-weekly-earnings-australia/latest-release</vt:lpwstr>
      </vt:variant>
      <vt:variant>
        <vt:lpwstr/>
      </vt:variant>
      <vt:variant>
        <vt:i4>6488160</vt:i4>
      </vt:variant>
      <vt:variant>
        <vt:i4>60</vt:i4>
      </vt:variant>
      <vt:variant>
        <vt:i4>0</vt:i4>
      </vt:variant>
      <vt:variant>
        <vt:i4>5</vt:i4>
      </vt:variant>
      <vt:variant>
        <vt:lpwstr>https://www.abs.gov.au/statistics/economy/price-indexes-and-inflation/wage-price-index-australia/latest-release</vt:lpwstr>
      </vt:variant>
      <vt:variant>
        <vt:lpwstr/>
      </vt:variant>
      <vt:variant>
        <vt:i4>5177363</vt:i4>
      </vt:variant>
      <vt:variant>
        <vt:i4>57</vt:i4>
      </vt:variant>
      <vt:variant>
        <vt:i4>0</vt:i4>
      </vt:variant>
      <vt:variant>
        <vt:i4>5</vt:i4>
      </vt:variant>
      <vt:variant>
        <vt:lpwstr>https://www.abs.gov.au/statistics/labour/earnings-and-working-conditions/employee-earnings-and-hours-australia/latest-release</vt:lpwstr>
      </vt:variant>
      <vt:variant>
        <vt:lpwstr/>
      </vt:variant>
      <vt:variant>
        <vt:i4>5570619</vt:i4>
      </vt:variant>
      <vt:variant>
        <vt:i4>54</vt:i4>
      </vt:variant>
      <vt:variant>
        <vt:i4>0</vt:i4>
      </vt:variant>
      <vt:variant>
        <vt:i4>5</vt:i4>
      </vt:variant>
      <vt:variant>
        <vt:lpwstr>mailto:EBTrends@dewr.gov.au</vt:lpwstr>
      </vt:variant>
      <vt:variant>
        <vt:lpwstr/>
      </vt:variant>
      <vt:variant>
        <vt:i4>3080305</vt:i4>
      </vt:variant>
      <vt:variant>
        <vt:i4>51</vt:i4>
      </vt:variant>
      <vt:variant>
        <vt:i4>0</vt:i4>
      </vt:variant>
      <vt:variant>
        <vt:i4>5</vt:i4>
      </vt:variant>
      <vt:variant>
        <vt:lpwstr>https://www.dewr.gov.au/enterprise-agreements-data/trends-federal-enterprise-bargaining</vt:lpwstr>
      </vt:variant>
      <vt:variant>
        <vt:lpwstr/>
      </vt:variant>
      <vt:variant>
        <vt:i4>1703995</vt:i4>
      </vt:variant>
      <vt:variant>
        <vt:i4>48</vt:i4>
      </vt:variant>
      <vt:variant>
        <vt:i4>0</vt:i4>
      </vt:variant>
      <vt:variant>
        <vt:i4>5</vt:i4>
      </vt:variant>
      <vt:variant>
        <vt:lpwstr/>
      </vt:variant>
      <vt:variant>
        <vt:lpwstr>_Toc153798075</vt:lpwstr>
      </vt:variant>
      <vt:variant>
        <vt:i4>1703995</vt:i4>
      </vt:variant>
      <vt:variant>
        <vt:i4>45</vt:i4>
      </vt:variant>
      <vt:variant>
        <vt:i4>0</vt:i4>
      </vt:variant>
      <vt:variant>
        <vt:i4>5</vt:i4>
      </vt:variant>
      <vt:variant>
        <vt:lpwstr/>
      </vt:variant>
      <vt:variant>
        <vt:lpwstr>_Toc153798074</vt:lpwstr>
      </vt:variant>
      <vt:variant>
        <vt:i4>1703995</vt:i4>
      </vt:variant>
      <vt:variant>
        <vt:i4>42</vt:i4>
      </vt:variant>
      <vt:variant>
        <vt:i4>0</vt:i4>
      </vt:variant>
      <vt:variant>
        <vt:i4>5</vt:i4>
      </vt:variant>
      <vt:variant>
        <vt:lpwstr/>
      </vt:variant>
      <vt:variant>
        <vt:lpwstr>_Toc153798073</vt:lpwstr>
      </vt:variant>
      <vt:variant>
        <vt:i4>1703995</vt:i4>
      </vt:variant>
      <vt:variant>
        <vt:i4>39</vt:i4>
      </vt:variant>
      <vt:variant>
        <vt:i4>0</vt:i4>
      </vt:variant>
      <vt:variant>
        <vt:i4>5</vt:i4>
      </vt:variant>
      <vt:variant>
        <vt:lpwstr/>
      </vt:variant>
      <vt:variant>
        <vt:lpwstr>_Toc153798072</vt:lpwstr>
      </vt:variant>
      <vt:variant>
        <vt:i4>1703995</vt:i4>
      </vt:variant>
      <vt:variant>
        <vt:i4>36</vt:i4>
      </vt:variant>
      <vt:variant>
        <vt:i4>0</vt:i4>
      </vt:variant>
      <vt:variant>
        <vt:i4>5</vt:i4>
      </vt:variant>
      <vt:variant>
        <vt:lpwstr/>
      </vt:variant>
      <vt:variant>
        <vt:lpwstr>_Toc153798071</vt:lpwstr>
      </vt:variant>
      <vt:variant>
        <vt:i4>1703995</vt:i4>
      </vt:variant>
      <vt:variant>
        <vt:i4>33</vt:i4>
      </vt:variant>
      <vt:variant>
        <vt:i4>0</vt:i4>
      </vt:variant>
      <vt:variant>
        <vt:i4>5</vt:i4>
      </vt:variant>
      <vt:variant>
        <vt:lpwstr/>
      </vt:variant>
      <vt:variant>
        <vt:lpwstr>_Toc153798070</vt:lpwstr>
      </vt:variant>
      <vt:variant>
        <vt:i4>1769531</vt:i4>
      </vt:variant>
      <vt:variant>
        <vt:i4>30</vt:i4>
      </vt:variant>
      <vt:variant>
        <vt:i4>0</vt:i4>
      </vt:variant>
      <vt:variant>
        <vt:i4>5</vt:i4>
      </vt:variant>
      <vt:variant>
        <vt:lpwstr/>
      </vt:variant>
      <vt:variant>
        <vt:lpwstr>_Toc153798063</vt:lpwstr>
      </vt:variant>
      <vt:variant>
        <vt:i4>1769531</vt:i4>
      </vt:variant>
      <vt:variant>
        <vt:i4>27</vt:i4>
      </vt:variant>
      <vt:variant>
        <vt:i4>0</vt:i4>
      </vt:variant>
      <vt:variant>
        <vt:i4>5</vt:i4>
      </vt:variant>
      <vt:variant>
        <vt:lpwstr/>
      </vt:variant>
      <vt:variant>
        <vt:lpwstr>_Toc153798062</vt:lpwstr>
      </vt:variant>
      <vt:variant>
        <vt:i4>1769531</vt:i4>
      </vt:variant>
      <vt:variant>
        <vt:i4>24</vt:i4>
      </vt:variant>
      <vt:variant>
        <vt:i4>0</vt:i4>
      </vt:variant>
      <vt:variant>
        <vt:i4>5</vt:i4>
      </vt:variant>
      <vt:variant>
        <vt:lpwstr/>
      </vt:variant>
      <vt:variant>
        <vt:lpwstr>_Toc153798061</vt:lpwstr>
      </vt:variant>
      <vt:variant>
        <vt:i4>1769531</vt:i4>
      </vt:variant>
      <vt:variant>
        <vt:i4>21</vt:i4>
      </vt:variant>
      <vt:variant>
        <vt:i4>0</vt:i4>
      </vt:variant>
      <vt:variant>
        <vt:i4>5</vt:i4>
      </vt:variant>
      <vt:variant>
        <vt:lpwstr/>
      </vt:variant>
      <vt:variant>
        <vt:lpwstr>_Toc153798060</vt:lpwstr>
      </vt:variant>
      <vt:variant>
        <vt:i4>1572923</vt:i4>
      </vt:variant>
      <vt:variant>
        <vt:i4>18</vt:i4>
      </vt:variant>
      <vt:variant>
        <vt:i4>0</vt:i4>
      </vt:variant>
      <vt:variant>
        <vt:i4>5</vt:i4>
      </vt:variant>
      <vt:variant>
        <vt:lpwstr/>
      </vt:variant>
      <vt:variant>
        <vt:lpwstr>_Toc153798059</vt:lpwstr>
      </vt:variant>
      <vt:variant>
        <vt:i4>1572923</vt:i4>
      </vt:variant>
      <vt:variant>
        <vt:i4>15</vt:i4>
      </vt:variant>
      <vt:variant>
        <vt:i4>0</vt:i4>
      </vt:variant>
      <vt:variant>
        <vt:i4>5</vt:i4>
      </vt:variant>
      <vt:variant>
        <vt:lpwstr/>
      </vt:variant>
      <vt:variant>
        <vt:lpwstr>_Toc153798058</vt:lpwstr>
      </vt:variant>
      <vt:variant>
        <vt:i4>1572923</vt:i4>
      </vt:variant>
      <vt:variant>
        <vt:i4>12</vt:i4>
      </vt:variant>
      <vt:variant>
        <vt:i4>0</vt:i4>
      </vt:variant>
      <vt:variant>
        <vt:i4>5</vt:i4>
      </vt:variant>
      <vt:variant>
        <vt:lpwstr/>
      </vt:variant>
      <vt:variant>
        <vt:lpwstr>_Toc153798057</vt:lpwstr>
      </vt:variant>
      <vt:variant>
        <vt:i4>1572923</vt:i4>
      </vt:variant>
      <vt:variant>
        <vt:i4>9</vt:i4>
      </vt:variant>
      <vt:variant>
        <vt:i4>0</vt:i4>
      </vt:variant>
      <vt:variant>
        <vt:i4>5</vt:i4>
      </vt:variant>
      <vt:variant>
        <vt:lpwstr/>
      </vt:variant>
      <vt:variant>
        <vt:lpwstr>_Toc153798056</vt:lpwstr>
      </vt:variant>
      <vt:variant>
        <vt:i4>1572923</vt:i4>
      </vt:variant>
      <vt:variant>
        <vt:i4>6</vt:i4>
      </vt:variant>
      <vt:variant>
        <vt:i4>0</vt:i4>
      </vt:variant>
      <vt:variant>
        <vt:i4>5</vt:i4>
      </vt:variant>
      <vt:variant>
        <vt:lpwstr/>
      </vt:variant>
      <vt:variant>
        <vt:lpwstr>_Toc153798055</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 June quarter 2025</dc:title>
  <dc:subject/>
  <dc:creator/>
  <cp:keywords/>
  <cp:lastModifiedBy/>
  <cp:revision>1</cp:revision>
  <dcterms:created xsi:type="dcterms:W3CDTF">2025-09-23T05:13:00Z</dcterms:created>
  <dcterms:modified xsi:type="dcterms:W3CDTF">2025-09-23T05:13:00Z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2025-09-23T05:13:51Z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62666e40-b7f9-4f93-bfa1-4710e711fb8c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