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A012" w14:textId="77777777" w:rsidR="0047347F" w:rsidRDefault="00CA7F92">
      <w:pPr>
        <w:spacing w:after="0" w:line="256" w:lineRule="auto"/>
        <w:ind w:left="109" w:firstLine="0"/>
        <w:jc w:val="center"/>
      </w:pPr>
      <w:r>
        <w:rPr>
          <w:b/>
          <w:sz w:val="56"/>
        </w:rPr>
        <w:t xml:space="preserve">Best practice workers’ compensation principles for workers with silicosis and related diseases </w:t>
      </w:r>
    </w:p>
    <w:p w14:paraId="3C93B273" w14:textId="77777777" w:rsidR="0047347F" w:rsidRDefault="00CA7F92">
      <w:pPr>
        <w:spacing w:after="33" w:line="259" w:lineRule="auto"/>
        <w:ind w:left="0" w:firstLine="0"/>
      </w:pPr>
      <w:r>
        <w:rPr>
          <w:b/>
          <w:sz w:val="20"/>
        </w:rPr>
        <w:t xml:space="preserve"> </w:t>
      </w:r>
    </w:p>
    <w:p w14:paraId="0931AC70" w14:textId="77777777" w:rsidR="0047347F" w:rsidRDefault="00CA7F92">
      <w:pPr>
        <w:spacing w:after="278" w:line="259" w:lineRule="auto"/>
        <w:ind w:left="0" w:firstLine="0"/>
      </w:pPr>
      <w:r>
        <w:rPr>
          <w:b/>
          <w:sz w:val="25"/>
        </w:rPr>
        <w:t xml:space="preserve"> </w:t>
      </w:r>
    </w:p>
    <w:p w14:paraId="51B1032D" w14:textId="77777777" w:rsidR="0047347F" w:rsidRDefault="00CA7F92">
      <w:pPr>
        <w:spacing w:after="0" w:line="259" w:lineRule="auto"/>
        <w:ind w:left="590" w:firstLine="0"/>
      </w:pPr>
      <w:r>
        <w:rPr>
          <w:b/>
          <w:sz w:val="38"/>
        </w:rPr>
        <w:t xml:space="preserve"> </w:t>
      </w:r>
    </w:p>
    <w:p w14:paraId="0ED3C1EC" w14:textId="77777777" w:rsidR="0047347F" w:rsidRDefault="00CA7F92">
      <w:pPr>
        <w:spacing w:after="0" w:line="259" w:lineRule="auto"/>
        <w:ind w:left="590" w:firstLine="0"/>
      </w:pPr>
      <w:r>
        <w:rPr>
          <w:sz w:val="36"/>
        </w:rPr>
        <w:t>Heads of Workers Compensation Authorities Dust Diseases</w:t>
      </w:r>
    </w:p>
    <w:p w14:paraId="6CC335C7" w14:textId="77777777" w:rsidR="0047347F" w:rsidRDefault="00CA7F92">
      <w:pPr>
        <w:spacing w:after="0" w:line="259" w:lineRule="auto"/>
        <w:ind w:left="590" w:firstLine="0"/>
        <w:jc w:val="center"/>
      </w:pPr>
      <w:r>
        <w:rPr>
          <w:sz w:val="36"/>
        </w:rPr>
        <w:t xml:space="preserve">Working Group </w:t>
      </w:r>
    </w:p>
    <w:p w14:paraId="17F2F23B" w14:textId="77777777" w:rsidR="0047347F" w:rsidRDefault="00CA7F92">
      <w:pPr>
        <w:spacing w:after="0" w:line="259" w:lineRule="auto"/>
        <w:ind w:left="590" w:firstLine="0"/>
      </w:pPr>
      <w:r>
        <w:rPr>
          <w:sz w:val="36"/>
        </w:rPr>
        <w:t xml:space="preserve"> </w:t>
      </w:r>
    </w:p>
    <w:p w14:paraId="5E437A4D" w14:textId="77777777" w:rsidR="0047347F" w:rsidRDefault="00CA7F92">
      <w:pPr>
        <w:spacing w:after="0" w:line="259" w:lineRule="auto"/>
        <w:ind w:left="590" w:firstLine="0"/>
      </w:pPr>
      <w:r>
        <w:rPr>
          <w:sz w:val="36"/>
        </w:rPr>
        <w:t xml:space="preserve"> </w:t>
      </w:r>
    </w:p>
    <w:p w14:paraId="5DB7D701" w14:textId="77777777" w:rsidR="0047347F" w:rsidRDefault="00CA7F92">
      <w:pPr>
        <w:spacing w:after="0" w:line="259" w:lineRule="auto"/>
        <w:ind w:left="590" w:firstLine="0"/>
      </w:pPr>
      <w:r>
        <w:rPr>
          <w:sz w:val="36"/>
        </w:rPr>
        <w:t xml:space="preserve"> </w:t>
      </w:r>
    </w:p>
    <w:p w14:paraId="70C024F1" w14:textId="77777777" w:rsidR="0047347F" w:rsidRDefault="00CA7F92">
      <w:pPr>
        <w:spacing w:after="0" w:line="259" w:lineRule="auto"/>
        <w:ind w:left="590" w:firstLine="0"/>
      </w:pPr>
      <w:r>
        <w:rPr>
          <w:sz w:val="36"/>
        </w:rPr>
        <w:t xml:space="preserve"> </w:t>
      </w:r>
    </w:p>
    <w:p w14:paraId="16561AC1" w14:textId="77777777" w:rsidR="0047347F" w:rsidRDefault="00CA7F92">
      <w:pPr>
        <w:spacing w:after="0" w:line="259" w:lineRule="auto"/>
        <w:ind w:left="590" w:firstLine="0"/>
      </w:pPr>
      <w:r>
        <w:rPr>
          <w:sz w:val="36"/>
        </w:rPr>
        <w:t xml:space="preserve"> </w:t>
      </w:r>
    </w:p>
    <w:p w14:paraId="004D127E" w14:textId="77777777" w:rsidR="0047347F" w:rsidRDefault="00CA7F92">
      <w:pPr>
        <w:spacing w:after="0" w:line="259" w:lineRule="auto"/>
        <w:ind w:left="590" w:firstLine="0"/>
      </w:pPr>
      <w:r>
        <w:rPr>
          <w:sz w:val="36"/>
        </w:rPr>
        <w:t xml:space="preserve"> </w:t>
      </w:r>
    </w:p>
    <w:p w14:paraId="27CB1DFA" w14:textId="77777777" w:rsidR="0047347F" w:rsidRDefault="00CA7F92">
      <w:pPr>
        <w:spacing w:after="0" w:line="259" w:lineRule="auto"/>
        <w:ind w:left="590" w:firstLine="0"/>
      </w:pPr>
      <w:r>
        <w:rPr>
          <w:sz w:val="36"/>
        </w:rPr>
        <w:t xml:space="preserve"> </w:t>
      </w:r>
    </w:p>
    <w:p w14:paraId="3649CE1F" w14:textId="77777777" w:rsidR="0047347F" w:rsidRDefault="00CA7F92">
      <w:pPr>
        <w:spacing w:after="0" w:line="259" w:lineRule="auto"/>
        <w:ind w:left="590" w:firstLine="0"/>
      </w:pPr>
      <w:r>
        <w:rPr>
          <w:sz w:val="36"/>
        </w:rPr>
        <w:t xml:space="preserve"> </w:t>
      </w:r>
    </w:p>
    <w:p w14:paraId="48755C5E" w14:textId="77777777" w:rsidR="0047347F" w:rsidRDefault="00CA7F92">
      <w:pPr>
        <w:spacing w:after="0" w:line="259" w:lineRule="auto"/>
        <w:ind w:left="590" w:firstLine="0"/>
      </w:pPr>
      <w:r>
        <w:rPr>
          <w:sz w:val="36"/>
        </w:rPr>
        <w:t xml:space="preserve"> </w:t>
      </w:r>
    </w:p>
    <w:p w14:paraId="59656B92" w14:textId="77777777" w:rsidR="0047347F" w:rsidRDefault="00CA7F92">
      <w:pPr>
        <w:spacing w:after="0" w:line="259" w:lineRule="auto"/>
        <w:ind w:left="590" w:firstLine="0"/>
      </w:pPr>
      <w:r>
        <w:rPr>
          <w:sz w:val="36"/>
        </w:rPr>
        <w:t xml:space="preserve"> </w:t>
      </w:r>
    </w:p>
    <w:p w14:paraId="22DCAFAF" w14:textId="77777777" w:rsidR="0047347F" w:rsidRDefault="00CA7F92">
      <w:pPr>
        <w:spacing w:after="0" w:line="259" w:lineRule="auto"/>
        <w:ind w:left="590" w:firstLine="0"/>
      </w:pPr>
      <w:r>
        <w:rPr>
          <w:sz w:val="36"/>
        </w:rPr>
        <w:t xml:space="preserve"> </w:t>
      </w:r>
    </w:p>
    <w:p w14:paraId="074C98C8" w14:textId="77777777" w:rsidR="0047347F" w:rsidRDefault="00CA7F92">
      <w:pPr>
        <w:spacing w:after="0" w:line="259" w:lineRule="auto"/>
        <w:ind w:left="590" w:firstLine="0"/>
      </w:pPr>
      <w:r>
        <w:rPr>
          <w:sz w:val="36"/>
        </w:rPr>
        <w:t xml:space="preserve"> </w:t>
      </w:r>
    </w:p>
    <w:p w14:paraId="208DD9B8" w14:textId="77777777" w:rsidR="0047347F" w:rsidRDefault="00CA7F92">
      <w:pPr>
        <w:spacing w:after="0" w:line="259" w:lineRule="auto"/>
        <w:ind w:left="590" w:firstLine="0"/>
      </w:pPr>
      <w:r>
        <w:rPr>
          <w:sz w:val="36"/>
        </w:rPr>
        <w:t xml:space="preserve"> </w:t>
      </w:r>
    </w:p>
    <w:p w14:paraId="7CE62FFF" w14:textId="77777777" w:rsidR="0047347F" w:rsidRDefault="00CA7F92">
      <w:pPr>
        <w:spacing w:after="0" w:line="259" w:lineRule="auto"/>
        <w:ind w:left="590" w:firstLine="0"/>
      </w:pPr>
      <w:r>
        <w:rPr>
          <w:sz w:val="36"/>
        </w:rPr>
        <w:t xml:space="preserve"> </w:t>
      </w:r>
    </w:p>
    <w:p w14:paraId="25CC46C5" w14:textId="77777777" w:rsidR="0047347F" w:rsidRDefault="00CA7F92">
      <w:pPr>
        <w:spacing w:after="202" w:line="259" w:lineRule="auto"/>
        <w:ind w:left="586" w:firstLine="0"/>
        <w:jc w:val="center"/>
      </w:pPr>
      <w:r>
        <w:rPr>
          <w:b/>
          <w:sz w:val="18"/>
        </w:rPr>
        <w:t xml:space="preserve">FINAL 28 April 2025 </w:t>
      </w:r>
    </w:p>
    <w:p w14:paraId="28C3B43B" w14:textId="77777777" w:rsidR="0047347F" w:rsidRDefault="00CA7F92">
      <w:pPr>
        <w:spacing w:after="0" w:line="259" w:lineRule="auto"/>
        <w:ind w:left="0" w:firstLine="0"/>
      </w:pPr>
      <w:r>
        <w:rPr>
          <w:b/>
          <w:sz w:val="20"/>
        </w:rPr>
        <w:t xml:space="preserve"> </w:t>
      </w:r>
      <w:r>
        <w:rPr>
          <w:b/>
          <w:sz w:val="20"/>
        </w:rPr>
        <w:tab/>
      </w:r>
      <w:r>
        <w:rPr>
          <w:sz w:val="36"/>
        </w:rPr>
        <w:t xml:space="preserve"> </w:t>
      </w:r>
    </w:p>
    <w:p w14:paraId="76E60BE7" w14:textId="77777777" w:rsidR="0047347F" w:rsidRDefault="00CA7F92">
      <w:pPr>
        <w:spacing w:after="0" w:line="259" w:lineRule="auto"/>
        <w:ind w:left="0" w:firstLine="0"/>
      </w:pPr>
      <w:r>
        <w:rPr>
          <w:b/>
          <w:sz w:val="20"/>
        </w:rPr>
        <w:t xml:space="preserve"> </w:t>
      </w:r>
    </w:p>
    <w:p w14:paraId="7263A044" w14:textId="77777777" w:rsidR="0047347F" w:rsidRDefault="00CA7F92">
      <w:pPr>
        <w:spacing w:after="0" w:line="259" w:lineRule="auto"/>
        <w:ind w:left="0" w:firstLine="0"/>
      </w:pPr>
      <w:r>
        <w:rPr>
          <w:b/>
          <w:sz w:val="20"/>
        </w:rPr>
        <w:t xml:space="preserve"> </w:t>
      </w:r>
    </w:p>
    <w:p w14:paraId="73083A93" w14:textId="77777777" w:rsidR="0047347F" w:rsidRDefault="00CA7F92">
      <w:pPr>
        <w:spacing w:after="0" w:line="259" w:lineRule="auto"/>
        <w:ind w:left="0" w:firstLine="0"/>
      </w:pPr>
      <w:r>
        <w:rPr>
          <w:b/>
          <w:sz w:val="20"/>
        </w:rPr>
        <w:t xml:space="preserve"> </w:t>
      </w:r>
    </w:p>
    <w:p w14:paraId="1DBC0C92" w14:textId="77777777" w:rsidR="0047347F" w:rsidRDefault="00CA7F92">
      <w:pPr>
        <w:spacing w:after="0" w:line="259" w:lineRule="auto"/>
        <w:ind w:left="0" w:firstLine="0"/>
      </w:pPr>
      <w:r>
        <w:rPr>
          <w:b/>
          <w:sz w:val="20"/>
        </w:rPr>
        <w:t xml:space="preserve"> </w:t>
      </w:r>
    </w:p>
    <w:p w14:paraId="523AF78F" w14:textId="77777777" w:rsidR="0047347F" w:rsidRDefault="00CA7F92">
      <w:pPr>
        <w:spacing w:after="0" w:line="259" w:lineRule="auto"/>
        <w:ind w:left="0" w:firstLine="0"/>
      </w:pPr>
      <w:r>
        <w:rPr>
          <w:b/>
          <w:sz w:val="20"/>
        </w:rPr>
        <w:t xml:space="preserve"> </w:t>
      </w:r>
    </w:p>
    <w:p w14:paraId="3B37FD78" w14:textId="77777777" w:rsidR="0047347F" w:rsidRDefault="00CA7F92">
      <w:pPr>
        <w:spacing w:after="61" w:line="259" w:lineRule="auto"/>
        <w:ind w:left="0" w:firstLine="0"/>
      </w:pPr>
      <w:r>
        <w:rPr>
          <w:b/>
          <w:sz w:val="20"/>
        </w:rPr>
        <w:t xml:space="preserve"> </w:t>
      </w:r>
    </w:p>
    <w:p w14:paraId="6E03BA3C" w14:textId="77777777" w:rsidR="0047347F" w:rsidRDefault="00CA7F92">
      <w:pPr>
        <w:spacing w:after="0" w:line="259" w:lineRule="auto"/>
        <w:ind w:left="0" w:firstLine="0"/>
      </w:pPr>
      <w:r>
        <w:rPr>
          <w:b/>
          <w:sz w:val="28"/>
        </w:rPr>
        <w:t xml:space="preserve"> </w:t>
      </w:r>
    </w:p>
    <w:p w14:paraId="200C813E" w14:textId="77777777" w:rsidR="0047347F" w:rsidRDefault="00CA7F92">
      <w:pPr>
        <w:spacing w:after="0" w:line="259" w:lineRule="auto"/>
        <w:ind w:left="0" w:firstLine="0"/>
      </w:pPr>
      <w:r>
        <w:rPr>
          <w:b/>
          <w:sz w:val="20"/>
        </w:rPr>
        <w:t xml:space="preserve"> </w:t>
      </w:r>
    </w:p>
    <w:p w14:paraId="1AC6DB4D" w14:textId="77777777" w:rsidR="0047347F" w:rsidRDefault="00CA7F92">
      <w:pPr>
        <w:spacing w:after="0" w:line="259" w:lineRule="auto"/>
        <w:ind w:left="0" w:firstLine="0"/>
      </w:pPr>
      <w:r>
        <w:rPr>
          <w:b/>
          <w:sz w:val="20"/>
        </w:rPr>
        <w:t xml:space="preserve"> </w:t>
      </w:r>
    </w:p>
    <w:p w14:paraId="59D7E027" w14:textId="77777777" w:rsidR="0047347F" w:rsidRDefault="00CA7F92">
      <w:pPr>
        <w:spacing w:after="0" w:line="259" w:lineRule="auto"/>
        <w:ind w:left="0" w:firstLine="0"/>
      </w:pPr>
      <w:r>
        <w:rPr>
          <w:b/>
          <w:sz w:val="20"/>
        </w:rPr>
        <w:t xml:space="preserve"> </w:t>
      </w:r>
    </w:p>
    <w:p w14:paraId="49BF2770" w14:textId="77777777" w:rsidR="0047347F" w:rsidRDefault="00CA7F92">
      <w:pPr>
        <w:spacing w:after="309" w:line="259" w:lineRule="auto"/>
        <w:ind w:left="0" w:firstLine="0"/>
      </w:pPr>
      <w:r>
        <w:rPr>
          <w:b/>
          <w:sz w:val="20"/>
        </w:rPr>
        <w:t xml:space="preserve"> </w:t>
      </w:r>
    </w:p>
    <w:sdt>
      <w:sdtPr>
        <w:id w:val="1086734211"/>
        <w:docPartObj>
          <w:docPartGallery w:val="Table of Contents"/>
        </w:docPartObj>
      </w:sdtPr>
      <w:sdtEndPr/>
      <w:sdtContent>
        <w:p w14:paraId="0AF7D22A" w14:textId="77777777" w:rsidR="00CA7F92" w:rsidRDefault="00CA7F92">
          <w:pPr>
            <w:spacing w:after="1" w:line="259" w:lineRule="auto"/>
            <w:ind w:left="96"/>
          </w:pPr>
        </w:p>
        <w:p w14:paraId="04135DF4" w14:textId="77777777" w:rsidR="00CA7F92" w:rsidRDefault="00CA7F92">
          <w:pPr>
            <w:spacing w:after="160" w:line="278" w:lineRule="auto"/>
            <w:ind w:left="0" w:firstLine="0"/>
          </w:pPr>
          <w:r>
            <w:br w:type="page"/>
          </w:r>
        </w:p>
        <w:p w14:paraId="4558C369" w14:textId="60464D61" w:rsidR="0047347F" w:rsidRDefault="00CA7F92">
          <w:pPr>
            <w:spacing w:after="1" w:line="259" w:lineRule="auto"/>
            <w:ind w:left="96"/>
          </w:pPr>
          <w:r>
            <w:rPr>
              <w:color w:val="2E5395"/>
              <w:sz w:val="32"/>
            </w:rPr>
            <w:lastRenderedPageBreak/>
            <w:t>Contents</w:t>
          </w:r>
          <w:r>
            <w:rPr>
              <w:sz w:val="32"/>
            </w:rPr>
            <w:t xml:space="preserve"> </w:t>
          </w:r>
        </w:p>
        <w:p w14:paraId="794D772C" w14:textId="77777777" w:rsidR="0047347F" w:rsidRDefault="00CA7F92">
          <w:pPr>
            <w:pStyle w:val="TOC1"/>
            <w:tabs>
              <w:tab w:val="right" w:leader="dot" w:pos="9211"/>
            </w:tabs>
          </w:pPr>
          <w:r>
            <w:fldChar w:fldCharType="begin"/>
          </w:r>
          <w:r>
            <w:instrText xml:space="preserve"> TOC \o "1-2" \h \z \u </w:instrText>
          </w:r>
          <w:r>
            <w:fldChar w:fldCharType="separate"/>
          </w:r>
          <w:hyperlink w:anchor="_Toc7915">
            <w:r>
              <w:t>1.</w:t>
            </w:r>
            <w:r>
              <w:rPr>
                <w:rFonts w:ascii="Arial" w:eastAsia="Arial" w:hAnsi="Arial" w:cs="Arial"/>
              </w:rPr>
              <w:t xml:space="preserve">  </w:t>
            </w:r>
            <w:r>
              <w:t>Introduction</w:t>
            </w:r>
            <w:r>
              <w:tab/>
            </w:r>
            <w:r>
              <w:fldChar w:fldCharType="begin"/>
            </w:r>
            <w:r>
              <w:instrText>PAGEREF _Toc7915 \h</w:instrText>
            </w:r>
            <w:r>
              <w:fldChar w:fldCharType="separate"/>
            </w:r>
            <w:r>
              <w:t xml:space="preserve">3 </w:t>
            </w:r>
            <w:r>
              <w:fldChar w:fldCharType="end"/>
            </w:r>
          </w:hyperlink>
        </w:p>
        <w:p w14:paraId="2BE1BFA2" w14:textId="77777777" w:rsidR="0047347F" w:rsidRDefault="00CA7F92">
          <w:pPr>
            <w:pStyle w:val="TOC1"/>
            <w:tabs>
              <w:tab w:val="right" w:leader="dot" w:pos="9211"/>
            </w:tabs>
          </w:pPr>
          <w:hyperlink w:anchor="_Toc7916">
            <w:r>
              <w:t>2.</w:t>
            </w:r>
            <w:r>
              <w:rPr>
                <w:rFonts w:ascii="Arial" w:eastAsia="Arial" w:hAnsi="Arial" w:cs="Arial"/>
              </w:rPr>
              <w:t xml:space="preserve">  </w:t>
            </w:r>
            <w:r>
              <w:t>Background</w:t>
            </w:r>
            <w:r>
              <w:tab/>
            </w:r>
            <w:r>
              <w:fldChar w:fldCharType="begin"/>
            </w:r>
            <w:r>
              <w:instrText>PAGEREF _Toc7916 \h</w:instrText>
            </w:r>
            <w:r>
              <w:fldChar w:fldCharType="separate"/>
            </w:r>
            <w:r>
              <w:t xml:space="preserve">3 </w:t>
            </w:r>
            <w:r>
              <w:fldChar w:fldCharType="end"/>
            </w:r>
          </w:hyperlink>
        </w:p>
        <w:p w14:paraId="0E816C04" w14:textId="77777777" w:rsidR="0047347F" w:rsidRDefault="00CA7F92">
          <w:pPr>
            <w:pStyle w:val="TOC1"/>
            <w:tabs>
              <w:tab w:val="right" w:leader="dot" w:pos="9211"/>
            </w:tabs>
          </w:pPr>
          <w:hyperlink w:anchor="_Toc7917">
            <w:r>
              <w:t>3.</w:t>
            </w:r>
            <w:r>
              <w:rPr>
                <w:rFonts w:ascii="Arial" w:eastAsia="Arial" w:hAnsi="Arial" w:cs="Arial"/>
              </w:rPr>
              <w:t xml:space="preserve"> </w:t>
            </w:r>
            <w:r>
              <w:t>Taskforce Recommendation 4</w:t>
            </w:r>
            <w:r>
              <w:tab/>
            </w:r>
            <w:r>
              <w:fldChar w:fldCharType="begin"/>
            </w:r>
            <w:r>
              <w:instrText>PAGEREF _Toc7917 \h</w:instrText>
            </w:r>
            <w:r>
              <w:fldChar w:fldCharType="separate"/>
            </w:r>
            <w:r>
              <w:t xml:space="preserve">4 </w:t>
            </w:r>
            <w:r>
              <w:fldChar w:fldCharType="end"/>
            </w:r>
          </w:hyperlink>
        </w:p>
        <w:p w14:paraId="161997D8" w14:textId="77777777" w:rsidR="0047347F" w:rsidRDefault="00CA7F92">
          <w:pPr>
            <w:pStyle w:val="TOC1"/>
            <w:tabs>
              <w:tab w:val="right" w:leader="dot" w:pos="9211"/>
            </w:tabs>
          </w:pPr>
          <w:hyperlink w:anchor="_Toc7918">
            <w:r>
              <w:t>4.</w:t>
            </w:r>
            <w:r>
              <w:rPr>
                <w:rFonts w:ascii="Arial" w:eastAsia="Arial" w:hAnsi="Arial" w:cs="Arial"/>
              </w:rPr>
              <w:t xml:space="preserve"> </w:t>
            </w:r>
            <w:r>
              <w:t>Workers’ compensation in Australia</w:t>
            </w:r>
            <w:r>
              <w:tab/>
            </w:r>
            <w:r>
              <w:fldChar w:fldCharType="begin"/>
            </w:r>
            <w:r>
              <w:instrText>PAGEREF _Toc7918 \h</w:instrText>
            </w:r>
            <w:r>
              <w:fldChar w:fldCharType="separate"/>
            </w:r>
            <w:r>
              <w:t xml:space="preserve">4 </w:t>
            </w:r>
            <w:r>
              <w:fldChar w:fldCharType="end"/>
            </w:r>
          </w:hyperlink>
        </w:p>
        <w:p w14:paraId="6EE2EA65" w14:textId="77777777" w:rsidR="0047347F" w:rsidRDefault="00CA7F92">
          <w:pPr>
            <w:pStyle w:val="TOC1"/>
            <w:tabs>
              <w:tab w:val="right" w:leader="dot" w:pos="9211"/>
            </w:tabs>
          </w:pPr>
          <w:hyperlink w:anchor="_Toc7919">
            <w:r>
              <w:t>5.</w:t>
            </w:r>
            <w:r>
              <w:rPr>
                <w:rFonts w:ascii="Arial" w:eastAsia="Arial" w:hAnsi="Arial" w:cs="Arial"/>
              </w:rPr>
              <w:t xml:space="preserve"> </w:t>
            </w:r>
            <w:r>
              <w:t xml:space="preserve">  Best practice workers’ compensation principles for workers with silicosis and related diseases</w:t>
            </w:r>
            <w:r>
              <w:tab/>
            </w:r>
            <w:r>
              <w:fldChar w:fldCharType="begin"/>
            </w:r>
            <w:r>
              <w:instrText>PAGEREF _Toc7919 \h</w:instrText>
            </w:r>
            <w:r>
              <w:fldChar w:fldCharType="separate"/>
            </w:r>
            <w:r>
              <w:t xml:space="preserve">5 </w:t>
            </w:r>
            <w:r>
              <w:fldChar w:fldCharType="end"/>
            </w:r>
          </w:hyperlink>
        </w:p>
        <w:p w14:paraId="124715FC" w14:textId="77777777" w:rsidR="0047347F" w:rsidRDefault="00CA7F92">
          <w:pPr>
            <w:pStyle w:val="TOC2"/>
            <w:tabs>
              <w:tab w:val="right" w:leader="dot" w:pos="9211"/>
            </w:tabs>
          </w:pPr>
          <w:hyperlink w:anchor="_Toc7920">
            <w:r>
              <w:t>5.1  Preamble</w:t>
            </w:r>
            <w:r>
              <w:tab/>
            </w:r>
            <w:r>
              <w:fldChar w:fldCharType="begin"/>
            </w:r>
            <w:r>
              <w:instrText>PAGEREF _Toc7920 \h</w:instrText>
            </w:r>
            <w:r>
              <w:fldChar w:fldCharType="separate"/>
            </w:r>
            <w:r>
              <w:t xml:space="preserve">5 </w:t>
            </w:r>
            <w:r>
              <w:fldChar w:fldCharType="end"/>
            </w:r>
          </w:hyperlink>
        </w:p>
        <w:p w14:paraId="4C233099" w14:textId="77777777" w:rsidR="0047347F" w:rsidRDefault="00CA7F92">
          <w:pPr>
            <w:pStyle w:val="TOC2"/>
            <w:tabs>
              <w:tab w:val="right" w:leader="dot" w:pos="9211"/>
            </w:tabs>
          </w:pPr>
          <w:hyperlink w:anchor="_Toc7921">
            <w:r>
              <w:t>5.2  The Principles</w:t>
            </w:r>
            <w:r>
              <w:tab/>
            </w:r>
            <w:r>
              <w:fldChar w:fldCharType="begin"/>
            </w:r>
            <w:r>
              <w:instrText>PAGEREF _Toc7921 \h</w:instrText>
            </w:r>
            <w:r>
              <w:fldChar w:fldCharType="separate"/>
            </w:r>
            <w:r>
              <w:t xml:space="preserve">6 </w:t>
            </w:r>
            <w:r>
              <w:fldChar w:fldCharType="end"/>
            </w:r>
          </w:hyperlink>
        </w:p>
        <w:p w14:paraId="7D0C456E" w14:textId="77777777" w:rsidR="0047347F" w:rsidRDefault="00CA7F92">
          <w:r>
            <w:fldChar w:fldCharType="end"/>
          </w:r>
        </w:p>
      </w:sdtContent>
    </w:sdt>
    <w:p w14:paraId="5AD083B9" w14:textId="77777777" w:rsidR="0047347F" w:rsidRDefault="00CA7F92">
      <w:pPr>
        <w:spacing w:after="0" w:line="259" w:lineRule="auto"/>
        <w:ind w:left="99" w:firstLine="0"/>
      </w:pPr>
      <w:r>
        <w:t xml:space="preserve"> </w:t>
      </w:r>
      <w:r>
        <w:br w:type="page"/>
      </w:r>
    </w:p>
    <w:p w14:paraId="0C5A264E" w14:textId="77777777" w:rsidR="0047347F" w:rsidRDefault="00CA7F92">
      <w:pPr>
        <w:pStyle w:val="Heading1"/>
        <w:ind w:left="808" w:hanging="722"/>
      </w:pPr>
      <w:bookmarkStart w:id="0" w:name="_Toc7915"/>
      <w:r>
        <w:lastRenderedPageBreak/>
        <w:t>Introduction</w:t>
      </w:r>
      <w:r>
        <w:rPr>
          <w:color w:val="000000"/>
        </w:rPr>
        <w:t xml:space="preserve"> </w:t>
      </w:r>
      <w:bookmarkEnd w:id="0"/>
    </w:p>
    <w:p w14:paraId="797C267F" w14:textId="77777777" w:rsidR="0047347F" w:rsidRDefault="00CA7F92">
      <w:pPr>
        <w:ind w:left="96" w:right="49"/>
      </w:pPr>
      <w:r>
        <w:t xml:space="preserve">All workers have the right to a healthy and safe working environment. The re-emergence of silicosis and silica related diseases as occupational diseases in Australia and worldwide is a cause of significant concern. </w:t>
      </w:r>
    </w:p>
    <w:p w14:paraId="2ADDBDC4" w14:textId="77777777" w:rsidR="0047347F" w:rsidRDefault="00CA7F92">
      <w:pPr>
        <w:ind w:left="96" w:right="49"/>
      </w:pPr>
      <w:r>
        <w:t xml:space="preserve">Silicosis is caused by the inhalation of respirable crystalline silica generated when manipulating - cutting, grinding and polishing - material containing silica. Silicosis is one of the oldest known occupational diseases, it has been recorded for hundreds of years amongst miners and stonecutters. </w:t>
      </w:r>
    </w:p>
    <w:p w14:paraId="17C5C3C6" w14:textId="77777777" w:rsidR="0047347F" w:rsidRDefault="00CA7F92">
      <w:pPr>
        <w:spacing w:after="0"/>
        <w:ind w:left="96" w:right="49"/>
      </w:pPr>
      <w:r>
        <w:t xml:space="preserve">The re-emergence of silicosis is largely, though not entirely, due to the popularity of high silica containing engineered stone benchtops and other products. </w:t>
      </w:r>
    </w:p>
    <w:p w14:paraId="6E2B0AAE" w14:textId="0F21B5CD" w:rsidR="0047347F" w:rsidRDefault="00CA7F92" w:rsidP="00CA7F92">
      <w:pPr>
        <w:spacing w:after="0" w:line="259" w:lineRule="auto"/>
        <w:ind w:left="0" w:firstLine="0"/>
      </w:pPr>
      <w:r>
        <w:rPr>
          <w:sz w:val="20"/>
        </w:rPr>
        <w:t xml:space="preserve"> </w:t>
      </w:r>
    </w:p>
    <w:p w14:paraId="0445ABE7" w14:textId="77777777" w:rsidR="0047347F" w:rsidRDefault="00CA7F92">
      <w:pPr>
        <w:pBdr>
          <w:top w:val="single" w:sz="6" w:space="0" w:color="000000"/>
          <w:left w:val="single" w:sz="6" w:space="0" w:color="000000"/>
          <w:bottom w:val="single" w:sz="6" w:space="0" w:color="000000"/>
          <w:right w:val="single" w:sz="6" w:space="0" w:color="000000"/>
        </w:pBdr>
        <w:spacing w:after="1" w:line="258" w:lineRule="auto"/>
        <w:ind w:left="247"/>
      </w:pPr>
      <w:r>
        <w:rPr>
          <w:b/>
        </w:rPr>
        <w:t xml:space="preserve">On 13 December 2023, work health and safety (WHS) ministers representing the </w:t>
      </w:r>
    </w:p>
    <w:p w14:paraId="7FE0659A" w14:textId="77777777" w:rsidR="0047347F" w:rsidRDefault="00CA7F92">
      <w:pPr>
        <w:pBdr>
          <w:top w:val="single" w:sz="6" w:space="0" w:color="000000"/>
          <w:left w:val="single" w:sz="6" w:space="0" w:color="000000"/>
          <w:bottom w:val="single" w:sz="6" w:space="0" w:color="000000"/>
          <w:right w:val="single" w:sz="6" w:space="0" w:color="000000"/>
        </w:pBdr>
        <w:spacing w:after="318" w:line="258" w:lineRule="auto"/>
        <w:ind w:left="247"/>
      </w:pPr>
      <w:r>
        <w:rPr>
          <w:b/>
        </w:rPr>
        <w:t xml:space="preserve">Commonwealth, states and territories agreed to prohibit the use of engineered stone with </w:t>
      </w:r>
      <w:proofErr w:type="gramStart"/>
      <w:r>
        <w:rPr>
          <w:b/>
        </w:rPr>
        <w:t>the majority of</w:t>
      </w:r>
      <w:proofErr w:type="gramEnd"/>
      <w:r>
        <w:rPr>
          <w:b/>
        </w:rPr>
        <w:t xml:space="preserve"> jurisdictions to commence the prohibition from 1 July 2024. </w:t>
      </w:r>
    </w:p>
    <w:p w14:paraId="5EA6B6FC" w14:textId="77777777" w:rsidR="0047347F" w:rsidRDefault="00CA7F92">
      <w:pPr>
        <w:ind w:left="96" w:right="49"/>
      </w:pPr>
      <w:r>
        <w:t xml:space="preserve">Workers are also exposed to respirable crystalline silica in other industries including tunnelling, stonemasonry, mining and quarrying and other construction work. </w:t>
      </w:r>
    </w:p>
    <w:p w14:paraId="3CC6CD12" w14:textId="77777777" w:rsidR="0047347F" w:rsidRDefault="00CA7F92">
      <w:pPr>
        <w:spacing w:after="189"/>
        <w:ind w:left="96" w:right="49"/>
      </w:pPr>
      <w:r>
        <w:t>Engineered stone products are made by binding finely crushed crystalline silica, metals, inorganic fillers and pigments with polymer resins together to form a hardened composite stone. The silica content of engineered stone products is typically much higher (up to 95%) than that of natural stones such as marble and granite, which contain between 3% and 40% silica. Additionally, there are growing concerns regarding the impact of the non-silica components in engineered stone such as metals and organic compounds.</w:t>
      </w:r>
      <w:r>
        <w:rPr>
          <w:vertAlign w:val="superscript"/>
        </w:rPr>
        <w:footnoteReference w:id="1"/>
      </w:r>
      <w:r>
        <w:t xml:space="preserve"> </w:t>
      </w:r>
    </w:p>
    <w:p w14:paraId="31B5F81E" w14:textId="77777777" w:rsidR="0047347F" w:rsidRDefault="00CA7F92">
      <w:pPr>
        <w:spacing w:after="0"/>
        <w:ind w:left="96" w:right="49"/>
      </w:pPr>
      <w:r>
        <w:t xml:space="preserve">The form of silicosis linked to engineered stone dusts is markedly different from traditional forms of silicosis and is characterised by shorter latency periods (thus impacting younger workers) and rapid progression to progressive massive fibrosis (PMF), the most severe form of dust-related pneumoconiosis. There is no cure for silicosis, and it can be fatal. </w:t>
      </w:r>
    </w:p>
    <w:p w14:paraId="2CFC62CD" w14:textId="77777777" w:rsidR="0047347F" w:rsidRDefault="00CA7F92">
      <w:pPr>
        <w:spacing w:after="124" w:line="259" w:lineRule="auto"/>
        <w:ind w:left="0" w:firstLine="0"/>
      </w:pPr>
      <w:r>
        <w:rPr>
          <w:sz w:val="19"/>
        </w:rPr>
        <w:t xml:space="preserve"> </w:t>
      </w:r>
    </w:p>
    <w:p w14:paraId="69672C62" w14:textId="77777777" w:rsidR="0047347F" w:rsidRDefault="00CA7F92">
      <w:pPr>
        <w:pStyle w:val="Heading1"/>
        <w:ind w:left="808" w:hanging="722"/>
      </w:pPr>
      <w:bookmarkStart w:id="1" w:name="_Toc7916"/>
      <w:r>
        <w:t>Background</w:t>
      </w:r>
      <w:r>
        <w:rPr>
          <w:color w:val="000000"/>
        </w:rPr>
        <w:t xml:space="preserve"> </w:t>
      </w:r>
      <w:bookmarkEnd w:id="1"/>
    </w:p>
    <w:p w14:paraId="361EAA9B" w14:textId="77777777" w:rsidR="0047347F" w:rsidRDefault="00CA7F92">
      <w:pPr>
        <w:ind w:left="96" w:right="49"/>
      </w:pPr>
      <w:r>
        <w:t xml:space="preserve">In October 2018, the Council of Australian Governments’ (COAG) Health Council discussed the increase in silicosis diagnoses resulting from the use of engineered stone. It was agreed that a National Dust Disease Register should be explored and that the Commonwealth’ Minister for Health would engage with Safe Work Australia, the national WHS policy agency, on the actions being taken to improve the safety of working with engineered stone benchtops. </w:t>
      </w:r>
    </w:p>
    <w:p w14:paraId="5183D194" w14:textId="77777777" w:rsidR="0047347F" w:rsidRDefault="00CA7F92">
      <w:pPr>
        <w:ind w:left="96" w:right="49"/>
      </w:pPr>
      <w:r>
        <w:t xml:space="preserve">In July 2019, the Commonwealth Government announced the establishment of a National Dust Disease Taskforce (Taskforce). The Taskforce was asked to develop a national approach to the prevention, early identification, control, and management of occupational dust diseases. </w:t>
      </w:r>
    </w:p>
    <w:p w14:paraId="490BE95D" w14:textId="77777777" w:rsidR="0047347F" w:rsidRDefault="00CA7F92">
      <w:pPr>
        <w:spacing w:after="2"/>
        <w:ind w:left="96" w:right="49"/>
      </w:pPr>
      <w:r>
        <w:t xml:space="preserve">In June 2021, the Taskforce presented the </w:t>
      </w:r>
      <w:hyperlink r:id="rId7">
        <w:r>
          <w:rPr>
            <w:color w:val="0462C1"/>
            <w:u w:val="single" w:color="0462C1"/>
          </w:rPr>
          <w:t>National Dust Disease Taskforce - Final Report</w:t>
        </w:r>
      </w:hyperlink>
      <w:hyperlink r:id="rId8">
        <w:r>
          <w:rPr>
            <w:color w:val="0462C1"/>
          </w:rPr>
          <w:t xml:space="preserve"> </w:t>
        </w:r>
      </w:hyperlink>
      <w:hyperlink r:id="rId9">
        <w:r>
          <w:t>(</w:t>
        </w:r>
      </w:hyperlink>
      <w:r>
        <w:t xml:space="preserve">Final </w:t>
      </w:r>
    </w:p>
    <w:p w14:paraId="69048361" w14:textId="77777777" w:rsidR="0047347F" w:rsidRDefault="00CA7F92">
      <w:pPr>
        <w:spacing w:after="0"/>
        <w:ind w:left="96" w:right="49"/>
      </w:pPr>
      <w:r>
        <w:lastRenderedPageBreak/>
        <w:t xml:space="preserve">Report) to the Minister for Health and Aged Care. The Final Report was developed following an extensive 3 phase consultation process involving a broad range of stakeholders, as well as consideration of specifically commissioned research. The Final Report contains 7 recommendations that support a range of regulatory and non-regulatory actions designed to improve health and safety and treatment and support for workers. </w:t>
      </w:r>
    </w:p>
    <w:p w14:paraId="6D30FDF9" w14:textId="77777777" w:rsidR="0047347F" w:rsidRDefault="00CA7F92">
      <w:pPr>
        <w:spacing w:after="126" w:line="259" w:lineRule="auto"/>
        <w:ind w:left="0" w:firstLine="0"/>
      </w:pPr>
      <w:r>
        <w:rPr>
          <w:sz w:val="19"/>
        </w:rPr>
        <w:t xml:space="preserve"> </w:t>
      </w:r>
    </w:p>
    <w:p w14:paraId="0B8C1C37" w14:textId="77777777" w:rsidR="0047347F" w:rsidRDefault="00CA7F92">
      <w:pPr>
        <w:pStyle w:val="Heading1"/>
        <w:ind w:left="808" w:hanging="722"/>
      </w:pPr>
      <w:bookmarkStart w:id="2" w:name="_Toc7917"/>
      <w:r>
        <w:t>Taskforce Recommendation 4</w:t>
      </w:r>
      <w:r>
        <w:rPr>
          <w:color w:val="000000"/>
        </w:rPr>
        <w:t xml:space="preserve"> </w:t>
      </w:r>
      <w:bookmarkEnd w:id="2"/>
    </w:p>
    <w:p w14:paraId="19232D0B" w14:textId="77777777" w:rsidR="0047347F" w:rsidRDefault="00CA7F92">
      <w:pPr>
        <w:ind w:left="96" w:right="49"/>
      </w:pPr>
      <w:r>
        <w:t xml:space="preserve">Recommendation 4, best practice workers compensation principles, in the Final Report provides (in part): </w:t>
      </w:r>
    </w:p>
    <w:p w14:paraId="7583C846" w14:textId="77777777" w:rsidR="0047347F" w:rsidRDefault="00CA7F92">
      <w:pPr>
        <w:ind w:left="96" w:right="49"/>
      </w:pPr>
      <w:r>
        <w:rPr>
          <w:b/>
        </w:rPr>
        <w:t xml:space="preserve">“Better support workers </w:t>
      </w:r>
      <w:r>
        <w:t xml:space="preserve">affected by dust diseases and their families through individually tailored programs of psychological, financial and return-to-work support.” </w:t>
      </w:r>
    </w:p>
    <w:p w14:paraId="5BA717FE" w14:textId="77777777" w:rsidR="0047347F" w:rsidRDefault="00CA7F92">
      <w:pPr>
        <w:ind w:left="96" w:right="49"/>
      </w:pPr>
      <w:r>
        <w:t xml:space="preserve">To support this recommendation, WHS Ministers agreed to request the Heads of Workers Compensation Authorities (HWCA) to: </w:t>
      </w:r>
    </w:p>
    <w:p w14:paraId="34506123" w14:textId="77777777" w:rsidR="0047347F" w:rsidRDefault="00CA7F92">
      <w:pPr>
        <w:ind w:left="831" w:right="49"/>
      </w:pPr>
      <w:r>
        <w:t xml:space="preserve">“…develop best practice workers’ compensation principles for workers with silicosis and related diseases”. </w:t>
      </w:r>
    </w:p>
    <w:p w14:paraId="0AAB4AD8" w14:textId="77777777" w:rsidR="0047347F" w:rsidRDefault="00CA7F92">
      <w:pPr>
        <w:spacing w:after="0"/>
        <w:ind w:left="96" w:right="49"/>
      </w:pPr>
      <w:r>
        <w:t xml:space="preserve">At its October 2022 meeting, HWCA agreed to add this work to its forward workplan and to establish a working group with representatives from the various interested workers compensation jurisdictions and the Commonwealth to develop the principles. </w:t>
      </w:r>
    </w:p>
    <w:p w14:paraId="6862ECC0" w14:textId="77777777" w:rsidR="0047347F" w:rsidRDefault="00CA7F92">
      <w:pPr>
        <w:spacing w:after="126" w:line="259" w:lineRule="auto"/>
        <w:ind w:left="0" w:firstLine="0"/>
      </w:pPr>
      <w:r>
        <w:rPr>
          <w:sz w:val="19"/>
        </w:rPr>
        <w:t xml:space="preserve"> </w:t>
      </w:r>
    </w:p>
    <w:p w14:paraId="36216901" w14:textId="77777777" w:rsidR="0047347F" w:rsidRDefault="00CA7F92">
      <w:pPr>
        <w:pStyle w:val="Heading1"/>
        <w:ind w:left="808" w:hanging="722"/>
      </w:pPr>
      <w:bookmarkStart w:id="3" w:name="_Toc7918"/>
      <w:r>
        <w:t>Workers’ compensation in Australia</w:t>
      </w:r>
      <w:r>
        <w:rPr>
          <w:color w:val="000000"/>
        </w:rPr>
        <w:t xml:space="preserve"> </w:t>
      </w:r>
      <w:bookmarkEnd w:id="3"/>
    </w:p>
    <w:p w14:paraId="3AC60A61" w14:textId="77777777" w:rsidR="0047347F" w:rsidRDefault="00CA7F92">
      <w:pPr>
        <w:ind w:left="96" w:right="49"/>
      </w:pPr>
      <w:r>
        <w:t xml:space="preserve">Workers’ compensation is a function of the states and territories. Each state and territory administer their own scheme along with 3 Commonwealth schemes. Broadly, employers must maintain a valid policy of workers compensation insurance to cover their workers in case they get sick or injured because of work. </w:t>
      </w:r>
    </w:p>
    <w:p w14:paraId="5A88FBDC" w14:textId="77777777" w:rsidR="0047347F" w:rsidRDefault="00CA7F92">
      <w:pPr>
        <w:spacing w:after="161" w:line="258" w:lineRule="auto"/>
        <w:ind w:left="86" w:right="652" w:firstLine="0"/>
        <w:jc w:val="both"/>
      </w:pPr>
      <w:r>
        <w:t xml:space="preserve">While there are features common to all the schemes, there is significant variation in respect of eligibility, coverage, duration of entitlements and other supports available to workers who are diagnosed with silicosis and related diseases. </w:t>
      </w:r>
    </w:p>
    <w:p w14:paraId="543311D8" w14:textId="77777777" w:rsidR="0047347F" w:rsidRDefault="00CA7F92">
      <w:pPr>
        <w:ind w:left="96" w:right="49"/>
      </w:pPr>
      <w:r>
        <w:t>SafeWork Australia releases a biennial report comparing Australia and New Zealand’s workers compensation arrangements –</w:t>
      </w:r>
      <w:hyperlink r:id="rId10">
        <w:r>
          <w:rPr>
            <w:color w:val="0462C1"/>
            <w:u w:val="single" w:color="0462C1"/>
          </w:rPr>
          <w:t xml:space="preserve"> Comparison of Workers’ Compensation Arrangement in Australia and</w:t>
        </w:r>
      </w:hyperlink>
      <w:hyperlink r:id="rId11">
        <w:r>
          <w:rPr>
            <w:color w:val="0462C1"/>
          </w:rPr>
          <w:t xml:space="preserve"> </w:t>
        </w:r>
      </w:hyperlink>
      <w:hyperlink r:id="rId12">
        <w:r>
          <w:rPr>
            <w:color w:val="0462C1"/>
            <w:u w:val="single" w:color="0462C1"/>
          </w:rPr>
          <w:t>New Zealand 2023</w:t>
        </w:r>
      </w:hyperlink>
      <w:hyperlink r:id="rId13">
        <w:r>
          <w:t xml:space="preserve">. </w:t>
        </w:r>
      </w:hyperlink>
    </w:p>
    <w:p w14:paraId="46406D06" w14:textId="77777777" w:rsidR="0047347F" w:rsidRDefault="0047347F">
      <w:pPr>
        <w:sectPr w:rsidR="0047347F">
          <w:footerReference w:type="even" r:id="rId14"/>
          <w:footerReference w:type="default" r:id="rId15"/>
          <w:footerReference w:type="first" r:id="rId16"/>
          <w:footnotePr>
            <w:numRestart w:val="eachPage"/>
          </w:footnotePr>
          <w:pgSz w:w="11911" w:h="16841"/>
          <w:pgMar w:top="1464" w:right="1361" w:bottom="1780" w:left="1339" w:header="720" w:footer="950" w:gutter="0"/>
          <w:cols w:space="720"/>
        </w:sectPr>
      </w:pPr>
    </w:p>
    <w:p w14:paraId="30A36C0D" w14:textId="77777777" w:rsidR="0047347F" w:rsidRDefault="00CA7F92">
      <w:pPr>
        <w:spacing w:after="21" w:line="259" w:lineRule="auto"/>
        <w:ind w:left="0" w:firstLine="0"/>
      </w:pPr>
      <w:r>
        <w:rPr>
          <w:sz w:val="20"/>
        </w:rPr>
        <w:lastRenderedPageBreak/>
        <w:t xml:space="preserve"> </w:t>
      </w:r>
    </w:p>
    <w:p w14:paraId="087505A5" w14:textId="77777777" w:rsidR="0047347F" w:rsidRDefault="00CA7F92">
      <w:pPr>
        <w:spacing w:after="108" w:line="259" w:lineRule="auto"/>
        <w:ind w:left="0" w:firstLine="0"/>
      </w:pPr>
      <w:r>
        <w:rPr>
          <w:sz w:val="24"/>
        </w:rPr>
        <w:t xml:space="preserve"> </w:t>
      </w:r>
    </w:p>
    <w:p w14:paraId="0C663308" w14:textId="77777777" w:rsidR="0047347F" w:rsidRDefault="00CA7F92">
      <w:pPr>
        <w:pStyle w:val="Heading1"/>
        <w:ind w:left="808" w:hanging="722"/>
      </w:pPr>
      <w:bookmarkStart w:id="4" w:name="_Toc7919"/>
      <w:r>
        <w:t>Best practice workers’ compensation principles for workers with silicosis and related diseases</w:t>
      </w:r>
      <w:r>
        <w:rPr>
          <w:color w:val="000000"/>
        </w:rPr>
        <w:t xml:space="preserve"> </w:t>
      </w:r>
      <w:bookmarkEnd w:id="4"/>
    </w:p>
    <w:p w14:paraId="47C07433" w14:textId="77777777" w:rsidR="0047347F" w:rsidRDefault="00CA7F92">
      <w:pPr>
        <w:pStyle w:val="Heading2"/>
        <w:ind w:left="805" w:hanging="722"/>
      </w:pPr>
      <w:bookmarkStart w:id="5" w:name="_Toc7920"/>
      <w:r>
        <w:t>Preamble</w:t>
      </w:r>
      <w:r>
        <w:rPr>
          <w:color w:val="000000"/>
        </w:rPr>
        <w:t xml:space="preserve"> </w:t>
      </w:r>
      <w:bookmarkEnd w:id="5"/>
    </w:p>
    <w:p w14:paraId="3D36AE81" w14:textId="77777777" w:rsidR="0047347F" w:rsidRDefault="00CA7F92">
      <w:pPr>
        <w:ind w:left="96" w:right="49"/>
      </w:pPr>
      <w:r>
        <w:t xml:space="preserve">A diagnosis of silicosis and related diseases can be devastating both for a worker and their family. This is especially the case when the diagnosis is of a severe progressive form of silicosis and life expectancy is reduced. </w:t>
      </w:r>
    </w:p>
    <w:p w14:paraId="75D16CDE" w14:textId="77777777" w:rsidR="0047347F" w:rsidRDefault="00CA7F92">
      <w:pPr>
        <w:spacing w:after="186"/>
        <w:ind w:left="96" w:right="49"/>
      </w:pPr>
      <w:r>
        <w:t xml:space="preserve">The work of the Taskforce highlighted that those workers adversely affected by exposure to silica dust face life-changing consequences, as do their families. The broad themes of the Taskforce’s work, relevant to workers compensation, can be summarised as follows: </w:t>
      </w:r>
    </w:p>
    <w:p w14:paraId="7E4A70F6" w14:textId="77777777" w:rsidR="0047347F" w:rsidRDefault="00CA7F92">
      <w:pPr>
        <w:numPr>
          <w:ilvl w:val="0"/>
          <w:numId w:val="1"/>
        </w:numPr>
        <w:spacing w:after="11"/>
        <w:ind w:right="49" w:hanging="360"/>
      </w:pPr>
      <w:r>
        <w:t xml:space="preserve">A dust disease diagnosis impacts every part of both the diagnosed worker and their loved ones’ lives – physical health, mental health, financial stability, relationships and planning for the future. </w:t>
      </w:r>
    </w:p>
    <w:p w14:paraId="08DC985D" w14:textId="77777777" w:rsidR="0047347F" w:rsidRDefault="00CA7F92">
      <w:pPr>
        <w:numPr>
          <w:ilvl w:val="0"/>
          <w:numId w:val="1"/>
        </w:numPr>
        <w:spacing w:after="27" w:line="258" w:lineRule="auto"/>
        <w:ind w:right="49" w:hanging="360"/>
      </w:pPr>
      <w:r>
        <w:t xml:space="preserve">The needs of workers diagnosed with silicosis and related diseases can be very different to the needs of other workers compensation claimants. Their post-diagnosis supports need to be tailored to dust diseases and include financial, psychological, medical and, where appropriate, return to work support. </w:t>
      </w:r>
    </w:p>
    <w:p w14:paraId="11CDD92B" w14:textId="77777777" w:rsidR="0047347F" w:rsidRDefault="00CA7F92">
      <w:pPr>
        <w:numPr>
          <w:ilvl w:val="0"/>
          <w:numId w:val="1"/>
        </w:numPr>
        <w:spacing w:after="25"/>
        <w:ind w:right="49" w:hanging="360"/>
      </w:pPr>
      <w:r>
        <w:t xml:space="preserve">Workers need a user-centric approach supported by appropriately trained Case Managers who can provide practical assistance with accessing treatment and supports for workers and their families. </w:t>
      </w:r>
    </w:p>
    <w:p w14:paraId="2110EEA3" w14:textId="77777777" w:rsidR="0047347F" w:rsidRDefault="00CA7F92">
      <w:pPr>
        <w:numPr>
          <w:ilvl w:val="0"/>
          <w:numId w:val="1"/>
        </w:numPr>
        <w:ind w:right="49" w:hanging="360"/>
      </w:pPr>
      <w:r>
        <w:t xml:space="preserve">Workers and their families need help with understanding the claims pathway and what to expect </w:t>
      </w:r>
      <w:proofErr w:type="gramStart"/>
      <w:r>
        <w:t>in order to</w:t>
      </w:r>
      <w:proofErr w:type="gramEnd"/>
      <w:r>
        <w:t xml:space="preserve"> be able </w:t>
      </w:r>
      <w:proofErr w:type="gramStart"/>
      <w:r>
        <w:t>plan for the future</w:t>
      </w:r>
      <w:proofErr w:type="gramEnd"/>
      <w:r>
        <w:t xml:space="preserve">. Removing some of the unknowns can assist in managing the debilitating impact of a silicosis diagnosis. </w:t>
      </w:r>
    </w:p>
    <w:p w14:paraId="219F968B" w14:textId="77777777" w:rsidR="0047347F" w:rsidRDefault="00CA7F92">
      <w:pPr>
        <w:ind w:left="96" w:right="49"/>
      </w:pPr>
      <w:r>
        <w:t xml:space="preserve">Best practice dust diseases principles will contribute toward more consistent, fit-for-purpose, tailored and improved workers compensation schemes to better support workers and their families, regardless of the jurisdiction they are claiming in. The principles are designed for each jurisdiction to follow allowing for sufficient flexibility to be implemented in a manner that best suits the unique needs and context of individual schemes. While the principles cannot deliver a uniform workers compensation experience for workers across Australia, they can contribute to strengthening claims management processes across jurisdictions. </w:t>
      </w:r>
    </w:p>
    <w:p w14:paraId="025F163C" w14:textId="77777777" w:rsidR="0047347F" w:rsidRDefault="00CA7F92">
      <w:pPr>
        <w:ind w:left="96" w:right="49"/>
      </w:pPr>
      <w:r>
        <w:t xml:space="preserve">The principles are intended to operate alongside supports and services available outside the various workers compensation schemes, including health screening for persons at risk of exposure to respirable crystalline silica. </w:t>
      </w:r>
    </w:p>
    <w:p w14:paraId="14E4B711" w14:textId="77777777" w:rsidR="0047347F" w:rsidRDefault="00CA7F92">
      <w:pPr>
        <w:spacing w:after="71" w:line="259" w:lineRule="auto"/>
        <w:ind w:left="0" w:firstLine="0"/>
      </w:pPr>
      <w:r>
        <w:rPr>
          <w:sz w:val="23"/>
        </w:rPr>
        <w:t xml:space="preserve"> </w:t>
      </w:r>
    </w:p>
    <w:p w14:paraId="254FD4A8" w14:textId="77777777" w:rsidR="0047347F" w:rsidRDefault="00CA7F92">
      <w:pPr>
        <w:pStyle w:val="Heading2"/>
        <w:ind w:left="805" w:hanging="722"/>
      </w:pPr>
      <w:bookmarkStart w:id="6" w:name="_Toc7921"/>
      <w:r>
        <w:lastRenderedPageBreak/>
        <w:t xml:space="preserve">The </w:t>
      </w:r>
      <w:proofErr w:type="gramStart"/>
      <w:r>
        <w:t>Principles</w:t>
      </w:r>
      <w:proofErr w:type="gramEnd"/>
      <w:r>
        <w:rPr>
          <w:color w:val="000000"/>
        </w:rPr>
        <w:t xml:space="preserve"> </w:t>
      </w:r>
      <w:bookmarkEnd w:id="6"/>
    </w:p>
    <w:p w14:paraId="029DF479" w14:textId="77777777" w:rsidR="0047347F" w:rsidRDefault="00CA7F92">
      <w:pPr>
        <w:spacing w:after="0" w:line="259" w:lineRule="auto"/>
        <w:ind w:left="0" w:right="13964" w:firstLine="0"/>
        <w:jc w:val="both"/>
      </w:pPr>
      <w:r>
        <w:rPr>
          <w:sz w:val="20"/>
        </w:rPr>
        <w:t xml:space="preserve"> </w:t>
      </w:r>
      <w:r>
        <w:rPr>
          <w:sz w:val="18"/>
        </w:rPr>
        <w:t xml:space="preserve"> </w:t>
      </w:r>
    </w:p>
    <w:tbl>
      <w:tblPr>
        <w:tblStyle w:val="TableGrid"/>
        <w:tblW w:w="13884" w:type="dxa"/>
        <w:tblInd w:w="116" w:type="dxa"/>
        <w:tblCellMar>
          <w:top w:w="37" w:type="dxa"/>
          <w:right w:w="53" w:type="dxa"/>
        </w:tblCellMar>
        <w:tblLook w:val="04A0" w:firstRow="1" w:lastRow="0" w:firstColumn="1" w:lastColumn="0" w:noHBand="0" w:noVBand="1"/>
      </w:tblPr>
      <w:tblGrid>
        <w:gridCol w:w="443"/>
        <w:gridCol w:w="3996"/>
        <w:gridCol w:w="110"/>
        <w:gridCol w:w="9335"/>
      </w:tblGrid>
      <w:tr w:rsidR="0047347F" w14:paraId="029DE40F" w14:textId="77777777">
        <w:trPr>
          <w:trHeight w:val="276"/>
        </w:trPr>
        <w:tc>
          <w:tcPr>
            <w:tcW w:w="443" w:type="dxa"/>
            <w:tcBorders>
              <w:top w:val="single" w:sz="4" w:space="0" w:color="000000"/>
              <w:left w:val="single" w:sz="4" w:space="0" w:color="000000"/>
              <w:bottom w:val="single" w:sz="4" w:space="0" w:color="000000"/>
              <w:right w:val="single" w:sz="4" w:space="0" w:color="000000"/>
            </w:tcBorders>
            <w:shd w:val="clear" w:color="auto" w:fill="6FAC46"/>
          </w:tcPr>
          <w:p w14:paraId="00B8655B" w14:textId="77777777" w:rsidR="0047347F" w:rsidRDefault="00CA7F92">
            <w:pPr>
              <w:spacing w:after="0" w:line="259" w:lineRule="auto"/>
              <w:ind w:left="4" w:firstLine="0"/>
            </w:pPr>
            <w:r>
              <w:rPr>
                <w:rFonts w:ascii="Times New Roman" w:eastAsia="Times New Roman" w:hAnsi="Times New Roman" w:cs="Times New Roman"/>
                <w:sz w:val="18"/>
              </w:rPr>
              <w:t xml:space="preserve"> </w:t>
            </w:r>
          </w:p>
        </w:tc>
        <w:tc>
          <w:tcPr>
            <w:tcW w:w="3996" w:type="dxa"/>
            <w:tcBorders>
              <w:top w:val="single" w:sz="4" w:space="0" w:color="000000"/>
              <w:left w:val="single" w:sz="4" w:space="0" w:color="000000"/>
              <w:bottom w:val="single" w:sz="4" w:space="0" w:color="000000"/>
              <w:right w:val="nil"/>
            </w:tcBorders>
            <w:shd w:val="clear" w:color="auto" w:fill="6FAC46"/>
          </w:tcPr>
          <w:p w14:paraId="3D150BA9" w14:textId="77777777" w:rsidR="0047347F" w:rsidRDefault="00CA7F92">
            <w:pPr>
              <w:spacing w:after="0" w:line="259" w:lineRule="auto"/>
              <w:ind w:left="113" w:firstLine="0"/>
            </w:pPr>
            <w:r>
              <w:rPr>
                <w:b/>
              </w:rPr>
              <w:t xml:space="preserve">PRINCIPLE </w:t>
            </w:r>
          </w:p>
        </w:tc>
        <w:tc>
          <w:tcPr>
            <w:tcW w:w="110" w:type="dxa"/>
            <w:tcBorders>
              <w:top w:val="single" w:sz="4" w:space="0" w:color="000000"/>
              <w:left w:val="nil"/>
              <w:bottom w:val="single" w:sz="4" w:space="0" w:color="000000"/>
              <w:right w:val="single" w:sz="4" w:space="0" w:color="000000"/>
            </w:tcBorders>
          </w:tcPr>
          <w:p w14:paraId="6B6D1453" w14:textId="77777777" w:rsidR="0047347F" w:rsidRDefault="00CA7F92">
            <w:pPr>
              <w:spacing w:after="0" w:line="259" w:lineRule="auto"/>
              <w:ind w:left="0" w:firstLine="0"/>
            </w:pPr>
            <w:r>
              <w:rPr>
                <w:rFonts w:ascii="Times New Roman" w:eastAsia="Times New Roman" w:hAnsi="Times New Roman" w:cs="Times New Roman"/>
                <w:sz w:val="18"/>
              </w:rPr>
              <w:t xml:space="preserve"> </w:t>
            </w:r>
          </w:p>
        </w:tc>
        <w:tc>
          <w:tcPr>
            <w:tcW w:w="9335" w:type="dxa"/>
            <w:tcBorders>
              <w:top w:val="single" w:sz="4" w:space="0" w:color="000000"/>
              <w:left w:val="single" w:sz="4" w:space="0" w:color="000000"/>
              <w:bottom w:val="single" w:sz="4" w:space="0" w:color="000000"/>
              <w:right w:val="single" w:sz="4" w:space="0" w:color="000000"/>
            </w:tcBorders>
            <w:shd w:val="clear" w:color="auto" w:fill="6FAC46"/>
          </w:tcPr>
          <w:p w14:paraId="52B19B41" w14:textId="77777777" w:rsidR="0047347F" w:rsidRDefault="00CA7F92">
            <w:pPr>
              <w:spacing w:after="0" w:line="259" w:lineRule="auto"/>
              <w:ind w:left="110" w:firstLine="0"/>
            </w:pPr>
            <w:r>
              <w:rPr>
                <w:b/>
              </w:rPr>
              <w:t xml:space="preserve">DESCRIPTION </w:t>
            </w:r>
          </w:p>
        </w:tc>
      </w:tr>
      <w:tr w:rsidR="0047347F" w14:paraId="07481DD4" w14:textId="77777777">
        <w:trPr>
          <w:trHeight w:val="276"/>
        </w:trPr>
        <w:tc>
          <w:tcPr>
            <w:tcW w:w="443" w:type="dxa"/>
            <w:tcBorders>
              <w:top w:val="single" w:sz="4" w:space="0" w:color="000000"/>
              <w:left w:val="single" w:sz="4" w:space="0" w:color="000000"/>
              <w:bottom w:val="single" w:sz="4" w:space="0" w:color="000000"/>
              <w:right w:val="single" w:sz="4" w:space="0" w:color="000000"/>
            </w:tcBorders>
            <w:shd w:val="clear" w:color="auto" w:fill="E1EED9"/>
          </w:tcPr>
          <w:p w14:paraId="7E42C5F3" w14:textId="77777777" w:rsidR="0047347F" w:rsidRDefault="00CA7F92">
            <w:pPr>
              <w:spacing w:after="0" w:line="259" w:lineRule="auto"/>
              <w:ind w:left="4" w:firstLine="0"/>
            </w:pPr>
            <w:r>
              <w:rPr>
                <w:rFonts w:ascii="Times New Roman" w:eastAsia="Times New Roman" w:hAnsi="Times New Roman" w:cs="Times New Roman"/>
                <w:sz w:val="18"/>
              </w:rPr>
              <w:t xml:space="preserve"> </w:t>
            </w:r>
          </w:p>
        </w:tc>
        <w:tc>
          <w:tcPr>
            <w:tcW w:w="3996" w:type="dxa"/>
            <w:tcBorders>
              <w:top w:val="single" w:sz="4" w:space="0" w:color="000000"/>
              <w:left w:val="single" w:sz="4" w:space="0" w:color="000000"/>
              <w:bottom w:val="single" w:sz="4" w:space="0" w:color="000000"/>
              <w:right w:val="nil"/>
            </w:tcBorders>
            <w:shd w:val="clear" w:color="auto" w:fill="E1EED9"/>
          </w:tcPr>
          <w:p w14:paraId="62B0E574" w14:textId="77777777" w:rsidR="0047347F" w:rsidRDefault="00CA7F92">
            <w:pPr>
              <w:spacing w:after="0" w:line="259" w:lineRule="auto"/>
              <w:ind w:left="113" w:firstLine="0"/>
            </w:pPr>
            <w:r>
              <w:rPr>
                <w:b/>
              </w:rPr>
              <w:t xml:space="preserve">WORKER PRINCIPLES </w:t>
            </w:r>
          </w:p>
        </w:tc>
        <w:tc>
          <w:tcPr>
            <w:tcW w:w="110" w:type="dxa"/>
            <w:tcBorders>
              <w:top w:val="single" w:sz="4" w:space="0" w:color="000000"/>
              <w:left w:val="nil"/>
              <w:bottom w:val="single" w:sz="4" w:space="0" w:color="000000"/>
              <w:right w:val="single" w:sz="4" w:space="0" w:color="000000"/>
            </w:tcBorders>
            <w:shd w:val="clear" w:color="auto" w:fill="E1EED9"/>
          </w:tcPr>
          <w:p w14:paraId="375F6C62" w14:textId="77777777" w:rsidR="0047347F" w:rsidRDefault="0047347F">
            <w:pPr>
              <w:spacing w:after="160" w:line="259" w:lineRule="auto"/>
              <w:ind w:left="0" w:firstLine="0"/>
            </w:pPr>
          </w:p>
        </w:tc>
        <w:tc>
          <w:tcPr>
            <w:tcW w:w="9335" w:type="dxa"/>
            <w:tcBorders>
              <w:top w:val="single" w:sz="4" w:space="0" w:color="000000"/>
              <w:left w:val="single" w:sz="4" w:space="0" w:color="000000"/>
              <w:bottom w:val="single" w:sz="4" w:space="0" w:color="000000"/>
              <w:right w:val="single" w:sz="4" w:space="0" w:color="000000"/>
            </w:tcBorders>
            <w:shd w:val="clear" w:color="auto" w:fill="E1EED9"/>
          </w:tcPr>
          <w:p w14:paraId="62CDABE3" w14:textId="77777777" w:rsidR="0047347F" w:rsidRDefault="00CA7F92">
            <w:pPr>
              <w:spacing w:after="0" w:line="259" w:lineRule="auto"/>
              <w:ind w:left="5" w:firstLine="0"/>
            </w:pPr>
            <w:r>
              <w:rPr>
                <w:rFonts w:ascii="Times New Roman" w:eastAsia="Times New Roman" w:hAnsi="Times New Roman" w:cs="Times New Roman"/>
                <w:sz w:val="18"/>
              </w:rPr>
              <w:t xml:space="preserve"> </w:t>
            </w:r>
          </w:p>
        </w:tc>
      </w:tr>
      <w:tr w:rsidR="0047347F" w14:paraId="580CB9A4" w14:textId="77777777">
        <w:trPr>
          <w:trHeight w:val="2228"/>
        </w:trPr>
        <w:tc>
          <w:tcPr>
            <w:tcW w:w="443" w:type="dxa"/>
            <w:tcBorders>
              <w:top w:val="single" w:sz="4" w:space="0" w:color="000000"/>
              <w:left w:val="single" w:sz="4" w:space="0" w:color="000000"/>
              <w:bottom w:val="single" w:sz="4" w:space="0" w:color="000000"/>
              <w:right w:val="single" w:sz="4" w:space="0" w:color="000000"/>
            </w:tcBorders>
          </w:tcPr>
          <w:p w14:paraId="74ACF2E1" w14:textId="77777777" w:rsidR="0047347F" w:rsidRDefault="00CA7F92">
            <w:pPr>
              <w:spacing w:after="0" w:line="259" w:lineRule="auto"/>
              <w:ind w:left="112" w:firstLine="0"/>
            </w:pPr>
            <w:r>
              <w:t xml:space="preserve">1 </w:t>
            </w:r>
          </w:p>
        </w:tc>
        <w:tc>
          <w:tcPr>
            <w:tcW w:w="3996" w:type="dxa"/>
            <w:tcBorders>
              <w:top w:val="single" w:sz="4" w:space="0" w:color="000000"/>
              <w:left w:val="single" w:sz="4" w:space="0" w:color="000000"/>
              <w:bottom w:val="single" w:sz="4" w:space="0" w:color="000000"/>
              <w:right w:val="nil"/>
            </w:tcBorders>
          </w:tcPr>
          <w:p w14:paraId="29EE89AA" w14:textId="77777777" w:rsidR="0047347F" w:rsidRDefault="00CA7F92">
            <w:pPr>
              <w:spacing w:after="0" w:line="259" w:lineRule="auto"/>
              <w:ind w:left="113" w:firstLine="0"/>
            </w:pPr>
            <w:r>
              <w:t xml:space="preserve">A worker-centred claims process </w:t>
            </w:r>
          </w:p>
        </w:tc>
        <w:tc>
          <w:tcPr>
            <w:tcW w:w="110" w:type="dxa"/>
            <w:tcBorders>
              <w:top w:val="single" w:sz="4" w:space="0" w:color="000000"/>
              <w:left w:val="nil"/>
              <w:bottom w:val="single" w:sz="4" w:space="0" w:color="000000"/>
              <w:right w:val="single" w:sz="4" w:space="0" w:color="000000"/>
            </w:tcBorders>
          </w:tcPr>
          <w:p w14:paraId="3F241633" w14:textId="77777777" w:rsidR="0047347F" w:rsidRDefault="0047347F">
            <w:pPr>
              <w:spacing w:after="160" w:line="259" w:lineRule="auto"/>
              <w:ind w:left="0" w:firstLine="0"/>
            </w:pPr>
          </w:p>
        </w:tc>
        <w:tc>
          <w:tcPr>
            <w:tcW w:w="9335" w:type="dxa"/>
            <w:tcBorders>
              <w:top w:val="single" w:sz="4" w:space="0" w:color="000000"/>
              <w:left w:val="single" w:sz="4" w:space="0" w:color="000000"/>
              <w:bottom w:val="single" w:sz="4" w:space="0" w:color="000000"/>
              <w:right w:val="single" w:sz="4" w:space="0" w:color="000000"/>
            </w:tcBorders>
          </w:tcPr>
          <w:p w14:paraId="66747B64" w14:textId="77777777" w:rsidR="0047347F" w:rsidRDefault="00CA7F92">
            <w:pPr>
              <w:numPr>
                <w:ilvl w:val="0"/>
                <w:numId w:val="2"/>
              </w:numPr>
              <w:spacing w:after="27" w:line="240" w:lineRule="auto"/>
              <w:ind w:left="830" w:hanging="360"/>
            </w:pPr>
            <w:r>
              <w:t xml:space="preserve">provide clear pathways for support of workers and their families after diagnosis with silicosis and related diseases </w:t>
            </w:r>
          </w:p>
          <w:p w14:paraId="1DAE9581" w14:textId="77777777" w:rsidR="0047347F" w:rsidRDefault="00CA7F92">
            <w:pPr>
              <w:numPr>
                <w:ilvl w:val="0"/>
                <w:numId w:val="2"/>
              </w:numPr>
              <w:spacing w:after="0" w:line="259" w:lineRule="auto"/>
              <w:ind w:left="830" w:hanging="360"/>
            </w:pPr>
            <w:r>
              <w:t xml:space="preserve">a claims system that is easy to access and simple to navigate </w:t>
            </w:r>
          </w:p>
          <w:p w14:paraId="4DAA3819" w14:textId="77777777" w:rsidR="0047347F" w:rsidRDefault="00CA7F92">
            <w:pPr>
              <w:numPr>
                <w:ilvl w:val="0"/>
                <w:numId w:val="2"/>
              </w:numPr>
              <w:spacing w:after="27" w:line="239" w:lineRule="auto"/>
              <w:ind w:left="830" w:hanging="360"/>
            </w:pPr>
            <w:r>
              <w:t xml:space="preserve">workers and their families have access to dedicated Case Managers with appropriate training in managing silicosis claims and who can support workers to make informed decisions at every step of the process </w:t>
            </w:r>
          </w:p>
          <w:p w14:paraId="163706CE" w14:textId="77777777" w:rsidR="0047347F" w:rsidRDefault="00CA7F92">
            <w:pPr>
              <w:numPr>
                <w:ilvl w:val="0"/>
                <w:numId w:val="2"/>
              </w:numPr>
              <w:spacing w:after="0" w:line="259" w:lineRule="auto"/>
              <w:ind w:left="830" w:hanging="360"/>
            </w:pPr>
            <w:r>
              <w:t xml:space="preserve">appropriate information is available to support culturally and linguistically diverse workers to understand the complexities of silicosis and related diseases </w:t>
            </w:r>
          </w:p>
        </w:tc>
      </w:tr>
      <w:tr w:rsidR="0047347F" w14:paraId="19377C66" w14:textId="77777777">
        <w:trPr>
          <w:trHeight w:val="1085"/>
        </w:trPr>
        <w:tc>
          <w:tcPr>
            <w:tcW w:w="443" w:type="dxa"/>
            <w:tcBorders>
              <w:top w:val="single" w:sz="4" w:space="0" w:color="000000"/>
              <w:left w:val="single" w:sz="4" w:space="0" w:color="000000"/>
              <w:bottom w:val="single" w:sz="4" w:space="0" w:color="000000"/>
              <w:right w:val="single" w:sz="4" w:space="0" w:color="000000"/>
            </w:tcBorders>
          </w:tcPr>
          <w:p w14:paraId="7B3ABA3E" w14:textId="77777777" w:rsidR="0047347F" w:rsidRDefault="00CA7F92">
            <w:pPr>
              <w:spacing w:after="0" w:line="259" w:lineRule="auto"/>
              <w:ind w:left="112" w:firstLine="0"/>
            </w:pPr>
            <w:r>
              <w:t xml:space="preserve">2 </w:t>
            </w:r>
          </w:p>
        </w:tc>
        <w:tc>
          <w:tcPr>
            <w:tcW w:w="3996" w:type="dxa"/>
            <w:tcBorders>
              <w:top w:val="single" w:sz="4" w:space="0" w:color="000000"/>
              <w:left w:val="single" w:sz="4" w:space="0" w:color="000000"/>
              <w:bottom w:val="single" w:sz="4" w:space="0" w:color="000000"/>
              <w:right w:val="nil"/>
            </w:tcBorders>
          </w:tcPr>
          <w:p w14:paraId="1707CB6C" w14:textId="77777777" w:rsidR="0047347F" w:rsidRDefault="00CA7F92">
            <w:pPr>
              <w:spacing w:after="0" w:line="259" w:lineRule="auto"/>
              <w:ind w:left="113" w:firstLine="0"/>
            </w:pPr>
            <w:r>
              <w:t xml:space="preserve">Workers’ compensation benefits are designed to meet the specific needs of workers with silicosis and silica related diseases </w:t>
            </w:r>
          </w:p>
        </w:tc>
        <w:tc>
          <w:tcPr>
            <w:tcW w:w="110" w:type="dxa"/>
            <w:tcBorders>
              <w:top w:val="single" w:sz="4" w:space="0" w:color="000000"/>
              <w:left w:val="nil"/>
              <w:bottom w:val="single" w:sz="4" w:space="0" w:color="000000"/>
              <w:right w:val="single" w:sz="4" w:space="0" w:color="000000"/>
            </w:tcBorders>
          </w:tcPr>
          <w:p w14:paraId="21139B1E" w14:textId="77777777" w:rsidR="0047347F" w:rsidRDefault="0047347F">
            <w:pPr>
              <w:spacing w:after="160" w:line="259" w:lineRule="auto"/>
              <w:ind w:left="0" w:firstLine="0"/>
            </w:pPr>
          </w:p>
        </w:tc>
        <w:tc>
          <w:tcPr>
            <w:tcW w:w="9335" w:type="dxa"/>
            <w:tcBorders>
              <w:top w:val="single" w:sz="4" w:space="0" w:color="000000"/>
              <w:left w:val="single" w:sz="4" w:space="0" w:color="000000"/>
              <w:bottom w:val="single" w:sz="4" w:space="0" w:color="000000"/>
              <w:right w:val="single" w:sz="4" w:space="0" w:color="000000"/>
            </w:tcBorders>
          </w:tcPr>
          <w:p w14:paraId="0832A02C" w14:textId="77777777" w:rsidR="0047347F" w:rsidRDefault="00CA7F92">
            <w:pPr>
              <w:spacing w:after="0" w:line="259" w:lineRule="auto"/>
              <w:ind w:left="830" w:right="2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detailed, clear, accurate and impartial information is available to workers and their families on the workers compensation benefits available </w:t>
            </w:r>
          </w:p>
        </w:tc>
      </w:tr>
      <w:tr w:rsidR="0047347F" w14:paraId="54C7F651" w14:textId="77777777">
        <w:trPr>
          <w:trHeight w:val="559"/>
        </w:trPr>
        <w:tc>
          <w:tcPr>
            <w:tcW w:w="443" w:type="dxa"/>
            <w:tcBorders>
              <w:top w:val="single" w:sz="4" w:space="0" w:color="000000"/>
              <w:left w:val="single" w:sz="4" w:space="0" w:color="000000"/>
              <w:bottom w:val="single" w:sz="4" w:space="0" w:color="000000"/>
              <w:right w:val="single" w:sz="4" w:space="0" w:color="000000"/>
            </w:tcBorders>
          </w:tcPr>
          <w:p w14:paraId="00AC0251" w14:textId="77777777" w:rsidR="0047347F" w:rsidRDefault="00CA7F92">
            <w:pPr>
              <w:spacing w:after="0" w:line="259" w:lineRule="auto"/>
              <w:ind w:left="112" w:firstLine="0"/>
            </w:pPr>
            <w:r>
              <w:t xml:space="preserve">2a </w:t>
            </w:r>
          </w:p>
        </w:tc>
        <w:tc>
          <w:tcPr>
            <w:tcW w:w="3996" w:type="dxa"/>
            <w:tcBorders>
              <w:top w:val="single" w:sz="4" w:space="0" w:color="000000"/>
              <w:left w:val="single" w:sz="4" w:space="0" w:color="000000"/>
              <w:bottom w:val="single" w:sz="4" w:space="0" w:color="000000"/>
              <w:right w:val="nil"/>
            </w:tcBorders>
          </w:tcPr>
          <w:p w14:paraId="61E185CF" w14:textId="77777777" w:rsidR="0047347F" w:rsidRDefault="00CA7F92">
            <w:pPr>
              <w:spacing w:after="0" w:line="259" w:lineRule="auto"/>
              <w:ind w:left="113" w:firstLine="0"/>
            </w:pPr>
            <w:r>
              <w:t xml:space="preserve">Weekly income support </w:t>
            </w:r>
          </w:p>
        </w:tc>
        <w:tc>
          <w:tcPr>
            <w:tcW w:w="110" w:type="dxa"/>
            <w:tcBorders>
              <w:top w:val="single" w:sz="4" w:space="0" w:color="000000"/>
              <w:left w:val="nil"/>
              <w:bottom w:val="single" w:sz="4" w:space="0" w:color="000000"/>
              <w:right w:val="single" w:sz="4" w:space="0" w:color="000000"/>
            </w:tcBorders>
          </w:tcPr>
          <w:p w14:paraId="23D752BC" w14:textId="77777777" w:rsidR="0047347F" w:rsidRDefault="0047347F">
            <w:pPr>
              <w:spacing w:after="160" w:line="259" w:lineRule="auto"/>
              <w:ind w:left="0" w:firstLine="0"/>
            </w:pPr>
          </w:p>
        </w:tc>
        <w:tc>
          <w:tcPr>
            <w:tcW w:w="9335" w:type="dxa"/>
            <w:tcBorders>
              <w:top w:val="single" w:sz="4" w:space="0" w:color="000000"/>
              <w:left w:val="single" w:sz="4" w:space="0" w:color="000000"/>
              <w:bottom w:val="single" w:sz="4" w:space="0" w:color="000000"/>
              <w:right w:val="single" w:sz="4" w:space="0" w:color="000000"/>
            </w:tcBorders>
          </w:tcPr>
          <w:p w14:paraId="168DB0E5" w14:textId="77777777" w:rsidR="0047347F" w:rsidRDefault="00CA7F92">
            <w:pPr>
              <w:spacing w:after="0" w:line="259" w:lineRule="auto"/>
              <w:ind w:left="830" w:hanging="360"/>
              <w:jc w:val="both"/>
            </w:pPr>
            <w:r>
              <w:rPr>
                <w:rFonts w:ascii="Segoe UI Symbol" w:eastAsia="Segoe UI Symbol" w:hAnsi="Segoe UI Symbol" w:cs="Segoe UI Symbol"/>
              </w:rPr>
              <w:t>•</w:t>
            </w:r>
            <w:r>
              <w:rPr>
                <w:rFonts w:ascii="Arial" w:eastAsia="Arial" w:hAnsi="Arial" w:cs="Arial"/>
              </w:rPr>
              <w:t xml:space="preserve"> </w:t>
            </w:r>
            <w:r>
              <w:t xml:space="preserve">expedited claims pathway including shorter timeframes for decisions on accelerated silicosis claims </w:t>
            </w:r>
          </w:p>
        </w:tc>
      </w:tr>
      <w:tr w:rsidR="0047347F" w14:paraId="2EB0E0BE" w14:textId="77777777">
        <w:trPr>
          <w:trHeight w:val="1656"/>
        </w:trPr>
        <w:tc>
          <w:tcPr>
            <w:tcW w:w="443" w:type="dxa"/>
            <w:tcBorders>
              <w:top w:val="single" w:sz="4" w:space="0" w:color="000000"/>
              <w:left w:val="single" w:sz="4" w:space="0" w:color="000000"/>
              <w:bottom w:val="single" w:sz="4" w:space="0" w:color="000000"/>
              <w:right w:val="single" w:sz="4" w:space="0" w:color="000000"/>
            </w:tcBorders>
          </w:tcPr>
          <w:p w14:paraId="164152F3" w14:textId="77777777" w:rsidR="0047347F" w:rsidRDefault="00CA7F92">
            <w:pPr>
              <w:spacing w:after="0" w:line="259" w:lineRule="auto"/>
              <w:ind w:left="112" w:firstLine="0"/>
            </w:pPr>
            <w:r>
              <w:t xml:space="preserve">2b </w:t>
            </w:r>
          </w:p>
        </w:tc>
        <w:tc>
          <w:tcPr>
            <w:tcW w:w="3996" w:type="dxa"/>
            <w:tcBorders>
              <w:top w:val="single" w:sz="4" w:space="0" w:color="000000"/>
              <w:left w:val="single" w:sz="4" w:space="0" w:color="000000"/>
              <w:bottom w:val="single" w:sz="4" w:space="0" w:color="000000"/>
              <w:right w:val="nil"/>
            </w:tcBorders>
          </w:tcPr>
          <w:p w14:paraId="6317FFBA" w14:textId="77777777" w:rsidR="0047347F" w:rsidRDefault="00CA7F92">
            <w:pPr>
              <w:spacing w:after="0" w:line="259" w:lineRule="auto"/>
              <w:ind w:left="113" w:firstLine="0"/>
            </w:pPr>
            <w:r>
              <w:t xml:space="preserve">Treatment and care </w:t>
            </w:r>
          </w:p>
        </w:tc>
        <w:tc>
          <w:tcPr>
            <w:tcW w:w="110" w:type="dxa"/>
            <w:tcBorders>
              <w:top w:val="single" w:sz="4" w:space="0" w:color="000000"/>
              <w:left w:val="nil"/>
              <w:bottom w:val="single" w:sz="4" w:space="0" w:color="000000"/>
              <w:right w:val="single" w:sz="4" w:space="0" w:color="000000"/>
            </w:tcBorders>
          </w:tcPr>
          <w:p w14:paraId="2ABA7F67" w14:textId="77777777" w:rsidR="0047347F" w:rsidRDefault="0047347F">
            <w:pPr>
              <w:spacing w:after="160" w:line="259" w:lineRule="auto"/>
              <w:ind w:left="0" w:firstLine="0"/>
            </w:pPr>
          </w:p>
        </w:tc>
        <w:tc>
          <w:tcPr>
            <w:tcW w:w="9335" w:type="dxa"/>
            <w:tcBorders>
              <w:top w:val="single" w:sz="4" w:space="0" w:color="000000"/>
              <w:left w:val="single" w:sz="4" w:space="0" w:color="000000"/>
              <w:bottom w:val="single" w:sz="4" w:space="0" w:color="000000"/>
              <w:right w:val="single" w:sz="4" w:space="0" w:color="000000"/>
            </w:tcBorders>
          </w:tcPr>
          <w:p w14:paraId="4FB65D6C" w14:textId="77777777" w:rsidR="0047347F" w:rsidRDefault="00CA7F92">
            <w:pPr>
              <w:numPr>
                <w:ilvl w:val="0"/>
                <w:numId w:val="3"/>
              </w:numPr>
              <w:spacing w:after="27" w:line="237" w:lineRule="auto"/>
              <w:ind w:left="830" w:hanging="360"/>
            </w:pPr>
            <w:r>
              <w:t xml:space="preserve">access to healthcare professionals with experience in silicosis and related diseases where jurisdictionally available </w:t>
            </w:r>
          </w:p>
          <w:p w14:paraId="222ACB42" w14:textId="77777777" w:rsidR="0047347F" w:rsidRDefault="00CA7F92">
            <w:pPr>
              <w:numPr>
                <w:ilvl w:val="0"/>
                <w:numId w:val="3"/>
              </w:numPr>
              <w:spacing w:after="0" w:line="259" w:lineRule="auto"/>
              <w:ind w:left="830" w:hanging="360"/>
            </w:pPr>
            <w:r>
              <w:t xml:space="preserve">access to telehealth where jurisdictionally appropriate </w:t>
            </w:r>
          </w:p>
          <w:p w14:paraId="5EC46057" w14:textId="77777777" w:rsidR="0047347F" w:rsidRDefault="00CA7F92">
            <w:pPr>
              <w:numPr>
                <w:ilvl w:val="0"/>
                <w:numId w:val="3"/>
              </w:numPr>
              <w:spacing w:after="0" w:line="259" w:lineRule="auto"/>
              <w:ind w:left="830" w:hanging="360"/>
            </w:pPr>
            <w:r>
              <w:t xml:space="preserve">access to medical, allied health and other services to treat and support the worker, tailored to silicosis and related diseases and responsive to the worker’s needs as their condition progresses </w:t>
            </w:r>
          </w:p>
        </w:tc>
      </w:tr>
      <w:tr w:rsidR="0047347F" w14:paraId="2714A4AA" w14:textId="77777777">
        <w:trPr>
          <w:trHeight w:val="1373"/>
        </w:trPr>
        <w:tc>
          <w:tcPr>
            <w:tcW w:w="443" w:type="dxa"/>
            <w:tcBorders>
              <w:top w:val="single" w:sz="4" w:space="0" w:color="000000"/>
              <w:left w:val="single" w:sz="4" w:space="0" w:color="000000"/>
              <w:bottom w:val="single" w:sz="4" w:space="0" w:color="000000"/>
              <w:right w:val="single" w:sz="4" w:space="0" w:color="000000"/>
            </w:tcBorders>
          </w:tcPr>
          <w:p w14:paraId="52AAAB85" w14:textId="77777777" w:rsidR="0047347F" w:rsidRDefault="00CA7F92">
            <w:pPr>
              <w:spacing w:after="0" w:line="259" w:lineRule="auto"/>
              <w:ind w:left="112" w:firstLine="0"/>
            </w:pPr>
            <w:r>
              <w:t xml:space="preserve">2c </w:t>
            </w:r>
          </w:p>
        </w:tc>
        <w:tc>
          <w:tcPr>
            <w:tcW w:w="3996" w:type="dxa"/>
            <w:tcBorders>
              <w:top w:val="single" w:sz="4" w:space="0" w:color="000000"/>
              <w:left w:val="single" w:sz="4" w:space="0" w:color="000000"/>
              <w:bottom w:val="single" w:sz="4" w:space="0" w:color="000000"/>
              <w:right w:val="nil"/>
            </w:tcBorders>
          </w:tcPr>
          <w:p w14:paraId="7882E6A1" w14:textId="77777777" w:rsidR="0047347F" w:rsidRDefault="00CA7F92">
            <w:pPr>
              <w:spacing w:after="0" w:line="259" w:lineRule="auto"/>
              <w:ind w:left="113" w:firstLine="0"/>
            </w:pPr>
            <w:r>
              <w:t xml:space="preserve">Mental Health supports </w:t>
            </w:r>
          </w:p>
        </w:tc>
        <w:tc>
          <w:tcPr>
            <w:tcW w:w="110" w:type="dxa"/>
            <w:tcBorders>
              <w:top w:val="single" w:sz="4" w:space="0" w:color="000000"/>
              <w:left w:val="nil"/>
              <w:bottom w:val="single" w:sz="4" w:space="0" w:color="000000"/>
              <w:right w:val="single" w:sz="4" w:space="0" w:color="000000"/>
            </w:tcBorders>
          </w:tcPr>
          <w:p w14:paraId="50D69C1C" w14:textId="77777777" w:rsidR="0047347F" w:rsidRDefault="0047347F">
            <w:pPr>
              <w:spacing w:after="160" w:line="259" w:lineRule="auto"/>
              <w:ind w:left="0" w:firstLine="0"/>
            </w:pPr>
          </w:p>
        </w:tc>
        <w:tc>
          <w:tcPr>
            <w:tcW w:w="9335" w:type="dxa"/>
            <w:tcBorders>
              <w:top w:val="single" w:sz="4" w:space="0" w:color="000000"/>
              <w:left w:val="single" w:sz="4" w:space="0" w:color="000000"/>
              <w:bottom w:val="single" w:sz="4" w:space="0" w:color="000000"/>
              <w:right w:val="single" w:sz="4" w:space="0" w:color="000000"/>
            </w:tcBorders>
          </w:tcPr>
          <w:p w14:paraId="542FAE1F" w14:textId="77777777" w:rsidR="0047347F" w:rsidRDefault="00CA7F92">
            <w:pPr>
              <w:numPr>
                <w:ilvl w:val="0"/>
                <w:numId w:val="4"/>
              </w:numPr>
              <w:spacing w:after="29" w:line="239" w:lineRule="auto"/>
              <w:ind w:left="830" w:hanging="360"/>
            </w:pPr>
            <w:r>
              <w:t xml:space="preserve">adopt </w:t>
            </w:r>
            <w:proofErr w:type="gramStart"/>
            <w:r>
              <w:t>an</w:t>
            </w:r>
            <w:proofErr w:type="gramEnd"/>
            <w:r>
              <w:t xml:space="preserve"> holistic focus to support both the worker and family including early access to mental health practitioners (ideally with knowledge and experience of silicosis and related diseases) and provision of information to access existing community mental health supports </w:t>
            </w:r>
          </w:p>
          <w:p w14:paraId="4437ADD5" w14:textId="77777777" w:rsidR="0047347F" w:rsidRDefault="00CA7F92">
            <w:pPr>
              <w:numPr>
                <w:ilvl w:val="0"/>
                <w:numId w:val="4"/>
              </w:numPr>
              <w:spacing w:after="0" w:line="259" w:lineRule="auto"/>
              <w:ind w:left="830" w:hanging="360"/>
            </w:pPr>
            <w:r>
              <w:t xml:space="preserve">telehealth options for psychological supports where jurisdictionally appropriate </w:t>
            </w:r>
          </w:p>
        </w:tc>
      </w:tr>
    </w:tbl>
    <w:p w14:paraId="5DFDD0E4" w14:textId="77777777" w:rsidR="0047347F" w:rsidRDefault="00CA7F92">
      <w:pPr>
        <w:spacing w:after="0" w:line="259" w:lineRule="auto"/>
        <w:ind w:left="0" w:firstLine="0"/>
        <w:jc w:val="both"/>
      </w:pPr>
      <w:r>
        <w:rPr>
          <w:sz w:val="27"/>
        </w:rPr>
        <w:lastRenderedPageBreak/>
        <w:t xml:space="preserve"> </w:t>
      </w:r>
    </w:p>
    <w:tbl>
      <w:tblPr>
        <w:tblStyle w:val="TableGrid"/>
        <w:tblW w:w="13884" w:type="dxa"/>
        <w:tblInd w:w="116" w:type="dxa"/>
        <w:tblCellMar>
          <w:top w:w="35" w:type="dxa"/>
          <w:right w:w="53" w:type="dxa"/>
        </w:tblCellMar>
        <w:tblLook w:val="04A0" w:firstRow="1" w:lastRow="0" w:firstColumn="1" w:lastColumn="0" w:noHBand="0" w:noVBand="1"/>
      </w:tblPr>
      <w:tblGrid>
        <w:gridCol w:w="443"/>
        <w:gridCol w:w="4106"/>
        <w:gridCol w:w="830"/>
        <w:gridCol w:w="8505"/>
      </w:tblGrid>
      <w:tr w:rsidR="0047347F" w14:paraId="46015CC7" w14:textId="77777777">
        <w:trPr>
          <w:trHeight w:val="829"/>
        </w:trPr>
        <w:tc>
          <w:tcPr>
            <w:tcW w:w="443" w:type="dxa"/>
            <w:tcBorders>
              <w:top w:val="single" w:sz="4" w:space="0" w:color="000000"/>
              <w:left w:val="single" w:sz="4" w:space="0" w:color="000000"/>
              <w:bottom w:val="single" w:sz="4" w:space="0" w:color="000000"/>
              <w:right w:val="single" w:sz="4" w:space="0" w:color="000000"/>
            </w:tcBorders>
          </w:tcPr>
          <w:p w14:paraId="6D43B170" w14:textId="77777777" w:rsidR="0047347F" w:rsidRDefault="00CA7F92">
            <w:pPr>
              <w:spacing w:after="0" w:line="259" w:lineRule="auto"/>
              <w:ind w:left="112" w:firstLine="0"/>
            </w:pPr>
            <w:r>
              <w:t xml:space="preserve">2d </w:t>
            </w:r>
          </w:p>
        </w:tc>
        <w:tc>
          <w:tcPr>
            <w:tcW w:w="4106" w:type="dxa"/>
            <w:tcBorders>
              <w:top w:val="single" w:sz="4" w:space="0" w:color="000000"/>
              <w:left w:val="single" w:sz="4" w:space="0" w:color="000000"/>
              <w:bottom w:val="single" w:sz="4" w:space="0" w:color="000000"/>
              <w:right w:val="single" w:sz="4" w:space="0" w:color="000000"/>
            </w:tcBorders>
          </w:tcPr>
          <w:p w14:paraId="58FB0421" w14:textId="77777777" w:rsidR="0047347F" w:rsidRDefault="00CA7F92">
            <w:pPr>
              <w:spacing w:after="0" w:line="259" w:lineRule="auto"/>
              <w:ind w:left="113" w:firstLine="0"/>
            </w:pPr>
            <w:r>
              <w:t xml:space="preserve">Quality vocational rehabilitation services </w:t>
            </w:r>
          </w:p>
        </w:tc>
        <w:tc>
          <w:tcPr>
            <w:tcW w:w="830" w:type="dxa"/>
            <w:tcBorders>
              <w:top w:val="single" w:sz="4" w:space="0" w:color="000000"/>
              <w:left w:val="single" w:sz="4" w:space="0" w:color="000000"/>
              <w:bottom w:val="single" w:sz="4" w:space="0" w:color="000000"/>
              <w:right w:val="nil"/>
            </w:tcBorders>
          </w:tcPr>
          <w:p w14:paraId="30DA5C4D" w14:textId="77777777" w:rsidR="0047347F" w:rsidRDefault="00CA7F92">
            <w:pPr>
              <w:spacing w:after="0" w:line="259" w:lineRule="auto"/>
              <w:ind w:left="265" w:firstLine="0"/>
              <w:jc w:val="center"/>
            </w:pPr>
            <w:r>
              <w:rPr>
                <w:rFonts w:ascii="Segoe UI Symbol" w:eastAsia="Segoe UI Symbol" w:hAnsi="Segoe UI Symbol" w:cs="Segoe UI Symbol"/>
              </w:rPr>
              <w:t>•</w:t>
            </w:r>
            <w:r>
              <w:rPr>
                <w:rFonts w:ascii="Arial" w:eastAsia="Arial" w:hAnsi="Arial" w:cs="Arial"/>
              </w:rPr>
              <w:t xml:space="preserve"> </w:t>
            </w:r>
          </w:p>
        </w:tc>
        <w:tc>
          <w:tcPr>
            <w:tcW w:w="8504" w:type="dxa"/>
            <w:tcBorders>
              <w:top w:val="single" w:sz="4" w:space="0" w:color="000000"/>
              <w:left w:val="nil"/>
              <w:bottom w:val="single" w:sz="4" w:space="0" w:color="000000"/>
              <w:right w:val="single" w:sz="4" w:space="0" w:color="000000"/>
            </w:tcBorders>
          </w:tcPr>
          <w:p w14:paraId="4413C88B" w14:textId="77777777" w:rsidR="0047347F" w:rsidRDefault="00CA7F92">
            <w:pPr>
              <w:spacing w:after="0" w:line="259" w:lineRule="auto"/>
              <w:ind w:left="0" w:firstLine="0"/>
            </w:pPr>
            <w:r>
              <w:t xml:space="preserve">access to retraining, work trials and tailored return to work plans to meet the unique challenges of returning workers with silicosis and related diseases to work in a safe, meaningful and durable way </w:t>
            </w:r>
          </w:p>
        </w:tc>
      </w:tr>
      <w:tr w:rsidR="0047347F" w14:paraId="7ED44450" w14:textId="77777777">
        <w:trPr>
          <w:trHeight w:val="276"/>
        </w:trPr>
        <w:tc>
          <w:tcPr>
            <w:tcW w:w="443" w:type="dxa"/>
            <w:tcBorders>
              <w:top w:val="single" w:sz="4" w:space="0" w:color="000000"/>
              <w:left w:val="single" w:sz="4" w:space="0" w:color="000000"/>
              <w:bottom w:val="single" w:sz="4" w:space="0" w:color="000000"/>
              <w:right w:val="single" w:sz="4" w:space="0" w:color="000000"/>
            </w:tcBorders>
            <w:shd w:val="clear" w:color="auto" w:fill="E1EED9"/>
          </w:tcPr>
          <w:p w14:paraId="3D5127CB" w14:textId="77777777" w:rsidR="0047347F" w:rsidRDefault="00CA7F92">
            <w:pPr>
              <w:spacing w:after="0" w:line="259" w:lineRule="auto"/>
              <w:ind w:left="4" w:firstLine="0"/>
            </w:pPr>
            <w:r>
              <w:rPr>
                <w:rFonts w:ascii="Times New Roman" w:eastAsia="Times New Roman" w:hAnsi="Times New Roman" w:cs="Times New Roman"/>
                <w:sz w:val="18"/>
              </w:rPr>
              <w:t xml:space="preserve"> </w:t>
            </w:r>
          </w:p>
        </w:tc>
        <w:tc>
          <w:tcPr>
            <w:tcW w:w="4106" w:type="dxa"/>
            <w:tcBorders>
              <w:top w:val="single" w:sz="4" w:space="0" w:color="000000"/>
              <w:left w:val="single" w:sz="4" w:space="0" w:color="000000"/>
              <w:bottom w:val="single" w:sz="4" w:space="0" w:color="000000"/>
              <w:right w:val="single" w:sz="4" w:space="0" w:color="000000"/>
            </w:tcBorders>
            <w:shd w:val="clear" w:color="auto" w:fill="E1EED9"/>
          </w:tcPr>
          <w:p w14:paraId="6D7066FE" w14:textId="77777777" w:rsidR="0047347F" w:rsidRDefault="00CA7F92">
            <w:pPr>
              <w:spacing w:after="0" w:line="259" w:lineRule="auto"/>
              <w:ind w:left="113" w:firstLine="0"/>
            </w:pPr>
            <w:r>
              <w:rPr>
                <w:b/>
              </w:rPr>
              <w:t xml:space="preserve">PROCESS PRINCIPLES </w:t>
            </w:r>
          </w:p>
        </w:tc>
        <w:tc>
          <w:tcPr>
            <w:tcW w:w="830" w:type="dxa"/>
            <w:tcBorders>
              <w:top w:val="single" w:sz="4" w:space="0" w:color="000000"/>
              <w:left w:val="single" w:sz="4" w:space="0" w:color="000000"/>
              <w:bottom w:val="single" w:sz="4" w:space="0" w:color="000000"/>
              <w:right w:val="nil"/>
            </w:tcBorders>
            <w:shd w:val="clear" w:color="auto" w:fill="E1EED9"/>
          </w:tcPr>
          <w:p w14:paraId="0C2C0CB9" w14:textId="77777777" w:rsidR="0047347F" w:rsidRDefault="00CA7F92">
            <w:pPr>
              <w:spacing w:after="0" w:line="259" w:lineRule="auto"/>
              <w:ind w:left="5" w:firstLine="0"/>
            </w:pPr>
            <w:r>
              <w:rPr>
                <w:rFonts w:ascii="Times New Roman" w:eastAsia="Times New Roman" w:hAnsi="Times New Roman" w:cs="Times New Roman"/>
                <w:sz w:val="18"/>
              </w:rPr>
              <w:t xml:space="preserve"> </w:t>
            </w:r>
          </w:p>
        </w:tc>
        <w:tc>
          <w:tcPr>
            <w:tcW w:w="8504" w:type="dxa"/>
            <w:tcBorders>
              <w:top w:val="single" w:sz="4" w:space="0" w:color="000000"/>
              <w:left w:val="nil"/>
              <w:bottom w:val="single" w:sz="4" w:space="0" w:color="000000"/>
              <w:right w:val="single" w:sz="4" w:space="0" w:color="000000"/>
            </w:tcBorders>
            <w:shd w:val="clear" w:color="auto" w:fill="E1EED9"/>
          </w:tcPr>
          <w:p w14:paraId="10F0BECC" w14:textId="77777777" w:rsidR="0047347F" w:rsidRDefault="0047347F">
            <w:pPr>
              <w:spacing w:after="160" w:line="259" w:lineRule="auto"/>
              <w:ind w:left="0" w:firstLine="0"/>
            </w:pPr>
          </w:p>
        </w:tc>
      </w:tr>
      <w:tr w:rsidR="0047347F" w14:paraId="39E90D27" w14:textId="77777777">
        <w:trPr>
          <w:trHeight w:val="560"/>
        </w:trPr>
        <w:tc>
          <w:tcPr>
            <w:tcW w:w="443" w:type="dxa"/>
            <w:tcBorders>
              <w:top w:val="single" w:sz="4" w:space="0" w:color="000000"/>
              <w:left w:val="single" w:sz="4" w:space="0" w:color="000000"/>
              <w:bottom w:val="single" w:sz="4" w:space="0" w:color="000000"/>
              <w:right w:val="single" w:sz="4" w:space="0" w:color="000000"/>
            </w:tcBorders>
          </w:tcPr>
          <w:p w14:paraId="304DB7B6" w14:textId="77777777" w:rsidR="0047347F" w:rsidRDefault="00CA7F92">
            <w:pPr>
              <w:spacing w:after="0" w:line="259" w:lineRule="auto"/>
              <w:ind w:left="112" w:firstLine="0"/>
            </w:pPr>
            <w:r>
              <w:t xml:space="preserve">3 </w:t>
            </w:r>
          </w:p>
        </w:tc>
        <w:tc>
          <w:tcPr>
            <w:tcW w:w="4106" w:type="dxa"/>
            <w:tcBorders>
              <w:top w:val="single" w:sz="4" w:space="0" w:color="000000"/>
              <w:left w:val="single" w:sz="4" w:space="0" w:color="000000"/>
              <w:bottom w:val="single" w:sz="4" w:space="0" w:color="000000"/>
              <w:right w:val="single" w:sz="4" w:space="0" w:color="000000"/>
            </w:tcBorders>
          </w:tcPr>
          <w:p w14:paraId="308D8454" w14:textId="77777777" w:rsidR="0047347F" w:rsidRDefault="00CA7F92">
            <w:pPr>
              <w:spacing w:after="0" w:line="259" w:lineRule="auto"/>
              <w:ind w:left="113" w:firstLine="0"/>
            </w:pPr>
            <w:r>
              <w:t xml:space="preserve">Scheme access </w:t>
            </w:r>
          </w:p>
        </w:tc>
        <w:tc>
          <w:tcPr>
            <w:tcW w:w="830" w:type="dxa"/>
            <w:tcBorders>
              <w:top w:val="single" w:sz="4" w:space="0" w:color="000000"/>
              <w:left w:val="single" w:sz="4" w:space="0" w:color="000000"/>
              <w:bottom w:val="single" w:sz="4" w:space="0" w:color="000000"/>
              <w:right w:val="nil"/>
            </w:tcBorders>
          </w:tcPr>
          <w:p w14:paraId="401A61BC" w14:textId="77777777" w:rsidR="0047347F" w:rsidRDefault="00CA7F92">
            <w:pPr>
              <w:spacing w:after="0" w:line="259" w:lineRule="auto"/>
              <w:ind w:left="265" w:firstLine="0"/>
              <w:jc w:val="center"/>
            </w:pPr>
            <w:r>
              <w:rPr>
                <w:rFonts w:ascii="Segoe UI Symbol" w:eastAsia="Segoe UI Symbol" w:hAnsi="Segoe UI Symbol" w:cs="Segoe UI Symbol"/>
              </w:rPr>
              <w:t>•</w:t>
            </w:r>
            <w:r>
              <w:rPr>
                <w:rFonts w:ascii="Arial" w:eastAsia="Arial" w:hAnsi="Arial" w:cs="Arial"/>
              </w:rPr>
              <w:t xml:space="preserve"> </w:t>
            </w:r>
          </w:p>
        </w:tc>
        <w:tc>
          <w:tcPr>
            <w:tcW w:w="8504" w:type="dxa"/>
            <w:tcBorders>
              <w:top w:val="single" w:sz="4" w:space="0" w:color="000000"/>
              <w:left w:val="nil"/>
              <w:bottom w:val="single" w:sz="4" w:space="0" w:color="000000"/>
              <w:right w:val="single" w:sz="4" w:space="0" w:color="000000"/>
            </w:tcBorders>
          </w:tcPr>
          <w:p w14:paraId="4F242D42" w14:textId="77777777" w:rsidR="0047347F" w:rsidRDefault="00CA7F92">
            <w:pPr>
              <w:spacing w:after="0" w:line="259" w:lineRule="auto"/>
              <w:ind w:left="0" w:firstLine="0"/>
            </w:pPr>
            <w:r>
              <w:t xml:space="preserve">medical investigations and diagnostic testing readily available as part of the claims application and lodgement process </w:t>
            </w:r>
          </w:p>
        </w:tc>
      </w:tr>
      <w:tr w:rsidR="0047347F" w14:paraId="3E70B96F" w14:textId="77777777">
        <w:trPr>
          <w:trHeight w:val="557"/>
        </w:trPr>
        <w:tc>
          <w:tcPr>
            <w:tcW w:w="443" w:type="dxa"/>
            <w:tcBorders>
              <w:top w:val="single" w:sz="4" w:space="0" w:color="000000"/>
              <w:left w:val="single" w:sz="4" w:space="0" w:color="000000"/>
              <w:bottom w:val="single" w:sz="4" w:space="0" w:color="000000"/>
              <w:right w:val="single" w:sz="4" w:space="0" w:color="000000"/>
            </w:tcBorders>
          </w:tcPr>
          <w:p w14:paraId="3CAA5248" w14:textId="77777777" w:rsidR="0047347F" w:rsidRDefault="00CA7F92">
            <w:pPr>
              <w:spacing w:after="0" w:line="259" w:lineRule="auto"/>
              <w:ind w:left="112" w:firstLine="0"/>
            </w:pPr>
            <w:r>
              <w:t xml:space="preserve">4 </w:t>
            </w:r>
          </w:p>
        </w:tc>
        <w:tc>
          <w:tcPr>
            <w:tcW w:w="4106" w:type="dxa"/>
            <w:tcBorders>
              <w:top w:val="single" w:sz="4" w:space="0" w:color="000000"/>
              <w:left w:val="single" w:sz="4" w:space="0" w:color="000000"/>
              <w:bottom w:val="single" w:sz="4" w:space="0" w:color="000000"/>
              <w:right w:val="single" w:sz="4" w:space="0" w:color="000000"/>
            </w:tcBorders>
          </w:tcPr>
          <w:p w14:paraId="6D236813" w14:textId="77777777" w:rsidR="0047347F" w:rsidRDefault="00CA7F92">
            <w:pPr>
              <w:spacing w:after="0" w:line="259" w:lineRule="auto"/>
              <w:ind w:left="113" w:firstLine="0"/>
            </w:pPr>
            <w:r>
              <w:t xml:space="preserve">A continuous improvement focus </w:t>
            </w:r>
          </w:p>
        </w:tc>
        <w:tc>
          <w:tcPr>
            <w:tcW w:w="830" w:type="dxa"/>
            <w:tcBorders>
              <w:top w:val="single" w:sz="4" w:space="0" w:color="000000"/>
              <w:left w:val="single" w:sz="4" w:space="0" w:color="000000"/>
              <w:bottom w:val="single" w:sz="4" w:space="0" w:color="000000"/>
              <w:right w:val="nil"/>
            </w:tcBorders>
          </w:tcPr>
          <w:p w14:paraId="025C8B88" w14:textId="77777777" w:rsidR="0047347F" w:rsidRDefault="00CA7F92">
            <w:pPr>
              <w:spacing w:after="0" w:line="259" w:lineRule="auto"/>
              <w:ind w:left="265" w:firstLine="0"/>
              <w:jc w:val="center"/>
            </w:pPr>
            <w:r>
              <w:rPr>
                <w:rFonts w:ascii="Segoe UI Symbol" w:eastAsia="Segoe UI Symbol" w:hAnsi="Segoe UI Symbol" w:cs="Segoe UI Symbol"/>
              </w:rPr>
              <w:t>•</w:t>
            </w:r>
            <w:r>
              <w:rPr>
                <w:rFonts w:ascii="Arial" w:eastAsia="Arial" w:hAnsi="Arial" w:cs="Arial"/>
              </w:rPr>
              <w:t xml:space="preserve"> </w:t>
            </w:r>
          </w:p>
        </w:tc>
        <w:tc>
          <w:tcPr>
            <w:tcW w:w="8504" w:type="dxa"/>
            <w:tcBorders>
              <w:top w:val="single" w:sz="4" w:space="0" w:color="000000"/>
              <w:left w:val="nil"/>
              <w:bottom w:val="single" w:sz="4" w:space="0" w:color="000000"/>
              <w:right w:val="single" w:sz="4" w:space="0" w:color="000000"/>
            </w:tcBorders>
          </w:tcPr>
          <w:p w14:paraId="33617FCD" w14:textId="77777777" w:rsidR="0047347F" w:rsidRDefault="00CA7F92">
            <w:pPr>
              <w:spacing w:after="0" w:line="259" w:lineRule="auto"/>
              <w:ind w:left="0" w:firstLine="0"/>
            </w:pPr>
            <w:r>
              <w:t xml:space="preserve">the scheme seeks input from workers with a silicosis and related diseases diagnosis and their families on their experience of the system to inform changes to the scheme </w:t>
            </w:r>
          </w:p>
        </w:tc>
      </w:tr>
      <w:tr w:rsidR="0047347F" w14:paraId="7E153633" w14:textId="77777777">
        <w:trPr>
          <w:trHeight w:val="832"/>
        </w:trPr>
        <w:tc>
          <w:tcPr>
            <w:tcW w:w="443" w:type="dxa"/>
            <w:tcBorders>
              <w:top w:val="single" w:sz="4" w:space="0" w:color="000000"/>
              <w:left w:val="single" w:sz="4" w:space="0" w:color="000000"/>
              <w:bottom w:val="single" w:sz="4" w:space="0" w:color="000000"/>
              <w:right w:val="single" w:sz="4" w:space="0" w:color="000000"/>
            </w:tcBorders>
          </w:tcPr>
          <w:p w14:paraId="0586BFA1" w14:textId="77777777" w:rsidR="0047347F" w:rsidRDefault="00CA7F92">
            <w:pPr>
              <w:spacing w:after="0" w:line="259" w:lineRule="auto"/>
              <w:ind w:left="112" w:firstLine="0"/>
            </w:pPr>
            <w:r>
              <w:t xml:space="preserve">5 </w:t>
            </w:r>
          </w:p>
        </w:tc>
        <w:tc>
          <w:tcPr>
            <w:tcW w:w="4106" w:type="dxa"/>
            <w:tcBorders>
              <w:top w:val="single" w:sz="4" w:space="0" w:color="000000"/>
              <w:left w:val="single" w:sz="4" w:space="0" w:color="000000"/>
              <w:bottom w:val="single" w:sz="4" w:space="0" w:color="000000"/>
              <w:right w:val="single" w:sz="4" w:space="0" w:color="000000"/>
            </w:tcBorders>
          </w:tcPr>
          <w:p w14:paraId="1D7230F9" w14:textId="77777777" w:rsidR="0047347F" w:rsidRDefault="00CA7F92">
            <w:pPr>
              <w:spacing w:after="0" w:line="259" w:lineRule="auto"/>
              <w:ind w:left="113" w:firstLine="0"/>
            </w:pPr>
            <w:r>
              <w:t xml:space="preserve">Employer support </w:t>
            </w:r>
          </w:p>
        </w:tc>
        <w:tc>
          <w:tcPr>
            <w:tcW w:w="830" w:type="dxa"/>
            <w:tcBorders>
              <w:top w:val="single" w:sz="4" w:space="0" w:color="000000"/>
              <w:left w:val="single" w:sz="4" w:space="0" w:color="000000"/>
              <w:bottom w:val="single" w:sz="4" w:space="0" w:color="000000"/>
              <w:right w:val="nil"/>
            </w:tcBorders>
          </w:tcPr>
          <w:p w14:paraId="40CD7DC0" w14:textId="77777777" w:rsidR="0047347F" w:rsidRDefault="00CA7F92">
            <w:pPr>
              <w:spacing w:after="0" w:line="259" w:lineRule="auto"/>
              <w:ind w:left="265" w:firstLine="0"/>
              <w:jc w:val="center"/>
            </w:pPr>
            <w:r>
              <w:rPr>
                <w:rFonts w:ascii="Segoe UI Symbol" w:eastAsia="Segoe UI Symbol" w:hAnsi="Segoe UI Symbol" w:cs="Segoe UI Symbol"/>
              </w:rPr>
              <w:t>•</w:t>
            </w:r>
            <w:r>
              <w:rPr>
                <w:rFonts w:ascii="Arial" w:eastAsia="Arial" w:hAnsi="Arial" w:cs="Arial"/>
              </w:rPr>
              <w:t xml:space="preserve"> </w:t>
            </w:r>
          </w:p>
        </w:tc>
        <w:tc>
          <w:tcPr>
            <w:tcW w:w="8504" w:type="dxa"/>
            <w:tcBorders>
              <w:top w:val="single" w:sz="4" w:space="0" w:color="000000"/>
              <w:left w:val="nil"/>
              <w:bottom w:val="single" w:sz="4" w:space="0" w:color="000000"/>
              <w:right w:val="single" w:sz="4" w:space="0" w:color="000000"/>
            </w:tcBorders>
          </w:tcPr>
          <w:p w14:paraId="265DF88E" w14:textId="77777777" w:rsidR="0047347F" w:rsidRDefault="00CA7F92">
            <w:pPr>
              <w:spacing w:after="0" w:line="259" w:lineRule="auto"/>
              <w:ind w:left="0" w:right="30" w:firstLine="0"/>
            </w:pPr>
            <w:r>
              <w:t xml:space="preserve">Ensuring material that sets out clear and accessible information for employers is available, particularly to small businesses, to support their role and any obligations they may have in the scheme. </w:t>
            </w:r>
          </w:p>
        </w:tc>
      </w:tr>
      <w:tr w:rsidR="0047347F" w14:paraId="3C68FDE2" w14:textId="77777777">
        <w:trPr>
          <w:trHeight w:val="274"/>
        </w:trPr>
        <w:tc>
          <w:tcPr>
            <w:tcW w:w="443" w:type="dxa"/>
            <w:tcBorders>
              <w:top w:val="single" w:sz="4" w:space="0" w:color="000000"/>
              <w:left w:val="single" w:sz="4" w:space="0" w:color="000000"/>
              <w:bottom w:val="single" w:sz="4" w:space="0" w:color="000000"/>
              <w:right w:val="single" w:sz="4" w:space="0" w:color="000000"/>
            </w:tcBorders>
            <w:shd w:val="clear" w:color="auto" w:fill="E1EED9"/>
          </w:tcPr>
          <w:p w14:paraId="0ECD41D5" w14:textId="77777777" w:rsidR="0047347F" w:rsidRDefault="00CA7F92">
            <w:pPr>
              <w:spacing w:after="0" w:line="259" w:lineRule="auto"/>
              <w:ind w:left="4" w:firstLine="0"/>
            </w:pPr>
            <w:r>
              <w:rPr>
                <w:rFonts w:ascii="Times New Roman" w:eastAsia="Times New Roman" w:hAnsi="Times New Roman" w:cs="Times New Roman"/>
                <w:sz w:val="18"/>
              </w:rPr>
              <w:t xml:space="preserve"> </w:t>
            </w:r>
          </w:p>
        </w:tc>
        <w:tc>
          <w:tcPr>
            <w:tcW w:w="4106" w:type="dxa"/>
            <w:tcBorders>
              <w:top w:val="single" w:sz="4" w:space="0" w:color="000000"/>
              <w:left w:val="single" w:sz="4" w:space="0" w:color="000000"/>
              <w:bottom w:val="single" w:sz="4" w:space="0" w:color="000000"/>
              <w:right w:val="single" w:sz="4" w:space="0" w:color="000000"/>
            </w:tcBorders>
            <w:shd w:val="clear" w:color="auto" w:fill="E1EED9"/>
          </w:tcPr>
          <w:p w14:paraId="7363533B" w14:textId="77777777" w:rsidR="0047347F" w:rsidRDefault="00CA7F92">
            <w:pPr>
              <w:spacing w:after="0" w:line="259" w:lineRule="auto"/>
              <w:ind w:left="113" w:firstLine="0"/>
            </w:pPr>
            <w:r>
              <w:rPr>
                <w:b/>
              </w:rPr>
              <w:t xml:space="preserve">SCHEME DESIGN PRINCIPLES </w:t>
            </w:r>
          </w:p>
        </w:tc>
        <w:tc>
          <w:tcPr>
            <w:tcW w:w="830" w:type="dxa"/>
            <w:tcBorders>
              <w:top w:val="single" w:sz="4" w:space="0" w:color="000000"/>
              <w:left w:val="single" w:sz="4" w:space="0" w:color="000000"/>
              <w:bottom w:val="single" w:sz="4" w:space="0" w:color="000000"/>
              <w:right w:val="nil"/>
            </w:tcBorders>
            <w:shd w:val="clear" w:color="auto" w:fill="E1EED9"/>
          </w:tcPr>
          <w:p w14:paraId="447CE9E1" w14:textId="77777777" w:rsidR="0047347F" w:rsidRDefault="00CA7F92">
            <w:pPr>
              <w:spacing w:after="0" w:line="259" w:lineRule="auto"/>
              <w:ind w:left="5" w:firstLine="0"/>
            </w:pPr>
            <w:r>
              <w:rPr>
                <w:rFonts w:ascii="Times New Roman" w:eastAsia="Times New Roman" w:hAnsi="Times New Roman" w:cs="Times New Roman"/>
                <w:sz w:val="18"/>
              </w:rPr>
              <w:t xml:space="preserve"> </w:t>
            </w:r>
          </w:p>
        </w:tc>
        <w:tc>
          <w:tcPr>
            <w:tcW w:w="8504" w:type="dxa"/>
            <w:tcBorders>
              <w:top w:val="single" w:sz="4" w:space="0" w:color="000000"/>
              <w:left w:val="nil"/>
              <w:bottom w:val="single" w:sz="4" w:space="0" w:color="000000"/>
              <w:right w:val="single" w:sz="4" w:space="0" w:color="000000"/>
            </w:tcBorders>
            <w:shd w:val="clear" w:color="auto" w:fill="E1EED9"/>
          </w:tcPr>
          <w:p w14:paraId="072548DD" w14:textId="77777777" w:rsidR="0047347F" w:rsidRDefault="0047347F">
            <w:pPr>
              <w:spacing w:after="160" w:line="259" w:lineRule="auto"/>
              <w:ind w:left="0" w:firstLine="0"/>
            </w:pPr>
          </w:p>
        </w:tc>
      </w:tr>
      <w:tr w:rsidR="0047347F" w14:paraId="74C624DB" w14:textId="77777777">
        <w:trPr>
          <w:trHeight w:val="1110"/>
        </w:trPr>
        <w:tc>
          <w:tcPr>
            <w:tcW w:w="443" w:type="dxa"/>
            <w:tcBorders>
              <w:top w:val="single" w:sz="4" w:space="0" w:color="000000"/>
              <w:left w:val="single" w:sz="4" w:space="0" w:color="000000"/>
              <w:bottom w:val="single" w:sz="4" w:space="0" w:color="000000"/>
              <w:right w:val="single" w:sz="4" w:space="0" w:color="000000"/>
            </w:tcBorders>
          </w:tcPr>
          <w:p w14:paraId="22E09867" w14:textId="77777777" w:rsidR="0047347F" w:rsidRDefault="00CA7F92">
            <w:pPr>
              <w:spacing w:after="0" w:line="259" w:lineRule="auto"/>
              <w:ind w:left="112" w:firstLine="0"/>
            </w:pPr>
            <w:r>
              <w:t xml:space="preserve">6 </w:t>
            </w:r>
          </w:p>
        </w:tc>
        <w:tc>
          <w:tcPr>
            <w:tcW w:w="4106" w:type="dxa"/>
            <w:tcBorders>
              <w:top w:val="single" w:sz="4" w:space="0" w:color="000000"/>
              <w:left w:val="single" w:sz="4" w:space="0" w:color="000000"/>
              <w:bottom w:val="single" w:sz="4" w:space="0" w:color="000000"/>
              <w:right w:val="single" w:sz="4" w:space="0" w:color="000000"/>
            </w:tcBorders>
          </w:tcPr>
          <w:p w14:paraId="1D435DF8" w14:textId="77777777" w:rsidR="0047347F" w:rsidRDefault="00CA7F92">
            <w:pPr>
              <w:spacing w:after="0" w:line="259" w:lineRule="auto"/>
              <w:ind w:left="113" w:firstLine="0"/>
            </w:pPr>
            <w:r>
              <w:t xml:space="preserve">Scheme design allows flexibility and responsiveness to emerging and changing knowledge and practices </w:t>
            </w:r>
          </w:p>
        </w:tc>
        <w:tc>
          <w:tcPr>
            <w:tcW w:w="830" w:type="dxa"/>
            <w:tcBorders>
              <w:top w:val="single" w:sz="4" w:space="0" w:color="000000"/>
              <w:left w:val="single" w:sz="4" w:space="0" w:color="000000"/>
              <w:bottom w:val="single" w:sz="4" w:space="0" w:color="000000"/>
              <w:right w:val="nil"/>
            </w:tcBorders>
          </w:tcPr>
          <w:p w14:paraId="3C78AF90" w14:textId="77777777" w:rsidR="0047347F" w:rsidRDefault="00CA7F92">
            <w:pPr>
              <w:spacing w:after="0" w:line="259" w:lineRule="auto"/>
              <w:ind w:left="265" w:firstLine="0"/>
              <w:jc w:val="center"/>
            </w:pPr>
            <w:r>
              <w:rPr>
                <w:rFonts w:ascii="Segoe UI Symbol" w:eastAsia="Segoe UI Symbol" w:hAnsi="Segoe UI Symbol" w:cs="Segoe UI Symbol"/>
              </w:rPr>
              <w:t>•</w:t>
            </w:r>
            <w:r>
              <w:rPr>
                <w:rFonts w:ascii="Arial" w:eastAsia="Arial" w:hAnsi="Arial" w:cs="Arial"/>
              </w:rPr>
              <w:t xml:space="preserve"> </w:t>
            </w:r>
          </w:p>
          <w:p w14:paraId="7CF3F130" w14:textId="77777777" w:rsidR="0047347F" w:rsidRDefault="00CA7F92">
            <w:pPr>
              <w:spacing w:after="0" w:line="259" w:lineRule="auto"/>
              <w:ind w:left="265" w:firstLine="0"/>
              <w:jc w:val="center"/>
            </w:pPr>
            <w:r>
              <w:rPr>
                <w:rFonts w:ascii="Segoe UI Symbol" w:eastAsia="Segoe UI Symbol" w:hAnsi="Segoe UI Symbol" w:cs="Segoe UI Symbol"/>
              </w:rPr>
              <w:t>•</w:t>
            </w:r>
            <w:r>
              <w:rPr>
                <w:rFonts w:ascii="Arial" w:eastAsia="Arial" w:hAnsi="Arial" w:cs="Arial"/>
              </w:rPr>
              <w:t xml:space="preserve"> </w:t>
            </w:r>
          </w:p>
        </w:tc>
        <w:tc>
          <w:tcPr>
            <w:tcW w:w="8504" w:type="dxa"/>
            <w:tcBorders>
              <w:top w:val="single" w:sz="4" w:space="0" w:color="000000"/>
              <w:left w:val="nil"/>
              <w:bottom w:val="single" w:sz="4" w:space="0" w:color="000000"/>
              <w:right w:val="single" w:sz="4" w:space="0" w:color="000000"/>
            </w:tcBorders>
          </w:tcPr>
          <w:p w14:paraId="3578C263" w14:textId="77777777" w:rsidR="0047347F" w:rsidRDefault="00CA7F92">
            <w:pPr>
              <w:spacing w:after="0" w:line="259" w:lineRule="auto"/>
              <w:ind w:left="0" w:firstLine="0"/>
            </w:pPr>
            <w:r>
              <w:t xml:space="preserve">where possible, support clinical and related research into silicosis and silica related diseases support other education, community, cultural, information-sharing and other initiatives that provide worker and family supports or raise community awareness of silicosis and silica related diseases </w:t>
            </w:r>
          </w:p>
        </w:tc>
      </w:tr>
      <w:tr w:rsidR="0047347F" w14:paraId="7B711AC7" w14:textId="77777777">
        <w:trPr>
          <w:trHeight w:val="828"/>
        </w:trPr>
        <w:tc>
          <w:tcPr>
            <w:tcW w:w="443" w:type="dxa"/>
            <w:tcBorders>
              <w:top w:val="single" w:sz="4" w:space="0" w:color="000000"/>
              <w:left w:val="single" w:sz="4" w:space="0" w:color="000000"/>
              <w:bottom w:val="single" w:sz="4" w:space="0" w:color="000000"/>
              <w:right w:val="single" w:sz="4" w:space="0" w:color="000000"/>
            </w:tcBorders>
          </w:tcPr>
          <w:p w14:paraId="7080DE0A" w14:textId="77777777" w:rsidR="0047347F" w:rsidRDefault="00CA7F92">
            <w:pPr>
              <w:spacing w:after="0" w:line="259" w:lineRule="auto"/>
              <w:ind w:left="112" w:firstLine="0"/>
            </w:pPr>
            <w:r>
              <w:t xml:space="preserve">7 </w:t>
            </w:r>
          </w:p>
        </w:tc>
        <w:tc>
          <w:tcPr>
            <w:tcW w:w="4106" w:type="dxa"/>
            <w:tcBorders>
              <w:top w:val="single" w:sz="4" w:space="0" w:color="000000"/>
              <w:left w:val="single" w:sz="4" w:space="0" w:color="000000"/>
              <w:bottom w:val="single" w:sz="4" w:space="0" w:color="000000"/>
              <w:right w:val="single" w:sz="4" w:space="0" w:color="000000"/>
            </w:tcBorders>
          </w:tcPr>
          <w:p w14:paraId="1AD328D6" w14:textId="77777777" w:rsidR="0047347F" w:rsidRDefault="00CA7F92">
            <w:pPr>
              <w:spacing w:after="0" w:line="259" w:lineRule="auto"/>
              <w:ind w:left="113" w:firstLine="0"/>
            </w:pPr>
            <w:r>
              <w:t xml:space="preserve">Scheme is designed to minimise disputes </w:t>
            </w:r>
          </w:p>
        </w:tc>
        <w:tc>
          <w:tcPr>
            <w:tcW w:w="830" w:type="dxa"/>
            <w:tcBorders>
              <w:top w:val="single" w:sz="4" w:space="0" w:color="000000"/>
              <w:left w:val="single" w:sz="4" w:space="0" w:color="000000"/>
              <w:bottom w:val="single" w:sz="4" w:space="0" w:color="000000"/>
              <w:right w:val="nil"/>
            </w:tcBorders>
          </w:tcPr>
          <w:p w14:paraId="31D24F51" w14:textId="77777777" w:rsidR="0047347F" w:rsidRDefault="00CA7F92">
            <w:pPr>
              <w:spacing w:after="0" w:line="259" w:lineRule="auto"/>
              <w:ind w:left="265" w:firstLine="0"/>
              <w:jc w:val="center"/>
            </w:pPr>
            <w:r>
              <w:rPr>
                <w:rFonts w:ascii="Segoe UI Symbol" w:eastAsia="Segoe UI Symbol" w:hAnsi="Segoe UI Symbol" w:cs="Segoe UI Symbol"/>
              </w:rPr>
              <w:t>•</w:t>
            </w:r>
            <w:r>
              <w:rPr>
                <w:rFonts w:ascii="Arial" w:eastAsia="Arial" w:hAnsi="Arial" w:cs="Arial"/>
              </w:rPr>
              <w:t xml:space="preserve"> </w:t>
            </w:r>
          </w:p>
        </w:tc>
        <w:tc>
          <w:tcPr>
            <w:tcW w:w="8504" w:type="dxa"/>
            <w:tcBorders>
              <w:top w:val="single" w:sz="4" w:space="0" w:color="000000"/>
              <w:left w:val="nil"/>
              <w:bottom w:val="single" w:sz="4" w:space="0" w:color="000000"/>
              <w:right w:val="single" w:sz="4" w:space="0" w:color="000000"/>
            </w:tcBorders>
          </w:tcPr>
          <w:p w14:paraId="6C39AB64" w14:textId="77777777" w:rsidR="0047347F" w:rsidRDefault="00CA7F92">
            <w:pPr>
              <w:spacing w:after="0" w:line="259" w:lineRule="auto"/>
              <w:ind w:left="0" w:firstLine="0"/>
            </w:pPr>
            <w:r>
              <w:t xml:space="preserve">transparent complaints and internal review processes that both recognise the challenges for workers with silicosis or a silica related disease and aim to resolve issues fairly, transparently and quickly </w:t>
            </w:r>
          </w:p>
        </w:tc>
      </w:tr>
      <w:tr w:rsidR="0047347F" w14:paraId="29A8DC7F" w14:textId="77777777">
        <w:trPr>
          <w:trHeight w:val="1094"/>
        </w:trPr>
        <w:tc>
          <w:tcPr>
            <w:tcW w:w="443" w:type="dxa"/>
            <w:tcBorders>
              <w:top w:val="single" w:sz="4" w:space="0" w:color="000000"/>
              <w:left w:val="single" w:sz="4" w:space="0" w:color="000000"/>
              <w:bottom w:val="single" w:sz="4" w:space="0" w:color="000000"/>
              <w:right w:val="single" w:sz="4" w:space="0" w:color="000000"/>
            </w:tcBorders>
          </w:tcPr>
          <w:p w14:paraId="3D1D4372" w14:textId="77777777" w:rsidR="0047347F" w:rsidRDefault="00CA7F92">
            <w:pPr>
              <w:spacing w:after="0" w:line="259" w:lineRule="auto"/>
              <w:ind w:left="112" w:firstLine="0"/>
            </w:pPr>
            <w:r>
              <w:t xml:space="preserve">8 </w:t>
            </w:r>
          </w:p>
        </w:tc>
        <w:tc>
          <w:tcPr>
            <w:tcW w:w="4106" w:type="dxa"/>
            <w:tcBorders>
              <w:top w:val="single" w:sz="4" w:space="0" w:color="000000"/>
              <w:left w:val="single" w:sz="4" w:space="0" w:color="000000"/>
              <w:bottom w:val="single" w:sz="4" w:space="0" w:color="000000"/>
              <w:right w:val="single" w:sz="4" w:space="0" w:color="000000"/>
            </w:tcBorders>
          </w:tcPr>
          <w:p w14:paraId="26B14FB2" w14:textId="77777777" w:rsidR="0047347F" w:rsidRDefault="00CA7F92">
            <w:pPr>
              <w:spacing w:after="0" w:line="259" w:lineRule="auto"/>
              <w:ind w:left="113" w:firstLine="0"/>
            </w:pPr>
            <w:r>
              <w:t xml:space="preserve">Exit from the Scheme should be non- complex and transparent </w:t>
            </w:r>
          </w:p>
        </w:tc>
        <w:tc>
          <w:tcPr>
            <w:tcW w:w="830" w:type="dxa"/>
            <w:tcBorders>
              <w:top w:val="single" w:sz="4" w:space="0" w:color="000000"/>
              <w:left w:val="single" w:sz="4" w:space="0" w:color="000000"/>
              <w:bottom w:val="single" w:sz="4" w:space="0" w:color="000000"/>
              <w:right w:val="nil"/>
            </w:tcBorders>
          </w:tcPr>
          <w:p w14:paraId="7B4B2CFD" w14:textId="77777777" w:rsidR="0047347F" w:rsidRDefault="00CA7F92">
            <w:pPr>
              <w:spacing w:after="0" w:line="259" w:lineRule="auto"/>
              <w:ind w:left="265" w:firstLine="0"/>
              <w:jc w:val="center"/>
            </w:pPr>
            <w:r>
              <w:rPr>
                <w:rFonts w:ascii="Segoe UI Symbol" w:eastAsia="Segoe UI Symbol" w:hAnsi="Segoe UI Symbol" w:cs="Segoe UI Symbol"/>
              </w:rPr>
              <w:t>•</w:t>
            </w:r>
            <w:r>
              <w:rPr>
                <w:rFonts w:ascii="Arial" w:eastAsia="Arial" w:hAnsi="Arial" w:cs="Arial"/>
              </w:rPr>
              <w:t xml:space="preserve"> </w:t>
            </w:r>
          </w:p>
        </w:tc>
        <w:tc>
          <w:tcPr>
            <w:tcW w:w="8504" w:type="dxa"/>
            <w:tcBorders>
              <w:top w:val="single" w:sz="4" w:space="0" w:color="000000"/>
              <w:left w:val="nil"/>
              <w:bottom w:val="single" w:sz="4" w:space="0" w:color="000000"/>
              <w:right w:val="single" w:sz="4" w:space="0" w:color="000000"/>
            </w:tcBorders>
          </w:tcPr>
          <w:p w14:paraId="0E09D123" w14:textId="77777777" w:rsidR="0047347F" w:rsidRDefault="00CA7F92">
            <w:pPr>
              <w:spacing w:after="0" w:line="259" w:lineRule="auto"/>
              <w:ind w:left="0" w:right="16" w:firstLine="0"/>
            </w:pPr>
            <w:r>
              <w:t xml:space="preserve">workers and their families are proactively provided with information to allow them to make informed decisions on the options available to them to exit the statutory workers compensation scheme including support to transition to community supports, where relevant. </w:t>
            </w:r>
          </w:p>
        </w:tc>
      </w:tr>
    </w:tbl>
    <w:p w14:paraId="4E1FB121" w14:textId="77777777" w:rsidR="0047347F" w:rsidRDefault="00CA7F92">
      <w:pPr>
        <w:spacing w:after="0" w:line="259" w:lineRule="auto"/>
        <w:ind w:left="0" w:firstLine="0"/>
        <w:jc w:val="both"/>
      </w:pPr>
      <w:r>
        <w:t xml:space="preserve"> </w:t>
      </w:r>
    </w:p>
    <w:sectPr w:rsidR="0047347F" w:rsidSect="00CA7F92">
      <w:footerReference w:type="even" r:id="rId17"/>
      <w:footerReference w:type="default" r:id="rId18"/>
      <w:footerReference w:type="first" r:id="rId19"/>
      <w:footnotePr>
        <w:numRestart w:val="eachPage"/>
      </w:footnotePr>
      <w:pgSz w:w="16841" w:h="11911" w:orient="landscape"/>
      <w:pgMar w:top="1142" w:right="1493" w:bottom="1701" w:left="1339" w:header="72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8938" w14:textId="77777777" w:rsidR="00DD32B2" w:rsidRDefault="00DD32B2">
      <w:pPr>
        <w:spacing w:after="0" w:line="240" w:lineRule="auto"/>
      </w:pPr>
      <w:r>
        <w:separator/>
      </w:r>
    </w:p>
  </w:endnote>
  <w:endnote w:type="continuationSeparator" w:id="0">
    <w:p w14:paraId="043DB275" w14:textId="77777777" w:rsidR="00DD32B2" w:rsidRDefault="00DD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3903" w14:textId="77777777" w:rsidR="0047347F" w:rsidRDefault="00CA7F92">
    <w:pPr>
      <w:tabs>
        <w:tab w:val="right" w:pos="9211"/>
      </w:tabs>
      <w:spacing w:after="0" w:line="259" w:lineRule="auto"/>
      <w:ind w:left="0" w:firstLine="0"/>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7</w:t>
      </w:r>
    </w:fldSimple>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E484" w14:textId="77777777" w:rsidR="0047347F" w:rsidRDefault="00CA7F92">
    <w:pPr>
      <w:tabs>
        <w:tab w:val="right" w:pos="9211"/>
      </w:tabs>
      <w:spacing w:after="0" w:line="259" w:lineRule="auto"/>
      <w:ind w:left="0" w:firstLine="0"/>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7</w:t>
      </w:r>
    </w:fldSimple>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A367" w14:textId="77777777" w:rsidR="0047347F" w:rsidRDefault="00CA7F92">
    <w:pPr>
      <w:tabs>
        <w:tab w:val="right" w:pos="9211"/>
      </w:tabs>
      <w:spacing w:after="0" w:line="259" w:lineRule="auto"/>
      <w:ind w:left="0" w:firstLine="0"/>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fldSimple w:instr=" NUMPAGES   \* MERGEFORMAT ">
      <w:r>
        <w:rPr>
          <w:b/>
        </w:rPr>
        <w:t>7</w:t>
      </w:r>
    </w:fldSimple>
    <w:r>
      <w:rPr>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8693" w14:textId="77777777" w:rsidR="0047347F" w:rsidRDefault="00CA7F92">
    <w:pPr>
      <w:spacing w:after="0" w:line="259" w:lineRule="auto"/>
      <w:ind w:left="0" w:right="-59" w:firstLine="0"/>
      <w:jc w:val="right"/>
    </w:pPr>
    <w:r>
      <w:t xml:space="preserve">Page </w:t>
    </w:r>
    <w:r>
      <w:fldChar w:fldCharType="begin"/>
    </w:r>
    <w:r>
      <w:instrText xml:space="preserve"> PAGE   \* MERGEFORMAT </w:instrText>
    </w:r>
    <w:r>
      <w:fldChar w:fldCharType="separate"/>
    </w:r>
    <w:r>
      <w:rPr>
        <w:b/>
      </w:rPr>
      <w:t>5</w:t>
    </w:r>
    <w:r>
      <w:rPr>
        <w:b/>
      </w:rPr>
      <w:fldChar w:fldCharType="end"/>
    </w:r>
    <w:r>
      <w:rPr>
        <w:b/>
      </w:rPr>
      <w:t xml:space="preserve"> </w:t>
    </w:r>
    <w:r>
      <w:t xml:space="preserve">of </w:t>
    </w:r>
    <w:fldSimple w:instr=" NUMPAGES   \* MERGEFORMAT ">
      <w:r>
        <w:rPr>
          <w:b/>
        </w:rPr>
        <w:t>7</w:t>
      </w:r>
    </w:fldSimple>
    <w:r>
      <w:rPr>
        <w:b/>
      </w:rPr>
      <w:t xml:space="preserve"> </w:t>
    </w:r>
  </w:p>
  <w:p w14:paraId="5D728B0B" w14:textId="77777777" w:rsidR="0047347F" w:rsidRDefault="00CA7F92">
    <w:pPr>
      <w:spacing w:after="0" w:line="259" w:lineRule="auto"/>
      <w:ind w:left="0" w:firstLine="0"/>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A0AD" w14:textId="77777777" w:rsidR="0047347F" w:rsidRDefault="00CA7F92">
    <w:pPr>
      <w:spacing w:after="0" w:line="259" w:lineRule="auto"/>
      <w:ind w:left="0" w:right="-59" w:firstLine="0"/>
      <w:jc w:val="right"/>
    </w:pPr>
    <w:r>
      <w:t xml:space="preserve">Page </w:t>
    </w:r>
    <w:r>
      <w:fldChar w:fldCharType="begin"/>
    </w:r>
    <w:r>
      <w:instrText xml:space="preserve"> PAGE   \* MERGEFORMAT </w:instrText>
    </w:r>
    <w:r>
      <w:fldChar w:fldCharType="separate"/>
    </w:r>
    <w:r>
      <w:rPr>
        <w:b/>
      </w:rPr>
      <w:t>5</w:t>
    </w:r>
    <w:r>
      <w:rPr>
        <w:b/>
      </w:rPr>
      <w:fldChar w:fldCharType="end"/>
    </w:r>
    <w:r>
      <w:rPr>
        <w:b/>
      </w:rPr>
      <w:t xml:space="preserve"> </w:t>
    </w:r>
    <w:r>
      <w:t xml:space="preserve">of </w:t>
    </w:r>
    <w:fldSimple w:instr=" NUMPAGES   \* MERGEFORMAT ">
      <w:r>
        <w:rPr>
          <w:b/>
        </w:rPr>
        <w:t>7</w:t>
      </w:r>
    </w:fldSimple>
    <w:r>
      <w:rPr>
        <w:b/>
      </w:rPr>
      <w:t xml:space="preserve"> </w:t>
    </w:r>
  </w:p>
  <w:p w14:paraId="68BAEC74" w14:textId="77777777" w:rsidR="0047347F" w:rsidRDefault="00CA7F92">
    <w:pPr>
      <w:spacing w:after="0" w:line="259" w:lineRule="auto"/>
      <w:ind w:left="0" w:firstLine="0"/>
    </w:pP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76A4" w14:textId="77777777" w:rsidR="0047347F" w:rsidRDefault="00CA7F92">
    <w:pPr>
      <w:spacing w:after="0" w:line="259" w:lineRule="auto"/>
      <w:ind w:left="0" w:right="-59" w:firstLine="0"/>
      <w:jc w:val="right"/>
    </w:pPr>
    <w:r>
      <w:t xml:space="preserve">Page </w:t>
    </w:r>
    <w:r>
      <w:fldChar w:fldCharType="begin"/>
    </w:r>
    <w:r>
      <w:instrText xml:space="preserve"> PAGE   \* MERGEFORMAT </w:instrText>
    </w:r>
    <w:r>
      <w:fldChar w:fldCharType="separate"/>
    </w:r>
    <w:r>
      <w:rPr>
        <w:b/>
      </w:rPr>
      <w:t>5</w:t>
    </w:r>
    <w:r>
      <w:rPr>
        <w:b/>
      </w:rPr>
      <w:fldChar w:fldCharType="end"/>
    </w:r>
    <w:r>
      <w:rPr>
        <w:b/>
      </w:rPr>
      <w:t xml:space="preserve"> </w:t>
    </w:r>
    <w:r>
      <w:t xml:space="preserve">of </w:t>
    </w:r>
    <w:fldSimple w:instr=" NUMPAGES   \* MERGEFORMAT ">
      <w:r>
        <w:rPr>
          <w:b/>
        </w:rPr>
        <w:t>7</w:t>
      </w:r>
    </w:fldSimple>
    <w:r>
      <w:rPr>
        <w:b/>
      </w:rPr>
      <w:t xml:space="preserve"> </w:t>
    </w:r>
  </w:p>
  <w:p w14:paraId="47115CA7" w14:textId="77777777" w:rsidR="0047347F" w:rsidRDefault="00CA7F92">
    <w:pPr>
      <w:spacing w:after="0" w:line="259" w:lineRule="auto"/>
      <w:ind w:left="0" w:firstLine="0"/>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0BE2" w14:textId="77777777" w:rsidR="00DD32B2" w:rsidRDefault="00DD32B2">
      <w:pPr>
        <w:spacing w:after="0" w:line="253" w:lineRule="auto"/>
        <w:ind w:left="101" w:right="397" w:firstLine="0"/>
      </w:pPr>
      <w:r>
        <w:separator/>
      </w:r>
    </w:p>
  </w:footnote>
  <w:footnote w:type="continuationSeparator" w:id="0">
    <w:p w14:paraId="274692CD" w14:textId="77777777" w:rsidR="00DD32B2" w:rsidRDefault="00DD32B2">
      <w:pPr>
        <w:spacing w:after="0" w:line="253" w:lineRule="auto"/>
        <w:ind w:left="101" w:right="397" w:firstLine="0"/>
      </w:pPr>
      <w:r>
        <w:continuationSeparator/>
      </w:r>
    </w:p>
  </w:footnote>
  <w:footnote w:id="1">
    <w:p w14:paraId="60305B53" w14:textId="77777777" w:rsidR="0047347F" w:rsidRDefault="00CA7F92">
      <w:pPr>
        <w:pStyle w:val="footnotedescription"/>
      </w:pPr>
      <w:r>
        <w:rPr>
          <w:rStyle w:val="footnotemark"/>
        </w:rPr>
        <w:footnoteRef/>
      </w:r>
      <w:r>
        <w:t xml:space="preserve"> </w:t>
      </w:r>
      <w:r>
        <w:rPr>
          <w:i w:val="0"/>
          <w:color w:val="000000"/>
          <w:u w:val="none" w:color="000000"/>
        </w:rPr>
        <w:t>Ramkissoon, C, Song, Y, Yen, S, Southam, K, Page, S, Pisaniello, D, et al</w:t>
      </w:r>
      <w:hyperlink r:id="rId1">
        <w:r>
          <w:rPr>
            <w:i w:val="0"/>
            <w:color w:val="000000"/>
            <w:u w:val="none" w:color="000000"/>
          </w:rPr>
          <w:t xml:space="preserve">. </w:t>
        </w:r>
      </w:hyperlink>
      <w:hyperlink r:id="rId2">
        <w:r>
          <w:t>Understanding the pathogenesis of</w:t>
        </w:r>
      </w:hyperlink>
      <w:hyperlink r:id="rId3">
        <w:r>
          <w:rPr>
            <w:u w:val="none" w:color="000000"/>
          </w:rPr>
          <w:t xml:space="preserve"> </w:t>
        </w:r>
      </w:hyperlink>
      <w:hyperlink r:id="rId4">
        <w:r>
          <w:t>engineered stone-associated silicosis: The effect of particle chemistry on the lung cell</w:t>
        </w:r>
      </w:hyperlink>
      <w:hyperlink r:id="rId5">
        <w:r>
          <w:rPr>
            <w:color w:val="000000"/>
            <w:u w:val="none" w:color="000000"/>
          </w:rPr>
          <w:t xml:space="preserve"> </w:t>
        </w:r>
      </w:hyperlink>
      <w:hyperlink r:id="rId6">
        <w:r>
          <w:t>response</w:t>
        </w:r>
      </w:hyperlink>
      <w:hyperlink r:id="rId7">
        <w:r>
          <w:rPr>
            <w:i w:val="0"/>
          </w:rPr>
          <w:t>.</w:t>
        </w:r>
      </w:hyperlink>
      <w:hyperlink r:id="rId8">
        <w:r>
          <w:rPr>
            <w:i w:val="0"/>
            <w:u w:val="none" w:color="000000"/>
          </w:rPr>
          <w:t xml:space="preserve"> </w:t>
        </w:r>
      </w:hyperlink>
      <w:hyperlink r:id="rId9">
        <w:r>
          <w:rPr>
            <w:color w:val="000000"/>
            <w:u w:val="none" w:color="000000"/>
          </w:rPr>
          <w:t>R</w:t>
        </w:r>
      </w:hyperlink>
      <w:r>
        <w:rPr>
          <w:color w:val="000000"/>
          <w:u w:val="none" w:color="000000"/>
        </w:rPr>
        <w:t>espirology</w:t>
      </w:r>
      <w:r>
        <w:rPr>
          <w:i w:val="0"/>
          <w:color w:val="000000"/>
          <w:u w:val="none" w:color="000000"/>
        </w:rPr>
        <w:t xml:space="preserve">.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703"/>
    <w:multiLevelType w:val="hybridMultilevel"/>
    <w:tmpl w:val="53122A50"/>
    <w:lvl w:ilvl="0" w:tplc="B1243242">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56F1A6">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C278B0">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EE5810">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6AF738">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44DD46">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2D19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9209F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3E5314">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435A56"/>
    <w:multiLevelType w:val="multilevel"/>
    <w:tmpl w:val="A1B2BAEA"/>
    <w:lvl w:ilvl="0">
      <w:start w:val="1"/>
      <w:numFmt w:val="decimal"/>
      <w:pStyle w:val="Heading1"/>
      <w:lvlText w:val="%1."/>
      <w:lvlJc w:val="left"/>
      <w:pPr>
        <w:ind w:left="0"/>
      </w:pPr>
      <w:rPr>
        <w:rFonts w:ascii="Calibri" w:eastAsia="Calibri" w:hAnsi="Calibri" w:cs="Calibri"/>
        <w:b w:val="0"/>
        <w:i w:val="0"/>
        <w:strike w:val="0"/>
        <w:dstrike w:val="0"/>
        <w:color w:val="2E5395"/>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lvl w:ilvl="2">
      <w:start w:val="1"/>
      <w:numFmt w:val="lowerRoman"/>
      <w:lvlText w:val="%3"/>
      <w:lvlJc w:val="left"/>
      <w:pPr>
        <w:ind w:left="1178"/>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lvl w:ilvl="3">
      <w:start w:val="1"/>
      <w:numFmt w:val="decimal"/>
      <w:lvlText w:val="%4"/>
      <w:lvlJc w:val="left"/>
      <w:pPr>
        <w:ind w:left="1898"/>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lvl w:ilvl="4">
      <w:start w:val="1"/>
      <w:numFmt w:val="lowerLetter"/>
      <w:lvlText w:val="%5"/>
      <w:lvlJc w:val="left"/>
      <w:pPr>
        <w:ind w:left="2618"/>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lvl w:ilvl="5">
      <w:start w:val="1"/>
      <w:numFmt w:val="lowerRoman"/>
      <w:lvlText w:val="%6"/>
      <w:lvlJc w:val="left"/>
      <w:pPr>
        <w:ind w:left="3338"/>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lvl w:ilvl="6">
      <w:start w:val="1"/>
      <w:numFmt w:val="decimal"/>
      <w:lvlText w:val="%7"/>
      <w:lvlJc w:val="left"/>
      <w:pPr>
        <w:ind w:left="4058"/>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lvl w:ilvl="7">
      <w:start w:val="1"/>
      <w:numFmt w:val="lowerLetter"/>
      <w:lvlText w:val="%8"/>
      <w:lvlJc w:val="left"/>
      <w:pPr>
        <w:ind w:left="4778"/>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lvl w:ilvl="8">
      <w:start w:val="1"/>
      <w:numFmt w:val="lowerRoman"/>
      <w:lvlText w:val="%9"/>
      <w:lvlJc w:val="left"/>
      <w:pPr>
        <w:ind w:left="5498"/>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abstractNum>
  <w:abstractNum w:abstractNumId="2" w15:restartNumberingAfterBreak="0">
    <w:nsid w:val="185E1026"/>
    <w:multiLevelType w:val="hybridMultilevel"/>
    <w:tmpl w:val="4DD6A190"/>
    <w:lvl w:ilvl="0" w:tplc="8C505B2E">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7082E8">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081EC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129D7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C979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E281A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5CFF6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4F894">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0889C">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56701B"/>
    <w:multiLevelType w:val="hybridMultilevel"/>
    <w:tmpl w:val="1B54E75A"/>
    <w:lvl w:ilvl="0" w:tplc="EFDE9802">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8EEAE8">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28292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CC2A1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622A0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7894C6">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1E5C8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0CEA4">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61C0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D77F87"/>
    <w:multiLevelType w:val="hybridMultilevel"/>
    <w:tmpl w:val="6EF8AE5A"/>
    <w:lvl w:ilvl="0" w:tplc="3806D04A">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4D768">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B88FAA">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46EAB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CF89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5C3F2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86D48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EC2E0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408A2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2144516">
    <w:abstractNumId w:val="0"/>
  </w:num>
  <w:num w:numId="2" w16cid:durableId="242643786">
    <w:abstractNumId w:val="2"/>
  </w:num>
  <w:num w:numId="3" w16cid:durableId="834688946">
    <w:abstractNumId w:val="4"/>
  </w:num>
  <w:num w:numId="4" w16cid:durableId="1184398832">
    <w:abstractNumId w:val="3"/>
  </w:num>
  <w:num w:numId="5" w16cid:durableId="209500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7F"/>
    <w:rsid w:val="000A7354"/>
    <w:rsid w:val="000B229C"/>
    <w:rsid w:val="0047347F"/>
    <w:rsid w:val="00A21F56"/>
    <w:rsid w:val="00B42D78"/>
    <w:rsid w:val="00C3433C"/>
    <w:rsid w:val="00C86671"/>
    <w:rsid w:val="00CA7F92"/>
    <w:rsid w:val="00DD3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7" w:lineRule="auto"/>
      <w:ind w:left="108"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5"/>
      </w:numPr>
      <w:spacing w:after="1" w:line="259" w:lineRule="auto"/>
      <w:ind w:left="111" w:hanging="10"/>
      <w:outlineLvl w:val="0"/>
    </w:pPr>
    <w:rPr>
      <w:rFonts w:ascii="Calibri" w:eastAsia="Calibri" w:hAnsi="Calibri" w:cs="Calibri"/>
      <w:color w:val="2E5395"/>
      <w:sz w:val="32"/>
    </w:rPr>
  </w:style>
  <w:style w:type="paragraph" w:styleId="Heading2">
    <w:name w:val="heading 2"/>
    <w:next w:val="Normal"/>
    <w:link w:val="Heading2Char"/>
    <w:uiPriority w:val="9"/>
    <w:unhideWhenUsed/>
    <w:qFormat/>
    <w:pPr>
      <w:keepNext/>
      <w:keepLines/>
      <w:numPr>
        <w:ilvl w:val="1"/>
        <w:numId w:val="5"/>
      </w:numPr>
      <w:spacing w:after="0" w:line="259" w:lineRule="auto"/>
      <w:ind w:left="108" w:hanging="10"/>
      <w:outlineLvl w:val="1"/>
    </w:pPr>
    <w:rPr>
      <w:rFonts w:ascii="Calibri" w:eastAsia="Calibri" w:hAnsi="Calibri" w:cs="Calibri"/>
      <w:color w:val="2E539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E5395"/>
      <w:sz w:val="26"/>
    </w:rPr>
  </w:style>
  <w:style w:type="paragraph" w:customStyle="1" w:styleId="footnotedescription">
    <w:name w:val="footnote description"/>
    <w:next w:val="Normal"/>
    <w:link w:val="footnotedescriptionChar"/>
    <w:hidden/>
    <w:pPr>
      <w:spacing w:after="0" w:line="253" w:lineRule="auto"/>
      <w:ind w:left="101" w:right="397"/>
    </w:pPr>
    <w:rPr>
      <w:rFonts w:ascii="Calibri" w:eastAsia="Calibri" w:hAnsi="Calibri" w:cs="Calibri"/>
      <w:i/>
      <w:color w:val="0462C1"/>
      <w:sz w:val="20"/>
      <w:u w:val="single" w:color="0462C1"/>
    </w:rPr>
  </w:style>
  <w:style w:type="character" w:customStyle="1" w:styleId="footnotedescriptionChar">
    <w:name w:val="footnote description Char"/>
    <w:link w:val="footnotedescription"/>
    <w:rPr>
      <w:rFonts w:ascii="Calibri" w:eastAsia="Calibri" w:hAnsi="Calibri" w:cs="Calibri"/>
      <w:i/>
      <w:color w:val="0462C1"/>
      <w:sz w:val="20"/>
      <w:u w:val="single" w:color="0462C1"/>
    </w:rPr>
  </w:style>
  <w:style w:type="character" w:customStyle="1" w:styleId="Heading1Char">
    <w:name w:val="Heading 1 Char"/>
    <w:link w:val="Heading1"/>
    <w:rPr>
      <w:rFonts w:ascii="Calibri" w:eastAsia="Calibri" w:hAnsi="Calibri" w:cs="Calibri"/>
      <w:color w:val="2E5395"/>
      <w:sz w:val="32"/>
    </w:rPr>
  </w:style>
  <w:style w:type="paragraph" w:styleId="TOC1">
    <w:name w:val="toc 1"/>
    <w:hidden/>
    <w:pPr>
      <w:spacing w:after="99" w:line="257" w:lineRule="auto"/>
      <w:ind w:left="125" w:right="92" w:hanging="10"/>
    </w:pPr>
    <w:rPr>
      <w:rFonts w:ascii="Calibri" w:eastAsia="Calibri" w:hAnsi="Calibri" w:cs="Calibri"/>
      <w:color w:val="000000"/>
      <w:sz w:val="22"/>
    </w:rPr>
  </w:style>
  <w:style w:type="paragraph" w:styleId="TOC2">
    <w:name w:val="toc 2"/>
    <w:hidden/>
    <w:pPr>
      <w:spacing w:after="93" w:line="259" w:lineRule="auto"/>
      <w:ind w:left="332" w:right="107" w:hanging="10"/>
      <w:jc w:val="right"/>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A7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35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national-dust-disease-taskforce-final-report?language=en" TargetMode="External"/><Relationship Id="rId13" Type="http://schemas.openxmlformats.org/officeDocument/2006/relationships/hyperlink" Target="https://www.safeworkaustralia.gov.au/workers-compensation/comparing-workers-compensation-australia"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ealth.gov.au/resources/publications/national-dust-disease-taskforce-final-report?language=en" TargetMode="External"/><Relationship Id="rId12" Type="http://schemas.openxmlformats.org/officeDocument/2006/relationships/hyperlink" Target="https://www.safeworkaustralia.gov.au/workers-compensation/comparing-workers-compensation-australia"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workaustralia.gov.au/workers-compensation/comparing-workers-compensation-australi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feworkaustralia.gov.au/workers-compensation/comparing-workers-compensation-australia"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health.gov.au/resources/publications/national-dust-disease-taskforce-final-report?language=e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nlinelibrary.wiley.com/doi/10.1111/resp.14625" TargetMode="External"/><Relationship Id="rId3" Type="http://schemas.openxmlformats.org/officeDocument/2006/relationships/hyperlink" Target="https://onlinelibrary.wiley.com/doi/10.1111/resp.14625" TargetMode="External"/><Relationship Id="rId7" Type="http://schemas.openxmlformats.org/officeDocument/2006/relationships/hyperlink" Target="https://onlinelibrary.wiley.com/doi/10.1111/resp.14625" TargetMode="External"/><Relationship Id="rId2" Type="http://schemas.openxmlformats.org/officeDocument/2006/relationships/hyperlink" Target="https://onlinelibrary.wiley.com/doi/10.1111/resp.14625" TargetMode="External"/><Relationship Id="rId1" Type="http://schemas.openxmlformats.org/officeDocument/2006/relationships/hyperlink" Target="https://onlinelibrary.wiley.com/doi/10.1111/resp.14625" TargetMode="External"/><Relationship Id="rId6" Type="http://schemas.openxmlformats.org/officeDocument/2006/relationships/hyperlink" Target="https://onlinelibrary.wiley.com/doi/10.1111/resp.14625" TargetMode="External"/><Relationship Id="rId5" Type="http://schemas.openxmlformats.org/officeDocument/2006/relationships/hyperlink" Target="https://onlinelibrary.wiley.com/doi/10.1111/resp.14625" TargetMode="External"/><Relationship Id="rId4" Type="http://schemas.openxmlformats.org/officeDocument/2006/relationships/hyperlink" Target="https://onlinelibrary.wiley.com/doi/10.1111/resp.14625" TargetMode="External"/><Relationship Id="rId9" Type="http://schemas.openxmlformats.org/officeDocument/2006/relationships/hyperlink" Target="https://onlinelibrary.wiley.com/doi/10.1111/resp.14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9632</Characters>
  <Application>Microsoft Office Word</Application>
  <DocSecurity>0</DocSecurity>
  <Lines>244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workers’ compensation principles for workers with silicosis and related diseases</dc:title>
  <dc:subject/>
  <dc:creator/>
  <cp:keywords/>
  <cp:lastModifiedBy/>
  <cp:revision>1</cp:revision>
  <dcterms:created xsi:type="dcterms:W3CDTF">2025-11-05T23:40:00Z</dcterms:created>
  <dcterms:modified xsi:type="dcterms:W3CDTF">2025-11-05T23:40:00Z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2025-11-05T23:40:57Z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16c71580-1d51-423b-8187-16b4e9d9ce6b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