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4B33" w14:textId="327790C4" w:rsidR="00107DD5" w:rsidRDefault="00A16FC5" w:rsidP="001B1440">
      <w:pPr>
        <w:spacing w:before="100" w:beforeAutospacing="1"/>
      </w:pPr>
      <w:sdt>
        <w:sdtPr>
          <w:id w:val="1816989120"/>
          <w:lock w:val="sdtContentLocked"/>
          <w:showingPlcHdr/>
          <w15:appearance w15:val="hidden"/>
          <w:picture/>
        </w:sdtPr>
        <w:sdtEndPr/>
        <w:sdtContent/>
      </w:sdt>
      <w:sdt>
        <w:sdtPr>
          <w:id w:val="-728842739"/>
          <w:showingPlcHdr/>
          <w15:appearance w15:val="hidden"/>
          <w:picture/>
        </w:sdtPr>
        <w:sdtEndPr/>
        <w:sdtContent/>
      </w:sdt>
    </w:p>
    <w:p w14:paraId="6CF20844" w14:textId="77777777" w:rsidR="00660D27" w:rsidRDefault="00660D27" w:rsidP="001B1440">
      <w:pPr>
        <w:spacing w:before="100" w:beforeAutospacing="1"/>
      </w:pPr>
    </w:p>
    <w:p w14:paraId="165691B0" w14:textId="0D9EC97D" w:rsidR="00221D8F" w:rsidRDefault="001040CC" w:rsidP="008F1EF4">
      <w:pPr>
        <w:pStyle w:val="Heading1"/>
      </w:pPr>
      <w:bookmarkStart w:id="0" w:name="_Toc126923146"/>
      <w:bookmarkStart w:id="1" w:name="_Toc126923157"/>
      <w:r w:rsidRPr="001040CC">
        <w:t>Labour Hire Senior Officials’ Working Group Final Report</w:t>
      </w:r>
      <w:bookmarkEnd w:id="0"/>
      <w:bookmarkEnd w:id="1"/>
    </w:p>
    <w:p w14:paraId="25FBB412" w14:textId="77777777" w:rsidR="006A7F70" w:rsidRDefault="00EB6DFF" w:rsidP="008F1EF4">
      <w:pPr>
        <w:pStyle w:val="Subtitle"/>
      </w:pPr>
      <w:r>
        <w:t>National Model Law Principles for Labour</w:t>
      </w:r>
      <w:r w:rsidR="00310B72">
        <w:t> </w:t>
      </w:r>
      <w:r>
        <w:t>Hire</w:t>
      </w:r>
      <w:r w:rsidR="00310B72">
        <w:t> </w:t>
      </w:r>
      <w:r>
        <w:t>Regulation</w:t>
      </w:r>
    </w:p>
    <w:p w14:paraId="0BBA9845" w14:textId="77777777" w:rsidR="00ED4110" w:rsidRDefault="00ED4110" w:rsidP="00ED4110"/>
    <w:p w14:paraId="1BB24DBD" w14:textId="77777777" w:rsidR="00ED4110" w:rsidRPr="00ED4110" w:rsidRDefault="00ED4110" w:rsidP="00ED4110"/>
    <w:p w14:paraId="7AB15D24" w14:textId="21B508EA" w:rsidR="006A7F70" w:rsidRDefault="00481F0C" w:rsidP="00481F0C">
      <w:pPr>
        <w:pStyle w:val="Subtitle"/>
        <w:tabs>
          <w:tab w:val="left" w:pos="5780"/>
        </w:tabs>
      </w:pPr>
      <w:r>
        <w:tab/>
      </w:r>
    </w:p>
    <w:p w14:paraId="551CB86C" w14:textId="77777777" w:rsidR="006A7F70" w:rsidRDefault="006A7F70" w:rsidP="008F1EF4">
      <w:pPr>
        <w:pStyle w:val="Subtitle"/>
      </w:pPr>
    </w:p>
    <w:p w14:paraId="235A933E" w14:textId="77777777" w:rsidR="00F02D1E" w:rsidRDefault="00F02D1E" w:rsidP="000649CB">
      <w:pPr>
        <w:pStyle w:val="Subtitle"/>
        <w:ind w:left="0"/>
      </w:pPr>
    </w:p>
    <w:p w14:paraId="121FBC38" w14:textId="69C0C536" w:rsidR="00921BBD" w:rsidRDefault="006A7F70" w:rsidP="00980ACA">
      <w:pPr>
        <w:pStyle w:val="Subtitle"/>
        <w:ind w:left="0"/>
        <w:jc w:val="right"/>
      </w:pPr>
      <w:r>
        <w:t>July 2026</w:t>
      </w:r>
      <w:r w:rsidR="00921BBD">
        <w:br w:type="page"/>
      </w:r>
    </w:p>
    <w:bookmarkStart w:id="2" w:name="_Toc126923147" w:displacedByCustomXml="next"/>
    <w:bookmarkStart w:id="3" w:name="_Toc126923158" w:displacedByCustomXml="next"/>
    <w:bookmarkStart w:id="4" w:name="_Toc126923317" w:displacedByCustomXml="next"/>
    <w:sdt>
      <w:sdtPr>
        <w:rPr>
          <w:rFonts w:ascii="Aptos" w:eastAsiaTheme="minorEastAsia" w:hAnsi="Aptos" w:cstheme="minorBidi"/>
          <w:b w:val="0"/>
          <w:color w:val="auto"/>
          <w:sz w:val="22"/>
          <w:szCs w:val="22"/>
          <w:lang w:val="en-AU"/>
        </w:rPr>
        <w:id w:val="968160600"/>
        <w:docPartObj>
          <w:docPartGallery w:val="Table of Contents"/>
          <w:docPartUnique/>
        </w:docPartObj>
      </w:sdtPr>
      <w:sdtEndPr>
        <w:rPr>
          <w:noProof/>
        </w:rPr>
      </w:sdtEndPr>
      <w:sdtContent>
        <w:p w14:paraId="6170C631" w14:textId="77777777" w:rsidR="00D15320" w:rsidRPr="00D15320" w:rsidRDefault="00D15320" w:rsidP="00D06362">
          <w:pPr>
            <w:pStyle w:val="TOCHeading"/>
          </w:pPr>
          <w:r w:rsidRPr="00D15320">
            <w:t>Contents</w:t>
          </w:r>
        </w:p>
        <w:p w14:paraId="6FCCB3E9" w14:textId="4D06A115" w:rsidR="00DA5C31" w:rsidRDefault="00F577A5">
          <w:pPr>
            <w:pStyle w:val="TOC1"/>
            <w:rPr>
              <w:rFonts w:asciiTheme="minorHAnsi" w:eastAsiaTheme="minorEastAsia" w:hAnsiTheme="minorHAnsi"/>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238551412" w:history="1">
            <w:r w:rsidR="00DA5C31" w:rsidRPr="006A54D6">
              <w:rPr>
                <w:rStyle w:val="Hyperlink"/>
                <w:noProof/>
              </w:rPr>
              <w:t>Introduction</w:t>
            </w:r>
            <w:r w:rsidR="00DA5C31">
              <w:rPr>
                <w:noProof/>
                <w:webHidden/>
              </w:rPr>
              <w:tab/>
            </w:r>
            <w:r w:rsidR="00DA5C31">
              <w:rPr>
                <w:noProof/>
                <w:webHidden/>
              </w:rPr>
              <w:fldChar w:fldCharType="begin"/>
            </w:r>
            <w:r w:rsidR="00DA5C31">
              <w:rPr>
                <w:noProof/>
                <w:webHidden/>
              </w:rPr>
              <w:instrText xml:space="preserve"> PAGEREF _Toc238551412 \h </w:instrText>
            </w:r>
            <w:r w:rsidR="00DA5C31">
              <w:rPr>
                <w:noProof/>
                <w:webHidden/>
              </w:rPr>
            </w:r>
            <w:r w:rsidR="00DA5C31">
              <w:rPr>
                <w:noProof/>
                <w:webHidden/>
              </w:rPr>
              <w:fldChar w:fldCharType="separate"/>
            </w:r>
            <w:r w:rsidR="00DA5C31">
              <w:rPr>
                <w:noProof/>
                <w:webHidden/>
              </w:rPr>
              <w:t>1</w:t>
            </w:r>
            <w:r w:rsidR="00DA5C31">
              <w:rPr>
                <w:noProof/>
                <w:webHidden/>
              </w:rPr>
              <w:fldChar w:fldCharType="end"/>
            </w:r>
          </w:hyperlink>
        </w:p>
        <w:p w14:paraId="1B1EE0B1" w14:textId="4F8625FF" w:rsidR="00DA5C31" w:rsidRDefault="00DA5C31">
          <w:pPr>
            <w:pStyle w:val="TOC1"/>
            <w:rPr>
              <w:rFonts w:asciiTheme="minorHAnsi" w:eastAsiaTheme="minorEastAsia" w:hAnsiTheme="minorHAnsi"/>
              <w:noProof/>
              <w:kern w:val="2"/>
              <w:sz w:val="24"/>
              <w:szCs w:val="24"/>
              <w:lang w:eastAsia="en-AU"/>
              <w14:ligatures w14:val="standardContextual"/>
            </w:rPr>
          </w:pPr>
          <w:hyperlink w:anchor="_Toc238551413" w:history="1">
            <w:r w:rsidRPr="006A54D6">
              <w:rPr>
                <w:rStyle w:val="Hyperlink"/>
                <w:noProof/>
              </w:rPr>
              <w:t>Labour hire overview</w:t>
            </w:r>
            <w:r>
              <w:rPr>
                <w:noProof/>
                <w:webHidden/>
              </w:rPr>
              <w:tab/>
            </w:r>
            <w:r>
              <w:rPr>
                <w:noProof/>
                <w:webHidden/>
              </w:rPr>
              <w:fldChar w:fldCharType="begin"/>
            </w:r>
            <w:r>
              <w:rPr>
                <w:noProof/>
                <w:webHidden/>
              </w:rPr>
              <w:instrText xml:space="preserve"> PAGEREF _Toc238551413 \h </w:instrText>
            </w:r>
            <w:r>
              <w:rPr>
                <w:noProof/>
                <w:webHidden/>
              </w:rPr>
            </w:r>
            <w:r>
              <w:rPr>
                <w:noProof/>
                <w:webHidden/>
              </w:rPr>
              <w:fldChar w:fldCharType="separate"/>
            </w:r>
            <w:r>
              <w:rPr>
                <w:noProof/>
                <w:webHidden/>
              </w:rPr>
              <w:t>3</w:t>
            </w:r>
            <w:r>
              <w:rPr>
                <w:noProof/>
                <w:webHidden/>
              </w:rPr>
              <w:fldChar w:fldCharType="end"/>
            </w:r>
          </w:hyperlink>
        </w:p>
        <w:p w14:paraId="0A9EA146" w14:textId="25961828" w:rsidR="00DA5C31" w:rsidRDefault="00DA5C31">
          <w:pPr>
            <w:pStyle w:val="TOC1"/>
            <w:rPr>
              <w:rFonts w:asciiTheme="minorHAnsi" w:eastAsiaTheme="minorEastAsia" w:hAnsiTheme="minorHAnsi"/>
              <w:noProof/>
              <w:kern w:val="2"/>
              <w:sz w:val="24"/>
              <w:szCs w:val="24"/>
              <w:lang w:eastAsia="en-AU"/>
              <w14:ligatures w14:val="standardContextual"/>
            </w:rPr>
          </w:pPr>
          <w:hyperlink w:anchor="_Toc238551414" w:history="1">
            <w:r w:rsidRPr="006A54D6">
              <w:rPr>
                <w:rStyle w:val="Hyperlink"/>
                <w:noProof/>
              </w:rPr>
              <w:t>Working towards national consistency</w:t>
            </w:r>
            <w:r>
              <w:rPr>
                <w:noProof/>
                <w:webHidden/>
              </w:rPr>
              <w:tab/>
            </w:r>
            <w:r>
              <w:rPr>
                <w:noProof/>
                <w:webHidden/>
              </w:rPr>
              <w:fldChar w:fldCharType="begin"/>
            </w:r>
            <w:r>
              <w:rPr>
                <w:noProof/>
                <w:webHidden/>
              </w:rPr>
              <w:instrText xml:space="preserve"> PAGEREF _Toc238551414 \h </w:instrText>
            </w:r>
            <w:r>
              <w:rPr>
                <w:noProof/>
                <w:webHidden/>
              </w:rPr>
            </w:r>
            <w:r>
              <w:rPr>
                <w:noProof/>
                <w:webHidden/>
              </w:rPr>
              <w:fldChar w:fldCharType="separate"/>
            </w:r>
            <w:r>
              <w:rPr>
                <w:noProof/>
                <w:webHidden/>
              </w:rPr>
              <w:t>4</w:t>
            </w:r>
            <w:r>
              <w:rPr>
                <w:noProof/>
                <w:webHidden/>
              </w:rPr>
              <w:fldChar w:fldCharType="end"/>
            </w:r>
          </w:hyperlink>
        </w:p>
        <w:p w14:paraId="029DAC09" w14:textId="77524128" w:rsidR="00DA5C31" w:rsidRDefault="00DA5C31">
          <w:pPr>
            <w:pStyle w:val="TOC1"/>
            <w:rPr>
              <w:rFonts w:asciiTheme="minorHAnsi" w:eastAsiaTheme="minorEastAsia" w:hAnsiTheme="minorHAnsi"/>
              <w:noProof/>
              <w:kern w:val="2"/>
              <w:sz w:val="24"/>
              <w:szCs w:val="24"/>
              <w:lang w:eastAsia="en-AU"/>
              <w14:ligatures w14:val="standardContextual"/>
            </w:rPr>
          </w:pPr>
          <w:hyperlink w:anchor="_Toc238551415" w:history="1">
            <w:r w:rsidRPr="006A54D6">
              <w:rPr>
                <w:rStyle w:val="Hyperlink"/>
                <w:noProof/>
              </w:rPr>
              <w:t>National Model Law Principles</w:t>
            </w:r>
            <w:r>
              <w:rPr>
                <w:noProof/>
                <w:webHidden/>
              </w:rPr>
              <w:tab/>
            </w:r>
            <w:r>
              <w:rPr>
                <w:noProof/>
                <w:webHidden/>
              </w:rPr>
              <w:fldChar w:fldCharType="begin"/>
            </w:r>
            <w:r>
              <w:rPr>
                <w:noProof/>
                <w:webHidden/>
              </w:rPr>
              <w:instrText xml:space="preserve"> PAGEREF _Toc238551415 \h </w:instrText>
            </w:r>
            <w:r>
              <w:rPr>
                <w:noProof/>
                <w:webHidden/>
              </w:rPr>
            </w:r>
            <w:r>
              <w:rPr>
                <w:noProof/>
                <w:webHidden/>
              </w:rPr>
              <w:fldChar w:fldCharType="separate"/>
            </w:r>
            <w:r>
              <w:rPr>
                <w:noProof/>
                <w:webHidden/>
              </w:rPr>
              <w:t>4</w:t>
            </w:r>
            <w:r>
              <w:rPr>
                <w:noProof/>
                <w:webHidden/>
              </w:rPr>
              <w:fldChar w:fldCharType="end"/>
            </w:r>
          </w:hyperlink>
        </w:p>
        <w:p w14:paraId="75DD922F" w14:textId="283910F2" w:rsidR="00DA5C31" w:rsidRDefault="00DA5C31">
          <w:pPr>
            <w:pStyle w:val="TOC2"/>
            <w:rPr>
              <w:rFonts w:asciiTheme="minorHAnsi" w:eastAsiaTheme="minorEastAsia" w:hAnsiTheme="minorHAnsi"/>
              <w:noProof/>
              <w:kern w:val="2"/>
              <w:sz w:val="24"/>
              <w:szCs w:val="24"/>
              <w:lang w:eastAsia="en-AU"/>
              <w14:ligatures w14:val="standardContextual"/>
            </w:rPr>
          </w:pPr>
          <w:hyperlink w:anchor="_Toc238551416" w:history="1">
            <w:r w:rsidRPr="006A54D6">
              <w:rPr>
                <w:rStyle w:val="Hyperlink"/>
                <w:noProof/>
              </w:rPr>
              <w:t>Scope and coverage</w:t>
            </w:r>
            <w:r>
              <w:rPr>
                <w:noProof/>
                <w:webHidden/>
              </w:rPr>
              <w:tab/>
            </w:r>
            <w:r>
              <w:rPr>
                <w:noProof/>
                <w:webHidden/>
              </w:rPr>
              <w:fldChar w:fldCharType="begin"/>
            </w:r>
            <w:r>
              <w:rPr>
                <w:noProof/>
                <w:webHidden/>
              </w:rPr>
              <w:instrText xml:space="preserve"> PAGEREF _Toc238551416 \h </w:instrText>
            </w:r>
            <w:r>
              <w:rPr>
                <w:noProof/>
                <w:webHidden/>
              </w:rPr>
            </w:r>
            <w:r>
              <w:rPr>
                <w:noProof/>
                <w:webHidden/>
              </w:rPr>
              <w:fldChar w:fldCharType="separate"/>
            </w:r>
            <w:r>
              <w:rPr>
                <w:noProof/>
                <w:webHidden/>
              </w:rPr>
              <w:t>4</w:t>
            </w:r>
            <w:r>
              <w:rPr>
                <w:noProof/>
                <w:webHidden/>
              </w:rPr>
              <w:fldChar w:fldCharType="end"/>
            </w:r>
          </w:hyperlink>
        </w:p>
        <w:p w14:paraId="503E08C4" w14:textId="66CB31E3" w:rsidR="00DA5C31" w:rsidRDefault="00DA5C31">
          <w:pPr>
            <w:pStyle w:val="TOC2"/>
            <w:rPr>
              <w:rFonts w:asciiTheme="minorHAnsi" w:eastAsiaTheme="minorEastAsia" w:hAnsiTheme="minorHAnsi"/>
              <w:noProof/>
              <w:kern w:val="2"/>
              <w:sz w:val="24"/>
              <w:szCs w:val="24"/>
              <w:lang w:eastAsia="en-AU"/>
              <w14:ligatures w14:val="standardContextual"/>
            </w:rPr>
          </w:pPr>
          <w:hyperlink w:anchor="_Toc238551417" w:history="1">
            <w:r w:rsidRPr="006A54D6">
              <w:rPr>
                <w:rStyle w:val="Hyperlink"/>
                <w:noProof/>
              </w:rPr>
              <w:t>Licensing</w:t>
            </w:r>
            <w:r>
              <w:rPr>
                <w:noProof/>
                <w:webHidden/>
              </w:rPr>
              <w:tab/>
            </w:r>
            <w:r>
              <w:rPr>
                <w:noProof/>
                <w:webHidden/>
              </w:rPr>
              <w:fldChar w:fldCharType="begin"/>
            </w:r>
            <w:r>
              <w:rPr>
                <w:noProof/>
                <w:webHidden/>
              </w:rPr>
              <w:instrText xml:space="preserve"> PAGEREF _Toc238551417 \h </w:instrText>
            </w:r>
            <w:r>
              <w:rPr>
                <w:noProof/>
                <w:webHidden/>
              </w:rPr>
            </w:r>
            <w:r>
              <w:rPr>
                <w:noProof/>
                <w:webHidden/>
              </w:rPr>
              <w:fldChar w:fldCharType="separate"/>
            </w:r>
            <w:r>
              <w:rPr>
                <w:noProof/>
                <w:webHidden/>
              </w:rPr>
              <w:t>5</w:t>
            </w:r>
            <w:r>
              <w:rPr>
                <w:noProof/>
                <w:webHidden/>
              </w:rPr>
              <w:fldChar w:fldCharType="end"/>
            </w:r>
          </w:hyperlink>
        </w:p>
        <w:p w14:paraId="76E32323" w14:textId="383F7BB5" w:rsidR="00DA5C31" w:rsidRDefault="00DA5C31">
          <w:pPr>
            <w:pStyle w:val="TOC2"/>
            <w:rPr>
              <w:rFonts w:asciiTheme="minorHAnsi" w:eastAsiaTheme="minorEastAsia" w:hAnsiTheme="minorHAnsi"/>
              <w:noProof/>
              <w:kern w:val="2"/>
              <w:sz w:val="24"/>
              <w:szCs w:val="24"/>
              <w:lang w:eastAsia="en-AU"/>
              <w14:ligatures w14:val="standardContextual"/>
            </w:rPr>
          </w:pPr>
          <w:hyperlink w:anchor="_Toc238551418" w:history="1">
            <w:r w:rsidRPr="006A54D6">
              <w:rPr>
                <w:rStyle w:val="Hyperlink"/>
                <w:noProof/>
              </w:rPr>
              <w:t>Compliance and enforcement</w:t>
            </w:r>
            <w:r>
              <w:rPr>
                <w:noProof/>
                <w:webHidden/>
              </w:rPr>
              <w:tab/>
            </w:r>
            <w:r>
              <w:rPr>
                <w:noProof/>
                <w:webHidden/>
              </w:rPr>
              <w:fldChar w:fldCharType="begin"/>
            </w:r>
            <w:r>
              <w:rPr>
                <w:noProof/>
                <w:webHidden/>
              </w:rPr>
              <w:instrText xml:space="preserve"> PAGEREF _Toc238551418 \h </w:instrText>
            </w:r>
            <w:r>
              <w:rPr>
                <w:noProof/>
                <w:webHidden/>
              </w:rPr>
            </w:r>
            <w:r>
              <w:rPr>
                <w:noProof/>
                <w:webHidden/>
              </w:rPr>
              <w:fldChar w:fldCharType="separate"/>
            </w:r>
            <w:r>
              <w:rPr>
                <w:noProof/>
                <w:webHidden/>
              </w:rPr>
              <w:t>7</w:t>
            </w:r>
            <w:r>
              <w:rPr>
                <w:noProof/>
                <w:webHidden/>
              </w:rPr>
              <w:fldChar w:fldCharType="end"/>
            </w:r>
          </w:hyperlink>
        </w:p>
        <w:p w14:paraId="02C7F10D" w14:textId="31E15C70" w:rsidR="00DA5C31" w:rsidRDefault="00DA5C31">
          <w:pPr>
            <w:pStyle w:val="TOC2"/>
            <w:rPr>
              <w:rFonts w:asciiTheme="minorHAnsi" w:eastAsiaTheme="minorEastAsia" w:hAnsiTheme="minorHAnsi"/>
              <w:noProof/>
              <w:kern w:val="2"/>
              <w:sz w:val="24"/>
              <w:szCs w:val="24"/>
              <w:lang w:eastAsia="en-AU"/>
              <w14:ligatures w14:val="standardContextual"/>
            </w:rPr>
          </w:pPr>
          <w:hyperlink w:anchor="_Toc238551419" w:history="1">
            <w:r w:rsidRPr="006A54D6">
              <w:rPr>
                <w:rStyle w:val="Hyperlink"/>
                <w:noProof/>
              </w:rPr>
              <w:t>Regulator</w:t>
            </w:r>
            <w:r>
              <w:rPr>
                <w:noProof/>
                <w:webHidden/>
              </w:rPr>
              <w:tab/>
            </w:r>
            <w:r>
              <w:rPr>
                <w:noProof/>
                <w:webHidden/>
              </w:rPr>
              <w:fldChar w:fldCharType="begin"/>
            </w:r>
            <w:r>
              <w:rPr>
                <w:noProof/>
                <w:webHidden/>
              </w:rPr>
              <w:instrText xml:space="preserve"> PAGEREF _Toc238551419 \h </w:instrText>
            </w:r>
            <w:r>
              <w:rPr>
                <w:noProof/>
                <w:webHidden/>
              </w:rPr>
            </w:r>
            <w:r>
              <w:rPr>
                <w:noProof/>
                <w:webHidden/>
              </w:rPr>
              <w:fldChar w:fldCharType="separate"/>
            </w:r>
            <w:r>
              <w:rPr>
                <w:noProof/>
                <w:webHidden/>
              </w:rPr>
              <w:t>7</w:t>
            </w:r>
            <w:r>
              <w:rPr>
                <w:noProof/>
                <w:webHidden/>
              </w:rPr>
              <w:fldChar w:fldCharType="end"/>
            </w:r>
          </w:hyperlink>
        </w:p>
        <w:p w14:paraId="4B773299" w14:textId="09106B41" w:rsidR="00DA5C31" w:rsidRDefault="00DA5C31">
          <w:pPr>
            <w:pStyle w:val="TOC2"/>
            <w:rPr>
              <w:rFonts w:asciiTheme="minorHAnsi" w:eastAsiaTheme="minorEastAsia" w:hAnsiTheme="minorHAnsi"/>
              <w:noProof/>
              <w:kern w:val="2"/>
              <w:sz w:val="24"/>
              <w:szCs w:val="24"/>
              <w:lang w:eastAsia="en-AU"/>
              <w14:ligatures w14:val="standardContextual"/>
            </w:rPr>
          </w:pPr>
          <w:hyperlink w:anchor="_Toc238551420" w:history="1">
            <w:r w:rsidRPr="006A54D6">
              <w:rPr>
                <w:rStyle w:val="Hyperlink"/>
                <w:noProof/>
              </w:rPr>
              <w:t>Information sharing</w:t>
            </w:r>
            <w:r>
              <w:rPr>
                <w:noProof/>
                <w:webHidden/>
              </w:rPr>
              <w:tab/>
            </w:r>
            <w:r>
              <w:rPr>
                <w:noProof/>
                <w:webHidden/>
              </w:rPr>
              <w:fldChar w:fldCharType="begin"/>
            </w:r>
            <w:r>
              <w:rPr>
                <w:noProof/>
                <w:webHidden/>
              </w:rPr>
              <w:instrText xml:space="preserve"> PAGEREF _Toc238551420 \h </w:instrText>
            </w:r>
            <w:r>
              <w:rPr>
                <w:noProof/>
                <w:webHidden/>
              </w:rPr>
            </w:r>
            <w:r>
              <w:rPr>
                <w:noProof/>
                <w:webHidden/>
              </w:rPr>
              <w:fldChar w:fldCharType="separate"/>
            </w:r>
            <w:r>
              <w:rPr>
                <w:noProof/>
                <w:webHidden/>
              </w:rPr>
              <w:t>8</w:t>
            </w:r>
            <w:r>
              <w:rPr>
                <w:noProof/>
                <w:webHidden/>
              </w:rPr>
              <w:fldChar w:fldCharType="end"/>
            </w:r>
          </w:hyperlink>
        </w:p>
        <w:p w14:paraId="36DCFE3D" w14:textId="59534EDA" w:rsidR="00DA5C31" w:rsidRDefault="00DA5C31">
          <w:pPr>
            <w:pStyle w:val="TOC1"/>
            <w:rPr>
              <w:rFonts w:asciiTheme="minorHAnsi" w:eastAsiaTheme="minorEastAsia" w:hAnsiTheme="minorHAnsi"/>
              <w:noProof/>
              <w:kern w:val="2"/>
              <w:sz w:val="24"/>
              <w:szCs w:val="24"/>
              <w:lang w:eastAsia="en-AU"/>
              <w14:ligatures w14:val="standardContextual"/>
            </w:rPr>
          </w:pPr>
          <w:hyperlink w:anchor="_Toc238551421" w:history="1">
            <w:r w:rsidRPr="006A54D6">
              <w:rPr>
                <w:rStyle w:val="Hyperlink"/>
                <w:noProof/>
              </w:rPr>
              <w:t>Other considerations</w:t>
            </w:r>
            <w:r>
              <w:rPr>
                <w:noProof/>
                <w:webHidden/>
              </w:rPr>
              <w:tab/>
            </w:r>
            <w:r>
              <w:rPr>
                <w:noProof/>
                <w:webHidden/>
              </w:rPr>
              <w:fldChar w:fldCharType="begin"/>
            </w:r>
            <w:r>
              <w:rPr>
                <w:noProof/>
                <w:webHidden/>
              </w:rPr>
              <w:instrText xml:space="preserve"> PAGEREF _Toc238551421 \h </w:instrText>
            </w:r>
            <w:r>
              <w:rPr>
                <w:noProof/>
                <w:webHidden/>
              </w:rPr>
            </w:r>
            <w:r>
              <w:rPr>
                <w:noProof/>
                <w:webHidden/>
              </w:rPr>
              <w:fldChar w:fldCharType="separate"/>
            </w:r>
            <w:r>
              <w:rPr>
                <w:noProof/>
                <w:webHidden/>
              </w:rPr>
              <w:t>9</w:t>
            </w:r>
            <w:r>
              <w:rPr>
                <w:noProof/>
                <w:webHidden/>
              </w:rPr>
              <w:fldChar w:fldCharType="end"/>
            </w:r>
          </w:hyperlink>
        </w:p>
        <w:p w14:paraId="57122ECB" w14:textId="154D4C2A" w:rsidR="00DA5C31" w:rsidRDefault="00DA5C31">
          <w:pPr>
            <w:pStyle w:val="TOC1"/>
            <w:rPr>
              <w:rFonts w:asciiTheme="minorHAnsi" w:eastAsiaTheme="minorEastAsia" w:hAnsiTheme="minorHAnsi"/>
              <w:noProof/>
              <w:kern w:val="2"/>
              <w:sz w:val="24"/>
              <w:szCs w:val="24"/>
              <w:lang w:eastAsia="en-AU"/>
              <w14:ligatures w14:val="standardContextual"/>
            </w:rPr>
          </w:pPr>
          <w:hyperlink w:anchor="_Toc238551422" w:history="1">
            <w:r w:rsidRPr="006A54D6">
              <w:rPr>
                <w:rStyle w:val="Hyperlink"/>
                <w:noProof/>
              </w:rPr>
              <w:t>Conclusion</w:t>
            </w:r>
            <w:r>
              <w:rPr>
                <w:noProof/>
                <w:webHidden/>
              </w:rPr>
              <w:tab/>
            </w:r>
            <w:r>
              <w:rPr>
                <w:noProof/>
                <w:webHidden/>
              </w:rPr>
              <w:fldChar w:fldCharType="begin"/>
            </w:r>
            <w:r>
              <w:rPr>
                <w:noProof/>
                <w:webHidden/>
              </w:rPr>
              <w:instrText xml:space="preserve"> PAGEREF _Toc238551422 \h </w:instrText>
            </w:r>
            <w:r>
              <w:rPr>
                <w:noProof/>
                <w:webHidden/>
              </w:rPr>
            </w:r>
            <w:r>
              <w:rPr>
                <w:noProof/>
                <w:webHidden/>
              </w:rPr>
              <w:fldChar w:fldCharType="separate"/>
            </w:r>
            <w:r>
              <w:rPr>
                <w:noProof/>
                <w:webHidden/>
              </w:rPr>
              <w:t>9</w:t>
            </w:r>
            <w:r>
              <w:rPr>
                <w:noProof/>
                <w:webHidden/>
              </w:rPr>
              <w:fldChar w:fldCharType="end"/>
            </w:r>
          </w:hyperlink>
        </w:p>
        <w:p w14:paraId="6F9A0A45" w14:textId="4156728E" w:rsidR="00DA5C31" w:rsidRDefault="00DA5C31">
          <w:pPr>
            <w:pStyle w:val="TOC1"/>
            <w:rPr>
              <w:rFonts w:asciiTheme="minorHAnsi" w:eastAsiaTheme="minorEastAsia" w:hAnsiTheme="minorHAnsi"/>
              <w:noProof/>
              <w:kern w:val="2"/>
              <w:sz w:val="24"/>
              <w:szCs w:val="24"/>
              <w:lang w:eastAsia="en-AU"/>
              <w14:ligatures w14:val="standardContextual"/>
            </w:rPr>
          </w:pPr>
          <w:hyperlink w:anchor="_Toc238551423" w:history="1">
            <w:r w:rsidRPr="006A54D6">
              <w:rPr>
                <w:rStyle w:val="Hyperlink"/>
                <w:noProof/>
              </w:rPr>
              <w:t>Appendix A</w:t>
            </w:r>
            <w:r>
              <w:rPr>
                <w:noProof/>
                <w:webHidden/>
              </w:rPr>
              <w:tab/>
            </w:r>
            <w:r>
              <w:rPr>
                <w:noProof/>
                <w:webHidden/>
              </w:rPr>
              <w:fldChar w:fldCharType="begin"/>
            </w:r>
            <w:r>
              <w:rPr>
                <w:noProof/>
                <w:webHidden/>
              </w:rPr>
              <w:instrText xml:space="preserve"> PAGEREF _Toc238551423 \h </w:instrText>
            </w:r>
            <w:r>
              <w:rPr>
                <w:noProof/>
                <w:webHidden/>
              </w:rPr>
            </w:r>
            <w:r>
              <w:rPr>
                <w:noProof/>
                <w:webHidden/>
              </w:rPr>
              <w:fldChar w:fldCharType="separate"/>
            </w:r>
            <w:r>
              <w:rPr>
                <w:noProof/>
                <w:webHidden/>
              </w:rPr>
              <w:t>10</w:t>
            </w:r>
            <w:r>
              <w:rPr>
                <w:noProof/>
                <w:webHidden/>
              </w:rPr>
              <w:fldChar w:fldCharType="end"/>
            </w:r>
          </w:hyperlink>
        </w:p>
        <w:p w14:paraId="0388E1D2" w14:textId="353BDD38" w:rsidR="00DA5C31" w:rsidRDefault="00DA5C31">
          <w:pPr>
            <w:pStyle w:val="TOC2"/>
            <w:rPr>
              <w:rFonts w:asciiTheme="minorHAnsi" w:eastAsiaTheme="minorEastAsia" w:hAnsiTheme="minorHAnsi"/>
              <w:noProof/>
              <w:kern w:val="2"/>
              <w:sz w:val="24"/>
              <w:szCs w:val="24"/>
              <w:lang w:eastAsia="en-AU"/>
              <w14:ligatures w14:val="standardContextual"/>
            </w:rPr>
          </w:pPr>
          <w:hyperlink w:anchor="_Toc238551424" w:history="1">
            <w:r w:rsidRPr="006A54D6">
              <w:rPr>
                <w:rStyle w:val="Hyperlink"/>
                <w:noProof/>
              </w:rPr>
              <w:t>National Model Law Principles for Labour Hire Regulation</w:t>
            </w:r>
            <w:r>
              <w:rPr>
                <w:noProof/>
                <w:webHidden/>
              </w:rPr>
              <w:tab/>
            </w:r>
            <w:r>
              <w:rPr>
                <w:noProof/>
                <w:webHidden/>
              </w:rPr>
              <w:fldChar w:fldCharType="begin"/>
            </w:r>
            <w:r>
              <w:rPr>
                <w:noProof/>
                <w:webHidden/>
              </w:rPr>
              <w:instrText xml:space="preserve"> PAGEREF _Toc238551424 \h </w:instrText>
            </w:r>
            <w:r>
              <w:rPr>
                <w:noProof/>
                <w:webHidden/>
              </w:rPr>
            </w:r>
            <w:r>
              <w:rPr>
                <w:noProof/>
                <w:webHidden/>
              </w:rPr>
              <w:fldChar w:fldCharType="separate"/>
            </w:r>
            <w:r>
              <w:rPr>
                <w:noProof/>
                <w:webHidden/>
              </w:rPr>
              <w:t>10</w:t>
            </w:r>
            <w:r>
              <w:rPr>
                <w:noProof/>
                <w:webHidden/>
              </w:rPr>
              <w:fldChar w:fldCharType="end"/>
            </w:r>
          </w:hyperlink>
        </w:p>
        <w:p w14:paraId="354BE65E" w14:textId="771B0AEB" w:rsidR="00DA5C31" w:rsidRDefault="00DA5C31">
          <w:pPr>
            <w:pStyle w:val="TOC1"/>
            <w:rPr>
              <w:rFonts w:asciiTheme="minorHAnsi" w:eastAsiaTheme="minorEastAsia" w:hAnsiTheme="minorHAnsi"/>
              <w:noProof/>
              <w:kern w:val="2"/>
              <w:sz w:val="24"/>
              <w:szCs w:val="24"/>
              <w:lang w:eastAsia="en-AU"/>
              <w14:ligatures w14:val="standardContextual"/>
            </w:rPr>
          </w:pPr>
          <w:hyperlink w:anchor="_Toc238551425" w:history="1">
            <w:r w:rsidRPr="006A54D6">
              <w:rPr>
                <w:rStyle w:val="Hyperlink"/>
                <w:noProof/>
              </w:rPr>
              <w:t>Endnotes</w:t>
            </w:r>
            <w:r>
              <w:rPr>
                <w:noProof/>
                <w:webHidden/>
              </w:rPr>
              <w:tab/>
            </w:r>
            <w:r>
              <w:rPr>
                <w:noProof/>
                <w:webHidden/>
              </w:rPr>
              <w:fldChar w:fldCharType="begin"/>
            </w:r>
            <w:r>
              <w:rPr>
                <w:noProof/>
                <w:webHidden/>
              </w:rPr>
              <w:instrText xml:space="preserve"> PAGEREF _Toc238551425 \h </w:instrText>
            </w:r>
            <w:r>
              <w:rPr>
                <w:noProof/>
                <w:webHidden/>
              </w:rPr>
            </w:r>
            <w:r>
              <w:rPr>
                <w:noProof/>
                <w:webHidden/>
              </w:rPr>
              <w:fldChar w:fldCharType="separate"/>
            </w:r>
            <w:r>
              <w:rPr>
                <w:noProof/>
                <w:webHidden/>
              </w:rPr>
              <w:t>13</w:t>
            </w:r>
            <w:r>
              <w:rPr>
                <w:noProof/>
                <w:webHidden/>
              </w:rPr>
              <w:fldChar w:fldCharType="end"/>
            </w:r>
          </w:hyperlink>
        </w:p>
        <w:p w14:paraId="4E9C46F5" w14:textId="3BD17D04" w:rsidR="00A901F1" w:rsidRDefault="00F577A5" w:rsidP="0096275C">
          <w:pPr>
            <w:pStyle w:val="TOC3"/>
            <w:ind w:left="0"/>
            <w:rPr>
              <w:bCs/>
              <w:noProof/>
            </w:rPr>
          </w:pPr>
          <w:r>
            <w:fldChar w:fldCharType="end"/>
          </w:r>
        </w:p>
      </w:sdtContent>
    </w:sdt>
    <w:p w14:paraId="50F15F6D" w14:textId="77777777" w:rsidR="00344D89" w:rsidRDefault="00D15320" w:rsidP="00B515B5">
      <w:pPr>
        <w:pStyle w:val="Heading2"/>
        <w:spacing w:before="320"/>
        <w:sectPr w:rsidR="00344D89" w:rsidSect="00180FE8">
          <w:headerReference w:type="default" r:id="rId8"/>
          <w:footerReference w:type="default" r:id="rId9"/>
          <w:headerReference w:type="first" r:id="rId10"/>
          <w:footerReference w:type="first" r:id="rId11"/>
          <w:endnotePr>
            <w:numFmt w:val="decimal"/>
          </w:endnotePr>
          <w:pgSz w:w="11906" w:h="16838"/>
          <w:pgMar w:top="851" w:right="1247" w:bottom="1361" w:left="1247" w:header="709" w:footer="737" w:gutter="0"/>
          <w:pgNumType w:start="0"/>
          <w:cols w:space="708"/>
          <w:titlePg/>
          <w:docGrid w:linePitch="360"/>
        </w:sectPr>
      </w:pPr>
      <w:r>
        <w:br w:type="page"/>
      </w:r>
      <w:bookmarkEnd w:id="4"/>
      <w:bookmarkEnd w:id="3"/>
      <w:bookmarkEnd w:id="2"/>
    </w:p>
    <w:p w14:paraId="2C98061A" w14:textId="1D728D1D" w:rsidR="00D15320" w:rsidRPr="00A901F1" w:rsidRDefault="00E010F1" w:rsidP="00B515B5">
      <w:pPr>
        <w:pStyle w:val="Heading2"/>
        <w:spacing w:before="320"/>
        <w:rPr>
          <w:b/>
          <w:bCs/>
          <w:noProof/>
        </w:rPr>
      </w:pPr>
      <w:bookmarkStart w:id="5" w:name="_Toc238551412"/>
      <w:r>
        <w:lastRenderedPageBreak/>
        <w:t>Introduction</w:t>
      </w:r>
      <w:bookmarkEnd w:id="5"/>
    </w:p>
    <w:p w14:paraId="33828402" w14:textId="77777777" w:rsidR="00C93AE1" w:rsidRPr="00065BFF" w:rsidRDefault="00C93AE1" w:rsidP="00C93AE1">
      <w:pPr>
        <w:numPr>
          <w:ilvl w:val="0"/>
          <w:numId w:val="41"/>
        </w:numPr>
        <w:spacing w:before="0" w:line="276" w:lineRule="auto"/>
      </w:pPr>
      <w:r w:rsidRPr="00065BFF">
        <w:t xml:space="preserve">This report recommends Workplace Relations Ministers endorse draft national </w:t>
      </w:r>
      <w:r w:rsidRPr="00065BFF" w:rsidDel="00070EB9">
        <w:t xml:space="preserve">model law </w:t>
      </w:r>
      <w:r w:rsidRPr="00065BFF">
        <w:t xml:space="preserve">principles for labour hire licensing. A one-page summary of the proposed national principles is on the following </w:t>
      </w:r>
      <w:proofErr w:type="gramStart"/>
      <w:r w:rsidRPr="00065BFF">
        <w:t>page</w:t>
      </w:r>
      <w:proofErr w:type="gramEnd"/>
      <w:r w:rsidRPr="00065BFF">
        <w:t xml:space="preserve"> and the proposed national principles are at </w:t>
      </w:r>
      <w:r w:rsidRPr="00065BFF">
        <w:rPr>
          <w:b/>
          <w:bCs/>
          <w:u w:val="single"/>
        </w:rPr>
        <w:t>Appendix A</w:t>
      </w:r>
      <w:r w:rsidRPr="00065BFF">
        <w:t xml:space="preserve">.  </w:t>
      </w:r>
    </w:p>
    <w:p w14:paraId="310F054A" w14:textId="77777777" w:rsidR="00C93AE1" w:rsidRPr="00065BFF" w:rsidRDefault="00C93AE1" w:rsidP="00C93AE1">
      <w:pPr>
        <w:numPr>
          <w:ilvl w:val="0"/>
          <w:numId w:val="41"/>
        </w:numPr>
        <w:spacing w:before="0" w:line="276" w:lineRule="auto"/>
      </w:pPr>
      <w:r w:rsidRPr="00065BFF">
        <w:t xml:space="preserve">The national principles are designed to </w:t>
      </w:r>
      <w:r w:rsidRPr="00065BFF" w:rsidDel="00145CFE">
        <w:t xml:space="preserve">promote </w:t>
      </w:r>
      <w:r>
        <w:t xml:space="preserve">more </w:t>
      </w:r>
      <w:r w:rsidRPr="00065BFF">
        <w:t>effective regulation of labour hire by enabling state and territory governments to align core settings, including across existing licensing schemes, while retaining flexibility to reflect local operating environments. Currently, 4 jurisdictions have established labour hire licensing schemes: Queensland, Victoria, South Australia and the Australian Capital Territory. New South Wales and Western Australia are considering establishing schemes in their jurisdictions.</w:t>
      </w:r>
    </w:p>
    <w:p w14:paraId="284AA314" w14:textId="77777777" w:rsidR="00C93AE1" w:rsidRPr="00065BFF" w:rsidRDefault="00C93AE1" w:rsidP="00C93AE1">
      <w:pPr>
        <w:numPr>
          <w:ilvl w:val="0"/>
          <w:numId w:val="41"/>
        </w:numPr>
        <w:spacing w:before="0" w:line="276" w:lineRule="auto"/>
      </w:pPr>
      <w:r w:rsidRPr="00065BFF">
        <w:t xml:space="preserve">Significant work has progressed since 2023 on national labour hire reform, including consultation on options for a national scheme and the development of a harmonised model. At the </w:t>
      </w:r>
      <w:r>
        <w:t>m</w:t>
      </w:r>
      <w:r w:rsidRPr="00065BFF">
        <w:t xml:space="preserve">eeting of Commonwealth, State and Territory Workplace Relations and Work Health and Safety Ministers on 31 October 2025: </w:t>
      </w:r>
    </w:p>
    <w:p w14:paraId="525EFCC6" w14:textId="77777777" w:rsidR="00C93AE1" w:rsidRPr="00065BFF" w:rsidRDefault="00C93AE1" w:rsidP="00C93AE1">
      <w:pPr>
        <w:numPr>
          <w:ilvl w:val="1"/>
          <w:numId w:val="41"/>
        </w:numPr>
        <w:spacing w:before="0" w:line="276" w:lineRule="auto"/>
      </w:pPr>
      <w:r w:rsidRPr="00065BFF">
        <w:t xml:space="preserve">Queensland, the Northern Territory and Tasmania advised they do not support a harmonised approach to labour hire. </w:t>
      </w:r>
    </w:p>
    <w:p w14:paraId="21140ED9" w14:textId="77777777" w:rsidR="00C93AE1" w:rsidRPr="00065BFF" w:rsidRDefault="00C93AE1" w:rsidP="00C93AE1">
      <w:pPr>
        <w:numPr>
          <w:ilvl w:val="1"/>
          <w:numId w:val="41"/>
        </w:numPr>
        <w:spacing w:before="0" w:line="276" w:lineRule="auto"/>
      </w:pPr>
      <w:r w:rsidRPr="00065BFF">
        <w:t xml:space="preserve">The Commonwealth noted that without the participation of all jurisdictions, the previously endorsed harmonised model will not achieve its intended outcomes. </w:t>
      </w:r>
    </w:p>
    <w:p w14:paraId="198A6949" w14:textId="77777777" w:rsidR="00C93AE1" w:rsidRPr="00065BFF" w:rsidRDefault="00C93AE1" w:rsidP="00C93AE1">
      <w:pPr>
        <w:numPr>
          <w:ilvl w:val="1"/>
          <w:numId w:val="41"/>
        </w:numPr>
        <w:spacing w:before="0" w:line="276" w:lineRule="auto"/>
      </w:pPr>
      <w:r w:rsidRPr="00065BFF">
        <w:t xml:space="preserve">Participating jurisdictions </w:t>
      </w:r>
      <w:r>
        <w:t xml:space="preserve">– </w:t>
      </w:r>
      <w:r w:rsidRPr="00065BFF">
        <w:t>the Commonwealth, Victoria, New South Wales, Western Australia, South Australia, the Australian Capital Territory</w:t>
      </w:r>
      <w:r>
        <w:t xml:space="preserve"> – </w:t>
      </w:r>
      <w:r w:rsidRPr="00065BFF">
        <w:t xml:space="preserve">agreed to consider ways to achieve a consistent approach to labour hire regulation across state and territory schemes including model laws. </w:t>
      </w:r>
    </w:p>
    <w:p w14:paraId="6DF5CFD0" w14:textId="77777777" w:rsidR="00C93AE1" w:rsidRPr="00065BFF" w:rsidRDefault="00C93AE1" w:rsidP="00C93AE1">
      <w:pPr>
        <w:numPr>
          <w:ilvl w:val="0"/>
          <w:numId w:val="41"/>
        </w:numPr>
        <w:spacing w:before="0" w:line="276" w:lineRule="auto"/>
      </w:pPr>
      <w:r w:rsidRPr="00065BFF">
        <w:t xml:space="preserve">In November 2025, the Commonwealth established the Labour Hire Senior Officials’ Working Group (Working Group). Representatives from participating jurisdictions attended Working Group meetings between November 2025 and June 2026, with Queensland representatives attending to share information about their labour hire licensing scheme’s operation. Outcomes papers </w:t>
      </w:r>
      <w:r>
        <w:t>were</w:t>
      </w:r>
      <w:r w:rsidRPr="00065BFF">
        <w:t xml:space="preserve"> shared with Tasmanian and Northern Territory officials.  </w:t>
      </w:r>
    </w:p>
    <w:p w14:paraId="0A32448B" w14:textId="77777777" w:rsidR="00C93AE1" w:rsidRPr="00065BFF" w:rsidRDefault="00C93AE1" w:rsidP="00C93AE1">
      <w:pPr>
        <w:numPr>
          <w:ilvl w:val="0"/>
          <w:numId w:val="41"/>
        </w:numPr>
        <w:spacing w:before="0" w:line="276" w:lineRule="auto"/>
      </w:pPr>
      <w:r w:rsidRPr="00065BFF">
        <w:t xml:space="preserve">The Working Group’s development of national principles has drawn on similar core elements of the existing licensing schemes to harness the opportunity to work towards a nationally consistent approach. </w:t>
      </w:r>
    </w:p>
    <w:p w14:paraId="457C4437" w14:textId="77777777" w:rsidR="00C93AE1" w:rsidRPr="00065BFF" w:rsidRDefault="00C93AE1" w:rsidP="00C93AE1">
      <w:pPr>
        <w:numPr>
          <w:ilvl w:val="0"/>
          <w:numId w:val="41"/>
        </w:numPr>
        <w:spacing w:before="0" w:line="276" w:lineRule="auto"/>
      </w:pPr>
      <w:r w:rsidRPr="00065BFF">
        <w:t>This report provides an explanation of the national principles, including key policy considerations and how they are intended to operate. The principles outline best practice elements of effective labour hire regulation, including industry coverage, safeguards, compliance and enforcement, licensing and information sharing</w:t>
      </w:r>
      <w:r>
        <w:t>.</w:t>
      </w:r>
    </w:p>
    <w:p w14:paraId="4B51C2E7" w14:textId="77777777" w:rsidR="00C93AE1" w:rsidRPr="00065BFF" w:rsidRDefault="00C93AE1" w:rsidP="00C93AE1">
      <w:pPr>
        <w:numPr>
          <w:ilvl w:val="0"/>
          <w:numId w:val="41"/>
        </w:numPr>
        <w:spacing w:before="0" w:line="276" w:lineRule="auto"/>
      </w:pPr>
      <w:r w:rsidRPr="00065BFF">
        <w:t xml:space="preserve">The working group does not recommend progressing model laws </w:t>
      </w:r>
      <w:proofErr w:type="gramStart"/>
      <w:r w:rsidRPr="00065BFF">
        <w:t>at this time</w:t>
      </w:r>
      <w:proofErr w:type="gramEnd"/>
      <w:r w:rsidRPr="00065BFF">
        <w:t xml:space="preserve">. Individual states and territories continue to be responsible for licensing schemes in their jurisdictions and giving effect to the </w:t>
      </w:r>
      <w:r>
        <w:t xml:space="preserve">national </w:t>
      </w:r>
      <w:r w:rsidRPr="00065BFF">
        <w:t xml:space="preserve">principles by enacting or amending their respective labour hire licensing laws as </w:t>
      </w:r>
      <w:r>
        <w:t>appropriate</w:t>
      </w:r>
      <w:r w:rsidRPr="00065BFF">
        <w:t xml:space="preserve">. </w:t>
      </w:r>
    </w:p>
    <w:tbl>
      <w:tblPr>
        <w:tblStyle w:val="TableGrid"/>
        <w:tblW w:w="9923" w:type="dxa"/>
        <w:tblInd w:w="-289" w:type="dxa"/>
        <w:tblLook w:val="04A0" w:firstRow="1" w:lastRow="0" w:firstColumn="1" w:lastColumn="0" w:noHBand="0" w:noVBand="1"/>
      </w:tblPr>
      <w:tblGrid>
        <w:gridCol w:w="9923"/>
      </w:tblGrid>
      <w:tr w:rsidR="001A1D4B" w:rsidRPr="00065BFF" w14:paraId="4E8F705D" w14:textId="77777777" w:rsidTr="2C2CCC35">
        <w:tc>
          <w:tcPr>
            <w:tcW w:w="9923" w:type="dxa"/>
            <w:shd w:val="clear" w:color="auto" w:fill="124251" w:themeFill="background2" w:themeFillShade="80"/>
          </w:tcPr>
          <w:p w14:paraId="5F0143B5" w14:textId="77777777" w:rsidR="001A1D4B" w:rsidRPr="00672FBE" w:rsidRDefault="001A1D4B" w:rsidP="00A85A5C">
            <w:pPr>
              <w:ind w:left="360"/>
              <w:contextualSpacing/>
              <w:jc w:val="center"/>
              <w:rPr>
                <w:b/>
                <w:color w:val="FFFFFF" w:themeColor="background1"/>
                <w:sz w:val="28"/>
                <w:szCs w:val="28"/>
              </w:rPr>
            </w:pPr>
            <w:r w:rsidRPr="00672FBE">
              <w:rPr>
                <w:sz w:val="28"/>
                <w:szCs w:val="28"/>
              </w:rPr>
              <w:lastRenderedPageBreak/>
              <w:br w:type="page"/>
            </w:r>
            <w:r w:rsidRPr="00672FBE">
              <w:rPr>
                <w:sz w:val="28"/>
                <w:szCs w:val="28"/>
              </w:rPr>
              <w:br w:type="page"/>
            </w:r>
            <w:r w:rsidRPr="00672FBE">
              <w:rPr>
                <w:b/>
                <w:color w:val="FFFFFF" w:themeColor="background1"/>
                <w:sz w:val="28"/>
                <w:szCs w:val="28"/>
              </w:rPr>
              <w:t>Summary – National Model Law Principles</w:t>
            </w:r>
          </w:p>
        </w:tc>
      </w:tr>
      <w:tr w:rsidR="001A1D4B" w:rsidRPr="00065BFF" w14:paraId="10E26DDD" w14:textId="77777777" w:rsidTr="2C2CCC35">
        <w:trPr>
          <w:trHeight w:val="574"/>
        </w:trPr>
        <w:tc>
          <w:tcPr>
            <w:tcW w:w="9923" w:type="dxa"/>
          </w:tcPr>
          <w:p w14:paraId="6FD6720E" w14:textId="374CF43D" w:rsidR="001A1D4B" w:rsidRPr="00672FBE" w:rsidRDefault="001A1D4B" w:rsidP="00672FBE">
            <w:pPr>
              <w:spacing w:before="120" w:after="120"/>
              <w:rPr>
                <w:rFonts w:ascii="Aptos Display" w:hAnsi="Aptos Display"/>
                <w:b/>
              </w:rPr>
            </w:pPr>
            <w:r w:rsidRPr="00672FBE">
              <w:rPr>
                <w:rFonts w:ascii="Aptos Display" w:hAnsi="Aptos Display"/>
                <w:b/>
                <w:bCs/>
              </w:rPr>
              <w:t>1. Purpose / object</w:t>
            </w:r>
            <w:r w:rsidRPr="00672FBE">
              <w:rPr>
                <w:rFonts w:ascii="Aptos Display" w:hAnsi="Aptos Display"/>
              </w:rPr>
              <w:t>: Labour hire licensing schemes are designed to protect workers from exploitation and create a level playing field for business by providing that only ‘fit and proper’ providers can be licensed and operate in jurisdictions. Aligning licensing requirements across jurisdictions and increasing the transparency of licensing decisions (approvals, suspensions or cancellations) strengthens the integrity of the labour hire</w:t>
            </w:r>
            <w:r w:rsidR="00A53F36">
              <w:rPr>
                <w:rFonts w:ascii="Aptos Display" w:hAnsi="Aptos Display"/>
              </w:rPr>
              <w:t> </w:t>
            </w:r>
            <w:r w:rsidRPr="00672FBE">
              <w:rPr>
                <w:rFonts w:ascii="Aptos Display" w:hAnsi="Aptos Display"/>
              </w:rPr>
              <w:t>industry.</w:t>
            </w:r>
            <w:r w:rsidRPr="00672FBE">
              <w:rPr>
                <w:rFonts w:ascii="Aptos Display" w:hAnsi="Aptos Display"/>
                <w:b/>
                <w:bCs/>
              </w:rPr>
              <w:t xml:space="preserve"> </w:t>
            </w:r>
          </w:p>
        </w:tc>
      </w:tr>
      <w:tr w:rsidR="001A1D4B" w:rsidRPr="00065BFF" w14:paraId="0E2E6BF3" w14:textId="77777777" w:rsidTr="001F7CF1">
        <w:trPr>
          <w:trHeight w:val="1726"/>
        </w:trPr>
        <w:tc>
          <w:tcPr>
            <w:tcW w:w="9923" w:type="dxa"/>
            <w:shd w:val="clear" w:color="auto" w:fill="D2ECFF" w:themeFill="text1" w:themeFillTint="1A"/>
          </w:tcPr>
          <w:p w14:paraId="599D649E" w14:textId="57C8C1A3" w:rsidR="001A1D4B" w:rsidRPr="00672FBE" w:rsidRDefault="001A1D4B" w:rsidP="00672FBE">
            <w:pPr>
              <w:spacing w:before="120" w:after="120"/>
              <w:rPr>
                <w:rFonts w:ascii="Aptos Display" w:hAnsi="Aptos Display"/>
              </w:rPr>
            </w:pPr>
            <w:r w:rsidRPr="2C2CCC35">
              <w:rPr>
                <w:rFonts w:ascii="Aptos Display" w:hAnsi="Aptos Display"/>
                <w:b/>
                <w:bCs/>
              </w:rPr>
              <w:t>2. Scope / coverage:</w:t>
            </w:r>
            <w:r w:rsidRPr="2C2CCC35">
              <w:rPr>
                <w:rFonts w:ascii="Aptos Display" w:hAnsi="Aptos Display"/>
              </w:rPr>
              <w:t xml:space="preserve"> Licensing laws should have universal coverage across all industries and a broad definition of labour supply services, recognising the range of arrangements that can be adopted. This is designed to promote supply chain transparency and mitigate the risk of avoidance through restructuring. A licen</w:t>
            </w:r>
            <w:r w:rsidR="1323A51C" w:rsidRPr="2C2CCC35">
              <w:rPr>
                <w:rFonts w:ascii="Aptos Display" w:hAnsi="Aptos Display"/>
              </w:rPr>
              <w:t>s</w:t>
            </w:r>
            <w:r w:rsidRPr="2C2CCC35">
              <w:rPr>
                <w:rFonts w:ascii="Aptos Display" w:hAnsi="Aptos Display"/>
              </w:rPr>
              <w:t>ing scheme should cover regulation of both providers and users of labour hire (sometimes referenced as a ‘host’ or ‘host business’).</w:t>
            </w:r>
          </w:p>
          <w:p w14:paraId="0629D71F" w14:textId="77777777" w:rsidR="001A1D4B" w:rsidRPr="00672FBE" w:rsidRDefault="001A1D4B" w:rsidP="00672FBE">
            <w:pPr>
              <w:spacing w:before="120" w:after="120"/>
              <w:rPr>
                <w:rFonts w:ascii="Aptos Display" w:hAnsi="Aptos Display"/>
              </w:rPr>
            </w:pPr>
            <w:r w:rsidRPr="00672FBE">
              <w:rPr>
                <w:rFonts w:ascii="Aptos Display" w:hAnsi="Aptos Display"/>
              </w:rPr>
              <w:t>Coverage includes the supply of labour to a commercial or business undertaking but does not apply in domestic settings involving the provision of private household or non-commercial work, such as a domestic cleaning service. Workers are to be covered regardless of whether they are engaged as employees or contractors, with subcontracting in scope where it has the character of labour supply. Some arrangements may be excluded, for example, secondments and labour supply within a group of entities.</w:t>
            </w:r>
          </w:p>
        </w:tc>
      </w:tr>
      <w:tr w:rsidR="001A1D4B" w:rsidRPr="00065BFF" w14:paraId="51479134" w14:textId="77777777" w:rsidTr="2C2CCC35">
        <w:trPr>
          <w:trHeight w:val="1988"/>
        </w:trPr>
        <w:tc>
          <w:tcPr>
            <w:tcW w:w="9923" w:type="dxa"/>
          </w:tcPr>
          <w:p w14:paraId="25EFF8C9" w14:textId="77777777" w:rsidR="001A1D4B" w:rsidRPr="00672FBE" w:rsidRDefault="001A1D4B" w:rsidP="00672FBE">
            <w:pPr>
              <w:spacing w:before="120" w:after="120"/>
              <w:rPr>
                <w:rFonts w:ascii="Aptos Display" w:hAnsi="Aptos Display"/>
              </w:rPr>
            </w:pPr>
            <w:r w:rsidRPr="00672FBE">
              <w:rPr>
                <w:rFonts w:ascii="Aptos Display" w:hAnsi="Aptos Display"/>
                <w:b/>
                <w:bCs/>
              </w:rPr>
              <w:t>3. Licensing requirements:</w:t>
            </w:r>
            <w:r w:rsidRPr="00672FBE">
              <w:rPr>
                <w:rFonts w:ascii="Aptos Display" w:hAnsi="Aptos Display"/>
              </w:rPr>
              <w:t xml:space="preserve"> Labour hire providers are required to be licensed, and state and territory labour hire regulators have the capacity to suspend, cancel or impose conditions on licences. To be licensed, a labour hire provider must pass and continue to meet a robust ‘fit and proper person’ test and satisfy other suitability requirements, allowing regulators to consider a variety of factors in determining an applicant’s eligibility and ongoing suitability, such as financial viability, integrity and compliance with relevant laws.</w:t>
            </w:r>
          </w:p>
          <w:p w14:paraId="0227F0A5" w14:textId="4BB96374" w:rsidR="001A1D4B" w:rsidRPr="00672FBE" w:rsidRDefault="001A1D4B" w:rsidP="00672FBE">
            <w:pPr>
              <w:spacing w:before="120" w:after="120"/>
              <w:rPr>
                <w:rFonts w:ascii="Aptos Display" w:hAnsi="Aptos Display"/>
              </w:rPr>
            </w:pPr>
            <w:r w:rsidRPr="2C2CCC35">
              <w:rPr>
                <w:rFonts w:ascii="Aptos Display" w:hAnsi="Aptos Display"/>
              </w:rPr>
              <w:t xml:space="preserve">Each jurisdictional scheme includes a comprehensive online searchable public register of licence holders that provides information about applications, licence holders, suspensions, cancellations, and any conditions placed on a licence holder. In addition, a regulator may also publish information about relevant enforcement action taken in relation to a licence on </w:t>
            </w:r>
            <w:r w:rsidR="19901A1C" w:rsidRPr="2C2CCC35">
              <w:rPr>
                <w:rFonts w:ascii="Aptos Display" w:hAnsi="Aptos Display"/>
              </w:rPr>
              <w:t>its</w:t>
            </w:r>
            <w:r w:rsidRPr="2C2CCC35">
              <w:rPr>
                <w:rFonts w:ascii="Aptos Display" w:hAnsi="Aptos Display"/>
              </w:rPr>
              <w:t xml:space="preserve"> register or another location. Jurisdictions may consider decisions of other regulators in determining whether to grant, cancel or suspend a licence.</w:t>
            </w:r>
          </w:p>
        </w:tc>
      </w:tr>
      <w:tr w:rsidR="001A1D4B" w:rsidRPr="00065BFF" w14:paraId="5946CFB6" w14:textId="77777777" w:rsidTr="001F7CF1">
        <w:trPr>
          <w:trHeight w:val="1194"/>
        </w:trPr>
        <w:tc>
          <w:tcPr>
            <w:tcW w:w="9923" w:type="dxa"/>
            <w:shd w:val="clear" w:color="auto" w:fill="D2ECFF" w:themeFill="text1" w:themeFillTint="1A"/>
          </w:tcPr>
          <w:p w14:paraId="419A58A0" w14:textId="77777777" w:rsidR="001A1D4B" w:rsidRPr="00672FBE" w:rsidRDefault="001A1D4B" w:rsidP="00672FBE">
            <w:pPr>
              <w:spacing w:before="120" w:after="120"/>
              <w:rPr>
                <w:rFonts w:ascii="Aptos Display" w:hAnsi="Aptos Display"/>
                <w:b/>
                <w:bCs/>
              </w:rPr>
            </w:pPr>
            <w:r w:rsidRPr="00672FBE">
              <w:rPr>
                <w:rFonts w:ascii="Aptos Display" w:hAnsi="Aptos Display"/>
                <w:b/>
                <w:bCs/>
              </w:rPr>
              <w:t xml:space="preserve">4. Compliance and enforcement: </w:t>
            </w:r>
            <w:r w:rsidRPr="00672FBE">
              <w:rPr>
                <w:rFonts w:ascii="Aptos Display" w:hAnsi="Aptos Display"/>
              </w:rPr>
              <w:t xml:space="preserve">Licensing laws should include a compliance and enforcement framework with a range of tools to support regulatory responses from education and outreach, through to investigations and enforcement action where needed. This would include prohibited conduct, such as operating without a licence, </w:t>
            </w:r>
            <w:proofErr w:type="gramStart"/>
            <w:r w:rsidRPr="00672FBE">
              <w:rPr>
                <w:rFonts w:ascii="Aptos Display" w:hAnsi="Aptos Display"/>
              </w:rPr>
              <w:t>entering into</w:t>
            </w:r>
            <w:proofErr w:type="gramEnd"/>
            <w:r w:rsidRPr="00672FBE">
              <w:rPr>
                <w:rFonts w:ascii="Aptos Display" w:hAnsi="Aptos Display"/>
              </w:rPr>
              <w:t xml:space="preserve"> arrangements with unlicensed providers, and </w:t>
            </w:r>
            <w:proofErr w:type="gramStart"/>
            <w:r w:rsidRPr="00672FBE">
              <w:rPr>
                <w:rFonts w:ascii="Aptos Display" w:hAnsi="Aptos Display"/>
              </w:rPr>
              <w:t>entering into</w:t>
            </w:r>
            <w:proofErr w:type="gramEnd"/>
            <w:r w:rsidRPr="00672FBE">
              <w:rPr>
                <w:rFonts w:ascii="Aptos Display" w:hAnsi="Aptos Display"/>
              </w:rPr>
              <w:t xml:space="preserve"> and/or failing to report avoidance arrangements. It would also include accessorial liability for persons or companies involved in contraventions, sanctions with options for civil and/or criminal penalties and strict liability, and fines for minor contraventions. Where possible, similar conduct should attract similar consequences, and there should be a proportionate response to the seriousness of each contravention. </w:t>
            </w:r>
          </w:p>
        </w:tc>
      </w:tr>
      <w:tr w:rsidR="001A1D4B" w:rsidRPr="00065BFF" w14:paraId="3D09BB57" w14:textId="77777777" w:rsidTr="2C2CCC35">
        <w:trPr>
          <w:trHeight w:val="954"/>
        </w:trPr>
        <w:tc>
          <w:tcPr>
            <w:tcW w:w="9923" w:type="dxa"/>
            <w:shd w:val="clear" w:color="auto" w:fill="FFFFFF" w:themeFill="background1"/>
          </w:tcPr>
          <w:p w14:paraId="0C9B4DF1" w14:textId="7DA8DE3E" w:rsidR="001A1D4B" w:rsidRPr="00672FBE" w:rsidRDefault="001A1D4B" w:rsidP="00672FBE">
            <w:pPr>
              <w:spacing w:before="120" w:after="120"/>
              <w:rPr>
                <w:rFonts w:ascii="Aptos Display" w:hAnsi="Aptos Display"/>
              </w:rPr>
            </w:pPr>
            <w:r w:rsidRPr="00672FBE">
              <w:rPr>
                <w:rFonts w:ascii="Aptos Display" w:hAnsi="Aptos Display"/>
                <w:b/>
                <w:bCs/>
              </w:rPr>
              <w:t xml:space="preserve">5. Regulator: </w:t>
            </w:r>
            <w:r w:rsidRPr="00672FBE">
              <w:rPr>
                <w:rFonts w:ascii="Aptos Display" w:hAnsi="Aptos Display"/>
              </w:rPr>
              <w:t>Each state and territory will need to ensure its regulator is given appropriate and proportionate powers to undertake its functions and adopt a risk-based and intelligence-led approach to compliance. These</w:t>
            </w:r>
            <w:r w:rsidR="00A53F36">
              <w:rPr>
                <w:rFonts w:ascii="Aptos Display" w:hAnsi="Aptos Display"/>
              </w:rPr>
              <w:t> </w:t>
            </w:r>
            <w:r w:rsidRPr="00672FBE">
              <w:rPr>
                <w:rFonts w:ascii="Aptos Display" w:hAnsi="Aptos Display"/>
              </w:rPr>
              <w:t>functions include broad information gathering powers, the capacity to issue guidelines and develop voluntary codes of practice, and information sharing arrangements with other labour hire regulators and enforcement</w:t>
            </w:r>
            <w:r w:rsidR="00A53F36">
              <w:rPr>
                <w:rFonts w:ascii="Aptos Display" w:hAnsi="Aptos Display"/>
              </w:rPr>
              <w:t xml:space="preserve"> </w:t>
            </w:r>
            <w:r w:rsidRPr="00672FBE">
              <w:rPr>
                <w:rFonts w:ascii="Aptos Display" w:hAnsi="Aptos Display"/>
              </w:rPr>
              <w:t xml:space="preserve">bodies. </w:t>
            </w:r>
          </w:p>
        </w:tc>
      </w:tr>
      <w:tr w:rsidR="001A1D4B" w:rsidRPr="00065BFF" w14:paraId="6CFB44CC" w14:textId="77777777" w:rsidTr="001F7CF1">
        <w:trPr>
          <w:trHeight w:val="1657"/>
        </w:trPr>
        <w:tc>
          <w:tcPr>
            <w:tcW w:w="9923" w:type="dxa"/>
            <w:shd w:val="clear" w:color="auto" w:fill="D2ECFF" w:themeFill="text1" w:themeFillTint="1A"/>
          </w:tcPr>
          <w:p w14:paraId="3964D990" w14:textId="77777777" w:rsidR="001A1D4B" w:rsidRPr="00672FBE" w:rsidRDefault="001A1D4B" w:rsidP="00672FBE">
            <w:pPr>
              <w:spacing w:before="120" w:after="120"/>
              <w:rPr>
                <w:rFonts w:ascii="Aptos Display" w:hAnsi="Aptos Display"/>
                <w:b/>
                <w:bCs/>
              </w:rPr>
            </w:pPr>
            <w:r w:rsidRPr="00672FBE">
              <w:rPr>
                <w:rFonts w:ascii="Aptos Display" w:hAnsi="Aptos Display"/>
                <w:b/>
                <w:bCs/>
              </w:rPr>
              <w:t xml:space="preserve">6. Information sharing arrangements: </w:t>
            </w:r>
            <w:r w:rsidRPr="00672FBE">
              <w:rPr>
                <w:rFonts w:ascii="Aptos Display" w:hAnsi="Aptos Display"/>
              </w:rPr>
              <w:t xml:space="preserve">State and territory labour hire regulators </w:t>
            </w:r>
            <w:proofErr w:type="gramStart"/>
            <w:r w:rsidRPr="00672FBE">
              <w:rPr>
                <w:rFonts w:ascii="Aptos Display" w:hAnsi="Aptos Display"/>
              </w:rPr>
              <w:t>are able to</w:t>
            </w:r>
            <w:proofErr w:type="gramEnd"/>
            <w:r w:rsidRPr="00672FBE">
              <w:rPr>
                <w:rFonts w:ascii="Aptos Display" w:hAnsi="Aptos Display"/>
              </w:rPr>
              <w:t xml:space="preserve"> provide timely notifications to other labour hire regulators about enforcement or compliance actions, including cancellation, suspension or conditions imposed in relation to a licence. Relevant legislation should enable the disclosure of relevant information between regulators, government agencies and other enforcement bodies.</w:t>
            </w:r>
            <w:r w:rsidRPr="00672FBE">
              <w:rPr>
                <w:rFonts w:ascii="Aptos Display" w:hAnsi="Aptos Display"/>
                <w:b/>
                <w:bCs/>
              </w:rPr>
              <w:t xml:space="preserve"> </w:t>
            </w:r>
            <w:r w:rsidRPr="00672FBE">
              <w:rPr>
                <w:rFonts w:ascii="Aptos Display" w:hAnsi="Aptos Display"/>
              </w:rPr>
              <w:t>Regulators can consider mechanisms to increase cooperation, such as establishing a community of practice or additional memoranda of understanding.</w:t>
            </w:r>
          </w:p>
        </w:tc>
      </w:tr>
    </w:tbl>
    <w:p w14:paraId="25B28B5E" w14:textId="7A89A27F" w:rsidR="009C0AA0" w:rsidRDefault="00C52A3C" w:rsidP="00B515B5">
      <w:pPr>
        <w:pStyle w:val="Heading2"/>
        <w:spacing w:before="320"/>
      </w:pPr>
      <w:bookmarkStart w:id="6" w:name="_Toc238551413"/>
      <w:r>
        <w:lastRenderedPageBreak/>
        <w:t>Labour hire overview</w:t>
      </w:r>
      <w:bookmarkEnd w:id="6"/>
    </w:p>
    <w:p w14:paraId="471D50A1" w14:textId="77777777" w:rsidR="00E90FAC" w:rsidRPr="00065BFF" w:rsidRDefault="00E90FAC" w:rsidP="00B515B5">
      <w:pPr>
        <w:numPr>
          <w:ilvl w:val="0"/>
          <w:numId w:val="41"/>
        </w:numPr>
        <w:spacing w:before="0" w:line="276" w:lineRule="auto"/>
        <w:ind w:left="357" w:hanging="357"/>
      </w:pPr>
      <w:r w:rsidRPr="00065BFF">
        <w:t>Labour hire plays an important role in the labour market as a flexible source of labour, representing 2.3% of workers in Australia.</w:t>
      </w:r>
      <w:r w:rsidRPr="00065BFF">
        <w:rPr>
          <w:rStyle w:val="EndnoteReference"/>
        </w:rPr>
        <w:endnoteReference w:id="1"/>
      </w:r>
      <w:r w:rsidRPr="00065BFF">
        <w:t xml:space="preserve"> Labour hire is commonly used in the horticulture, building and construction, and cleaning sectors. For example, labour hire is used in horticulture to ensure labour supply for seasonal periods and manage harvest requirements. </w:t>
      </w:r>
    </w:p>
    <w:p w14:paraId="4AAB096E" w14:textId="77777777" w:rsidR="00E90FAC" w:rsidRPr="00065BFF" w:rsidRDefault="00E90FAC" w:rsidP="00B515B5">
      <w:pPr>
        <w:numPr>
          <w:ilvl w:val="0"/>
          <w:numId w:val="41"/>
        </w:numPr>
        <w:spacing w:before="0" w:line="276" w:lineRule="auto"/>
        <w:ind w:left="357" w:hanging="357"/>
      </w:pPr>
      <w:r w:rsidRPr="00065BFF">
        <w:t xml:space="preserve">Labour hire arrangements typically involve a labour hire provider supplying a worker to perform work for a third party (the </w:t>
      </w:r>
      <w:r>
        <w:t>user/</w:t>
      </w:r>
      <w:r w:rsidRPr="00065BFF">
        <w:t xml:space="preserve">host) for an agreed fee. </w:t>
      </w:r>
      <w:r>
        <w:t>L</w:t>
      </w:r>
      <w:r w:rsidRPr="00065BFF">
        <w:t xml:space="preserve">abour hire arrangements can also involve more complex supply chain structures. </w:t>
      </w:r>
    </w:p>
    <w:p w14:paraId="1E958BBE" w14:textId="77777777" w:rsidR="00E90FAC" w:rsidRPr="00065BFF" w:rsidRDefault="00E90FAC" w:rsidP="00B515B5">
      <w:pPr>
        <w:numPr>
          <w:ilvl w:val="0"/>
          <w:numId w:val="41"/>
        </w:numPr>
        <w:spacing w:before="0" w:line="276" w:lineRule="auto"/>
        <w:ind w:left="357" w:hanging="357"/>
      </w:pPr>
      <w:r w:rsidRPr="00065BFF">
        <w:t xml:space="preserve">Labour hire providers and host </w:t>
      </w:r>
      <w:r>
        <w:t>businesses</w:t>
      </w:r>
      <w:r w:rsidRPr="00065BFF">
        <w:t xml:space="preserve"> in Australia are subject to existing laws, including workplace, taxation and migration law. While many labour hire employers operate lawfully, </w:t>
      </w:r>
      <w:r>
        <w:t>several</w:t>
      </w:r>
      <w:r w:rsidRPr="00065BFF">
        <w:t xml:space="preserve"> reports and investigations have found that some </w:t>
      </w:r>
      <w:r>
        <w:t xml:space="preserve">employers </w:t>
      </w:r>
      <w:r w:rsidRPr="00065BFF">
        <w:t>are breaching their obligations, denying workers their lawful entitlements, and engaging in allegedly corrupt and/or criminal behaviour.</w:t>
      </w:r>
      <w:r w:rsidRPr="00065BFF">
        <w:rPr>
          <w:rStyle w:val="EndnoteReference"/>
        </w:rPr>
        <w:endnoteReference w:id="2"/>
      </w:r>
      <w:r w:rsidRPr="00065BFF">
        <w:t xml:space="preserve"> It is critical that there are appropriate safeguards for labour hire workers, many of whom are vulnerable to exploitation, including recent migrants (who make up 30.4% of labour hire workers but only 12.3% of all employees in the labour market).</w:t>
      </w:r>
      <w:r w:rsidRPr="00065BFF">
        <w:rPr>
          <w:rStyle w:val="EndnoteReference"/>
        </w:rPr>
        <w:endnoteReference w:id="3"/>
      </w:r>
      <w:r w:rsidRPr="00065BFF">
        <w:t xml:space="preserve">  </w:t>
      </w:r>
    </w:p>
    <w:p w14:paraId="6A1EB623" w14:textId="29622BBE" w:rsidR="00E90FAC" w:rsidRPr="00065BFF" w:rsidRDefault="00E90FAC" w:rsidP="00B515B5">
      <w:pPr>
        <w:numPr>
          <w:ilvl w:val="0"/>
          <w:numId w:val="41"/>
        </w:numPr>
        <w:spacing w:before="0" w:line="276" w:lineRule="auto"/>
        <w:ind w:left="357" w:hanging="357"/>
      </w:pPr>
      <w:r w:rsidRPr="00065BFF">
        <w:t>State and territory-based licensing schemes provide additional transparency and protection by stopping bad actors getting, or staying, in the labour hire industry where they have exploited or are exploiting workers</w:t>
      </w:r>
      <w:r>
        <w:t>,</w:t>
      </w:r>
      <w:r w:rsidRPr="00065BFF">
        <w:t xml:space="preserve"> including by undercutting other providers through lower wages and</w:t>
      </w:r>
      <w:r w:rsidR="00F3278D">
        <w:t> </w:t>
      </w:r>
      <w:r w:rsidRPr="00065BFF">
        <w:t xml:space="preserve">conditions. </w:t>
      </w:r>
    </w:p>
    <w:p w14:paraId="373E4CCF" w14:textId="77777777" w:rsidR="00E90FAC" w:rsidRDefault="00E90FAC" w:rsidP="00B515B5">
      <w:pPr>
        <w:numPr>
          <w:ilvl w:val="0"/>
          <w:numId w:val="41"/>
        </w:numPr>
        <w:spacing w:before="0" w:line="276" w:lineRule="auto"/>
        <w:ind w:left="357" w:hanging="357"/>
      </w:pPr>
      <w:r w:rsidRPr="00065BFF">
        <w:t>Currently, there are 4 jurisdictions that have established labour hire licensing schemes: Queensland, Victoria, South Australia and the Australian Capital Territory.</w:t>
      </w:r>
      <w:r w:rsidRPr="00065BFF">
        <w:rPr>
          <w:rStyle w:val="EndnoteReference"/>
        </w:rPr>
        <w:endnoteReference w:id="4"/>
      </w:r>
      <w:r w:rsidRPr="00065BFF">
        <w:t xml:space="preserve"> These schemes require providers to be licensed to provide or advertise labour hire services</w:t>
      </w:r>
      <w:r>
        <w:t xml:space="preserve"> and prohibit users of labour hire services from engaging unlicensed providers</w:t>
      </w:r>
      <w:r w:rsidRPr="00065BFF">
        <w:t xml:space="preserve">. </w:t>
      </w:r>
    </w:p>
    <w:p w14:paraId="6C1570D8" w14:textId="250AA12C" w:rsidR="00E90FAC" w:rsidRPr="00065BFF" w:rsidRDefault="00E90FAC" w:rsidP="00B515B5">
      <w:pPr>
        <w:numPr>
          <w:ilvl w:val="0"/>
          <w:numId w:val="41"/>
        </w:numPr>
        <w:spacing w:before="0" w:line="276" w:lineRule="auto"/>
        <w:ind w:left="357" w:hanging="357"/>
      </w:pPr>
      <w:r w:rsidRPr="00065BFF">
        <w:t>There are consistent core elements across existing schemes which provide an opportunity to build consistency across jurisdictional schemes</w:t>
      </w:r>
      <w:r>
        <w:t>. F</w:t>
      </w:r>
      <w:r w:rsidRPr="00065BFF">
        <w:t>or example, existing schemes apply to all industries and have similar ‘fit and proper person’ tests. Differences between current licensing schemes include provider obligations, licence duration, reporting requirements, fees and</w:t>
      </w:r>
      <w:r w:rsidR="00F3278D">
        <w:t> </w:t>
      </w:r>
      <w:r w:rsidRPr="00065BFF">
        <w:t xml:space="preserve">penalties. </w:t>
      </w:r>
    </w:p>
    <w:p w14:paraId="0D9711E5" w14:textId="77777777" w:rsidR="00E90FAC" w:rsidRPr="00065BFF" w:rsidRDefault="00E90FAC" w:rsidP="00B515B5">
      <w:pPr>
        <w:numPr>
          <w:ilvl w:val="0"/>
          <w:numId w:val="41"/>
        </w:numPr>
        <w:spacing w:before="0" w:line="276" w:lineRule="auto"/>
        <w:ind w:left="357" w:hanging="357"/>
      </w:pPr>
      <w:r w:rsidRPr="00065BFF">
        <w:t xml:space="preserve">Western Australia and New South Wales are considering the implementation of state-based labour hire licensing schemes in their respective jurisdictions. </w:t>
      </w:r>
    </w:p>
    <w:p w14:paraId="779648BE" w14:textId="77777777" w:rsidR="00E90FAC" w:rsidRDefault="00E90FAC" w:rsidP="00B515B5">
      <w:pPr>
        <w:numPr>
          <w:ilvl w:val="0"/>
          <w:numId w:val="41"/>
        </w:numPr>
        <w:spacing w:before="0" w:line="276" w:lineRule="auto"/>
        <w:ind w:left="357" w:hanging="357"/>
      </w:pPr>
      <w:r w:rsidRPr="00065BFF">
        <w:t>The Working Group acknowledges the importance of protecting workers from exploitation, creating a level playing field and reducing regulatory complexity. Drawing from key elements in existing schemes, the Working Group has developed national principles to promote a consistent approach to labour hire regulation across state and territory schemes.</w:t>
      </w:r>
    </w:p>
    <w:p w14:paraId="6A75E5AD" w14:textId="77777777" w:rsidR="004C321A" w:rsidRPr="00065BFF" w:rsidRDefault="004C321A" w:rsidP="004C321A">
      <w:pPr>
        <w:spacing w:before="0" w:line="276" w:lineRule="auto"/>
      </w:pPr>
    </w:p>
    <w:p w14:paraId="65E20902" w14:textId="697B5549" w:rsidR="00C52A3C" w:rsidRDefault="00A9504D" w:rsidP="00B515B5">
      <w:pPr>
        <w:pStyle w:val="Heading2"/>
        <w:spacing w:before="320"/>
      </w:pPr>
      <w:bookmarkStart w:id="7" w:name="_Toc238551414"/>
      <w:r>
        <w:lastRenderedPageBreak/>
        <w:t>Working towards national consistency</w:t>
      </w:r>
      <w:bookmarkEnd w:id="7"/>
    </w:p>
    <w:p w14:paraId="4FDC0805" w14:textId="5BD9E424" w:rsidR="00BA7BBE" w:rsidRPr="00065BFF" w:rsidRDefault="00BA7BBE" w:rsidP="00B515B5">
      <w:pPr>
        <w:numPr>
          <w:ilvl w:val="0"/>
          <w:numId w:val="41"/>
        </w:numPr>
        <w:spacing w:before="0" w:line="276" w:lineRule="auto"/>
        <w:ind w:left="357" w:hanging="357"/>
      </w:pPr>
      <w:r w:rsidRPr="00065BFF">
        <w:t xml:space="preserve">In December 2023, </w:t>
      </w:r>
      <w:proofErr w:type="gramStart"/>
      <w:r w:rsidRPr="00065BFF">
        <w:t>a majority of</w:t>
      </w:r>
      <w:proofErr w:type="gramEnd"/>
      <w:r w:rsidRPr="00065BFF">
        <w:t xml:space="preserve"> Workplace Relations Ministers agreed to pursue a harmonised approach to labour hire licensing, with Victoria as the in</w:t>
      </w:r>
      <w:r w:rsidRPr="00065BFF">
        <w:noBreakHyphen/>
      </w:r>
      <w:proofErr w:type="gramStart"/>
      <w:r w:rsidRPr="00065BFF">
        <w:t>principle</w:t>
      </w:r>
      <w:proofErr w:type="gramEnd"/>
      <w:r w:rsidRPr="00065BFF">
        <w:t xml:space="preserve"> host jurisdiction, responsible for establishing a national regulator and passing model laws to be applied in other states and territories. This model was informed by stakeholder feedback, including from peak employer and employee groups and civil society organisations. This</w:t>
      </w:r>
      <w:r w:rsidR="00F3278D">
        <w:t> </w:t>
      </w:r>
      <w:r w:rsidRPr="00065BFF">
        <w:t xml:space="preserve">model was subject to agreement to funding and final settings. </w:t>
      </w:r>
    </w:p>
    <w:p w14:paraId="472C7A3D" w14:textId="77777777" w:rsidR="00BA7BBE" w:rsidRPr="00065BFF" w:rsidRDefault="00BA7BBE" w:rsidP="00B515B5">
      <w:pPr>
        <w:numPr>
          <w:ilvl w:val="0"/>
          <w:numId w:val="41"/>
        </w:numPr>
        <w:spacing w:before="0" w:line="276" w:lineRule="auto"/>
        <w:ind w:left="357" w:hanging="357"/>
      </w:pPr>
      <w:r w:rsidRPr="00065BFF">
        <w:t xml:space="preserve">While significant progress was made towards developing a harmonised model, consensus on this approach was </w:t>
      </w:r>
      <w:r>
        <w:t xml:space="preserve">not </w:t>
      </w:r>
      <w:r w:rsidRPr="00065BFF">
        <w:t xml:space="preserve">achieved at the October 2025 </w:t>
      </w:r>
      <w:r>
        <w:t>m</w:t>
      </w:r>
      <w:r w:rsidRPr="00065BFF">
        <w:t>eeting of Workplace Relations Ministers. Instead, the Working Group was tasked with developing options towards a nationally consistent approach to labour hire regulation. To deliver on this tasking, the Working Group developed national model law principles that build on existing schemes’ best practice.</w:t>
      </w:r>
    </w:p>
    <w:p w14:paraId="105A4882" w14:textId="77777777" w:rsidR="00BA7BBE" w:rsidRPr="00065BFF" w:rsidRDefault="00BA7BBE" w:rsidP="00B515B5">
      <w:pPr>
        <w:numPr>
          <w:ilvl w:val="0"/>
          <w:numId w:val="41"/>
        </w:numPr>
        <w:spacing w:before="0" w:line="276" w:lineRule="auto"/>
        <w:ind w:left="357" w:hanging="357"/>
      </w:pPr>
      <w:r w:rsidRPr="00065BFF">
        <w:t>In developing the national principles, the Working Group leveraged a range of previous consultations, research, reports and intergovernmental policy development. In particular, the Working Group drew on progress made towards a harmonised approach to labour hire licensing between 2023 and 2025, including work undertaken by the Victorian Project Office and the previous intergovernmental working group’s report to Workplace Relations Ministers (October 2023). The Working Group recognises that further stakeholder engagement would be important in the design of any further legislative reform by individual jurisdictions.</w:t>
      </w:r>
    </w:p>
    <w:p w14:paraId="77B367AA" w14:textId="02722520" w:rsidR="00A9504D" w:rsidRDefault="00BA7BBE" w:rsidP="00B515B5">
      <w:pPr>
        <w:pStyle w:val="Heading2"/>
        <w:spacing w:before="320"/>
      </w:pPr>
      <w:bookmarkStart w:id="8" w:name="_Toc238551415"/>
      <w:r>
        <w:t>National Model Law Principles</w:t>
      </w:r>
      <w:bookmarkEnd w:id="8"/>
    </w:p>
    <w:p w14:paraId="566C5927" w14:textId="24B32896" w:rsidR="00BA7BBE" w:rsidRDefault="00BA7BBE" w:rsidP="00B515B5">
      <w:pPr>
        <w:pStyle w:val="Heading3"/>
        <w:spacing w:before="160"/>
      </w:pPr>
      <w:bookmarkStart w:id="9" w:name="_Toc238551416"/>
      <w:r>
        <w:t>Scope and coverage</w:t>
      </w:r>
      <w:bookmarkEnd w:id="9"/>
    </w:p>
    <w:p w14:paraId="12699ECB" w14:textId="3F5AFCCD" w:rsidR="00A901F1" w:rsidRPr="00B515B5" w:rsidRDefault="00A901F1" w:rsidP="00B515B5">
      <w:pPr>
        <w:numPr>
          <w:ilvl w:val="0"/>
          <w:numId w:val="41"/>
        </w:numPr>
        <w:spacing w:before="0" w:line="276" w:lineRule="auto"/>
      </w:pPr>
      <w:r w:rsidRPr="00B515B5">
        <w:t>The national principles state that labour hire licensing schemes apply universally across all industries. This approach provides regulatory simplicity while ensuring consistent worker protection regardless of industry. This approach to universal coverage is consistent with the 4</w:t>
      </w:r>
      <w:r w:rsidR="00F3278D">
        <w:t> </w:t>
      </w:r>
      <w:r w:rsidRPr="00B515B5">
        <w:t>existing schemes.</w:t>
      </w:r>
    </w:p>
    <w:p w14:paraId="78FD7D20" w14:textId="77777777" w:rsidR="00A901F1" w:rsidRPr="00B515B5" w:rsidRDefault="00A901F1" w:rsidP="00B515B5">
      <w:pPr>
        <w:numPr>
          <w:ilvl w:val="0"/>
          <w:numId w:val="41"/>
        </w:numPr>
        <w:spacing w:before="0" w:line="276" w:lineRule="auto"/>
      </w:pPr>
      <w:r w:rsidRPr="00B515B5">
        <w:t>The national principles provide a broad definition of labour supply services to recognise the range of arrangements which can be adopted. This promotes supply chain transparency and mitigates the risk of deliberate avoidance through supply chain restructuring. </w:t>
      </w:r>
    </w:p>
    <w:p w14:paraId="2FB63B59" w14:textId="77777777" w:rsidR="00A901F1" w:rsidRPr="00B515B5" w:rsidRDefault="00A901F1" w:rsidP="00B515B5">
      <w:pPr>
        <w:numPr>
          <w:ilvl w:val="0"/>
          <w:numId w:val="41"/>
        </w:numPr>
        <w:spacing w:before="0" w:line="276" w:lineRule="auto"/>
        <w:ind w:left="357" w:hanging="357"/>
      </w:pPr>
      <w:r w:rsidRPr="00B515B5">
        <w:t>The national principles recommend that the definition of labour supply services covers arrangements regardless of: </w:t>
      </w:r>
    </w:p>
    <w:p w14:paraId="7D0F8F95" w14:textId="77777777" w:rsidR="00A901F1" w:rsidRPr="00B515B5" w:rsidRDefault="00A901F1" w:rsidP="00B515B5">
      <w:pPr>
        <w:pStyle w:val="ListParagraph"/>
        <w:numPr>
          <w:ilvl w:val="0"/>
          <w:numId w:val="42"/>
        </w:numPr>
        <w:spacing w:before="0" w:line="276" w:lineRule="auto"/>
        <w:contextualSpacing w:val="0"/>
      </w:pPr>
      <w:r w:rsidRPr="00B515B5">
        <w:t>whether the worker is an employee of the provider </w:t>
      </w:r>
    </w:p>
    <w:p w14:paraId="5904478E" w14:textId="77777777" w:rsidR="00A901F1" w:rsidRPr="00B515B5" w:rsidRDefault="00A901F1" w:rsidP="00B515B5">
      <w:pPr>
        <w:pStyle w:val="ListParagraph"/>
        <w:numPr>
          <w:ilvl w:val="0"/>
          <w:numId w:val="42"/>
        </w:numPr>
        <w:spacing w:before="0" w:line="276" w:lineRule="auto"/>
        <w:contextualSpacing w:val="0"/>
      </w:pPr>
      <w:r w:rsidRPr="00B515B5">
        <w:t>whether a contract is entered into between the worker and the provider or between the provider and the person to whom the worker is supplied </w:t>
      </w:r>
    </w:p>
    <w:p w14:paraId="1439F951" w14:textId="77777777" w:rsidR="00A901F1" w:rsidRPr="00B515B5" w:rsidRDefault="00A901F1" w:rsidP="00B515B5">
      <w:pPr>
        <w:pStyle w:val="ListParagraph"/>
        <w:numPr>
          <w:ilvl w:val="0"/>
          <w:numId w:val="42"/>
        </w:numPr>
        <w:spacing w:before="0" w:line="276" w:lineRule="auto"/>
        <w:contextualSpacing w:val="0"/>
      </w:pPr>
      <w:r w:rsidRPr="00B515B5">
        <w:t>whether the worker is supplied by the provider to another person (a user/host) directly or indirectly through one or more agents or intermediaries, and  </w:t>
      </w:r>
    </w:p>
    <w:p w14:paraId="21694233" w14:textId="794B6E99" w:rsidR="004C321A" w:rsidRDefault="00A901F1" w:rsidP="004C321A">
      <w:pPr>
        <w:pStyle w:val="ListParagraph"/>
        <w:numPr>
          <w:ilvl w:val="0"/>
          <w:numId w:val="42"/>
        </w:numPr>
        <w:spacing w:before="0" w:line="276" w:lineRule="auto"/>
        <w:contextualSpacing w:val="0"/>
      </w:pPr>
      <w:r w:rsidRPr="00B515B5">
        <w:lastRenderedPageBreak/>
        <w:t>whether the work done by the worker is under the control of the provider, the person (user/host) to whom the worker is supplied or another person.</w:t>
      </w:r>
    </w:p>
    <w:p w14:paraId="187DCCA7" w14:textId="30DDA6C0" w:rsidR="00A901F1" w:rsidRPr="00B515B5" w:rsidRDefault="00A901F1" w:rsidP="004C321A">
      <w:pPr>
        <w:numPr>
          <w:ilvl w:val="0"/>
          <w:numId w:val="41"/>
        </w:numPr>
        <w:spacing w:before="0" w:line="276" w:lineRule="auto"/>
      </w:pPr>
      <w:r w:rsidRPr="00B515B5">
        <w:t>The national principles cover subcontracting arrangements where they have the character of labour supply. This helps to mitigate the risk of deliberate structuring to avoid licensing requirements and ensure all those who provide labour supply services will be covered by licensing schemes. Subcontracting arrangements that do not involve labour supply are not intended to be covered. This approach is in line with existing jurisdictional schemes.</w:t>
      </w:r>
    </w:p>
    <w:p w14:paraId="2D20E49B" w14:textId="77777777" w:rsidR="00A901F1" w:rsidRPr="00B515B5" w:rsidRDefault="00A901F1" w:rsidP="00B515B5">
      <w:pPr>
        <w:numPr>
          <w:ilvl w:val="0"/>
          <w:numId w:val="41"/>
        </w:numPr>
        <w:spacing w:before="0" w:line="276" w:lineRule="auto"/>
      </w:pPr>
      <w:r w:rsidRPr="00B515B5">
        <w:t>Existing schemes</w:t>
      </w:r>
      <w:r w:rsidRPr="00B515B5" w:rsidDel="006664D7">
        <w:t xml:space="preserve"> </w:t>
      </w:r>
      <w:r w:rsidRPr="00B515B5">
        <w:t>apply broad-based definitions of ‘provides labour hire services’ which focus on the supply of labour to a business. The definition of ‘labour hire worker’ is broadly aligned across existing schemes and focuses on the supply of paid workers.</w:t>
      </w:r>
    </w:p>
    <w:p w14:paraId="61EEE227" w14:textId="77777777" w:rsidR="00A901F1" w:rsidRPr="00B515B5" w:rsidRDefault="00A901F1" w:rsidP="00B515B5">
      <w:pPr>
        <w:numPr>
          <w:ilvl w:val="0"/>
          <w:numId w:val="41"/>
        </w:numPr>
        <w:spacing w:before="0" w:line="276" w:lineRule="auto"/>
      </w:pPr>
      <w:r w:rsidRPr="00B515B5">
        <w:t>A key component of a labour hire licensing scheme is that both providers and users of labour hire services are regulated. In addition to obligations on providers to be licensed and only advertise services when licensed, there are prohibitions on users of labour hire services entering into arrangements for labour hire services with unlicensed providers. Licensing schemes should include explicit prohibitions on providers and users </w:t>
      </w:r>
      <w:proofErr w:type="gramStart"/>
      <w:r w:rsidRPr="00B515B5">
        <w:t>entering into</w:t>
      </w:r>
      <w:proofErr w:type="gramEnd"/>
      <w:r w:rsidRPr="00B515B5">
        <w:t> avoidance arrangements and impose a positive obligation on users to report suspected avoidance arrangements. </w:t>
      </w:r>
    </w:p>
    <w:p w14:paraId="2466D5D3" w14:textId="22293FCB" w:rsidR="00A901F1" w:rsidRPr="00B515B5" w:rsidRDefault="00A901F1" w:rsidP="00B515B5">
      <w:pPr>
        <w:numPr>
          <w:ilvl w:val="0"/>
          <w:numId w:val="41"/>
        </w:numPr>
        <w:spacing w:before="0" w:line="276" w:lineRule="auto"/>
      </w:pPr>
      <w:r w:rsidRPr="00B515B5">
        <w:t>Licen</w:t>
      </w:r>
      <w:r w:rsidR="5D271A94" w:rsidRPr="00B515B5">
        <w:t>s</w:t>
      </w:r>
      <w:r w:rsidRPr="00B515B5">
        <w:t xml:space="preserve">ing schemes should also consider provision for extraterritorial application to cover labour hire arrangements made in a jurisdiction even if the work is performed outside of that jurisdiction. This principle is consistent with </w:t>
      </w:r>
      <w:proofErr w:type="gramStart"/>
      <w:r w:rsidRPr="00B515B5">
        <w:t>the majority of</w:t>
      </w:r>
      <w:proofErr w:type="gramEnd"/>
      <w:r w:rsidRPr="00B515B5">
        <w:t xml:space="preserve"> existing schemes which provide for extraterritorial application to the extent of the jurisdiction’s legislative power.</w:t>
      </w:r>
      <w:r w:rsidRPr="00B515B5">
        <w:rPr>
          <w:rStyle w:val="EndnoteReference"/>
        </w:rPr>
        <w:endnoteReference w:id="5"/>
      </w:r>
      <w:r w:rsidRPr="00B515B5">
        <w:t xml:space="preserve"> </w:t>
      </w:r>
    </w:p>
    <w:p w14:paraId="1825C976" w14:textId="77777777" w:rsidR="00A901F1" w:rsidRPr="00B515B5" w:rsidRDefault="00A901F1" w:rsidP="00B515B5">
      <w:pPr>
        <w:numPr>
          <w:ilvl w:val="0"/>
          <w:numId w:val="41"/>
        </w:numPr>
        <w:spacing w:before="0" w:line="276" w:lineRule="auto"/>
      </w:pPr>
      <w:r w:rsidRPr="00B515B5">
        <w:t>The national principles also include regulation</w:t>
      </w:r>
      <w:r w:rsidRPr="00B515B5">
        <w:rPr>
          <w:rFonts w:ascii="Cambria Math" w:hAnsi="Cambria Math" w:cs="Cambria Math"/>
        </w:rPr>
        <w:t>‑</w:t>
      </w:r>
      <w:r w:rsidRPr="00B515B5">
        <w:t>making powers to allow jurisdictions to expand coverage, enabling rapid responses to emerging risks and high</w:t>
      </w:r>
      <w:r w:rsidRPr="00B515B5">
        <w:rPr>
          <w:rFonts w:ascii="Cambria Math" w:hAnsi="Cambria Math" w:cs="Cambria Math"/>
        </w:rPr>
        <w:t>‑</w:t>
      </w:r>
      <w:r w:rsidRPr="00B515B5">
        <w:t>risk industries under local labour hire conditions. This power would enable a jurisdiction to deem labour provision in a high</w:t>
      </w:r>
      <w:r w:rsidRPr="00B515B5">
        <w:noBreakHyphen/>
        <w:t>risk industry to be captured automatically by its licensing scheme, regardless of the structure of the arrangement(s) for labour provision.</w:t>
      </w:r>
    </w:p>
    <w:p w14:paraId="6A8B4647" w14:textId="3D79AD77" w:rsidR="00BA7BBE" w:rsidRDefault="00A901F1" w:rsidP="00B515B5">
      <w:pPr>
        <w:pStyle w:val="Heading3"/>
        <w:spacing w:before="160"/>
      </w:pPr>
      <w:bookmarkStart w:id="10" w:name="_Toc238551417"/>
      <w:r>
        <w:t>Licensing</w:t>
      </w:r>
      <w:bookmarkEnd w:id="10"/>
    </w:p>
    <w:p w14:paraId="36B09744" w14:textId="77777777" w:rsidR="00CF534A" w:rsidRPr="00065BFF" w:rsidRDefault="00CF534A" w:rsidP="00B515B5">
      <w:pPr>
        <w:numPr>
          <w:ilvl w:val="0"/>
          <w:numId w:val="41"/>
        </w:numPr>
        <w:spacing w:before="0" w:line="276" w:lineRule="auto"/>
        <w:ind w:left="357" w:hanging="357"/>
      </w:pPr>
      <w:r w:rsidRPr="00065BFF">
        <w:t>The national principles reflect a key focus on licensing requirements to increase transparency and accountability</w:t>
      </w:r>
      <w:r>
        <w:t>,</w:t>
      </w:r>
      <w:r w:rsidRPr="00065BFF">
        <w:t xml:space="preserve"> including:</w:t>
      </w:r>
    </w:p>
    <w:p w14:paraId="2FA7D25D" w14:textId="77777777" w:rsidR="00CF534A" w:rsidRPr="00065BFF" w:rsidRDefault="00CF534A" w:rsidP="00B515B5">
      <w:pPr>
        <w:pStyle w:val="ListParagraph"/>
        <w:numPr>
          <w:ilvl w:val="0"/>
          <w:numId w:val="42"/>
        </w:numPr>
        <w:spacing w:before="0" w:line="276" w:lineRule="auto"/>
        <w:contextualSpacing w:val="0"/>
      </w:pPr>
      <w:r w:rsidRPr="00065BFF">
        <w:t>the requirement for labour hire providers to be licensed before they can provide or advertise labour hire services</w:t>
      </w:r>
    </w:p>
    <w:p w14:paraId="543DF846" w14:textId="77777777" w:rsidR="00CF534A" w:rsidRPr="00065BFF" w:rsidRDefault="00CF534A" w:rsidP="00B515B5">
      <w:pPr>
        <w:pStyle w:val="ListParagraph"/>
        <w:numPr>
          <w:ilvl w:val="0"/>
          <w:numId w:val="42"/>
        </w:numPr>
        <w:spacing w:before="0" w:line="276" w:lineRule="auto"/>
        <w:contextualSpacing w:val="0"/>
      </w:pPr>
      <w:r>
        <w:t xml:space="preserve">the </w:t>
      </w:r>
      <w:r w:rsidRPr="00065BFF">
        <w:t>capacity</w:t>
      </w:r>
      <w:r>
        <w:t xml:space="preserve"> for a regulator</w:t>
      </w:r>
      <w:r w:rsidRPr="00065BFF">
        <w:t xml:space="preserve"> to suspend, cancel or impose other conditions on or after the grant of a licence</w:t>
      </w:r>
    </w:p>
    <w:p w14:paraId="686A8200" w14:textId="77777777" w:rsidR="00CF534A" w:rsidRPr="00065BFF" w:rsidRDefault="00CF534A" w:rsidP="00B515B5">
      <w:pPr>
        <w:pStyle w:val="ListParagraph"/>
        <w:numPr>
          <w:ilvl w:val="0"/>
          <w:numId w:val="42"/>
        </w:numPr>
        <w:spacing w:before="0" w:line="276" w:lineRule="auto"/>
        <w:contextualSpacing w:val="0"/>
      </w:pPr>
      <w:r w:rsidRPr="00065BFF">
        <w:t>provision for licence renewal</w:t>
      </w:r>
      <w:r>
        <w:t xml:space="preserve"> (to ensure licensees’ fitness to hold their licences is reviewed, for example, annually)</w:t>
      </w:r>
    </w:p>
    <w:p w14:paraId="590A1B68" w14:textId="77777777" w:rsidR="00CF534A" w:rsidRPr="00065BFF" w:rsidRDefault="00CF534A" w:rsidP="00B515B5">
      <w:pPr>
        <w:pStyle w:val="ListParagraph"/>
        <w:numPr>
          <w:ilvl w:val="0"/>
          <w:numId w:val="42"/>
        </w:numPr>
        <w:spacing w:before="0" w:line="276" w:lineRule="auto"/>
        <w:contextualSpacing w:val="0"/>
      </w:pPr>
      <w:r>
        <w:t xml:space="preserve">the </w:t>
      </w:r>
      <w:r w:rsidRPr="00065BFF">
        <w:t>requirement for an online searchable public register</w:t>
      </w:r>
      <w:r>
        <w:t>, and</w:t>
      </w:r>
    </w:p>
    <w:p w14:paraId="73CA43B6" w14:textId="77777777" w:rsidR="00CF534A" w:rsidRPr="00065BFF" w:rsidRDefault="00CF534A" w:rsidP="00B515B5">
      <w:pPr>
        <w:pStyle w:val="ListParagraph"/>
        <w:numPr>
          <w:ilvl w:val="0"/>
          <w:numId w:val="42"/>
        </w:numPr>
        <w:spacing w:before="0" w:line="276" w:lineRule="auto"/>
        <w:contextualSpacing w:val="0"/>
      </w:pPr>
      <w:r w:rsidRPr="00065BFF">
        <w:t xml:space="preserve">provision for review/appeal of licensing decisions. </w:t>
      </w:r>
    </w:p>
    <w:p w14:paraId="3194A2A4" w14:textId="77777777" w:rsidR="00CF534A" w:rsidRPr="00065BFF" w:rsidRDefault="00CF534A" w:rsidP="00B515B5">
      <w:pPr>
        <w:numPr>
          <w:ilvl w:val="0"/>
          <w:numId w:val="41"/>
        </w:numPr>
        <w:spacing w:before="0" w:line="276" w:lineRule="auto"/>
        <w:ind w:left="357" w:hanging="357"/>
      </w:pPr>
      <w:r w:rsidRPr="00065BFF">
        <w:lastRenderedPageBreak/>
        <w:t>These core components are broadly consistent in</w:t>
      </w:r>
      <w:r w:rsidRPr="00065BFF" w:rsidDel="009F0681">
        <w:t xml:space="preserve"> </w:t>
      </w:r>
      <w:r w:rsidRPr="00065BFF">
        <w:t xml:space="preserve">existing labour hire schemes. </w:t>
      </w:r>
    </w:p>
    <w:p w14:paraId="2E303B6E" w14:textId="77777777" w:rsidR="00CF534A" w:rsidRPr="00065BFF" w:rsidRDefault="00CF534A" w:rsidP="00B515B5">
      <w:pPr>
        <w:numPr>
          <w:ilvl w:val="0"/>
          <w:numId w:val="41"/>
        </w:numPr>
        <w:spacing w:before="0" w:line="276" w:lineRule="auto"/>
        <w:ind w:left="357" w:hanging="357"/>
      </w:pPr>
      <w:r w:rsidRPr="00065BFF">
        <w:t>The national principles outline a robust ‘fit and proper person’ test to ensure suitable providers and operators obtain and maintain licences. Thi</w:t>
      </w:r>
      <w:r>
        <w:t>s test, alongside other suitability requirements,</w:t>
      </w:r>
      <w:r w:rsidRPr="00065BFF">
        <w:t xml:space="preserve"> provides a mechanism to protect workers, including those in vulnerable circumstances, from exploitation. Consistent with existing schemes, the test requires labour hire regulators to consider a variety of factors in determining a person’s suitability to hold a labour hire licence, including integrity, financial viability and a history of compliance with relevant laws. The principles reflect factors common across existing schemes, including:</w:t>
      </w:r>
    </w:p>
    <w:p w14:paraId="0B64BA3D" w14:textId="77777777" w:rsidR="00CF534A" w:rsidRPr="00065BFF" w:rsidRDefault="00CF534A" w:rsidP="00B515B5">
      <w:pPr>
        <w:pStyle w:val="ListParagraph"/>
        <w:numPr>
          <w:ilvl w:val="0"/>
          <w:numId w:val="42"/>
        </w:numPr>
        <w:spacing w:before="0" w:line="276" w:lineRule="auto"/>
        <w:contextualSpacing w:val="0"/>
      </w:pPr>
      <w:r w:rsidRPr="00065BFF">
        <w:t>a person’s character</w:t>
      </w:r>
    </w:p>
    <w:p w14:paraId="32497061" w14:textId="77777777" w:rsidR="00CF534A" w:rsidRPr="00065BFF" w:rsidRDefault="00CF534A" w:rsidP="00B515B5">
      <w:pPr>
        <w:pStyle w:val="ListParagraph"/>
        <w:numPr>
          <w:ilvl w:val="0"/>
          <w:numId w:val="42"/>
        </w:numPr>
        <w:spacing w:before="0" w:line="276" w:lineRule="auto"/>
        <w:contextualSpacing w:val="0"/>
      </w:pPr>
      <w:r w:rsidRPr="00065BFF">
        <w:t xml:space="preserve">compliance with relevant laws including taxation and bankruptcy laws </w:t>
      </w:r>
    </w:p>
    <w:p w14:paraId="4669183F" w14:textId="77777777" w:rsidR="00CF534A" w:rsidRPr="00065BFF" w:rsidRDefault="00CF534A" w:rsidP="00B515B5">
      <w:pPr>
        <w:pStyle w:val="ListParagraph"/>
        <w:numPr>
          <w:ilvl w:val="0"/>
          <w:numId w:val="42"/>
        </w:numPr>
        <w:spacing w:before="0" w:line="276" w:lineRule="auto"/>
        <w:contextualSpacing w:val="0"/>
      </w:pPr>
      <w:r w:rsidRPr="00065BFF">
        <w:t>licence suspensions and cancellations</w:t>
      </w:r>
    </w:p>
    <w:p w14:paraId="48D40F04" w14:textId="77777777" w:rsidR="00CF534A" w:rsidRPr="00065BFF" w:rsidRDefault="00CF534A" w:rsidP="00B515B5">
      <w:pPr>
        <w:pStyle w:val="ListParagraph"/>
        <w:numPr>
          <w:ilvl w:val="0"/>
          <w:numId w:val="42"/>
        </w:numPr>
        <w:spacing w:before="0" w:line="276" w:lineRule="auto"/>
        <w:contextualSpacing w:val="0"/>
      </w:pPr>
      <w:r w:rsidRPr="00065BFF">
        <w:t>previous convictions</w:t>
      </w:r>
    </w:p>
    <w:p w14:paraId="0A50D609" w14:textId="77777777" w:rsidR="00CF534A" w:rsidRPr="00065BFF" w:rsidRDefault="00CF534A" w:rsidP="00B515B5">
      <w:pPr>
        <w:pStyle w:val="ListParagraph"/>
        <w:numPr>
          <w:ilvl w:val="0"/>
          <w:numId w:val="42"/>
        </w:numPr>
        <w:spacing w:before="0" w:line="276" w:lineRule="auto"/>
        <w:contextualSpacing w:val="0"/>
      </w:pPr>
      <w:r w:rsidRPr="00065BFF">
        <w:t>insolvency</w:t>
      </w:r>
      <w:r>
        <w:t>, and</w:t>
      </w:r>
    </w:p>
    <w:p w14:paraId="5A2FD8FB" w14:textId="77777777" w:rsidR="00CF534A" w:rsidRPr="00065BFF" w:rsidRDefault="00CF534A" w:rsidP="00B515B5">
      <w:pPr>
        <w:pStyle w:val="ListParagraph"/>
        <w:numPr>
          <w:ilvl w:val="0"/>
          <w:numId w:val="42"/>
        </w:numPr>
        <w:spacing w:before="0" w:line="276" w:lineRule="auto"/>
        <w:contextualSpacing w:val="0"/>
      </w:pPr>
      <w:r w:rsidRPr="00065BFF">
        <w:t>any other matter the regulator considers relevant.</w:t>
      </w:r>
    </w:p>
    <w:p w14:paraId="78A3FA7C" w14:textId="21193AA0" w:rsidR="00CF534A" w:rsidRPr="00065BFF" w:rsidRDefault="00CF534A" w:rsidP="00B515B5">
      <w:pPr>
        <w:numPr>
          <w:ilvl w:val="0"/>
          <w:numId w:val="41"/>
        </w:numPr>
        <w:spacing w:before="0" w:line="276" w:lineRule="auto"/>
        <w:ind w:left="357" w:hanging="357"/>
      </w:pPr>
      <w:r w:rsidRPr="00065BFF">
        <w:t>The national principles also include consideration of whether the applicant is under the control or substantial influence of a person whom the regulator considers is not fit and proper,</w:t>
      </w:r>
      <w:r w:rsidR="00606975">
        <w:t> </w:t>
      </w:r>
      <w:r w:rsidRPr="00065BFF">
        <w:t>which aligns with schemes in Queensland and Victoria. Further, the principles recommend schemes include a requirement for consideration of whether the person is a</w:t>
      </w:r>
      <w:r w:rsidR="00606975">
        <w:t> </w:t>
      </w:r>
      <w:r w:rsidRPr="00065BFF">
        <w:t>member of an organisation prescribed to be an organisation involved in serious criminal activity, consistent with schemes in Victoria and South Australia. If adopted, these</w:t>
      </w:r>
      <w:r w:rsidR="002A10BA">
        <w:t xml:space="preserve"> </w:t>
      </w:r>
      <w:r w:rsidRPr="00065BFF">
        <w:t>considerations w</w:t>
      </w:r>
      <w:r>
        <w:t>ould</w:t>
      </w:r>
      <w:r w:rsidRPr="00065BFF">
        <w:t xml:space="preserve"> help to</w:t>
      </w:r>
      <w:r w:rsidR="00606975">
        <w:t> </w:t>
      </w:r>
      <w:r w:rsidRPr="00065BFF">
        <w:t>prevent or remove bad actors from labour hire activities, including to support efforts to address allegations of criminal activity in labour hire firms operating in the construction</w:t>
      </w:r>
      <w:r w:rsidR="00606975">
        <w:t> </w:t>
      </w:r>
      <w:r w:rsidRPr="00065BFF">
        <w:t xml:space="preserve">sector. </w:t>
      </w:r>
    </w:p>
    <w:p w14:paraId="45CD5711" w14:textId="77777777" w:rsidR="00CF534A" w:rsidRPr="00065BFF" w:rsidRDefault="00CF534A" w:rsidP="00B515B5">
      <w:pPr>
        <w:numPr>
          <w:ilvl w:val="0"/>
          <w:numId w:val="41"/>
        </w:numPr>
        <w:spacing w:before="0" w:line="276" w:lineRule="auto"/>
      </w:pPr>
      <w:r w:rsidRPr="00065BFF">
        <w:t xml:space="preserve">The national principles provide that licensing schemes should require applicants and licence holders to disclose licence cancellations, suspensions or conditions imposed in other jurisdictions so these can be considered as part of each jurisdiction’s licensing decisions. These disclosure requirements will help regulators across jurisdictions to obtain relevant licensing information. </w:t>
      </w:r>
    </w:p>
    <w:p w14:paraId="7191EFEE" w14:textId="77777777" w:rsidR="00CF534A" w:rsidRPr="00065BFF" w:rsidRDefault="00CF534A" w:rsidP="00B515B5">
      <w:pPr>
        <w:numPr>
          <w:ilvl w:val="0"/>
          <w:numId w:val="41"/>
        </w:numPr>
        <w:spacing w:before="0" w:line="276" w:lineRule="auto"/>
      </w:pPr>
      <w:r w:rsidRPr="00065BFF">
        <w:t xml:space="preserve">The </w:t>
      </w:r>
      <w:r>
        <w:t xml:space="preserve">national </w:t>
      </w:r>
      <w:r w:rsidRPr="00065BFF">
        <w:t>principles also provide that jurisdictions may consider decisions of other regulators in determining whether to grant, cancel or suspend a licence. This enables a state or territory labour hire regulator to consider regulatory action by a Commonwealth, state or territory regulator to support its decision making.</w:t>
      </w:r>
    </w:p>
    <w:p w14:paraId="06AE659D" w14:textId="4E7CE952" w:rsidR="00CF534A" w:rsidRDefault="00CF534A" w:rsidP="00B515B5">
      <w:pPr>
        <w:numPr>
          <w:ilvl w:val="0"/>
          <w:numId w:val="41"/>
        </w:numPr>
        <w:spacing w:before="0" w:line="276" w:lineRule="auto"/>
      </w:pPr>
      <w:r w:rsidRPr="00065BFF">
        <w:t>The requirement in the</w:t>
      </w:r>
      <w:r>
        <w:t xml:space="preserve"> national</w:t>
      </w:r>
      <w:r w:rsidRPr="00065BFF">
        <w:t xml:space="preserve"> principles for an online searchable public register is designed to facilitate transparency and aligns with existing licensing schemes’ current practice. The amount of information available on existing public registers varies </w:t>
      </w:r>
      <w:r>
        <w:t>because</w:t>
      </w:r>
      <w:r w:rsidRPr="00065BFF">
        <w:t xml:space="preserve"> only some regulators have the authority to publish information on licensing actions, including reasons for</w:t>
      </w:r>
      <w:r w:rsidR="002A10BA">
        <w:t> </w:t>
      </w:r>
      <w:r w:rsidRPr="00065BFF">
        <w:t xml:space="preserve">cancellation. </w:t>
      </w:r>
    </w:p>
    <w:p w14:paraId="338BDCD9" w14:textId="77777777" w:rsidR="004C321A" w:rsidRPr="00065BFF" w:rsidRDefault="004C321A" w:rsidP="004C321A">
      <w:pPr>
        <w:spacing w:before="0" w:line="276" w:lineRule="auto"/>
      </w:pPr>
    </w:p>
    <w:p w14:paraId="4598B4FD" w14:textId="5D851AAD" w:rsidR="00A901F1" w:rsidRDefault="00CF534A" w:rsidP="00B515B5">
      <w:pPr>
        <w:numPr>
          <w:ilvl w:val="0"/>
          <w:numId w:val="41"/>
        </w:numPr>
        <w:spacing w:before="0" w:line="276" w:lineRule="auto"/>
      </w:pPr>
      <w:r w:rsidRPr="00065BFF">
        <w:lastRenderedPageBreak/>
        <w:t xml:space="preserve">The </w:t>
      </w:r>
      <w:r>
        <w:t xml:space="preserve">national </w:t>
      </w:r>
      <w:r w:rsidRPr="00065BFF">
        <w:t xml:space="preserve">principles provide that registers are updated regularly and include information on licence applications, suspensions, cancellations, conditions and enforcement action taken against licence holders. Public registers should be as comprehensive as possible </w:t>
      </w:r>
      <w:r>
        <w:t>because</w:t>
      </w:r>
      <w:r w:rsidRPr="00065BFF">
        <w:t xml:space="preserve"> they assist </w:t>
      </w:r>
      <w:r>
        <w:t>users/</w:t>
      </w:r>
      <w:r w:rsidRPr="00065BFF">
        <w:t>hosts in making informed decisions when engaging a labour hire provider, as</w:t>
      </w:r>
      <w:r w:rsidR="002A10BA">
        <w:t> </w:t>
      </w:r>
      <w:r w:rsidRPr="00065BFF">
        <w:t>well as assisting regulators in other jurisdictions.</w:t>
      </w:r>
    </w:p>
    <w:p w14:paraId="2EB8F47D" w14:textId="63781849" w:rsidR="00A901F1" w:rsidRDefault="00A901F1" w:rsidP="00B515B5">
      <w:pPr>
        <w:pStyle w:val="Heading3"/>
        <w:spacing w:before="160"/>
      </w:pPr>
      <w:bookmarkStart w:id="11" w:name="_Toc238551418"/>
      <w:r>
        <w:t>Compliance and enforcement</w:t>
      </w:r>
      <w:bookmarkEnd w:id="11"/>
    </w:p>
    <w:p w14:paraId="5745E2D8" w14:textId="77777777" w:rsidR="00AF5D3C" w:rsidRDefault="00AF5D3C" w:rsidP="00B515B5">
      <w:pPr>
        <w:numPr>
          <w:ilvl w:val="0"/>
          <w:numId w:val="41"/>
        </w:numPr>
        <w:spacing w:before="0" w:line="276" w:lineRule="auto"/>
        <w:ind w:left="357" w:hanging="357"/>
      </w:pPr>
      <w:r w:rsidRPr="00065BFF">
        <w:t>The national principles provide a common compliance and enforcement framework for jurisdictions to apply</w:t>
      </w:r>
      <w:r>
        <w:t xml:space="preserve">. Key prohibitions include: </w:t>
      </w:r>
    </w:p>
    <w:p w14:paraId="2F1C5169" w14:textId="77777777" w:rsidR="00AF5D3C" w:rsidRPr="00065BFF" w:rsidRDefault="00AF5D3C" w:rsidP="00B515B5">
      <w:pPr>
        <w:pStyle w:val="ListParagraph"/>
        <w:numPr>
          <w:ilvl w:val="0"/>
          <w:numId w:val="42"/>
        </w:numPr>
        <w:spacing w:before="0" w:line="276" w:lineRule="auto"/>
        <w:contextualSpacing w:val="0"/>
      </w:pPr>
      <w:r w:rsidRPr="00065BFF">
        <w:t>providing/advertising labour hire services without a licence</w:t>
      </w:r>
    </w:p>
    <w:p w14:paraId="6C6BF3EC" w14:textId="77777777" w:rsidR="00AF5D3C" w:rsidRDefault="00AF5D3C" w:rsidP="00B515B5">
      <w:pPr>
        <w:pStyle w:val="ListParagraph"/>
        <w:numPr>
          <w:ilvl w:val="0"/>
          <w:numId w:val="42"/>
        </w:numPr>
        <w:spacing w:before="0" w:line="276" w:lineRule="auto"/>
        <w:contextualSpacing w:val="0"/>
      </w:pPr>
      <w:r w:rsidRPr="00065BFF">
        <w:t>entering arrangements with unlicensed providers</w:t>
      </w:r>
    </w:p>
    <w:p w14:paraId="04798938" w14:textId="77777777" w:rsidR="00AF5D3C" w:rsidRPr="00065BFF" w:rsidRDefault="00AF5D3C" w:rsidP="00B515B5">
      <w:pPr>
        <w:pStyle w:val="ListParagraph"/>
        <w:numPr>
          <w:ilvl w:val="0"/>
          <w:numId w:val="42"/>
        </w:numPr>
        <w:spacing w:before="0" w:line="276" w:lineRule="auto"/>
        <w:contextualSpacing w:val="0"/>
      </w:pPr>
      <w:proofErr w:type="gramStart"/>
      <w:r w:rsidRPr="00C346F2">
        <w:t>entering into</w:t>
      </w:r>
      <w:proofErr w:type="gramEnd"/>
      <w:r w:rsidRPr="00C346F2">
        <w:t>, and/or failing to report, avoidance arrangements</w:t>
      </w:r>
    </w:p>
    <w:p w14:paraId="4591CCC9" w14:textId="77777777" w:rsidR="00AF5D3C" w:rsidRPr="00065BFF" w:rsidRDefault="00AF5D3C" w:rsidP="00B515B5">
      <w:pPr>
        <w:pStyle w:val="ListParagraph"/>
        <w:numPr>
          <w:ilvl w:val="0"/>
          <w:numId w:val="42"/>
        </w:numPr>
        <w:spacing w:before="0" w:line="276" w:lineRule="auto"/>
        <w:contextualSpacing w:val="0"/>
      </w:pPr>
      <w:r w:rsidRPr="00065BFF">
        <w:t>failure to comply with a licence condition</w:t>
      </w:r>
    </w:p>
    <w:p w14:paraId="056A11A4" w14:textId="77777777" w:rsidR="00AF5D3C" w:rsidRPr="00065BFF" w:rsidRDefault="00AF5D3C" w:rsidP="00B515B5">
      <w:pPr>
        <w:pStyle w:val="ListParagraph"/>
        <w:numPr>
          <w:ilvl w:val="0"/>
          <w:numId w:val="42"/>
        </w:numPr>
        <w:spacing w:before="0" w:line="276" w:lineRule="auto"/>
        <w:contextualSpacing w:val="0"/>
      </w:pPr>
      <w:r w:rsidRPr="00065BFF">
        <w:t>failure to comply with record keeping and reporting obligations</w:t>
      </w:r>
      <w:r>
        <w:t>, and</w:t>
      </w:r>
    </w:p>
    <w:p w14:paraId="51337327" w14:textId="77777777" w:rsidR="00AF5D3C" w:rsidRDefault="00AF5D3C" w:rsidP="00B515B5">
      <w:pPr>
        <w:pStyle w:val="ListParagraph"/>
        <w:numPr>
          <w:ilvl w:val="0"/>
          <w:numId w:val="42"/>
        </w:numPr>
        <w:spacing w:before="0" w:line="276" w:lineRule="auto"/>
        <w:contextualSpacing w:val="0"/>
      </w:pPr>
      <w:r w:rsidRPr="00065BFF">
        <w:t>providing false or misleading information or documents.</w:t>
      </w:r>
    </w:p>
    <w:p w14:paraId="3DD5904F" w14:textId="77777777" w:rsidR="00AF5D3C" w:rsidRPr="00065BFF" w:rsidRDefault="00AF5D3C" w:rsidP="00B515B5">
      <w:pPr>
        <w:numPr>
          <w:ilvl w:val="0"/>
          <w:numId w:val="41"/>
        </w:numPr>
        <w:spacing w:before="0" w:line="276" w:lineRule="auto"/>
        <w:ind w:left="357" w:hanging="357"/>
      </w:pPr>
      <w:r>
        <w:t>In addition</w:t>
      </w:r>
      <w:r w:rsidRPr="00065BFF">
        <w:t xml:space="preserve">, </w:t>
      </w:r>
      <w:r>
        <w:t xml:space="preserve">the national principles include </w:t>
      </w:r>
      <w:r w:rsidRPr="00065BFF">
        <w:t xml:space="preserve">general provisions </w:t>
      </w:r>
      <w:r>
        <w:t>such as</w:t>
      </w:r>
      <w:r w:rsidRPr="00065BFF">
        <w:t>:</w:t>
      </w:r>
    </w:p>
    <w:p w14:paraId="450E0B2E" w14:textId="77777777" w:rsidR="00AF5D3C" w:rsidRPr="00065BFF" w:rsidRDefault="00AF5D3C" w:rsidP="00B515B5">
      <w:pPr>
        <w:pStyle w:val="ListParagraph"/>
        <w:numPr>
          <w:ilvl w:val="0"/>
          <w:numId w:val="42"/>
        </w:numPr>
        <w:spacing w:before="0" w:line="276" w:lineRule="auto"/>
        <w:contextualSpacing w:val="0"/>
      </w:pPr>
      <w:r w:rsidRPr="00065BFF">
        <w:t>accessorial liability for persons or companies involved in contraventions (this means that a person – for example, a company director or accountant – or a business in a supply chain can also be held responsible for contraventions by an employer)</w:t>
      </w:r>
    </w:p>
    <w:p w14:paraId="46CFAD71" w14:textId="77777777" w:rsidR="00AF5D3C" w:rsidRPr="00065BFF" w:rsidRDefault="00AF5D3C" w:rsidP="00B515B5">
      <w:pPr>
        <w:pStyle w:val="ListParagraph"/>
        <w:numPr>
          <w:ilvl w:val="0"/>
          <w:numId w:val="42"/>
        </w:numPr>
        <w:spacing w:before="0" w:line="276" w:lineRule="auto"/>
        <w:contextualSpacing w:val="0"/>
      </w:pPr>
      <w:r w:rsidRPr="00065BFF">
        <w:t>sanctions for contraventions, with options for civil and/or criminal penalties, with strict liability (meaning that no intention is required for an offence to occur)</w:t>
      </w:r>
      <w:r>
        <w:t>, and</w:t>
      </w:r>
    </w:p>
    <w:p w14:paraId="283D97B4" w14:textId="77777777" w:rsidR="00AF5D3C" w:rsidRPr="00065BFF" w:rsidRDefault="00AF5D3C" w:rsidP="00B515B5">
      <w:pPr>
        <w:pStyle w:val="ListParagraph"/>
        <w:numPr>
          <w:ilvl w:val="0"/>
          <w:numId w:val="42"/>
        </w:numPr>
        <w:spacing w:before="0" w:line="276" w:lineRule="auto"/>
        <w:ind w:left="714" w:hanging="357"/>
        <w:contextualSpacing w:val="0"/>
      </w:pPr>
      <w:r>
        <w:t>fines</w:t>
      </w:r>
      <w:r w:rsidRPr="00065BFF">
        <w:t xml:space="preserve"> as an alternative to prosecution for minor reporting and payment contraventions.</w:t>
      </w:r>
    </w:p>
    <w:p w14:paraId="30C3800A" w14:textId="19A24884" w:rsidR="00A901F1" w:rsidRDefault="00AF5D3C" w:rsidP="00B515B5">
      <w:pPr>
        <w:numPr>
          <w:ilvl w:val="0"/>
          <w:numId w:val="41"/>
        </w:numPr>
        <w:spacing w:before="0" w:line="276" w:lineRule="auto"/>
      </w:pPr>
      <w:r w:rsidRPr="00065BFF">
        <w:t xml:space="preserve">Existing labour hire licensing schemes are broadly similar but have some differences in relation to the operation of their compliance and enforcement mechanisms, such as variations in time limits, </w:t>
      </w:r>
      <w:r>
        <w:t xml:space="preserve">fees, </w:t>
      </w:r>
      <w:r w:rsidRPr="00065BFF">
        <w:t>penalties</w:t>
      </w:r>
      <w:r>
        <w:t>,</w:t>
      </w:r>
      <w:r w:rsidRPr="00065BFF">
        <w:t xml:space="preserve"> thresholds</w:t>
      </w:r>
      <w:r>
        <w:t xml:space="preserve"> and designated courts</w:t>
      </w:r>
      <w:r w:rsidRPr="00065BFF">
        <w:t>. These differences reflect how licensing schemes sit within jurisdictions’ respective regulatory frameworks, including civil and criminal legal frameworks. Where possible, jurisdictions should ensure that similar conduct attracts similar consequences, and that there is a proportionate response to the seriousness of each contravention.</w:t>
      </w:r>
    </w:p>
    <w:p w14:paraId="2A865E01" w14:textId="235C935E" w:rsidR="00A901F1" w:rsidRDefault="00A901F1" w:rsidP="00B515B5">
      <w:pPr>
        <w:pStyle w:val="Heading3"/>
        <w:spacing w:before="160"/>
      </w:pPr>
      <w:bookmarkStart w:id="12" w:name="_Toc238551419"/>
      <w:r>
        <w:t>Regulator</w:t>
      </w:r>
      <w:bookmarkEnd w:id="12"/>
    </w:p>
    <w:p w14:paraId="174BD194" w14:textId="77777777" w:rsidR="00297444" w:rsidRDefault="00297444" w:rsidP="00B515B5">
      <w:pPr>
        <w:numPr>
          <w:ilvl w:val="0"/>
          <w:numId w:val="41"/>
        </w:numPr>
        <w:spacing w:before="0" w:line="276" w:lineRule="auto"/>
      </w:pPr>
      <w:r w:rsidRPr="00065BFF">
        <w:t xml:space="preserve">The national principles recognise that each jurisdiction will need to ensure </w:t>
      </w:r>
      <w:r>
        <w:t>its</w:t>
      </w:r>
      <w:r w:rsidRPr="00065BFF">
        <w:t xml:space="preserve"> regulator is provided appropriate and proportionate powers to perform its functions, including broad information</w:t>
      </w:r>
      <w:r w:rsidRPr="00065BFF">
        <w:rPr>
          <w:rFonts w:ascii="Cambria Math" w:hAnsi="Cambria Math" w:cs="Cambria Math"/>
        </w:rPr>
        <w:t>‑</w:t>
      </w:r>
      <w:r w:rsidRPr="00065BFF">
        <w:t>gathering and information</w:t>
      </w:r>
      <w:r w:rsidRPr="00065BFF">
        <w:rPr>
          <w:rFonts w:ascii="Cambria Math" w:hAnsi="Cambria Math" w:cs="Cambria Math"/>
        </w:rPr>
        <w:t>‑</w:t>
      </w:r>
      <w:r w:rsidRPr="00065BFF">
        <w:t xml:space="preserve">sharing powers, </w:t>
      </w:r>
      <w:r>
        <w:t>and</w:t>
      </w:r>
      <w:r w:rsidRPr="00065BFF">
        <w:t xml:space="preserve"> the ability to develop education materials and codes of practice.  </w:t>
      </w:r>
    </w:p>
    <w:p w14:paraId="11EBDB87" w14:textId="77777777" w:rsidR="004C321A" w:rsidRPr="00065BFF" w:rsidRDefault="004C321A" w:rsidP="004C321A">
      <w:pPr>
        <w:spacing w:before="0" w:line="276" w:lineRule="auto"/>
      </w:pPr>
    </w:p>
    <w:p w14:paraId="2D2C43EB" w14:textId="0BDB6894" w:rsidR="00A901F1" w:rsidRDefault="00297444" w:rsidP="00B515B5">
      <w:pPr>
        <w:numPr>
          <w:ilvl w:val="0"/>
          <w:numId w:val="41"/>
        </w:numPr>
        <w:spacing w:before="0" w:line="276" w:lineRule="auto"/>
      </w:pPr>
      <w:r w:rsidRPr="00065BFF">
        <w:lastRenderedPageBreak/>
        <w:t>In addition to education and awareness</w:t>
      </w:r>
      <w:r>
        <w:t>-raising</w:t>
      </w:r>
      <w:r w:rsidRPr="00065BFF">
        <w:t xml:space="preserve"> activities, it is expected that each jurisdictional labour hire regulator will take a risk-based and intelligence-led approach to monitoring, investigation, compliance and enforcement activities, focusing its attention on providers, </w:t>
      </w:r>
      <w:r>
        <w:t>users</w:t>
      </w:r>
      <w:r w:rsidRPr="00065BFF">
        <w:t xml:space="preserve"> and sectors that have the highest risk of non-compliance. This reflects the operation of existing schemes and best practice compliance and enforcement approaches to achieve regulatory objectives.</w:t>
      </w:r>
    </w:p>
    <w:p w14:paraId="3C27BF88" w14:textId="30FB3CF1" w:rsidR="00A901F1" w:rsidRDefault="00A901F1" w:rsidP="00B515B5">
      <w:pPr>
        <w:pStyle w:val="Heading3"/>
        <w:spacing w:before="160"/>
      </w:pPr>
      <w:bookmarkStart w:id="13" w:name="_Toc238551420"/>
      <w:r>
        <w:t>Information sharing</w:t>
      </w:r>
      <w:bookmarkEnd w:id="13"/>
    </w:p>
    <w:p w14:paraId="6ECFE4B8" w14:textId="77777777" w:rsidR="00E502DC" w:rsidRPr="00065BFF" w:rsidRDefault="00E502DC" w:rsidP="00B515B5">
      <w:pPr>
        <w:numPr>
          <w:ilvl w:val="0"/>
          <w:numId w:val="41"/>
        </w:numPr>
        <w:spacing w:before="0" w:line="276" w:lineRule="auto"/>
      </w:pPr>
      <w:r w:rsidRPr="00065BFF">
        <w:t>The national principles provide options for improving</w:t>
      </w:r>
      <w:r w:rsidRPr="00065BFF">
        <w:rPr>
          <w:rFonts w:ascii="Arial" w:hAnsi="Arial" w:cs="Arial"/>
        </w:rPr>
        <w:t> </w:t>
      </w:r>
      <w:r w:rsidRPr="00065BFF">
        <w:t xml:space="preserve">information sharing arrangements to help to create a more consistent and collaborative approach to labour hire regulation across jurisdictions. The options </w:t>
      </w:r>
      <w:proofErr w:type="gramStart"/>
      <w:r w:rsidRPr="00065BFF">
        <w:t>take into account</w:t>
      </w:r>
      <w:proofErr w:type="gramEnd"/>
      <w:r w:rsidRPr="00065BFF">
        <w:t xml:space="preserve"> that labour hire providers, </w:t>
      </w:r>
      <w:r>
        <w:t>users</w:t>
      </w:r>
      <w:r w:rsidRPr="00065BFF">
        <w:t xml:space="preserve"> and workers may operate or work across multiple </w:t>
      </w:r>
      <w:proofErr w:type="gramStart"/>
      <w:r w:rsidRPr="00065BFF">
        <w:t>jurisdictions, and</w:t>
      </w:r>
      <w:proofErr w:type="gramEnd"/>
      <w:r w:rsidRPr="00065BFF">
        <w:t xml:space="preserve"> are designed to be complementary to other aspects of the national principles, including the online searchable public register.</w:t>
      </w:r>
    </w:p>
    <w:p w14:paraId="38866360" w14:textId="77777777" w:rsidR="00E502DC" w:rsidRPr="00065BFF" w:rsidRDefault="00E502DC" w:rsidP="00B515B5">
      <w:pPr>
        <w:numPr>
          <w:ilvl w:val="0"/>
          <w:numId w:val="41"/>
        </w:numPr>
        <w:spacing w:before="0" w:line="276" w:lineRule="auto"/>
      </w:pPr>
      <w:r w:rsidRPr="00065BFF">
        <w:t xml:space="preserve">The </w:t>
      </w:r>
      <w:r>
        <w:t xml:space="preserve">national </w:t>
      </w:r>
      <w:r w:rsidRPr="00065BFF">
        <w:t xml:space="preserve">principles are designed to build on the existing productive working relationships between relevant regulators (for example, between current labour hire regulators and the Office of the Fair Work Ombudsman), which allow for relevant information to be shared in a timely manner between regulators. These relationships and communication channels help to ensure that non-compliance can be investigated and addressed across jurisdictions. </w:t>
      </w:r>
    </w:p>
    <w:p w14:paraId="169F2F85" w14:textId="53BBADEF" w:rsidR="00E502DC" w:rsidRPr="00065BFF" w:rsidRDefault="00E502DC" w:rsidP="00B515B5">
      <w:pPr>
        <w:numPr>
          <w:ilvl w:val="0"/>
          <w:numId w:val="41"/>
        </w:numPr>
        <w:spacing w:before="0" w:line="276" w:lineRule="auto"/>
      </w:pPr>
      <w:r w:rsidRPr="00065BFF">
        <w:t xml:space="preserve">The </w:t>
      </w:r>
      <w:r>
        <w:t xml:space="preserve">national </w:t>
      </w:r>
      <w:r w:rsidRPr="00065BFF">
        <w:t>principles note that additional mechanisms could be considered to increase inter</w:t>
      </w:r>
      <w:r w:rsidRPr="00065BFF">
        <w:noBreakHyphen/>
        <w:t xml:space="preserve">jurisdictional cooperation and information sharing on labour hire issues. This could include establishing a regulatory community of practice to report on emerging issues and share operational </w:t>
      </w:r>
      <w:proofErr w:type="gramStart"/>
      <w:r w:rsidRPr="00065BFF">
        <w:t>information, and</w:t>
      </w:r>
      <w:proofErr w:type="gramEnd"/>
      <w:r w:rsidRPr="00065BFF">
        <w:t xml:space="preserve"> could also involve memoranda of understanding between</w:t>
      </w:r>
      <w:r w:rsidR="002A10BA">
        <w:t> </w:t>
      </w:r>
      <w:r w:rsidRPr="00065BFF">
        <w:t>regulators.</w:t>
      </w:r>
    </w:p>
    <w:p w14:paraId="73EECC64" w14:textId="1523E26F" w:rsidR="00E502DC" w:rsidRPr="00065BFF" w:rsidRDefault="00E502DC" w:rsidP="00B515B5">
      <w:pPr>
        <w:numPr>
          <w:ilvl w:val="0"/>
          <w:numId w:val="41"/>
        </w:numPr>
        <w:spacing w:before="0" w:line="276" w:lineRule="auto"/>
      </w:pPr>
      <w:r w:rsidRPr="00065BFF">
        <w:t xml:space="preserve">To ensure relevant information is shared effectively between regulators and other government agencies, legislative frameworks should enable appropriate disclosures between labour hire regulators, government agencies and other enforcement bodies. Ensuring </w:t>
      </w:r>
      <w:r>
        <w:t xml:space="preserve">the sharing of </w:t>
      </w:r>
      <w:r w:rsidRPr="00065BFF">
        <w:t>relevant information across jurisdictions is critical for the effective functioning of jurisdiction</w:t>
      </w:r>
      <w:r w:rsidR="002A10BA">
        <w:noBreakHyphen/>
      </w:r>
      <w:r w:rsidRPr="00065BFF">
        <w:t>led labour hire licensing schemes across Australia, including the future potential for schemes to consider options to recognise licences from other jurisdictions.</w:t>
      </w:r>
    </w:p>
    <w:p w14:paraId="6CD30BD5" w14:textId="576EBCCB" w:rsidR="001D07D5" w:rsidRDefault="00E502DC" w:rsidP="001D07D5">
      <w:pPr>
        <w:numPr>
          <w:ilvl w:val="0"/>
          <w:numId w:val="41"/>
        </w:numPr>
        <w:spacing w:before="0" w:line="276" w:lineRule="auto"/>
      </w:pPr>
      <w:r w:rsidRPr="00065BFF">
        <w:t>Regulators should take a flexible, risk-based approach to information sharing, underpinned by relevant legislation. All labour hire regulators should be able to notify regulators in other jurisdictions in a timely manner of any serious contraventions, risks or actions taken with respect to a labour hire provider’s licence (for example, cancellation or suspension), especially where risks of serious contraventions exist across state and territory borders. </w:t>
      </w:r>
      <w:r w:rsidRPr="00065BFF" w:rsidDel="00500EE1">
        <w:t xml:space="preserve">This </w:t>
      </w:r>
      <w:r w:rsidRPr="00065BFF">
        <w:t xml:space="preserve">would facilitate expedient information sharing that other regulators could consider when making licensing decisions or taking compliance and enforcement action. This capacity could be supported by maintaining a current and comprehensive public licensing register. </w:t>
      </w:r>
    </w:p>
    <w:p w14:paraId="13CDD706" w14:textId="77777777" w:rsidR="004C321A" w:rsidRDefault="004C321A" w:rsidP="004C321A">
      <w:pPr>
        <w:spacing w:before="0" w:line="276" w:lineRule="auto"/>
      </w:pPr>
    </w:p>
    <w:p w14:paraId="75D59CB8" w14:textId="61560F97" w:rsidR="00A901F1" w:rsidRDefault="00A901F1" w:rsidP="00B515B5">
      <w:pPr>
        <w:pStyle w:val="Heading2"/>
        <w:spacing w:before="320"/>
      </w:pPr>
      <w:bookmarkStart w:id="14" w:name="_Toc238551421"/>
      <w:r>
        <w:lastRenderedPageBreak/>
        <w:t>Other considerations</w:t>
      </w:r>
      <w:bookmarkEnd w:id="14"/>
    </w:p>
    <w:p w14:paraId="52F75E8F" w14:textId="161BBA4B" w:rsidR="001D07D5" w:rsidRPr="00065BFF" w:rsidRDefault="005B2619" w:rsidP="001D07D5">
      <w:pPr>
        <w:pStyle w:val="ListParagraph"/>
        <w:numPr>
          <w:ilvl w:val="0"/>
          <w:numId w:val="41"/>
        </w:numPr>
        <w:spacing w:before="0" w:line="276" w:lineRule="auto"/>
        <w:ind w:left="357" w:hanging="357"/>
        <w:contextualSpacing w:val="0"/>
      </w:pPr>
      <w:r w:rsidRPr="00065BFF">
        <w:t xml:space="preserve">The national principles are designed to assist state and territory governments to establish new licensing schemes or amend existing schemes to increase national consistency. </w:t>
      </w:r>
    </w:p>
    <w:p w14:paraId="7E57EE38" w14:textId="77777777" w:rsidR="005B2619" w:rsidRPr="00065BFF" w:rsidRDefault="005B2619" w:rsidP="00B515B5">
      <w:pPr>
        <w:pStyle w:val="ListParagraph"/>
        <w:numPr>
          <w:ilvl w:val="0"/>
          <w:numId w:val="41"/>
        </w:numPr>
        <w:spacing w:before="0" w:line="276" w:lineRule="auto"/>
        <w:ind w:left="357" w:hanging="357"/>
        <w:contextualSpacing w:val="0"/>
      </w:pPr>
      <w:r w:rsidRPr="00065BFF">
        <w:t>The Working Group considered the issue of mutual recognition of licences across jurisdictions. Mutual recognition of licences is a complex issue to operationalise</w:t>
      </w:r>
      <w:r>
        <w:t>,</w:t>
      </w:r>
      <w:r w:rsidRPr="00065BFF">
        <w:t xml:space="preserve"> especially without final settings agreed or laws in place for all jurisdictions that may want to participate. There are currently only 4 jurisdictions that have licensing schemes and those schemes sit within different regulatory and funding frameworks. Due to this complexity, the Working Group determined that increasing regulatory consistency and strengthening information sharing between regulators would be a more effective option to best deliver on Workplace Relations Ministers’ tasking at this time.  </w:t>
      </w:r>
    </w:p>
    <w:p w14:paraId="0E5AD83A" w14:textId="050790DA" w:rsidR="005B2619" w:rsidRPr="00065BFF" w:rsidRDefault="005B2619" w:rsidP="00B515B5">
      <w:pPr>
        <w:pStyle w:val="ListParagraph"/>
        <w:numPr>
          <w:ilvl w:val="0"/>
          <w:numId w:val="41"/>
        </w:numPr>
        <w:spacing w:before="0" w:line="276" w:lineRule="auto"/>
        <w:ind w:left="357" w:hanging="357"/>
        <w:contextualSpacing w:val="0"/>
      </w:pPr>
      <w:r w:rsidRPr="00065BFF">
        <w:t xml:space="preserve">The Working Group considers the development of national principles provides a timely mechanism to work towards national consistency in labour hire regulation. </w:t>
      </w:r>
      <w:r w:rsidR="00063159" w:rsidRPr="00063159">
        <w:t>Noting there was no consensus on a harmonised model from Workplace Relations Ministers, agreement to national principles is preferred to progressing model laws. Developing model laws would be a longer project and a more complex negotiation process to draft and seek agreement, which would delay efforts to improve national consistency and coverage through jurisdiction-led schemes.</w:t>
      </w:r>
    </w:p>
    <w:p w14:paraId="5820DEA3" w14:textId="34E897E9" w:rsidR="00A901F1" w:rsidRPr="00A901F1" w:rsidRDefault="005B2619" w:rsidP="00B515B5">
      <w:pPr>
        <w:pStyle w:val="ListParagraph"/>
        <w:numPr>
          <w:ilvl w:val="0"/>
          <w:numId w:val="41"/>
        </w:numPr>
        <w:spacing w:before="0" w:line="276" w:lineRule="auto"/>
        <w:ind w:left="357" w:hanging="357"/>
        <w:contextualSpacing w:val="0"/>
      </w:pPr>
      <w:r>
        <w:t>J</w:t>
      </w:r>
      <w:r w:rsidRPr="00065BFF">
        <w:t xml:space="preserve">urisdictions could consider additional mechanisms to increase consistency of labour hire regulation across Australia. </w:t>
      </w:r>
    </w:p>
    <w:p w14:paraId="411460BB" w14:textId="7047478D" w:rsidR="00A901F1" w:rsidRDefault="00A901F1" w:rsidP="00B515B5">
      <w:pPr>
        <w:pStyle w:val="Heading2"/>
        <w:spacing w:before="320"/>
      </w:pPr>
      <w:bookmarkStart w:id="15" w:name="_Toc238551422"/>
      <w:r>
        <w:t>Conclusion</w:t>
      </w:r>
      <w:bookmarkEnd w:id="15"/>
    </w:p>
    <w:p w14:paraId="63E459F3" w14:textId="77777777" w:rsidR="007F25A8" w:rsidRPr="00065BFF" w:rsidRDefault="007F25A8" w:rsidP="00B515B5">
      <w:pPr>
        <w:numPr>
          <w:ilvl w:val="0"/>
          <w:numId w:val="41"/>
        </w:numPr>
        <w:spacing w:before="0" w:line="276" w:lineRule="auto"/>
        <w:ind w:left="357" w:hanging="357"/>
      </w:pPr>
      <w:r w:rsidRPr="00065BFF">
        <w:t xml:space="preserve">The national principles developed by the Working Group establish a shared foundation of core settings that aim to strengthen consistency of worker protections, while recognising the differences of existing labour hire licensing schemes and the need for state and territory governments to retain flexibility. </w:t>
      </w:r>
    </w:p>
    <w:p w14:paraId="59EA99CD" w14:textId="77777777" w:rsidR="007F25A8" w:rsidRDefault="007F25A8" w:rsidP="00B515B5">
      <w:pPr>
        <w:numPr>
          <w:ilvl w:val="0"/>
          <w:numId w:val="41"/>
        </w:numPr>
        <w:spacing w:before="0" w:line="276" w:lineRule="auto"/>
        <w:ind w:left="357" w:hanging="357"/>
      </w:pPr>
      <w:r w:rsidRPr="00065BFF">
        <w:t>Pending ministerial endorsement of the principles, individual state and territory governments can consider how they are best applied in their respective jurisdictions to ensure a more consistent approach to labour hire regulation nationally</w:t>
      </w:r>
      <w:r>
        <w:t>,</w:t>
      </w:r>
      <w:r w:rsidRPr="00B2753F">
        <w:t xml:space="preserve"> </w:t>
      </w:r>
      <w:r w:rsidRPr="00065BFF">
        <w:t xml:space="preserve">including by introducing legislation to establish or amend licensing schemes. </w:t>
      </w:r>
    </w:p>
    <w:p w14:paraId="09D5A20A" w14:textId="3A083741" w:rsidR="00B06326" w:rsidRDefault="007F25A8" w:rsidP="00B06326">
      <w:pPr>
        <w:numPr>
          <w:ilvl w:val="0"/>
          <w:numId w:val="41"/>
        </w:numPr>
        <w:spacing w:before="0" w:line="276" w:lineRule="auto"/>
        <w:ind w:left="357" w:hanging="357"/>
      </w:pPr>
      <w:r w:rsidRPr="00065BFF">
        <w:t>The principles provide a practical pathway for jurisdictions to align key regulatory elements and improve information</w:t>
      </w:r>
      <w:r w:rsidRPr="007F25A8">
        <w:rPr>
          <w:rFonts w:ascii="Cambria Math" w:hAnsi="Cambria Math" w:cs="Cambria Math"/>
        </w:rPr>
        <w:t xml:space="preserve"> </w:t>
      </w:r>
      <w:r w:rsidRPr="00065BFF">
        <w:t>sharing, enforcement capability and regulatory coherence over time.</w:t>
      </w:r>
    </w:p>
    <w:p w14:paraId="73F3FE87" w14:textId="77777777" w:rsidR="00B06326" w:rsidRPr="00B06326" w:rsidRDefault="00B06326" w:rsidP="00B06326">
      <w:pPr>
        <w:spacing w:before="0" w:line="276" w:lineRule="auto"/>
        <w:ind w:left="357"/>
      </w:pPr>
    </w:p>
    <w:p w14:paraId="1FA905D0" w14:textId="1576CE50" w:rsidR="00B06326" w:rsidRPr="00DA5C31" w:rsidRDefault="00B06326" w:rsidP="00DA5C31">
      <w:pPr>
        <w:pStyle w:val="Heading2"/>
      </w:pPr>
      <w:bookmarkStart w:id="16" w:name="_Toc238551423"/>
      <w:r w:rsidRPr="00DA5C31">
        <w:lastRenderedPageBreak/>
        <w:t>Appendix A</w:t>
      </w:r>
      <w:bookmarkEnd w:id="16"/>
    </w:p>
    <w:p w14:paraId="3250BFC6" w14:textId="77777777" w:rsidR="00B06326" w:rsidRDefault="00B06326" w:rsidP="00B06326">
      <w:pPr>
        <w:pStyle w:val="Heading3"/>
        <w:spacing w:before="0" w:after="200"/>
      </w:pPr>
      <w:bookmarkStart w:id="17" w:name="_Toc238551424"/>
      <w:r>
        <w:t>National Model Law Principles for Labour Hire Regulation</w:t>
      </w:r>
      <w:bookmarkEnd w:id="17"/>
    </w:p>
    <w:p w14:paraId="5ED9E625" w14:textId="77777777" w:rsidR="00B06326" w:rsidRPr="00693B8E" w:rsidRDefault="00B06326" w:rsidP="00B06326">
      <w:pPr>
        <w:spacing w:before="0"/>
        <w:rPr>
          <w:rFonts w:ascii="Aptos Display" w:hAnsi="Aptos Display"/>
          <w:bCs/>
        </w:rPr>
      </w:pPr>
      <w:r w:rsidRPr="00693B8E">
        <w:rPr>
          <w:rFonts w:ascii="Aptos Display" w:hAnsi="Aptos Display"/>
          <w:bCs/>
        </w:rPr>
        <w:t xml:space="preserve">The national principles were developed by the Labour Hire Senior Officials’ Working Group between November 2025 and June 2026. The principles outline best practice elements of effective labour hire regulation, including industry coverage, compliance and enforcement, and licensing. </w:t>
      </w:r>
    </w:p>
    <w:p w14:paraId="685F03C3" w14:textId="77777777" w:rsidR="00B06326" w:rsidRPr="00693B8E" w:rsidRDefault="00B06326" w:rsidP="00B06326">
      <w:pPr>
        <w:spacing w:before="0"/>
        <w:rPr>
          <w:rFonts w:ascii="Aptos Display" w:hAnsi="Aptos Display"/>
          <w:bCs/>
        </w:rPr>
      </w:pPr>
      <w:r w:rsidRPr="00693B8E">
        <w:rPr>
          <w:rFonts w:ascii="Aptos Display" w:hAnsi="Aptos Display"/>
          <w:bCs/>
        </w:rPr>
        <w:t xml:space="preserve">The principles aim to enable state and territory governments to align core settings including across existing labour hire licensing schemes, while retaining flexibility to reflect local operating environments. Individual states and territories are responsible for adoption within their own jurisdictions’ schemes. </w:t>
      </w:r>
    </w:p>
    <w:p w14:paraId="20204661" w14:textId="77777777" w:rsidR="00B06326" w:rsidRPr="00693B8E" w:rsidRDefault="00B06326" w:rsidP="00B06326">
      <w:pPr>
        <w:spacing w:before="0"/>
        <w:rPr>
          <w:rFonts w:ascii="Aptos Display" w:hAnsi="Aptos Display"/>
          <w:bCs/>
        </w:rPr>
      </w:pPr>
      <w:r w:rsidRPr="00693B8E">
        <w:rPr>
          <w:rFonts w:ascii="Aptos Display" w:hAnsi="Aptos Display"/>
          <w:bCs/>
        </w:rPr>
        <w:t xml:space="preserve">The principles are intended to be supplemented by improved collaboration and information sharing between jurisdictions on labour hire licensing and related compliance matters. </w:t>
      </w:r>
    </w:p>
    <w:tbl>
      <w:tblPr>
        <w:tblStyle w:val="GridTable4-Accent1"/>
        <w:tblW w:w="9918" w:type="dxa"/>
        <w:tblLook w:val="04A0" w:firstRow="1" w:lastRow="0" w:firstColumn="1" w:lastColumn="0" w:noHBand="0" w:noVBand="1"/>
      </w:tblPr>
      <w:tblGrid>
        <w:gridCol w:w="9918"/>
      </w:tblGrid>
      <w:tr w:rsidR="00B06326" w:rsidRPr="009D05DE" w14:paraId="4805289D" w14:textId="77777777" w:rsidTr="007D547A">
        <w:trPr>
          <w:cnfStyle w:val="100000000000" w:firstRow="1" w:lastRow="0" w:firstColumn="0" w:lastColumn="0" w:oddVBand="0" w:evenVBand="0" w:oddHBand="0"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9918" w:type="dxa"/>
            <w:shd w:val="clear" w:color="auto" w:fill="124251" w:themeFill="background2" w:themeFillShade="80"/>
          </w:tcPr>
          <w:p w14:paraId="1138B85B" w14:textId="77777777" w:rsidR="00B06326" w:rsidRPr="009D05DE" w:rsidRDefault="00B06326" w:rsidP="007D547A">
            <w:pPr>
              <w:jc w:val="center"/>
              <w:rPr>
                <w:rFonts w:ascii="Aptos Display" w:hAnsi="Aptos Display"/>
              </w:rPr>
            </w:pPr>
            <w:r w:rsidRPr="009E6A3B">
              <w:rPr>
                <w:rFonts w:ascii="Aptos Display" w:hAnsi="Aptos Display"/>
              </w:rPr>
              <w:t xml:space="preserve">National model law principles </w:t>
            </w:r>
          </w:p>
        </w:tc>
      </w:tr>
      <w:tr w:rsidR="00B06326" w:rsidRPr="009D05DE" w14:paraId="588C764C" w14:textId="77777777" w:rsidTr="007D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shd w:val="clear" w:color="auto" w:fill="auto"/>
          </w:tcPr>
          <w:p w14:paraId="08F3F9A9" w14:textId="77777777" w:rsidR="00B06326" w:rsidRPr="009D05DE" w:rsidRDefault="00B06326" w:rsidP="007D547A">
            <w:pPr>
              <w:spacing w:before="60" w:after="120"/>
              <w:rPr>
                <w:rFonts w:ascii="Aptos Display" w:hAnsi="Aptos Display"/>
              </w:rPr>
            </w:pPr>
            <w:r w:rsidRPr="009D05DE">
              <w:rPr>
                <w:rFonts w:ascii="Aptos Display" w:hAnsi="Aptos Display"/>
              </w:rPr>
              <w:t>1. Purpose / object</w:t>
            </w:r>
            <w:r w:rsidRPr="009D05DE">
              <w:rPr>
                <w:rFonts w:ascii="Aptos Display" w:hAnsi="Aptos Display"/>
              </w:rPr>
              <w:br/>
            </w:r>
            <w:r w:rsidRPr="009D05DE">
              <w:rPr>
                <w:rFonts w:ascii="Aptos Display" w:hAnsi="Aptos Display"/>
                <w:b w:val="0"/>
                <w:bCs w:val="0"/>
              </w:rPr>
              <w:t>The purpose</w:t>
            </w:r>
            <w:r>
              <w:rPr>
                <w:rFonts w:ascii="Aptos Display" w:hAnsi="Aptos Display"/>
                <w:b w:val="0"/>
                <w:bCs w:val="0"/>
              </w:rPr>
              <w:t>s</w:t>
            </w:r>
            <w:r w:rsidRPr="009D05DE">
              <w:rPr>
                <w:rFonts w:ascii="Aptos Display" w:hAnsi="Aptos Display"/>
                <w:b w:val="0"/>
                <w:bCs w:val="0"/>
              </w:rPr>
              <w:t xml:space="preserve"> and object</w:t>
            </w:r>
            <w:r>
              <w:rPr>
                <w:rFonts w:ascii="Aptos Display" w:hAnsi="Aptos Display"/>
                <w:b w:val="0"/>
                <w:bCs w:val="0"/>
              </w:rPr>
              <w:t>s</w:t>
            </w:r>
            <w:r w:rsidRPr="009D05DE">
              <w:rPr>
                <w:rFonts w:ascii="Aptos Display" w:hAnsi="Aptos Display"/>
                <w:b w:val="0"/>
                <w:bCs w:val="0"/>
              </w:rPr>
              <w:t xml:space="preserve"> of a labour hire licensing law are to:</w:t>
            </w:r>
          </w:p>
          <w:p w14:paraId="12BD8E15" w14:textId="77777777" w:rsidR="00B06326" w:rsidRPr="009D05DE" w:rsidRDefault="00B06326" w:rsidP="007D547A">
            <w:pPr>
              <w:pStyle w:val="ListParagraph"/>
              <w:numPr>
                <w:ilvl w:val="0"/>
                <w:numId w:val="43"/>
              </w:numPr>
              <w:spacing w:before="0" w:after="0"/>
              <w:rPr>
                <w:rFonts w:ascii="Aptos Display" w:hAnsi="Aptos Display"/>
              </w:rPr>
            </w:pPr>
            <w:r w:rsidRPr="009D05DE">
              <w:rPr>
                <w:rFonts w:ascii="Aptos Display" w:hAnsi="Aptos Display"/>
                <w:b w:val="0"/>
                <w:bCs w:val="0"/>
              </w:rPr>
              <w:t>protect workers from exploitation and predatory business practices by providers of labour hire services and users/hosts</w:t>
            </w:r>
          </w:p>
          <w:p w14:paraId="0D006C43" w14:textId="77777777" w:rsidR="00B06326" w:rsidRPr="009D05DE" w:rsidRDefault="00B06326" w:rsidP="007D547A">
            <w:pPr>
              <w:pStyle w:val="ListParagraph"/>
              <w:numPr>
                <w:ilvl w:val="0"/>
                <w:numId w:val="43"/>
              </w:numPr>
              <w:spacing w:before="0" w:after="0"/>
              <w:rPr>
                <w:rFonts w:ascii="Aptos Display" w:hAnsi="Aptos Display"/>
              </w:rPr>
            </w:pPr>
            <w:r w:rsidRPr="009D05DE">
              <w:rPr>
                <w:rFonts w:ascii="Aptos Display" w:hAnsi="Aptos Display"/>
                <w:b w:val="0"/>
                <w:bCs w:val="0"/>
              </w:rPr>
              <w:t>strengthen the integrity of the labour hire industry, including by increasing the transparency of licensing decisions</w:t>
            </w:r>
          </w:p>
          <w:p w14:paraId="6445F565" w14:textId="77777777" w:rsidR="00B06326" w:rsidRPr="009D05DE" w:rsidRDefault="00B06326" w:rsidP="007D547A">
            <w:pPr>
              <w:pStyle w:val="ListParagraph"/>
              <w:numPr>
                <w:ilvl w:val="0"/>
                <w:numId w:val="43"/>
              </w:numPr>
              <w:spacing w:before="0" w:after="0"/>
              <w:rPr>
                <w:rFonts w:ascii="Aptos Display" w:hAnsi="Aptos Display"/>
              </w:rPr>
            </w:pPr>
            <w:r w:rsidRPr="009D05DE">
              <w:rPr>
                <w:rFonts w:ascii="Aptos Display" w:hAnsi="Aptos Display"/>
                <w:b w:val="0"/>
                <w:bCs w:val="0"/>
              </w:rPr>
              <w:t xml:space="preserve">promote effective information-sharing to support regulation of labour hire across Australia </w:t>
            </w:r>
          </w:p>
          <w:p w14:paraId="6AE4003A" w14:textId="77777777" w:rsidR="00B06326" w:rsidRPr="009D05DE" w:rsidRDefault="00B06326" w:rsidP="007D547A">
            <w:pPr>
              <w:pStyle w:val="ListParagraph"/>
              <w:numPr>
                <w:ilvl w:val="0"/>
                <w:numId w:val="43"/>
              </w:numPr>
              <w:spacing w:before="0" w:after="0"/>
              <w:rPr>
                <w:rFonts w:ascii="Aptos Display" w:hAnsi="Aptos Display"/>
              </w:rPr>
            </w:pPr>
            <w:r w:rsidRPr="009D05DE">
              <w:rPr>
                <w:rFonts w:ascii="Aptos Display" w:hAnsi="Aptos Display"/>
                <w:b w:val="0"/>
                <w:bCs w:val="0"/>
              </w:rPr>
              <w:t>promote greater compliance with relevant laws and responsible practices in the labour hire industry</w:t>
            </w:r>
          </w:p>
          <w:p w14:paraId="47E9976C" w14:textId="77777777" w:rsidR="00B06326" w:rsidRPr="009D05DE" w:rsidRDefault="00B06326" w:rsidP="007D547A">
            <w:pPr>
              <w:pStyle w:val="ListParagraph"/>
              <w:numPr>
                <w:ilvl w:val="0"/>
                <w:numId w:val="43"/>
              </w:numPr>
              <w:spacing w:before="0" w:after="0"/>
              <w:rPr>
                <w:rFonts w:ascii="Aptos Display" w:hAnsi="Aptos Display"/>
              </w:rPr>
            </w:pPr>
            <w:r w:rsidRPr="009D05DE">
              <w:rPr>
                <w:rFonts w:ascii="Aptos Display" w:hAnsi="Aptos Display"/>
                <w:b w:val="0"/>
                <w:bCs w:val="0"/>
              </w:rPr>
              <w:t>improve the consistency of labour hire regulation across Australia to create a level playing field for business, and</w:t>
            </w:r>
          </w:p>
          <w:p w14:paraId="6762E8DE" w14:textId="77777777" w:rsidR="00B06326" w:rsidRPr="009D05DE" w:rsidRDefault="00B06326" w:rsidP="007D547A">
            <w:pPr>
              <w:pStyle w:val="ListParagraph"/>
              <w:numPr>
                <w:ilvl w:val="0"/>
                <w:numId w:val="43"/>
              </w:numPr>
              <w:spacing w:before="0" w:after="120"/>
              <w:ind w:left="357" w:hanging="357"/>
              <w:contextualSpacing w:val="0"/>
              <w:rPr>
                <w:rFonts w:ascii="Aptos Display" w:hAnsi="Aptos Display"/>
              </w:rPr>
            </w:pPr>
            <w:r w:rsidRPr="009D05DE">
              <w:rPr>
                <w:rFonts w:ascii="Aptos Display" w:hAnsi="Aptos Display"/>
                <w:b w:val="0"/>
                <w:bCs w:val="0"/>
              </w:rPr>
              <w:t>assist labour hire providers operating across multiple jurisdictions by aligning requirements across jurisdictions.</w:t>
            </w:r>
          </w:p>
        </w:tc>
      </w:tr>
      <w:tr w:rsidR="00B06326" w:rsidRPr="009D05DE" w14:paraId="6FCF2005" w14:textId="77777777" w:rsidTr="007D547A">
        <w:tc>
          <w:tcPr>
            <w:cnfStyle w:val="001000000000" w:firstRow="0" w:lastRow="0" w:firstColumn="1" w:lastColumn="0" w:oddVBand="0" w:evenVBand="0" w:oddHBand="0" w:evenHBand="0" w:firstRowFirstColumn="0" w:firstRowLastColumn="0" w:lastRowFirstColumn="0" w:lastRowLastColumn="0"/>
            <w:tcW w:w="9918" w:type="dxa"/>
            <w:shd w:val="clear" w:color="auto" w:fill="D2ECFF" w:themeFill="text1" w:themeFillTint="1A"/>
          </w:tcPr>
          <w:p w14:paraId="1FA31FCC" w14:textId="77777777" w:rsidR="00B06326" w:rsidRPr="009D05DE" w:rsidRDefault="00B06326" w:rsidP="007D547A">
            <w:pPr>
              <w:spacing w:before="60" w:after="120"/>
              <w:rPr>
                <w:rFonts w:ascii="Aptos Display" w:hAnsi="Aptos Display"/>
              </w:rPr>
            </w:pPr>
            <w:r w:rsidRPr="009D05DE">
              <w:rPr>
                <w:rFonts w:ascii="Aptos Display" w:hAnsi="Aptos Display"/>
              </w:rPr>
              <w:t xml:space="preserve">2. Scope / coverage </w:t>
            </w:r>
            <w:r w:rsidRPr="009D05DE">
              <w:rPr>
                <w:rFonts w:ascii="Aptos Display" w:hAnsi="Aptos Display"/>
              </w:rPr>
              <w:br/>
            </w:r>
            <w:r w:rsidRPr="009D05DE">
              <w:rPr>
                <w:rFonts w:ascii="Aptos Display" w:hAnsi="Aptos Display"/>
                <w:b w:val="0"/>
                <w:bCs w:val="0"/>
              </w:rPr>
              <w:t xml:space="preserve">Best practice labour hire licensing laws should have universal coverage and protections that apply to all businesses and workers irrespective of industry. This reduces regulatory complexity arising from any differences in scope and coverage and ensures consistent protections for workers across jurisdictions. A scheme should cover providers and users of labour hire services. The principles provide a broad definition of labour supply services to recognise the range of arrangements that can be adopted. This promotes supply chain transparency and mitigates the risk of deliberate avoidance through supply chain restructuring. </w:t>
            </w:r>
          </w:p>
          <w:p w14:paraId="500794F3" w14:textId="77777777" w:rsidR="00B06326" w:rsidRPr="009D05DE" w:rsidRDefault="00B06326" w:rsidP="007D547A">
            <w:pPr>
              <w:pStyle w:val="ListParagraph"/>
              <w:numPr>
                <w:ilvl w:val="0"/>
                <w:numId w:val="44"/>
              </w:numPr>
              <w:spacing w:before="0" w:after="0"/>
              <w:rPr>
                <w:rFonts w:ascii="Aptos Display" w:hAnsi="Aptos Display"/>
              </w:rPr>
            </w:pPr>
            <w:r w:rsidRPr="009D05DE">
              <w:rPr>
                <w:rFonts w:ascii="Aptos Display" w:hAnsi="Aptos Display"/>
                <w:b w:val="0"/>
                <w:bCs w:val="0"/>
              </w:rPr>
              <w:t xml:space="preserve">Applies to all industry sectors (‘universal coverage’). </w:t>
            </w:r>
          </w:p>
          <w:p w14:paraId="4DE9FED3" w14:textId="77777777" w:rsidR="00B06326" w:rsidRPr="009D05DE" w:rsidRDefault="00B06326" w:rsidP="007D547A">
            <w:pPr>
              <w:pStyle w:val="ListParagraph"/>
              <w:numPr>
                <w:ilvl w:val="0"/>
                <w:numId w:val="44"/>
              </w:numPr>
              <w:spacing w:before="0" w:after="0"/>
              <w:rPr>
                <w:rFonts w:ascii="Aptos Display" w:hAnsi="Aptos Display"/>
              </w:rPr>
            </w:pPr>
            <w:r w:rsidRPr="009D05DE">
              <w:rPr>
                <w:rFonts w:ascii="Aptos Display" w:hAnsi="Aptos Display"/>
                <w:b w:val="0"/>
                <w:bCs w:val="0"/>
              </w:rPr>
              <w:t>Broad-based definition of ‘providing labour hire services’, including mechanism to expand coverage or prescribe certain industries as being automatically within scope, regardless of the structure(s) of labour provision arrangements.</w:t>
            </w:r>
          </w:p>
          <w:p w14:paraId="24E1C89C" w14:textId="77777777" w:rsidR="00B06326" w:rsidRPr="009D05DE" w:rsidRDefault="00B06326" w:rsidP="007D547A">
            <w:pPr>
              <w:pStyle w:val="ListParagraph"/>
              <w:numPr>
                <w:ilvl w:val="0"/>
                <w:numId w:val="44"/>
              </w:numPr>
              <w:spacing w:before="0" w:after="0"/>
              <w:rPr>
                <w:rFonts w:ascii="Aptos Display" w:hAnsi="Aptos Display"/>
              </w:rPr>
            </w:pPr>
            <w:r w:rsidRPr="009D05DE">
              <w:rPr>
                <w:rFonts w:ascii="Aptos Display" w:hAnsi="Aptos Display"/>
                <w:b w:val="0"/>
                <w:bCs w:val="0"/>
              </w:rPr>
              <w:t>Covers supply of labour to a commercial or business undertaking but does not apply in domestic settings involving the provision of private household or non-commercial work, such as a domestic cleaning service.</w:t>
            </w:r>
          </w:p>
          <w:p w14:paraId="04D9C7FD" w14:textId="77777777" w:rsidR="00B06326" w:rsidRPr="009D05DE" w:rsidRDefault="00B06326" w:rsidP="007D547A">
            <w:pPr>
              <w:pStyle w:val="ListParagraph"/>
              <w:numPr>
                <w:ilvl w:val="0"/>
                <w:numId w:val="44"/>
              </w:numPr>
              <w:spacing w:before="0" w:after="0"/>
              <w:rPr>
                <w:rFonts w:ascii="Aptos Display" w:hAnsi="Aptos Display"/>
              </w:rPr>
            </w:pPr>
            <w:r w:rsidRPr="009D05DE">
              <w:rPr>
                <w:rFonts w:ascii="Aptos Display" w:hAnsi="Aptos Display"/>
                <w:b w:val="0"/>
                <w:bCs w:val="0"/>
              </w:rPr>
              <w:t xml:space="preserve">Covers all workers engaged and paid by labour hire providers and supplied to a user/host, regardless of whether they are classified as an employee or independent contractor.  </w:t>
            </w:r>
          </w:p>
          <w:p w14:paraId="31D9FB0B" w14:textId="77777777" w:rsidR="00B06326" w:rsidRPr="009D05DE" w:rsidRDefault="00B06326" w:rsidP="007D547A">
            <w:pPr>
              <w:pStyle w:val="ListParagraph"/>
              <w:numPr>
                <w:ilvl w:val="0"/>
                <w:numId w:val="44"/>
              </w:numPr>
              <w:spacing w:before="0" w:after="0"/>
              <w:ind w:left="357" w:hanging="357"/>
              <w:rPr>
                <w:rFonts w:ascii="Aptos Display" w:hAnsi="Aptos Display"/>
              </w:rPr>
            </w:pPr>
            <w:r w:rsidRPr="009D05DE">
              <w:rPr>
                <w:rFonts w:ascii="Aptos Display" w:hAnsi="Aptos Display"/>
                <w:b w:val="0"/>
                <w:bCs w:val="0"/>
              </w:rPr>
              <w:t>Subcontracting arrangements are in scope where they have the character of labour supply.</w:t>
            </w:r>
          </w:p>
          <w:p w14:paraId="1280AF70" w14:textId="77777777" w:rsidR="00B06326" w:rsidRPr="009D05DE" w:rsidRDefault="00B06326" w:rsidP="007D547A">
            <w:pPr>
              <w:pStyle w:val="ListParagraph"/>
              <w:numPr>
                <w:ilvl w:val="0"/>
                <w:numId w:val="44"/>
              </w:numPr>
              <w:spacing w:before="0" w:after="0"/>
              <w:rPr>
                <w:rFonts w:ascii="Aptos Display" w:hAnsi="Aptos Display"/>
              </w:rPr>
            </w:pPr>
            <w:r w:rsidRPr="6BB46392">
              <w:rPr>
                <w:rFonts w:ascii="Aptos Display" w:hAnsi="Aptos Display"/>
                <w:b w:val="0"/>
                <w:bCs w:val="0"/>
              </w:rPr>
              <w:t>May exclude other arrangements, for example, secondments and labour supply within a group of entities.</w:t>
            </w:r>
            <w:r w:rsidRPr="6BB46392">
              <w:rPr>
                <w:rFonts w:ascii="Aptos Display" w:hAnsi="Aptos Display"/>
              </w:rPr>
              <w:t xml:space="preserve"> </w:t>
            </w:r>
          </w:p>
          <w:p w14:paraId="6DD71860" w14:textId="77777777" w:rsidR="00B06326" w:rsidRPr="009D05DE" w:rsidRDefault="00B06326" w:rsidP="007D547A">
            <w:pPr>
              <w:pStyle w:val="ListParagraph"/>
              <w:numPr>
                <w:ilvl w:val="0"/>
                <w:numId w:val="43"/>
              </w:numPr>
              <w:spacing w:before="0" w:after="120"/>
              <w:ind w:left="357" w:hanging="357"/>
              <w:contextualSpacing w:val="0"/>
              <w:rPr>
                <w:rFonts w:ascii="Aptos Display" w:hAnsi="Aptos Display"/>
              </w:rPr>
            </w:pPr>
            <w:r w:rsidRPr="009D05DE">
              <w:rPr>
                <w:rFonts w:ascii="Aptos Display" w:hAnsi="Aptos Display"/>
                <w:b w:val="0"/>
                <w:bCs w:val="0"/>
              </w:rPr>
              <w:t>May include extraterritorial application provisions, to allow application to relevant arrangements made within but performed outside of the specific jurisdiction.</w:t>
            </w:r>
          </w:p>
        </w:tc>
      </w:tr>
      <w:tr w:rsidR="00B06326" w:rsidRPr="009D05DE" w14:paraId="3605FFBD" w14:textId="77777777" w:rsidTr="007D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shd w:val="clear" w:color="auto" w:fill="auto"/>
          </w:tcPr>
          <w:p w14:paraId="780C5779" w14:textId="77777777" w:rsidR="00B06326" w:rsidRPr="009D05DE" w:rsidRDefault="00B06326" w:rsidP="007D547A">
            <w:pPr>
              <w:spacing w:before="60" w:after="120"/>
              <w:rPr>
                <w:rFonts w:ascii="Aptos Display" w:hAnsi="Aptos Display"/>
              </w:rPr>
            </w:pPr>
            <w:r w:rsidRPr="009D05DE">
              <w:rPr>
                <w:rFonts w:ascii="Aptos Display" w:hAnsi="Aptos Display"/>
              </w:rPr>
              <w:lastRenderedPageBreak/>
              <w:t>3. Licensing requirements</w:t>
            </w:r>
            <w:r w:rsidRPr="009D05DE">
              <w:rPr>
                <w:rFonts w:ascii="Aptos Display" w:hAnsi="Aptos Display"/>
              </w:rPr>
              <w:br/>
            </w:r>
            <w:r w:rsidRPr="009D05DE">
              <w:rPr>
                <w:rFonts w:ascii="Aptos Display" w:hAnsi="Aptos Display"/>
                <w:b w:val="0"/>
                <w:bCs w:val="0"/>
              </w:rPr>
              <w:t xml:space="preserve">The model law principles reflect core components of existing labour hire licensing schemes, including the requirement for labour hire providers to be licensed, and the capacity to suspend, cancel or impose conditions on licences. Under the model law principles, a labour hire provider must pass and continue to meet a robust ‘fit and proper person’ test and satisfy other suitability requirements, allowing regulators to consider a variety of factors in determining an applicant’s eligibility and ongoing suitability, such as financial viability, integrity and compliance with relevant laws. A robust ‘fit and proper person’ test will reduce the likelihood of unsuitable persons obtaining or retaining licences. </w:t>
            </w:r>
          </w:p>
          <w:p w14:paraId="0C84C04F" w14:textId="77777777" w:rsidR="00B06326" w:rsidRPr="009D05DE" w:rsidRDefault="00B06326" w:rsidP="007D547A">
            <w:pPr>
              <w:spacing w:after="120"/>
              <w:rPr>
                <w:rFonts w:ascii="Aptos Display" w:hAnsi="Aptos Display"/>
              </w:rPr>
            </w:pPr>
            <w:r w:rsidRPr="009D05DE">
              <w:rPr>
                <w:rFonts w:ascii="Aptos Display" w:hAnsi="Aptos Display"/>
                <w:b w:val="0"/>
                <w:bCs w:val="0"/>
              </w:rPr>
              <w:t xml:space="preserve">The principles also include ongoing disclosure requirements for applicants and licence holders regarding licence cancellations, suspensions and conditions imposed in other jurisdictions. This is designed to increase transparency and ensure such decisions can be considered by other jurisdictions in determining licence eligibility. The requirement to have an online public register will ensure appropriate transparency and aligns with similar requirements under existing schemes. </w:t>
            </w:r>
          </w:p>
          <w:p w14:paraId="5BD25A35"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Labour hire providers must be licensed to provide or advertise labour hire services. Licences are to be provided by each jurisdiction, subject to their respective licensing laws.</w:t>
            </w:r>
          </w:p>
          <w:p w14:paraId="2FDB9658"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 xml:space="preserve">Applicants and other relevant persons must satisfy a robust ‘fit and proper person’ test and satisfy other suitability requirements before being granted, and to maintain, a licence. The ‘fit and proper person’ test and other requirements are to be defined broadly to facilitate consideration of a variety of factors, including: </w:t>
            </w:r>
          </w:p>
          <w:p w14:paraId="162387D0" w14:textId="77777777" w:rsidR="00B06326" w:rsidRPr="009D05DE" w:rsidRDefault="00B06326" w:rsidP="007D547A">
            <w:pPr>
              <w:pStyle w:val="ListParagraph"/>
              <w:numPr>
                <w:ilvl w:val="1"/>
                <w:numId w:val="45"/>
              </w:numPr>
              <w:spacing w:before="0" w:after="0"/>
              <w:rPr>
                <w:rFonts w:ascii="Aptos Display" w:hAnsi="Aptos Display"/>
              </w:rPr>
            </w:pPr>
            <w:r w:rsidRPr="009D05DE">
              <w:rPr>
                <w:rFonts w:ascii="Aptos Display" w:hAnsi="Aptos Display"/>
                <w:b w:val="0"/>
                <w:bCs w:val="0"/>
              </w:rPr>
              <w:t xml:space="preserve">character </w:t>
            </w:r>
          </w:p>
          <w:p w14:paraId="6C1DE1DE" w14:textId="77777777" w:rsidR="00B06326" w:rsidRPr="009D05DE" w:rsidRDefault="00B06326" w:rsidP="007D547A">
            <w:pPr>
              <w:pStyle w:val="ListParagraph"/>
              <w:numPr>
                <w:ilvl w:val="1"/>
                <w:numId w:val="45"/>
              </w:numPr>
              <w:spacing w:before="0" w:after="0"/>
              <w:rPr>
                <w:rFonts w:ascii="Aptos Display" w:hAnsi="Aptos Display"/>
              </w:rPr>
            </w:pPr>
            <w:r w:rsidRPr="009D05DE">
              <w:rPr>
                <w:rFonts w:ascii="Aptos Display" w:hAnsi="Aptos Display"/>
                <w:b w:val="0"/>
                <w:bCs w:val="0"/>
              </w:rPr>
              <w:t xml:space="preserve">compliance with relevant laws including taxation, superannuation, occupational health and safety, workplace and migration laws </w:t>
            </w:r>
          </w:p>
          <w:p w14:paraId="516F0167" w14:textId="77777777" w:rsidR="00B06326" w:rsidRPr="009D05DE" w:rsidRDefault="00B06326" w:rsidP="007D547A">
            <w:pPr>
              <w:pStyle w:val="ListParagraph"/>
              <w:numPr>
                <w:ilvl w:val="1"/>
                <w:numId w:val="45"/>
              </w:numPr>
              <w:spacing w:before="0" w:after="0"/>
              <w:rPr>
                <w:rFonts w:ascii="Aptos Display" w:hAnsi="Aptos Display"/>
              </w:rPr>
            </w:pPr>
            <w:r w:rsidRPr="009D05DE">
              <w:rPr>
                <w:rFonts w:ascii="Aptos Display" w:hAnsi="Aptos Display"/>
                <w:b w:val="0"/>
                <w:bCs w:val="0"/>
              </w:rPr>
              <w:t>licence suspensions and cancellations</w:t>
            </w:r>
          </w:p>
          <w:p w14:paraId="2A959AB8" w14:textId="77777777" w:rsidR="00B06326" w:rsidRPr="009D05DE" w:rsidRDefault="00B06326" w:rsidP="007D547A">
            <w:pPr>
              <w:pStyle w:val="ListParagraph"/>
              <w:numPr>
                <w:ilvl w:val="1"/>
                <w:numId w:val="45"/>
              </w:numPr>
              <w:spacing w:before="0" w:after="0"/>
              <w:rPr>
                <w:rFonts w:ascii="Aptos Display" w:hAnsi="Aptos Display"/>
              </w:rPr>
            </w:pPr>
            <w:r w:rsidRPr="009D05DE">
              <w:rPr>
                <w:rFonts w:ascii="Aptos Display" w:hAnsi="Aptos Display"/>
                <w:b w:val="0"/>
                <w:bCs w:val="0"/>
              </w:rPr>
              <w:t>previous convictions</w:t>
            </w:r>
          </w:p>
          <w:p w14:paraId="485D5790" w14:textId="77777777" w:rsidR="00B06326" w:rsidRPr="009D05DE" w:rsidRDefault="00B06326" w:rsidP="007D547A">
            <w:pPr>
              <w:pStyle w:val="ListParagraph"/>
              <w:numPr>
                <w:ilvl w:val="1"/>
                <w:numId w:val="45"/>
              </w:numPr>
              <w:spacing w:before="0" w:after="0"/>
              <w:rPr>
                <w:rFonts w:ascii="Aptos Display" w:hAnsi="Aptos Display"/>
              </w:rPr>
            </w:pPr>
            <w:r w:rsidRPr="009D05DE">
              <w:rPr>
                <w:rFonts w:ascii="Aptos Display" w:hAnsi="Aptos Display"/>
                <w:b w:val="0"/>
                <w:bCs w:val="0"/>
              </w:rPr>
              <w:t>insolvency</w:t>
            </w:r>
          </w:p>
          <w:p w14:paraId="3FF51D88" w14:textId="77777777" w:rsidR="00B06326" w:rsidRPr="009D05DE" w:rsidRDefault="00B06326" w:rsidP="007D547A">
            <w:pPr>
              <w:pStyle w:val="ListParagraph"/>
              <w:numPr>
                <w:ilvl w:val="1"/>
                <w:numId w:val="45"/>
              </w:numPr>
              <w:spacing w:before="0" w:after="0"/>
              <w:rPr>
                <w:rFonts w:ascii="Aptos Display" w:hAnsi="Aptos Display"/>
              </w:rPr>
            </w:pPr>
            <w:r w:rsidRPr="009D05DE">
              <w:rPr>
                <w:rFonts w:ascii="Aptos Display" w:hAnsi="Aptos Display"/>
                <w:b w:val="0"/>
                <w:bCs w:val="0"/>
              </w:rPr>
              <w:t>if the person is under the control of, or substantially influenced by, another person whom the regulator considers is not a fit and proper person to provide labour hire services</w:t>
            </w:r>
          </w:p>
          <w:p w14:paraId="397ACBAA" w14:textId="77777777" w:rsidR="00B06326" w:rsidRPr="009D05DE" w:rsidRDefault="00B06326" w:rsidP="007D547A">
            <w:pPr>
              <w:pStyle w:val="ListParagraph"/>
              <w:numPr>
                <w:ilvl w:val="1"/>
                <w:numId w:val="45"/>
              </w:numPr>
              <w:spacing w:before="0" w:after="0"/>
              <w:rPr>
                <w:rFonts w:ascii="Aptos Display" w:hAnsi="Aptos Display"/>
              </w:rPr>
            </w:pPr>
            <w:r w:rsidRPr="009D05DE">
              <w:rPr>
                <w:rFonts w:ascii="Aptos Display" w:hAnsi="Aptos Display"/>
                <w:b w:val="0"/>
                <w:bCs w:val="0"/>
              </w:rPr>
              <w:t>whether the person is a member of an organisation prescribed to be an organisation involved in serious criminal activity, and</w:t>
            </w:r>
          </w:p>
          <w:p w14:paraId="36E409C2" w14:textId="77777777" w:rsidR="00B06326" w:rsidRPr="009D05DE" w:rsidRDefault="00B06326" w:rsidP="007D547A">
            <w:pPr>
              <w:pStyle w:val="ListParagraph"/>
              <w:numPr>
                <w:ilvl w:val="1"/>
                <w:numId w:val="45"/>
              </w:numPr>
              <w:spacing w:before="0" w:after="0"/>
              <w:rPr>
                <w:rFonts w:ascii="Aptos Display" w:hAnsi="Aptos Display"/>
              </w:rPr>
            </w:pPr>
            <w:r w:rsidRPr="009D05DE">
              <w:rPr>
                <w:rFonts w:ascii="Aptos Display" w:hAnsi="Aptos Display"/>
                <w:b w:val="0"/>
                <w:bCs w:val="0"/>
              </w:rPr>
              <w:t>any other matter the regulator considers relevant.</w:t>
            </w:r>
            <w:r w:rsidRPr="009D05DE">
              <w:rPr>
                <w:rFonts w:ascii="Aptos Display" w:hAnsi="Aptos Display"/>
              </w:rPr>
              <w:t xml:space="preserve"> </w:t>
            </w:r>
          </w:p>
          <w:p w14:paraId="65571883"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Capacity to impose other conditions on or after grant of licence.</w:t>
            </w:r>
          </w:p>
          <w:p w14:paraId="59544CE7"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Capacity to suspend or cancel a licence.</w:t>
            </w:r>
          </w:p>
          <w:p w14:paraId="121728AA"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 xml:space="preserve">Requirement to renew/update licence within a specified period. </w:t>
            </w:r>
          </w:p>
          <w:p w14:paraId="1D7FC712"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Online searchable public register of licence holders.</w:t>
            </w:r>
          </w:p>
          <w:p w14:paraId="4A04B1B0" w14:textId="77777777" w:rsidR="00B06326" w:rsidRPr="009D05DE" w:rsidRDefault="00B06326" w:rsidP="007D547A">
            <w:pPr>
              <w:pStyle w:val="ListParagraph"/>
              <w:numPr>
                <w:ilvl w:val="1"/>
                <w:numId w:val="45"/>
              </w:numPr>
              <w:spacing w:before="0" w:after="0"/>
              <w:rPr>
                <w:rFonts w:ascii="Aptos Display" w:hAnsi="Aptos Display"/>
              </w:rPr>
            </w:pPr>
            <w:r w:rsidRPr="009D05DE">
              <w:rPr>
                <w:rFonts w:ascii="Aptos Display" w:hAnsi="Aptos Display"/>
                <w:b w:val="0"/>
                <w:bCs w:val="0"/>
              </w:rPr>
              <w:t xml:space="preserve">This should be updated regularly and include information on licence applications, licence holders, suspensions, cancellations, and conditions placed on a licence holder.  </w:t>
            </w:r>
          </w:p>
          <w:p w14:paraId="312196F6" w14:textId="77777777" w:rsidR="00B06326" w:rsidRPr="009D05DE" w:rsidRDefault="00B06326" w:rsidP="007D547A">
            <w:pPr>
              <w:pStyle w:val="ListParagraph"/>
              <w:numPr>
                <w:ilvl w:val="0"/>
                <w:numId w:val="45"/>
              </w:numPr>
              <w:spacing w:before="0" w:after="0"/>
              <w:rPr>
                <w:rFonts w:ascii="Aptos Display" w:hAnsi="Aptos Display"/>
                <w:b w:val="0"/>
                <w:bCs w:val="0"/>
              </w:rPr>
            </w:pPr>
            <w:r w:rsidRPr="009D05DE">
              <w:rPr>
                <w:rFonts w:ascii="Aptos Display" w:hAnsi="Aptos Display"/>
                <w:b w:val="0"/>
                <w:bCs w:val="0"/>
              </w:rPr>
              <w:t>Where appropriate, relevant enforcement action taken in relation to a licence should also be published on a register or another location.</w:t>
            </w:r>
          </w:p>
          <w:p w14:paraId="70A93607"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Applicants and licence holders are subject to ongoing disclosure requirements regarding licence cancellations, suspensions and conditions imposed in other jurisdictions.</w:t>
            </w:r>
          </w:p>
          <w:p w14:paraId="268AA281"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 xml:space="preserve">Provision for review/appeals of decisions of a regulator to a nominated body in each jurisdiction. </w:t>
            </w:r>
          </w:p>
          <w:p w14:paraId="2F89015C" w14:textId="77777777" w:rsidR="00B06326" w:rsidRPr="009D05DE" w:rsidRDefault="00B06326" w:rsidP="007D547A">
            <w:pPr>
              <w:pStyle w:val="ListParagraph"/>
              <w:numPr>
                <w:ilvl w:val="0"/>
                <w:numId w:val="43"/>
              </w:numPr>
              <w:spacing w:before="0" w:after="120"/>
              <w:ind w:left="357" w:hanging="357"/>
              <w:contextualSpacing w:val="0"/>
              <w:rPr>
                <w:rFonts w:ascii="Aptos Display" w:hAnsi="Aptos Display"/>
              </w:rPr>
            </w:pPr>
            <w:r w:rsidRPr="009D05DE">
              <w:rPr>
                <w:rFonts w:ascii="Aptos Display" w:hAnsi="Aptos Display"/>
                <w:b w:val="0"/>
                <w:bCs w:val="0"/>
              </w:rPr>
              <w:t>Jurisdictions may consider decisions of other regulators in determining whether to grant, cancel or suspend a licence.</w:t>
            </w:r>
            <w:r w:rsidRPr="009D05DE">
              <w:rPr>
                <w:rFonts w:ascii="Aptos Display" w:hAnsi="Aptos Display"/>
              </w:rPr>
              <w:t xml:space="preserve"> </w:t>
            </w:r>
          </w:p>
        </w:tc>
      </w:tr>
      <w:tr w:rsidR="00B06326" w:rsidRPr="009D05DE" w14:paraId="4ADBB335" w14:textId="77777777" w:rsidTr="007D547A">
        <w:trPr>
          <w:trHeight w:val="4526"/>
        </w:trPr>
        <w:tc>
          <w:tcPr>
            <w:cnfStyle w:val="001000000000" w:firstRow="0" w:lastRow="0" w:firstColumn="1" w:lastColumn="0" w:oddVBand="0" w:evenVBand="0" w:oddHBand="0" w:evenHBand="0" w:firstRowFirstColumn="0" w:firstRowLastColumn="0" w:lastRowFirstColumn="0" w:lastRowLastColumn="0"/>
            <w:tcW w:w="9918" w:type="dxa"/>
            <w:shd w:val="clear" w:color="auto" w:fill="D2ECFF" w:themeFill="text1" w:themeFillTint="1A"/>
          </w:tcPr>
          <w:p w14:paraId="1F30BCEB" w14:textId="77777777" w:rsidR="00B06326" w:rsidRPr="009D05DE" w:rsidRDefault="00B06326" w:rsidP="007D547A">
            <w:pPr>
              <w:spacing w:before="60" w:after="120"/>
              <w:rPr>
                <w:rFonts w:ascii="Aptos Display" w:hAnsi="Aptos Display"/>
              </w:rPr>
            </w:pPr>
            <w:r w:rsidRPr="009D05DE">
              <w:rPr>
                <w:rFonts w:ascii="Aptos Display" w:hAnsi="Aptos Display"/>
              </w:rPr>
              <w:lastRenderedPageBreak/>
              <w:t>4. Compliance and enforcement</w:t>
            </w:r>
            <w:r w:rsidRPr="009D05DE">
              <w:rPr>
                <w:rFonts w:ascii="Aptos Display" w:hAnsi="Aptos Display"/>
              </w:rPr>
              <w:br/>
            </w:r>
            <w:r w:rsidRPr="009D05DE">
              <w:rPr>
                <w:rFonts w:ascii="Aptos Display" w:hAnsi="Aptos Display"/>
                <w:b w:val="0"/>
                <w:bCs w:val="0"/>
              </w:rPr>
              <w:t xml:space="preserve">Licensing laws should include a compliance and enforcement framework with a range of tools to support regulatory responses from education and outreach, through to investigations and enforcement action where needed. Where possible, jurisdictions should ensure that similar conduct attracts similar consequences, and that there is a proportionate response to the seriousness of each contravention. This will assist businesses with compliance – especially those operating across multiple jurisdictions – and regulators to apply labour hire licensing laws consistently and effectively. </w:t>
            </w:r>
          </w:p>
          <w:p w14:paraId="2BCC533F"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Prohibited conduct for providers of labour hire services and users/hosts, including:</w:t>
            </w:r>
          </w:p>
          <w:p w14:paraId="58A2637D" w14:textId="77777777" w:rsidR="00B06326" w:rsidRPr="009D05DE" w:rsidRDefault="00B06326" w:rsidP="007D547A">
            <w:pPr>
              <w:pStyle w:val="ListParagraph"/>
              <w:numPr>
                <w:ilvl w:val="1"/>
                <w:numId w:val="45"/>
              </w:numPr>
              <w:spacing w:before="0" w:after="0"/>
              <w:rPr>
                <w:rFonts w:ascii="Aptos Display" w:hAnsi="Aptos Display"/>
                <w:b w:val="0"/>
                <w:bCs w:val="0"/>
              </w:rPr>
            </w:pPr>
            <w:r w:rsidRPr="009D05DE">
              <w:rPr>
                <w:rFonts w:ascii="Aptos Display" w:hAnsi="Aptos Display"/>
                <w:b w:val="0"/>
                <w:bCs w:val="0"/>
              </w:rPr>
              <w:t xml:space="preserve">providing/advertising labour hire services without a licence </w:t>
            </w:r>
          </w:p>
          <w:p w14:paraId="68CF96D0" w14:textId="77777777" w:rsidR="00B06326" w:rsidRPr="009D05DE" w:rsidRDefault="00B06326" w:rsidP="007D547A">
            <w:pPr>
              <w:pStyle w:val="ListParagraph"/>
              <w:numPr>
                <w:ilvl w:val="1"/>
                <w:numId w:val="45"/>
              </w:numPr>
              <w:spacing w:before="0" w:after="0"/>
              <w:rPr>
                <w:rFonts w:ascii="Aptos Display" w:hAnsi="Aptos Display"/>
                <w:b w:val="0"/>
                <w:bCs w:val="0"/>
              </w:rPr>
            </w:pPr>
            <w:r w:rsidRPr="009D05DE">
              <w:rPr>
                <w:rFonts w:ascii="Aptos Display" w:hAnsi="Aptos Display"/>
                <w:b w:val="0"/>
                <w:bCs w:val="0"/>
              </w:rPr>
              <w:t>entering arrangements with unlicensed providers</w:t>
            </w:r>
          </w:p>
          <w:p w14:paraId="7ED992AF" w14:textId="77777777" w:rsidR="00B06326" w:rsidRPr="009D05DE" w:rsidRDefault="00B06326" w:rsidP="007D547A">
            <w:pPr>
              <w:pStyle w:val="ListParagraph"/>
              <w:numPr>
                <w:ilvl w:val="1"/>
                <w:numId w:val="45"/>
              </w:numPr>
              <w:spacing w:before="0" w:after="0"/>
              <w:rPr>
                <w:rFonts w:ascii="Aptos Display" w:hAnsi="Aptos Display"/>
                <w:b w:val="0"/>
                <w:bCs w:val="0"/>
              </w:rPr>
            </w:pPr>
            <w:proofErr w:type="gramStart"/>
            <w:r w:rsidRPr="009D05DE">
              <w:rPr>
                <w:rFonts w:ascii="Aptos Display" w:hAnsi="Aptos Display"/>
                <w:b w:val="0"/>
                <w:bCs w:val="0"/>
              </w:rPr>
              <w:t>entering into</w:t>
            </w:r>
            <w:proofErr w:type="gramEnd"/>
            <w:r w:rsidRPr="009D05DE">
              <w:rPr>
                <w:rFonts w:ascii="Aptos Display" w:hAnsi="Aptos Display"/>
                <w:b w:val="0"/>
                <w:bCs w:val="0"/>
              </w:rPr>
              <w:t>, and/or failing to report, avoidance arrangements</w:t>
            </w:r>
          </w:p>
          <w:p w14:paraId="7BDD3DB4" w14:textId="77777777" w:rsidR="00B06326" w:rsidRPr="009D05DE" w:rsidRDefault="00B06326" w:rsidP="007D547A">
            <w:pPr>
              <w:pStyle w:val="ListParagraph"/>
              <w:numPr>
                <w:ilvl w:val="1"/>
                <w:numId w:val="45"/>
              </w:numPr>
              <w:spacing w:before="0" w:after="0"/>
              <w:rPr>
                <w:rFonts w:ascii="Aptos Display" w:hAnsi="Aptos Display"/>
                <w:b w:val="0"/>
                <w:bCs w:val="0"/>
              </w:rPr>
            </w:pPr>
            <w:r w:rsidRPr="009D05DE">
              <w:rPr>
                <w:rFonts w:ascii="Aptos Display" w:hAnsi="Aptos Display"/>
                <w:b w:val="0"/>
                <w:bCs w:val="0"/>
              </w:rPr>
              <w:t>failure to comply with a licence condition</w:t>
            </w:r>
          </w:p>
          <w:p w14:paraId="71952596" w14:textId="77777777" w:rsidR="00B06326" w:rsidRPr="009D05DE" w:rsidRDefault="00B06326" w:rsidP="007D547A">
            <w:pPr>
              <w:pStyle w:val="ListParagraph"/>
              <w:numPr>
                <w:ilvl w:val="1"/>
                <w:numId w:val="45"/>
              </w:numPr>
              <w:spacing w:before="0" w:after="0"/>
              <w:rPr>
                <w:rFonts w:ascii="Aptos Display" w:hAnsi="Aptos Display"/>
                <w:b w:val="0"/>
                <w:bCs w:val="0"/>
              </w:rPr>
            </w:pPr>
            <w:r w:rsidRPr="009D05DE">
              <w:rPr>
                <w:rFonts w:ascii="Aptos Display" w:hAnsi="Aptos Display"/>
                <w:b w:val="0"/>
                <w:bCs w:val="0"/>
              </w:rPr>
              <w:t>failure to ensure reasonable availability of nominated officer</w:t>
            </w:r>
          </w:p>
          <w:p w14:paraId="01CFEDCC" w14:textId="77777777" w:rsidR="00B06326" w:rsidRPr="009D05DE" w:rsidRDefault="00B06326" w:rsidP="007D547A">
            <w:pPr>
              <w:pStyle w:val="ListParagraph"/>
              <w:numPr>
                <w:ilvl w:val="1"/>
                <w:numId w:val="45"/>
              </w:numPr>
              <w:spacing w:before="0" w:after="0"/>
              <w:rPr>
                <w:rFonts w:ascii="Aptos Display" w:hAnsi="Aptos Display"/>
                <w:b w:val="0"/>
                <w:bCs w:val="0"/>
              </w:rPr>
            </w:pPr>
            <w:r w:rsidRPr="009D05DE">
              <w:rPr>
                <w:rFonts w:ascii="Aptos Display" w:hAnsi="Aptos Display"/>
                <w:b w:val="0"/>
                <w:bCs w:val="0"/>
              </w:rPr>
              <w:t>selling, transferring, lending, or hiring out a licence</w:t>
            </w:r>
          </w:p>
          <w:p w14:paraId="20E259CB" w14:textId="77777777" w:rsidR="00B06326" w:rsidRPr="009D05DE" w:rsidRDefault="00B06326" w:rsidP="007D547A">
            <w:pPr>
              <w:pStyle w:val="ListParagraph"/>
              <w:numPr>
                <w:ilvl w:val="1"/>
                <w:numId w:val="45"/>
              </w:numPr>
              <w:spacing w:before="0" w:after="0"/>
              <w:rPr>
                <w:rFonts w:ascii="Aptos Display" w:hAnsi="Aptos Display"/>
                <w:b w:val="0"/>
                <w:bCs w:val="0"/>
              </w:rPr>
            </w:pPr>
            <w:r w:rsidRPr="009D05DE">
              <w:rPr>
                <w:rFonts w:ascii="Aptos Display" w:hAnsi="Aptos Display"/>
                <w:b w:val="0"/>
                <w:bCs w:val="0"/>
              </w:rPr>
              <w:t>failure to comply with record keeping and reporting obligations</w:t>
            </w:r>
          </w:p>
          <w:p w14:paraId="269B7A72" w14:textId="77777777" w:rsidR="00B06326" w:rsidRPr="009D05DE" w:rsidRDefault="00B06326" w:rsidP="007D547A">
            <w:pPr>
              <w:pStyle w:val="ListParagraph"/>
              <w:numPr>
                <w:ilvl w:val="1"/>
                <w:numId w:val="45"/>
              </w:numPr>
              <w:spacing w:before="0" w:after="0"/>
              <w:rPr>
                <w:rFonts w:ascii="Aptos Display" w:hAnsi="Aptos Display"/>
                <w:b w:val="0"/>
                <w:bCs w:val="0"/>
              </w:rPr>
            </w:pPr>
            <w:r w:rsidRPr="009D05DE">
              <w:rPr>
                <w:rFonts w:ascii="Aptos Display" w:hAnsi="Aptos Display"/>
                <w:b w:val="0"/>
                <w:bCs w:val="0"/>
              </w:rPr>
              <w:t>providing false or misleading information or documents, and</w:t>
            </w:r>
          </w:p>
          <w:p w14:paraId="35B52CA6" w14:textId="77777777" w:rsidR="00B06326" w:rsidRPr="009D05DE" w:rsidRDefault="00B06326" w:rsidP="007D547A">
            <w:pPr>
              <w:pStyle w:val="ListParagraph"/>
              <w:numPr>
                <w:ilvl w:val="1"/>
                <w:numId w:val="45"/>
              </w:numPr>
              <w:spacing w:before="0" w:after="0"/>
              <w:ind w:left="782" w:hanging="357"/>
              <w:contextualSpacing w:val="0"/>
              <w:rPr>
                <w:rFonts w:ascii="Aptos Display" w:hAnsi="Aptos Display"/>
              </w:rPr>
            </w:pPr>
            <w:r w:rsidRPr="009D05DE">
              <w:rPr>
                <w:rFonts w:ascii="Aptos Display" w:hAnsi="Aptos Display"/>
                <w:b w:val="0"/>
                <w:bCs w:val="0"/>
              </w:rPr>
              <w:t>contraventions against authorised officers/inspectors.</w:t>
            </w:r>
          </w:p>
          <w:p w14:paraId="027EAFDB"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Accessorial liability for persons or companies involved in contraventions.</w:t>
            </w:r>
          </w:p>
          <w:p w14:paraId="512D05FA"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 xml:space="preserve">Sanctions to include options for civil and/or criminal penalties, with strict liability. </w:t>
            </w:r>
          </w:p>
          <w:p w14:paraId="474B221C" w14:textId="77777777" w:rsidR="00B06326" w:rsidRPr="009D05DE" w:rsidRDefault="00B06326" w:rsidP="007D547A">
            <w:pPr>
              <w:pStyle w:val="ListParagraph"/>
              <w:numPr>
                <w:ilvl w:val="0"/>
                <w:numId w:val="45"/>
              </w:numPr>
              <w:spacing w:before="0" w:after="0"/>
              <w:rPr>
                <w:rFonts w:ascii="Aptos Display" w:hAnsi="Aptos Display"/>
              </w:rPr>
            </w:pPr>
            <w:r w:rsidRPr="009D05DE">
              <w:rPr>
                <w:rFonts w:ascii="Aptos Display" w:hAnsi="Aptos Display"/>
                <w:b w:val="0"/>
                <w:bCs w:val="0"/>
              </w:rPr>
              <w:t xml:space="preserve">Fines (expiation fees) as alternative to prosecution for minor reporting and payment contraventions. </w:t>
            </w:r>
          </w:p>
          <w:p w14:paraId="2868784C" w14:textId="77777777" w:rsidR="00B06326" w:rsidRPr="009D05DE" w:rsidRDefault="00B06326" w:rsidP="007D547A">
            <w:pPr>
              <w:pStyle w:val="ListParagraph"/>
              <w:numPr>
                <w:ilvl w:val="0"/>
                <w:numId w:val="45"/>
              </w:numPr>
              <w:spacing w:before="0" w:after="120"/>
              <w:ind w:left="357" w:hanging="357"/>
              <w:contextualSpacing w:val="0"/>
              <w:rPr>
                <w:rFonts w:ascii="Aptos Display" w:hAnsi="Aptos Display"/>
              </w:rPr>
            </w:pPr>
            <w:r w:rsidRPr="009D05DE">
              <w:rPr>
                <w:rFonts w:ascii="Aptos Display" w:hAnsi="Aptos Display"/>
                <w:b w:val="0"/>
                <w:bCs w:val="0"/>
              </w:rPr>
              <w:t>Proceedings to be brought to a nominated body in each jurisdiction, with associated procedures.</w:t>
            </w:r>
          </w:p>
        </w:tc>
      </w:tr>
      <w:tr w:rsidR="00B06326" w:rsidRPr="009D05DE" w14:paraId="697209A1" w14:textId="77777777" w:rsidTr="007D54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shd w:val="clear" w:color="auto" w:fill="auto"/>
          </w:tcPr>
          <w:p w14:paraId="6976C98D" w14:textId="77777777" w:rsidR="00B06326" w:rsidRPr="009D05DE" w:rsidRDefault="00B06326" w:rsidP="007D547A">
            <w:pPr>
              <w:spacing w:before="60" w:after="120"/>
              <w:rPr>
                <w:rFonts w:ascii="Aptos Display" w:hAnsi="Aptos Display"/>
              </w:rPr>
            </w:pPr>
            <w:r w:rsidRPr="009D05DE">
              <w:rPr>
                <w:rFonts w:ascii="Aptos Display" w:hAnsi="Aptos Display"/>
              </w:rPr>
              <w:t>5. Regulator</w:t>
            </w:r>
            <w:r w:rsidRPr="009D05DE">
              <w:rPr>
                <w:rFonts w:ascii="Aptos Display" w:hAnsi="Aptos Display"/>
              </w:rPr>
              <w:br/>
            </w:r>
            <w:r w:rsidRPr="009D05DE">
              <w:rPr>
                <w:rFonts w:ascii="Aptos Display" w:hAnsi="Aptos Display"/>
                <w:b w:val="0"/>
                <w:bCs w:val="0"/>
              </w:rPr>
              <w:t xml:space="preserve">The model law principles recognise that each jurisdiction will need to ensure their regulatory body is given appropriate and proportionate powers to undertake its functions and adopt a risk-based and intelligence-led approach to compliance, including in relation to information gathering and sharing, and the ability to develop education materials and codes of practice. The principles are designed with the expectation that the relevant regulators will take a risk-based, intelligence-led approach to monitoring, education and outreach, investigation, compliance and enforcement activities, reflecting existing schemes and best practice regulation. </w:t>
            </w:r>
          </w:p>
          <w:p w14:paraId="0D1F0323" w14:textId="77777777" w:rsidR="00B06326" w:rsidRPr="009D05DE" w:rsidRDefault="00B06326" w:rsidP="007D547A">
            <w:pPr>
              <w:pStyle w:val="ListParagraph"/>
              <w:numPr>
                <w:ilvl w:val="0"/>
                <w:numId w:val="46"/>
              </w:numPr>
              <w:spacing w:before="0" w:after="0"/>
              <w:rPr>
                <w:rFonts w:ascii="Aptos Display" w:hAnsi="Aptos Display"/>
              </w:rPr>
            </w:pPr>
            <w:r w:rsidRPr="009D05DE">
              <w:rPr>
                <w:rFonts w:ascii="Aptos Display" w:hAnsi="Aptos Display"/>
                <w:b w:val="0"/>
                <w:bCs w:val="0"/>
              </w:rPr>
              <w:t>Regulatory bodies given powers to perform their functions:</w:t>
            </w:r>
          </w:p>
          <w:p w14:paraId="79C8122E" w14:textId="77777777" w:rsidR="00B06326" w:rsidRPr="009D05DE" w:rsidRDefault="00B06326" w:rsidP="007D547A">
            <w:pPr>
              <w:pStyle w:val="ListParagraph"/>
              <w:numPr>
                <w:ilvl w:val="1"/>
                <w:numId w:val="46"/>
              </w:numPr>
              <w:spacing w:before="0" w:after="0"/>
              <w:rPr>
                <w:rFonts w:ascii="Aptos Display" w:hAnsi="Aptos Display"/>
              </w:rPr>
            </w:pPr>
            <w:r w:rsidRPr="009D05DE">
              <w:rPr>
                <w:rFonts w:ascii="Aptos Display" w:hAnsi="Aptos Display"/>
                <w:b w:val="0"/>
                <w:bCs w:val="0"/>
              </w:rPr>
              <w:t>broad information gathering powers</w:t>
            </w:r>
          </w:p>
          <w:p w14:paraId="0B6E5EF5" w14:textId="77777777" w:rsidR="00B06326" w:rsidRPr="009D05DE" w:rsidRDefault="00B06326" w:rsidP="007D547A">
            <w:pPr>
              <w:pStyle w:val="ListParagraph"/>
              <w:numPr>
                <w:ilvl w:val="1"/>
                <w:numId w:val="46"/>
              </w:numPr>
              <w:spacing w:before="0" w:after="0"/>
              <w:rPr>
                <w:rFonts w:ascii="Aptos Display" w:hAnsi="Aptos Display"/>
              </w:rPr>
            </w:pPr>
            <w:r w:rsidRPr="009D05DE">
              <w:rPr>
                <w:rFonts w:ascii="Aptos Display" w:hAnsi="Aptos Display"/>
                <w:b w:val="0"/>
                <w:bCs w:val="0"/>
              </w:rPr>
              <w:t>capacity to issue guidelines and develop voluntary codes of practice, and</w:t>
            </w:r>
          </w:p>
          <w:p w14:paraId="243D9461" w14:textId="77777777" w:rsidR="00B06326" w:rsidRPr="009D05DE" w:rsidRDefault="00B06326" w:rsidP="007D547A">
            <w:pPr>
              <w:pStyle w:val="ListParagraph"/>
              <w:numPr>
                <w:ilvl w:val="1"/>
                <w:numId w:val="45"/>
              </w:numPr>
              <w:spacing w:before="0" w:after="120"/>
              <w:ind w:left="782" w:hanging="357"/>
              <w:contextualSpacing w:val="0"/>
              <w:rPr>
                <w:rFonts w:ascii="Aptos Display" w:hAnsi="Aptos Display"/>
              </w:rPr>
            </w:pPr>
            <w:r w:rsidRPr="009D05DE">
              <w:rPr>
                <w:rFonts w:ascii="Aptos Display" w:hAnsi="Aptos Display"/>
                <w:b w:val="0"/>
                <w:bCs w:val="0"/>
              </w:rPr>
              <w:t>appropriate information sharing arrangements with other regulators and jurisdictions.</w:t>
            </w:r>
          </w:p>
        </w:tc>
      </w:tr>
      <w:tr w:rsidR="00B06326" w:rsidRPr="009D05DE" w14:paraId="02421C80" w14:textId="77777777" w:rsidTr="007D547A">
        <w:trPr>
          <w:trHeight w:val="845"/>
        </w:trPr>
        <w:tc>
          <w:tcPr>
            <w:cnfStyle w:val="001000000000" w:firstRow="0" w:lastRow="0" w:firstColumn="1" w:lastColumn="0" w:oddVBand="0" w:evenVBand="0" w:oddHBand="0" w:evenHBand="0" w:firstRowFirstColumn="0" w:firstRowLastColumn="0" w:lastRowFirstColumn="0" w:lastRowLastColumn="0"/>
            <w:tcW w:w="9918" w:type="dxa"/>
            <w:shd w:val="clear" w:color="auto" w:fill="D2ECFF" w:themeFill="text1" w:themeFillTint="1A"/>
          </w:tcPr>
          <w:p w14:paraId="56E84EC3" w14:textId="77777777" w:rsidR="00B06326" w:rsidRPr="009D05DE" w:rsidRDefault="00B06326" w:rsidP="007D547A">
            <w:pPr>
              <w:spacing w:before="60" w:after="120"/>
              <w:rPr>
                <w:rFonts w:ascii="Aptos Display" w:hAnsi="Aptos Display"/>
              </w:rPr>
            </w:pPr>
            <w:r w:rsidRPr="009D05DE">
              <w:rPr>
                <w:rFonts w:ascii="Aptos Display" w:hAnsi="Aptos Display"/>
              </w:rPr>
              <w:t xml:space="preserve">6. Information sharing arrangements </w:t>
            </w:r>
            <w:r w:rsidRPr="009D05DE">
              <w:rPr>
                <w:rFonts w:ascii="Aptos Display" w:hAnsi="Aptos Display"/>
              </w:rPr>
              <w:br/>
            </w:r>
            <w:r w:rsidRPr="009D05DE">
              <w:rPr>
                <w:rFonts w:ascii="Aptos Display" w:hAnsi="Aptos Display"/>
                <w:b w:val="0"/>
                <w:bCs w:val="0"/>
              </w:rPr>
              <w:t>The following information sharing principles are designed to create a more consistent, collaborative approach to labour hire regulation across Australia, noting providers, users/hosts and workers may operate or work across multiple jurisdictions. The information sharing principles are complemented by the principles above.</w:t>
            </w:r>
            <w:r w:rsidRPr="009D05DE">
              <w:rPr>
                <w:rFonts w:ascii="Aptos Display" w:hAnsi="Aptos Display"/>
              </w:rPr>
              <w:t xml:space="preserve"> </w:t>
            </w:r>
          </w:p>
          <w:p w14:paraId="2922708C" w14:textId="77777777" w:rsidR="00B06326" w:rsidRPr="009D05DE" w:rsidRDefault="00B06326" w:rsidP="007D547A">
            <w:pPr>
              <w:pStyle w:val="ListParagraph"/>
              <w:numPr>
                <w:ilvl w:val="0"/>
                <w:numId w:val="45"/>
              </w:numPr>
              <w:spacing w:before="0" w:after="0"/>
              <w:rPr>
                <w:rFonts w:ascii="Aptos Display" w:hAnsi="Aptos Display"/>
                <w:b w:val="0"/>
                <w:bCs w:val="0"/>
              </w:rPr>
            </w:pPr>
            <w:r w:rsidRPr="009D05DE">
              <w:rPr>
                <w:rFonts w:ascii="Aptos Display" w:hAnsi="Aptos Display"/>
                <w:b w:val="0"/>
                <w:bCs w:val="0"/>
              </w:rPr>
              <w:t xml:space="preserve">Relevant legislation enables the disclosure of relevant information between labour hire regulators, government agencies and other enforcement bodies. </w:t>
            </w:r>
          </w:p>
          <w:p w14:paraId="29447F4E" w14:textId="77777777" w:rsidR="00B06326" w:rsidRPr="009D05DE" w:rsidRDefault="00B06326" w:rsidP="007D547A">
            <w:pPr>
              <w:pStyle w:val="ListParagraph"/>
              <w:numPr>
                <w:ilvl w:val="0"/>
                <w:numId w:val="45"/>
              </w:numPr>
              <w:spacing w:before="0" w:after="0"/>
              <w:rPr>
                <w:rFonts w:ascii="Aptos Display" w:hAnsi="Aptos Display"/>
                <w:b w:val="0"/>
                <w:bCs w:val="0"/>
              </w:rPr>
            </w:pPr>
            <w:r w:rsidRPr="009D05DE">
              <w:rPr>
                <w:rFonts w:ascii="Aptos Display" w:hAnsi="Aptos Display"/>
                <w:b w:val="0"/>
                <w:bCs w:val="0"/>
              </w:rPr>
              <w:t xml:space="preserve">Regulators </w:t>
            </w:r>
            <w:proofErr w:type="gramStart"/>
            <w:r w:rsidRPr="009D05DE">
              <w:rPr>
                <w:rFonts w:ascii="Aptos Display" w:hAnsi="Aptos Display"/>
                <w:b w:val="0"/>
                <w:bCs w:val="0"/>
              </w:rPr>
              <w:t>are able to</w:t>
            </w:r>
            <w:proofErr w:type="gramEnd"/>
            <w:r w:rsidRPr="009D05DE">
              <w:rPr>
                <w:rFonts w:ascii="Aptos Display" w:hAnsi="Aptos Display"/>
                <w:b w:val="0"/>
                <w:bCs w:val="0"/>
              </w:rPr>
              <w:t xml:space="preserve"> notify other labour hire regulators in a timely manner of any enforcement or compliance action, including cancellation, suspension or conditions, taken in relation to a labour hire provider’s licence, including through public registers.</w:t>
            </w:r>
          </w:p>
          <w:p w14:paraId="43D4A203" w14:textId="77777777" w:rsidR="00B06326" w:rsidRPr="009D05DE" w:rsidRDefault="00B06326" w:rsidP="007D547A">
            <w:pPr>
              <w:pStyle w:val="ListParagraph"/>
              <w:numPr>
                <w:ilvl w:val="0"/>
                <w:numId w:val="45"/>
              </w:numPr>
              <w:spacing w:before="0" w:after="0"/>
              <w:rPr>
                <w:rFonts w:ascii="Aptos Display" w:hAnsi="Aptos Display"/>
                <w:b w:val="0"/>
                <w:bCs w:val="0"/>
              </w:rPr>
            </w:pPr>
            <w:r w:rsidRPr="009D05DE">
              <w:rPr>
                <w:rFonts w:ascii="Aptos Display" w:hAnsi="Aptos Display"/>
                <w:b w:val="0"/>
                <w:bCs w:val="0"/>
              </w:rPr>
              <w:t>Regulators will consider additional mechanisms to increase inter-jurisdictional cooperation and information sharing on labour hire issues, in addition to existing operational relationships. This could include establishing a community of practice of labour hire regulators to report on emerging issues and share operational information, and/or additional memoranda of understanding between regulators.</w:t>
            </w:r>
          </w:p>
          <w:p w14:paraId="4F581C4A" w14:textId="77777777" w:rsidR="00B06326" w:rsidRPr="009D05DE" w:rsidRDefault="00B06326" w:rsidP="007D547A">
            <w:pPr>
              <w:pStyle w:val="ListParagraph"/>
              <w:numPr>
                <w:ilvl w:val="0"/>
                <w:numId w:val="45"/>
              </w:numPr>
              <w:spacing w:before="0" w:after="120"/>
              <w:ind w:left="357" w:hanging="357"/>
              <w:contextualSpacing w:val="0"/>
              <w:rPr>
                <w:rFonts w:ascii="Aptos Display" w:hAnsi="Aptos Display"/>
                <w:b w:val="0"/>
                <w:bCs w:val="0"/>
              </w:rPr>
            </w:pPr>
            <w:r w:rsidRPr="009D05DE">
              <w:rPr>
                <w:rFonts w:ascii="Aptos Display" w:hAnsi="Aptos Display"/>
                <w:b w:val="0"/>
                <w:bCs w:val="0"/>
              </w:rPr>
              <w:t xml:space="preserve">The Australian Taxation Office’s </w:t>
            </w:r>
            <w:hyperlink r:id="rId12" w:history="1">
              <w:r w:rsidRPr="009D05DE">
                <w:rPr>
                  <w:rStyle w:val="Hyperlink"/>
                  <w:rFonts w:ascii="Aptos Display" w:hAnsi="Aptos Display"/>
                  <w:b w:val="0"/>
                  <w:bCs w:val="0"/>
                </w:rPr>
                <w:t>Phoenix Taskforce</w:t>
              </w:r>
            </w:hyperlink>
            <w:r w:rsidRPr="009D05DE">
              <w:rPr>
                <w:rFonts w:ascii="Aptos Display" w:hAnsi="Aptos Display"/>
                <w:b w:val="0"/>
                <w:bCs w:val="0"/>
              </w:rPr>
              <w:t>, which brings federal, state and territory agencies together to combat illegal phoenix activity, is one avenue through which jurisdictions currently share information.</w:t>
            </w:r>
          </w:p>
        </w:tc>
      </w:tr>
    </w:tbl>
    <w:p w14:paraId="1E524BD4" w14:textId="743FB31E" w:rsidR="00BA7BBE" w:rsidRPr="00A9504D" w:rsidRDefault="00A901F1" w:rsidP="00B515B5">
      <w:pPr>
        <w:pStyle w:val="Heading2"/>
        <w:spacing w:before="320"/>
      </w:pPr>
      <w:bookmarkStart w:id="18" w:name="_Toc238551425"/>
      <w:r>
        <w:lastRenderedPageBreak/>
        <w:t>Endnotes</w:t>
      </w:r>
      <w:bookmarkEnd w:id="18"/>
    </w:p>
    <w:sectPr w:rsidR="00BA7BBE" w:rsidRPr="00A9504D" w:rsidSect="00A52B6E">
      <w:footerReference w:type="default" r:id="rId13"/>
      <w:footerReference w:type="first" r:id="rId14"/>
      <w:endnotePr>
        <w:numFmt w:val="decimal"/>
      </w:endnotePr>
      <w:pgSz w:w="11906" w:h="16838"/>
      <w:pgMar w:top="953" w:right="1315" w:bottom="1474" w:left="1315"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DD149" w14:textId="77777777" w:rsidR="00A16FC5" w:rsidRDefault="00A16FC5" w:rsidP="000A6228">
      <w:pPr>
        <w:spacing w:after="0" w:line="240" w:lineRule="auto"/>
      </w:pPr>
      <w:r>
        <w:separator/>
      </w:r>
    </w:p>
  </w:endnote>
  <w:endnote w:type="continuationSeparator" w:id="0">
    <w:p w14:paraId="07C4CF85" w14:textId="77777777" w:rsidR="00A16FC5" w:rsidRDefault="00A16FC5" w:rsidP="000A6228">
      <w:pPr>
        <w:spacing w:after="0" w:line="240" w:lineRule="auto"/>
      </w:pPr>
      <w:r>
        <w:continuationSeparator/>
      </w:r>
    </w:p>
  </w:endnote>
  <w:endnote w:id="1">
    <w:p w14:paraId="5B7196F6" w14:textId="77777777" w:rsidR="00E90FAC" w:rsidRDefault="00E90FAC" w:rsidP="00E90FAC">
      <w:pPr>
        <w:pStyle w:val="EndnoteText"/>
        <w:spacing w:after="120"/>
      </w:pPr>
      <w:r>
        <w:rPr>
          <w:rStyle w:val="EndnoteReference"/>
        </w:rPr>
        <w:endnoteRef/>
      </w:r>
      <w:r>
        <w:t xml:space="preserve"> </w:t>
      </w:r>
      <w:r w:rsidRPr="0061312E">
        <w:t>Australian Bureau of Statistics</w:t>
      </w:r>
      <w:r>
        <w:t xml:space="preserve"> (ABS)</w:t>
      </w:r>
      <w:r w:rsidRPr="0061312E">
        <w:t xml:space="preserve">, </w:t>
      </w:r>
      <w:r w:rsidRPr="007720D5">
        <w:rPr>
          <w:i/>
        </w:rPr>
        <w:t>Labour hire workers</w:t>
      </w:r>
      <w:r w:rsidRPr="0061312E">
        <w:t>, December 2025</w:t>
      </w:r>
      <w:r>
        <w:t>.</w:t>
      </w:r>
    </w:p>
  </w:endnote>
  <w:endnote w:id="2">
    <w:p w14:paraId="2FB9319C" w14:textId="77777777" w:rsidR="00E90FAC" w:rsidRPr="00930EF5" w:rsidRDefault="00E90FAC" w:rsidP="00E90FAC">
      <w:pPr>
        <w:pStyle w:val="EndnoteText"/>
        <w:spacing w:after="120"/>
      </w:pPr>
      <w:r w:rsidRPr="00930EF5">
        <w:rPr>
          <w:rStyle w:val="EndnoteReference"/>
        </w:rPr>
        <w:endnoteRef/>
      </w:r>
      <w:r>
        <w:t xml:space="preserve"> Scanlon Foundation Research Institute, </w:t>
      </w:r>
      <w:r w:rsidRPr="00027806">
        <w:rPr>
          <w:i/>
        </w:rPr>
        <w:t>Improving PALM: the Pacific Australia Labour Mobility scheme</w:t>
      </w:r>
      <w:r>
        <w:t>, February 2026;</w:t>
      </w:r>
      <w:r w:rsidRPr="00930EF5">
        <w:t xml:space="preserve"> </w:t>
      </w:r>
      <w:r>
        <w:t xml:space="preserve">Geoffrey Watson, </w:t>
      </w:r>
      <w:r w:rsidRPr="00E029B2">
        <w:rPr>
          <w:i/>
        </w:rPr>
        <w:t>Rotting From The Top: The CFMEU in Victoria During the Setka Era</w:t>
      </w:r>
      <w:r>
        <w:rPr>
          <w:i/>
          <w:iCs/>
        </w:rPr>
        <w:t>,</w:t>
      </w:r>
      <w:r w:rsidRPr="00930EF5">
        <w:t xml:space="preserve"> January</w:t>
      </w:r>
      <w:r>
        <w:t> </w:t>
      </w:r>
      <w:r w:rsidRPr="00930EF5">
        <w:t>2026; Fair Work Ombudsman</w:t>
      </w:r>
      <w:r>
        <w:t>,</w:t>
      </w:r>
      <w:r w:rsidRPr="00930EF5">
        <w:t xml:space="preserve"> </w:t>
      </w:r>
      <w:r w:rsidRPr="00E029B2">
        <w:rPr>
          <w:i/>
        </w:rPr>
        <w:t>Horticulture Compliance Report</w:t>
      </w:r>
      <w:r>
        <w:t>,</w:t>
      </w:r>
      <w:r w:rsidRPr="00930EF5">
        <w:t xml:space="preserve"> September 2025; </w:t>
      </w:r>
      <w:r>
        <w:t xml:space="preserve">RMIT Business and Human Rights Centre, </w:t>
      </w:r>
      <w:r w:rsidRPr="00E029B2">
        <w:rPr>
          <w:i/>
        </w:rPr>
        <w:t>Meat the Reality: Unpacking the exploitation of PALM Scheme workers in Australia’s meat industry</w:t>
      </w:r>
      <w:r>
        <w:t>,</w:t>
      </w:r>
      <w:r w:rsidRPr="005B2FA7">
        <w:t xml:space="preserve"> February 2025; </w:t>
      </w:r>
      <w:r>
        <w:t xml:space="preserve">The McKell Institute: </w:t>
      </w:r>
      <w:r w:rsidRPr="00E029B2">
        <w:rPr>
          <w:i/>
        </w:rPr>
        <w:t>Licensing Labour Hire</w:t>
      </w:r>
      <w:r>
        <w:t xml:space="preserve">, January 2025; Gregory Wilson, </w:t>
      </w:r>
      <w:r w:rsidRPr="00E029B2">
        <w:rPr>
          <w:i/>
        </w:rPr>
        <w:t>Formal Review into Victorian Government Bodies’ Engagement with Construction Companies and Construction Unions</w:t>
      </w:r>
      <w:r>
        <w:t>,</w:t>
      </w:r>
      <w:r w:rsidRPr="00930EF5">
        <w:t xml:space="preserve"> November 2024; </w:t>
      </w:r>
      <w:r>
        <w:t>Office of the NSW Anti-slavery Commissioner,</w:t>
      </w:r>
      <w:r w:rsidRPr="00930EF5">
        <w:t xml:space="preserve"> </w:t>
      </w:r>
      <w:r w:rsidRPr="00E029B2">
        <w:rPr>
          <w:i/>
        </w:rPr>
        <w:t>Be Our Guests:</w:t>
      </w:r>
      <w:r w:rsidRPr="00D61B7C">
        <w:t xml:space="preserve"> </w:t>
      </w:r>
      <w:r w:rsidRPr="00E029B2">
        <w:rPr>
          <w:i/>
        </w:rPr>
        <w:t>Addressing urgent modern slavery risks for temporary migrant workers in rural and regional New South Wales</w:t>
      </w:r>
      <w:r>
        <w:t>,</w:t>
      </w:r>
      <w:r w:rsidRPr="00D61B7C">
        <w:t xml:space="preserve"> </w:t>
      </w:r>
      <w:r>
        <w:t xml:space="preserve">September 2024; Senate </w:t>
      </w:r>
      <w:r w:rsidRPr="00930EF5">
        <w:t>Economics References Committee</w:t>
      </w:r>
      <w:r>
        <w:t xml:space="preserve">, </w:t>
      </w:r>
      <w:r w:rsidRPr="00E029B2">
        <w:rPr>
          <w:i/>
          <w:iCs/>
        </w:rPr>
        <w:t xml:space="preserve">Systemic, sustained and shameful: </w:t>
      </w:r>
      <w:r w:rsidRPr="00E029B2">
        <w:rPr>
          <w:i/>
        </w:rPr>
        <w:t xml:space="preserve">Unlawful </w:t>
      </w:r>
      <w:r w:rsidRPr="00E029B2">
        <w:rPr>
          <w:i/>
          <w:iCs/>
        </w:rPr>
        <w:t xml:space="preserve">underpayment </w:t>
      </w:r>
      <w:r w:rsidRPr="00E029B2">
        <w:rPr>
          <w:i/>
        </w:rPr>
        <w:t xml:space="preserve">of </w:t>
      </w:r>
      <w:r w:rsidRPr="00E029B2">
        <w:rPr>
          <w:i/>
          <w:iCs/>
        </w:rPr>
        <w:t>employees' remuneration</w:t>
      </w:r>
      <w:r>
        <w:t>,</w:t>
      </w:r>
      <w:r w:rsidRPr="00930EF5">
        <w:t xml:space="preserve"> March 2022; </w:t>
      </w:r>
      <w:r>
        <w:t xml:space="preserve">Senate </w:t>
      </w:r>
      <w:r w:rsidRPr="00930EF5">
        <w:t>Select Committee on Job Security</w:t>
      </w:r>
      <w:r>
        <w:t>,</w:t>
      </w:r>
      <w:r w:rsidRPr="00930EF5">
        <w:t xml:space="preserve"> </w:t>
      </w:r>
      <w:r w:rsidRPr="00E029B2">
        <w:rPr>
          <w:i/>
        </w:rPr>
        <w:t xml:space="preserve">Third </w:t>
      </w:r>
      <w:r w:rsidRPr="00E029B2">
        <w:rPr>
          <w:i/>
          <w:iCs/>
        </w:rPr>
        <w:t>interim report</w:t>
      </w:r>
      <w:r w:rsidRPr="00E029B2">
        <w:rPr>
          <w:i/>
        </w:rPr>
        <w:t xml:space="preserve">: </w:t>
      </w:r>
      <w:r w:rsidRPr="00E029B2">
        <w:rPr>
          <w:i/>
          <w:iCs/>
        </w:rPr>
        <w:t xml:space="preserve">labour hire </w:t>
      </w:r>
      <w:r w:rsidRPr="00E029B2">
        <w:rPr>
          <w:i/>
        </w:rPr>
        <w:t xml:space="preserve">and </w:t>
      </w:r>
      <w:r w:rsidRPr="00E029B2">
        <w:rPr>
          <w:i/>
          <w:iCs/>
        </w:rPr>
        <w:t>contracting</w:t>
      </w:r>
      <w:r>
        <w:t>,</w:t>
      </w:r>
      <w:r w:rsidRPr="00930EF5">
        <w:t xml:space="preserve"> November 2021; </w:t>
      </w:r>
      <w:r>
        <w:t xml:space="preserve">Senate </w:t>
      </w:r>
      <w:r w:rsidRPr="00930EF5">
        <w:t>Select Committee on Temporary Migration</w:t>
      </w:r>
      <w:r>
        <w:t xml:space="preserve">, </w:t>
      </w:r>
      <w:r>
        <w:rPr>
          <w:i/>
          <w:iCs/>
        </w:rPr>
        <w:t>Select Committee on Temporary Migration</w:t>
      </w:r>
      <w:r>
        <w:t xml:space="preserve">, </w:t>
      </w:r>
      <w:r w:rsidRPr="00930EF5">
        <w:t xml:space="preserve">September 2021; </w:t>
      </w:r>
      <w:r>
        <w:t xml:space="preserve">Australian Government, </w:t>
      </w:r>
      <w:r w:rsidRPr="00E029B2">
        <w:rPr>
          <w:i/>
        </w:rPr>
        <w:t>Report of the Migrant Workers’ Taskforce</w:t>
      </w:r>
      <w:r>
        <w:t>,</w:t>
      </w:r>
      <w:r w:rsidRPr="00930EF5">
        <w:t xml:space="preserve"> March</w:t>
      </w:r>
      <w:r>
        <w:t> </w:t>
      </w:r>
      <w:r w:rsidRPr="00930EF5">
        <w:t>2019.</w:t>
      </w:r>
    </w:p>
  </w:endnote>
  <w:endnote w:id="3">
    <w:p w14:paraId="6EB10A22" w14:textId="77777777" w:rsidR="00E90FAC" w:rsidRDefault="00E90FAC" w:rsidP="00E90FAC">
      <w:pPr>
        <w:pStyle w:val="EndnoteText"/>
        <w:spacing w:after="120"/>
      </w:pPr>
      <w:r>
        <w:rPr>
          <w:rStyle w:val="EndnoteReference"/>
        </w:rPr>
        <w:endnoteRef/>
      </w:r>
      <w:r>
        <w:t xml:space="preserve"> </w:t>
      </w:r>
      <w:r w:rsidRPr="00093F83">
        <w:t xml:space="preserve">ABS, </w:t>
      </w:r>
      <w:r w:rsidRPr="007720D5">
        <w:rPr>
          <w:i/>
          <w:iCs/>
        </w:rPr>
        <w:t>Labour hire workers</w:t>
      </w:r>
      <w:r w:rsidRPr="00093F83">
        <w:t>, December 2025.</w:t>
      </w:r>
    </w:p>
  </w:endnote>
  <w:endnote w:id="4">
    <w:p w14:paraId="18DE99BD" w14:textId="77777777" w:rsidR="00E90FAC" w:rsidRDefault="00E90FAC" w:rsidP="00E90FAC">
      <w:pPr>
        <w:pStyle w:val="EndnoteText"/>
        <w:spacing w:after="120"/>
      </w:pPr>
      <w:r>
        <w:rPr>
          <w:rStyle w:val="EndnoteReference"/>
        </w:rPr>
        <w:endnoteRef/>
      </w:r>
      <w:r>
        <w:t xml:space="preserve"> In late 2025, the South Australian and Victorian Parliaments passed amendments to their respective labour hire licensing schemes:</w:t>
      </w:r>
    </w:p>
    <w:p w14:paraId="2EBCA3FB" w14:textId="77777777" w:rsidR="00E90FAC" w:rsidRDefault="00E90FAC" w:rsidP="00E90FAC">
      <w:pPr>
        <w:pStyle w:val="EndnoteText"/>
        <w:spacing w:after="120"/>
      </w:pPr>
      <w:r w:rsidRPr="0030439F">
        <w:rPr>
          <w:u w:val="single"/>
        </w:rPr>
        <w:t>Victoria</w:t>
      </w:r>
      <w:r>
        <w:t>: On 24 December 2025, the first tranche of amendments to the Victorian scheme commenced, relating to improved information gathering and sharing powers. Further amendments commenced on 1 June 2026, including changes to the ‘fit and proper person’ test. Additional amendments</w:t>
      </w:r>
      <w:r w:rsidRPr="007B52C2">
        <w:t xml:space="preserve"> will commence no later than 1</w:t>
      </w:r>
      <w:r>
        <w:t> </w:t>
      </w:r>
      <w:r w:rsidRPr="007B52C2">
        <w:t>October</w:t>
      </w:r>
      <w:r>
        <w:t> </w:t>
      </w:r>
      <w:r w:rsidRPr="007B52C2">
        <w:t>2026</w:t>
      </w:r>
      <w:r>
        <w:t>, to clarify the definition of labour hire services, better cover arrangements in a supply chain, and define certain construction activities as the provision of labour hire within the regulations</w:t>
      </w:r>
      <w:r w:rsidRPr="007B52C2">
        <w:t>.</w:t>
      </w:r>
      <w:r>
        <w:t xml:space="preserve"> </w:t>
      </w:r>
    </w:p>
    <w:p w14:paraId="15EB9021" w14:textId="77777777" w:rsidR="00E90FAC" w:rsidRDefault="00E90FAC" w:rsidP="00E90FAC">
      <w:pPr>
        <w:pStyle w:val="EndnoteText"/>
        <w:spacing w:after="120"/>
      </w:pPr>
      <w:r w:rsidRPr="0030439F">
        <w:rPr>
          <w:u w:val="single"/>
        </w:rPr>
        <w:t>South Australia</w:t>
      </w:r>
      <w:r>
        <w:t>: Amendments to expand the South Australian scheme from sector-specific back to universal coverage will commence on 29 July 2026 following a 6</w:t>
      </w:r>
      <w:r>
        <w:noBreakHyphen/>
        <w:t>month transition period.</w:t>
      </w:r>
    </w:p>
  </w:endnote>
  <w:endnote w:id="5">
    <w:p w14:paraId="7CAE641E" w14:textId="77777777" w:rsidR="00A901F1" w:rsidRDefault="00A901F1" w:rsidP="00A901F1">
      <w:pPr>
        <w:pStyle w:val="EndnoteText"/>
        <w:spacing w:after="120"/>
      </w:pPr>
      <w:r>
        <w:rPr>
          <w:rStyle w:val="EndnoteReference"/>
        </w:rPr>
        <w:endnoteRef/>
      </w:r>
      <w:r>
        <w:t xml:space="preserve"> Section 5 of the </w:t>
      </w:r>
      <w:r>
        <w:rPr>
          <w:i/>
          <w:iCs/>
        </w:rPr>
        <w:t>Labour Hire Licensing Act 2017</w:t>
      </w:r>
      <w:r>
        <w:t xml:space="preserve"> </w:t>
      </w:r>
      <w:r w:rsidRPr="008F0426">
        <w:rPr>
          <w:i/>
          <w:iCs/>
        </w:rPr>
        <w:t>(Queensland)</w:t>
      </w:r>
      <w:r>
        <w:t xml:space="preserve">, section 6 of the </w:t>
      </w:r>
      <w:r>
        <w:rPr>
          <w:i/>
          <w:iCs/>
        </w:rPr>
        <w:t>Labour Hire Licensing Act 2018 (Victoria)</w:t>
      </w:r>
      <w:r>
        <w:t xml:space="preserve">, and section 4 of the </w:t>
      </w:r>
      <w:r>
        <w:rPr>
          <w:i/>
          <w:iCs/>
        </w:rPr>
        <w:t>Labour Hire Licensing Act 2017 (South Australia)</w:t>
      </w:r>
      <w:r>
        <w:t>.</w:t>
      </w:r>
    </w:p>
    <w:p w14:paraId="6F808140" w14:textId="77777777" w:rsidR="00074BBD" w:rsidRDefault="00074BBD" w:rsidP="00A901F1">
      <w:pPr>
        <w:pStyle w:val="EndnoteText"/>
        <w:spacing w:after="120"/>
      </w:pPr>
    </w:p>
    <w:p w14:paraId="748F3287" w14:textId="77777777" w:rsidR="00074BBD" w:rsidRDefault="00074BBD" w:rsidP="00A901F1">
      <w:pPr>
        <w:pStyle w:val="EndnoteText"/>
        <w:spacing w:after="120"/>
      </w:pPr>
    </w:p>
    <w:p w14:paraId="6B3B01FC" w14:textId="77777777" w:rsidR="00074BBD" w:rsidRDefault="00074BBD" w:rsidP="00A901F1">
      <w:pPr>
        <w:pStyle w:val="EndnoteText"/>
        <w:spacing w:after="120"/>
      </w:pPr>
    </w:p>
    <w:p w14:paraId="759DBA83" w14:textId="1AD4037A" w:rsidR="00CD5DED" w:rsidRPr="008F0426" w:rsidRDefault="00CD5DED" w:rsidP="00A901F1">
      <w:pPr>
        <w:pStyle w:val="EndnoteText"/>
        <w:spacing w:after="1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Serif">
    <w:panose1 w:val="02020604070405020304"/>
    <w:charset w:val="00"/>
    <w:family w:val="roman"/>
    <w:pitch w:val="variable"/>
    <w:sig w:usb0="A11526FF" w:usb1="C000ECFB" w:usb2="0001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2BA37" w14:textId="2319F6EC" w:rsidR="00B44A48" w:rsidRPr="007B02C2" w:rsidRDefault="007B02C2" w:rsidP="0096275C">
    <w:pPr>
      <w:spacing w:before="0" w:after="0"/>
      <w:ind w:right="1417"/>
    </w:pP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BFE22" w14:textId="1F8F0079" w:rsidR="00E010F1" w:rsidRDefault="0015296F">
    <w:pPr>
      <w:pStyle w:val="Footer"/>
    </w:pPr>
    <w:r>
      <w:rPr>
        <w:noProof/>
      </w:rPr>
      <mc:AlternateContent>
        <mc:Choice Requires="wps">
          <w:drawing>
            <wp:anchor distT="0" distB="0" distL="114300" distR="114300" simplePos="0" relativeHeight="251661319" behindDoc="1" locked="0" layoutInCell="1" allowOverlap="1" wp14:anchorId="76E1B735" wp14:editId="67A81198">
              <wp:simplePos x="0" y="0"/>
              <wp:positionH relativeFrom="page">
                <wp:posOffset>-86061</wp:posOffset>
              </wp:positionH>
              <wp:positionV relativeFrom="paragraph">
                <wp:posOffset>-2008692</wp:posOffset>
              </wp:positionV>
              <wp:extent cx="8476343" cy="2893471"/>
              <wp:effectExtent l="0" t="0" r="1270" b="2540"/>
              <wp:wrapNone/>
              <wp:docPr id="1069764563" name="Rectangle 13"/>
              <wp:cNvGraphicFramePr/>
              <a:graphic xmlns:a="http://schemas.openxmlformats.org/drawingml/2006/main">
                <a:graphicData uri="http://schemas.microsoft.com/office/word/2010/wordprocessingShape">
                  <wps:wsp>
                    <wps:cNvSpPr/>
                    <wps:spPr>
                      <a:xfrm>
                        <a:off x="0" y="0"/>
                        <a:ext cx="8476343" cy="2893471"/>
                      </a:xfrm>
                      <a:prstGeom prst="rect">
                        <a:avLst/>
                      </a:prstGeom>
                      <a:solidFill>
                        <a:schemeClr val="accent3">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DB7C7" id="Rectangle 13" o:spid="_x0000_s1026" style="position:absolute;margin-left:-6.8pt;margin-top:-158.15pt;width:667.45pt;height:227.85pt;z-index:-2516551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" fillcolor="#73c6ff [1302]"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28B6" w14:textId="56B91D85" w:rsidR="0096275C" w:rsidRPr="007B02C2" w:rsidRDefault="0096275C" w:rsidP="003502AB">
    <w:pPr>
      <w:spacing w:before="0" w:after="0"/>
      <w:jc w:val="right"/>
    </w:pPr>
    <w:r>
      <w:t>Labour Hire Senior Officials’ Working Group Final Report</w:t>
    </w:r>
    <w:r w:rsidRPr="00E32D9E">
      <w:rPr>
        <w:i/>
        <w:iCs/>
      </w:rPr>
      <w:t> </w:t>
    </w:r>
    <w:r w:rsidRPr="007B02C2">
      <w:rPr>
        <w:color w:val="1B2163" w:themeColor="text2"/>
      </w:rPr>
      <w:t>|</w:t>
    </w:r>
    <w:r w:rsidRPr="00E32D9E">
      <w:rPr>
        <w:i/>
        <w:iCs/>
      </w:rPr>
      <w:t> </w:t>
    </w:r>
    <w:r w:rsidRPr="000C4CC4">
      <w:rPr>
        <w:b/>
        <w:bCs/>
      </w:rPr>
      <w:fldChar w:fldCharType="begin"/>
    </w:r>
    <w:r w:rsidRPr="000C4CC4">
      <w:rPr>
        <w:b/>
        <w:bCs/>
      </w:rPr>
      <w:instrText xml:space="preserve"> PAGE   \* MERGEFORMAT </w:instrText>
    </w:r>
    <w:r w:rsidRPr="000C4CC4">
      <w:rPr>
        <w:b/>
        <w:bCs/>
      </w:rPr>
      <w:fldChar w:fldCharType="separate"/>
    </w:r>
    <w:r>
      <w:rPr>
        <w:b/>
        <w:bCs/>
      </w:rPr>
      <w:t>1</w:t>
    </w:r>
    <w:r w:rsidRPr="000C4CC4">
      <w:rPr>
        <w:b/>
        <w:bCs/>
        <w:noProof/>
      </w:rPr>
      <w:fldChar w:fldCharType="end"/>
    </w:r>
    <w:r>
      <w:rPr>
        <w:noProof/>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7B8E4" w14:textId="7D986096" w:rsidR="0096275C" w:rsidRDefault="0096275C" w:rsidP="003502AB">
    <w:pPr>
      <w:spacing w:before="0" w:after="0"/>
      <w:jc w:val="right"/>
    </w:pPr>
    <w:r>
      <w:t>Labour Hire Senior Officials’ Working Group Final Report</w:t>
    </w:r>
    <w:r w:rsidRPr="00E32D9E">
      <w:rPr>
        <w:i/>
        <w:iCs/>
      </w:rPr>
      <w:t> </w:t>
    </w:r>
    <w:r w:rsidRPr="007B02C2">
      <w:rPr>
        <w:color w:val="1B2163" w:themeColor="text2"/>
      </w:rPr>
      <w:t>|</w:t>
    </w:r>
    <w:r w:rsidRPr="00E32D9E">
      <w:rPr>
        <w:i/>
        <w:iCs/>
      </w:rPr>
      <w:t> </w:t>
    </w:r>
    <w:r w:rsidRPr="000C4CC4">
      <w:rPr>
        <w:b/>
        <w:bCs/>
      </w:rPr>
      <w:fldChar w:fldCharType="begin"/>
    </w:r>
    <w:r w:rsidRPr="000C4CC4">
      <w:rPr>
        <w:b/>
        <w:bCs/>
      </w:rPr>
      <w:instrText xml:space="preserve"> PAGE   \* MERGEFORMAT </w:instrText>
    </w:r>
    <w:r w:rsidRPr="000C4CC4">
      <w:rPr>
        <w:b/>
        <w:bCs/>
      </w:rPr>
      <w:fldChar w:fldCharType="separate"/>
    </w:r>
    <w:r>
      <w:rPr>
        <w:b/>
        <w:bCs/>
      </w:rPr>
      <w:t>2</w:t>
    </w:r>
    <w:r w:rsidRPr="000C4CC4">
      <w:rPr>
        <w:b/>
        <w:bCs/>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143D3" w14:textId="77777777" w:rsidR="00A16FC5" w:rsidRDefault="00A16FC5" w:rsidP="000A6228">
      <w:pPr>
        <w:spacing w:after="0" w:line="240" w:lineRule="auto"/>
      </w:pPr>
      <w:r>
        <w:separator/>
      </w:r>
    </w:p>
  </w:footnote>
  <w:footnote w:type="continuationSeparator" w:id="0">
    <w:p w14:paraId="4782543A" w14:textId="77777777" w:rsidR="00A16FC5" w:rsidRDefault="00A16FC5"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D7A9" w14:textId="7C98B4A5" w:rsidR="00E010F1" w:rsidRPr="00857F98" w:rsidRDefault="00E010F1" w:rsidP="00B408F7">
    <w:pPr>
      <w:spacing w:before="0" w:after="0"/>
      <w:rPr>
        <w:rFonts w:ascii="Arial" w:eastAsia="Arial" w:hAnsi="Arial" w:cs="Arial"/>
        <w:noProof/>
        <w:color w:val="FF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0C82" w14:textId="40AE747D" w:rsidR="00E010F1" w:rsidRDefault="00E545A8" w:rsidP="00B408F7">
    <w:pPr>
      <w:pStyle w:val="Header"/>
      <w:spacing w:before="0"/>
    </w:pPr>
    <w:r>
      <w:rPr>
        <w:noProof/>
      </w:rPr>
      <mc:AlternateContent>
        <mc:Choice Requires="wps">
          <w:drawing>
            <wp:anchor distT="0" distB="0" distL="114300" distR="114300" simplePos="0" relativeHeight="251667463" behindDoc="1" locked="0" layoutInCell="1" allowOverlap="1" wp14:anchorId="061DCB86" wp14:editId="2323D703">
              <wp:simplePos x="0" y="0"/>
              <wp:positionH relativeFrom="page">
                <wp:posOffset>-96819</wp:posOffset>
              </wp:positionH>
              <wp:positionV relativeFrom="paragraph">
                <wp:posOffset>1303282</wp:posOffset>
              </wp:positionV>
              <wp:extent cx="8214904" cy="6712772"/>
              <wp:effectExtent l="0" t="0" r="0" b="0"/>
              <wp:wrapNone/>
              <wp:docPr id="2015229965" name="Rectangle 13"/>
              <wp:cNvGraphicFramePr/>
              <a:graphic xmlns:a="http://schemas.openxmlformats.org/drawingml/2006/main">
                <a:graphicData uri="http://schemas.microsoft.com/office/word/2010/wordprocessingShape">
                  <wps:wsp>
                    <wps:cNvSpPr/>
                    <wps:spPr>
                      <a:xfrm>
                        <a:off x="0" y="0"/>
                        <a:ext cx="8214904" cy="6712772"/>
                      </a:xfrm>
                      <a:prstGeom prst="rect">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06477" id="Rectangle 13" o:spid="_x0000_s1026" style="position:absolute;margin-left:-7.6pt;margin-top:102.6pt;width:646.85pt;height:528.55pt;z-index:-2516490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" fillcolor="#b9e2ff [662]"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B96459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407C295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C2DE79EC"/>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F3BE75B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5938434E"/>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F03A6EBE"/>
    <w:lvl w:ilvl="0">
      <w:start w:val="1"/>
      <w:numFmt w:val="bullet"/>
      <w:lvlText w:val=""/>
      <w:lvlJc w:val="left"/>
      <w:pPr>
        <w:ind w:left="644" w:hanging="360"/>
      </w:pPr>
      <w:rPr>
        <w:rFonts w:ascii="Symbol" w:hAnsi="Symbol" w:hint="default"/>
      </w:rPr>
    </w:lvl>
  </w:abstractNum>
  <w:abstractNum w:abstractNumId="6" w15:restartNumberingAfterBreak="0">
    <w:nsid w:val="FFFFFF88"/>
    <w:multiLevelType w:val="singleLevel"/>
    <w:tmpl w:val="E43C4E3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C6FC422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F632833A"/>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43479A"/>
    <w:multiLevelType w:val="hybridMultilevel"/>
    <w:tmpl w:val="174C17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DD52D37"/>
    <w:multiLevelType w:val="hybridMultilevel"/>
    <w:tmpl w:val="7B42062E"/>
    <w:lvl w:ilvl="0" w:tplc="398033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E94675"/>
    <w:multiLevelType w:val="multilevel"/>
    <w:tmpl w:val="67C4226A"/>
    <w:numStyleLink w:val="ListAlpha-ListStyle"/>
  </w:abstractNum>
  <w:abstractNum w:abstractNumId="16" w15:restartNumberingAfterBreak="0">
    <w:nsid w:val="29155735"/>
    <w:multiLevelType w:val="multilevel"/>
    <w:tmpl w:val="39328DDE"/>
    <w:numStyleLink w:val="ListBullet-ListStyle"/>
  </w:abstractNum>
  <w:abstractNum w:abstractNumId="17" w15:restartNumberingAfterBreak="0">
    <w:nsid w:val="2CA02FBD"/>
    <w:multiLevelType w:val="hybridMultilevel"/>
    <w:tmpl w:val="85CA1826"/>
    <w:lvl w:ilvl="0" w:tplc="65947BE6">
      <w:start w:val="1"/>
      <w:numFmt w:val="decimal"/>
      <w:lvlText w:val="%1."/>
      <w:lvlJc w:val="left"/>
      <w:pPr>
        <w:ind w:left="360" w:hanging="360"/>
      </w:pPr>
      <w:rPr>
        <w:rFonts w:hint="default"/>
        <w:sz w:val="22"/>
        <w:szCs w:val="22"/>
      </w:rPr>
    </w:lvl>
    <w:lvl w:ilvl="1" w:tplc="0C090017">
      <w:start w:val="1"/>
      <w:numFmt w:val="lowerLetter"/>
      <w:lvlText w:val="%2)"/>
      <w:lvlJc w:val="left"/>
      <w:pPr>
        <w:ind w:left="643"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EFB15DC"/>
    <w:multiLevelType w:val="multilevel"/>
    <w:tmpl w:val="39328DDE"/>
    <w:styleLink w:val="ListBullet-ListStyle"/>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21" w15:restartNumberingAfterBreak="0">
    <w:nsid w:val="31C0482F"/>
    <w:multiLevelType w:val="multilevel"/>
    <w:tmpl w:val="39328DDE"/>
    <w:numStyleLink w:val="ListBullet-ListStyle"/>
  </w:abstractNum>
  <w:abstractNum w:abstractNumId="22"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1066794"/>
    <w:multiLevelType w:val="multilevel"/>
    <w:tmpl w:val="39328DDE"/>
    <w:numStyleLink w:val="ListBullet-ListStyle"/>
  </w:abstractNum>
  <w:abstractNum w:abstractNumId="25" w15:restartNumberingAfterBreak="0">
    <w:nsid w:val="66867B09"/>
    <w:multiLevelType w:val="multilevel"/>
    <w:tmpl w:val="B2F273FE"/>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26" w15:restartNumberingAfterBreak="0">
    <w:nsid w:val="669F3ECA"/>
    <w:multiLevelType w:val="multilevel"/>
    <w:tmpl w:val="67C4226A"/>
    <w:styleLink w:val="ListAlpha-ListStyle"/>
    <w:lvl w:ilvl="0">
      <w:start w:val="1"/>
      <w:numFmt w:val="decimal"/>
      <w:pStyle w:val="Lis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none"/>
      <w:lvlText w:val=""/>
      <w:lvlJc w:val="left"/>
      <w:pPr>
        <w:ind w:left="1588" w:firstLine="0"/>
      </w:pPr>
      <w:rPr>
        <w:rFonts w:hint="default"/>
      </w:rPr>
    </w:lvl>
    <w:lvl w:ilvl="5">
      <w:start w:val="1"/>
      <w:numFmt w:val="none"/>
      <w:lvlText w:val=""/>
      <w:lvlJc w:val="left"/>
      <w:pPr>
        <w:ind w:left="1588" w:firstLine="0"/>
      </w:pPr>
      <w:rPr>
        <w:rFonts w:hint="default"/>
      </w:rPr>
    </w:lvl>
    <w:lvl w:ilvl="6">
      <w:start w:val="1"/>
      <w:numFmt w:val="none"/>
      <w:lvlText w:val=""/>
      <w:lvlJc w:val="left"/>
      <w:pPr>
        <w:ind w:left="1588" w:firstLine="0"/>
      </w:pPr>
      <w:rPr>
        <w:rFonts w:hint="default"/>
      </w:rPr>
    </w:lvl>
    <w:lvl w:ilvl="7">
      <w:start w:val="1"/>
      <w:numFmt w:val="none"/>
      <w:lvlText w:val=""/>
      <w:lvlJc w:val="left"/>
      <w:pPr>
        <w:ind w:left="1588" w:firstLine="0"/>
      </w:pPr>
      <w:rPr>
        <w:rFonts w:hint="default"/>
      </w:rPr>
    </w:lvl>
    <w:lvl w:ilvl="8">
      <w:start w:val="1"/>
      <w:numFmt w:val="none"/>
      <w:lvlText w:val=""/>
      <w:lvlJc w:val="left"/>
      <w:pPr>
        <w:ind w:left="1588" w:firstLine="0"/>
      </w:pPr>
      <w:rPr>
        <w:rFonts w:hint="default"/>
      </w:rPr>
    </w:lvl>
  </w:abstractNum>
  <w:abstractNum w:abstractNumId="27" w15:restartNumberingAfterBreak="0">
    <w:nsid w:val="66CE44A2"/>
    <w:multiLevelType w:val="hybridMultilevel"/>
    <w:tmpl w:val="3684D0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8AE2EAA"/>
    <w:multiLevelType w:val="multilevel"/>
    <w:tmpl w:val="67C4226A"/>
    <w:numStyleLink w:val="ListAlpha-ListStyle"/>
  </w:abstractNum>
  <w:abstractNum w:abstractNumId="29" w15:restartNumberingAfterBreak="0">
    <w:nsid w:val="6B7F3478"/>
    <w:multiLevelType w:val="hybridMultilevel"/>
    <w:tmpl w:val="CE32D9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01D63B4"/>
    <w:multiLevelType w:val="hybridMultilevel"/>
    <w:tmpl w:val="51C8CD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1FA54C4"/>
    <w:multiLevelType w:val="multilevel"/>
    <w:tmpl w:val="B2F273FE"/>
    <w:numStyleLink w:val="ListNumber-ListStyle"/>
  </w:abstractNum>
  <w:abstractNum w:abstractNumId="3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782F0285"/>
    <w:multiLevelType w:val="hybridMultilevel"/>
    <w:tmpl w:val="CE54FC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C424B7F"/>
    <w:multiLevelType w:val="multilevel"/>
    <w:tmpl w:val="39328DDE"/>
    <w:numStyleLink w:val="ListBullet-ListStyle"/>
  </w:abstractNum>
  <w:abstractNum w:abstractNumId="36" w15:restartNumberingAfterBreak="0">
    <w:nsid w:val="7F081AF2"/>
    <w:multiLevelType w:val="multilevel"/>
    <w:tmpl w:val="67C4226A"/>
    <w:numStyleLink w:val="ListAlpha-ListStyle"/>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9"/>
  </w:num>
  <w:num w:numId="6" w16cid:durableId="816344236">
    <w:abstractNumId w:val="2"/>
  </w:num>
  <w:num w:numId="7" w16cid:durableId="1908612059">
    <w:abstractNumId w:val="1"/>
  </w:num>
  <w:num w:numId="8" w16cid:durableId="1618215078">
    <w:abstractNumId w:val="0"/>
  </w:num>
  <w:num w:numId="9" w16cid:durableId="1850677422">
    <w:abstractNumId w:val="18"/>
  </w:num>
  <w:num w:numId="10" w16cid:durableId="1599946406">
    <w:abstractNumId w:val="8"/>
  </w:num>
  <w:num w:numId="11" w16cid:durableId="714038629">
    <w:abstractNumId w:val="30"/>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7"/>
  </w:num>
  <w:num w:numId="16" w16cid:durableId="1261833621">
    <w:abstractNumId w:val="33"/>
  </w:num>
  <w:num w:numId="17" w16cid:durableId="2029670193">
    <w:abstractNumId w:val="22"/>
  </w:num>
  <w:num w:numId="18" w16cid:durableId="887570554">
    <w:abstractNumId w:val="9"/>
  </w:num>
  <w:num w:numId="19" w16cid:durableId="147789394">
    <w:abstractNumId w:val="23"/>
  </w:num>
  <w:num w:numId="20" w16cid:durableId="489685936">
    <w:abstractNumId w:val="26"/>
  </w:num>
  <w:num w:numId="21" w16cid:durableId="1812869029">
    <w:abstractNumId w:val="6"/>
  </w:num>
  <w:num w:numId="22" w16cid:durableId="791630918">
    <w:abstractNumId w:val="2"/>
  </w:num>
  <w:num w:numId="23" w16cid:durableId="1618490030">
    <w:abstractNumId w:val="1"/>
  </w:num>
  <w:num w:numId="24" w16cid:durableId="914322542">
    <w:abstractNumId w:val="0"/>
  </w:num>
  <w:num w:numId="25" w16cid:durableId="2072146311">
    <w:abstractNumId w:val="15"/>
  </w:num>
  <w:num w:numId="26" w16cid:durableId="501630120">
    <w:abstractNumId w:val="20"/>
  </w:num>
  <w:num w:numId="27" w16cid:durableId="7425339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1173985">
    <w:abstractNumId w:val="16"/>
  </w:num>
  <w:num w:numId="29" w16cid:durableId="276564209">
    <w:abstractNumId w:val="21"/>
  </w:num>
  <w:num w:numId="30" w16cid:durableId="1570115469">
    <w:abstractNumId w:val="25"/>
  </w:num>
  <w:num w:numId="31" w16cid:durableId="1303849125">
    <w:abstractNumId w:val="6"/>
  </w:num>
  <w:num w:numId="32" w16cid:durableId="100105296">
    <w:abstractNumId w:val="2"/>
  </w:num>
  <w:num w:numId="33" w16cid:durableId="862284394">
    <w:abstractNumId w:val="1"/>
  </w:num>
  <w:num w:numId="34" w16cid:durableId="281037075">
    <w:abstractNumId w:val="0"/>
  </w:num>
  <w:num w:numId="35" w16cid:durableId="198051976">
    <w:abstractNumId w:val="35"/>
  </w:num>
  <w:num w:numId="36" w16cid:durableId="1162039917">
    <w:abstractNumId w:val="32"/>
  </w:num>
  <w:num w:numId="37" w16cid:durableId="681471900">
    <w:abstractNumId w:val="36"/>
  </w:num>
  <w:num w:numId="38" w16cid:durableId="751700964">
    <w:abstractNumId w:val="28"/>
  </w:num>
  <w:num w:numId="39" w16cid:durableId="36903566">
    <w:abstractNumId w:val="24"/>
  </w:num>
  <w:num w:numId="40" w16cid:durableId="826095948">
    <w:abstractNumId w:val="31"/>
  </w:num>
  <w:num w:numId="41" w16cid:durableId="2134709966">
    <w:abstractNumId w:val="17"/>
  </w:num>
  <w:num w:numId="42" w16cid:durableId="650254924">
    <w:abstractNumId w:val="14"/>
  </w:num>
  <w:num w:numId="43" w16cid:durableId="1058364444">
    <w:abstractNumId w:val="27"/>
  </w:num>
  <w:num w:numId="44" w16cid:durableId="354698830">
    <w:abstractNumId w:val="29"/>
  </w:num>
  <w:num w:numId="45" w16cid:durableId="391657819">
    <w:abstractNumId w:val="13"/>
  </w:num>
  <w:num w:numId="46" w16cid:durableId="206551857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FC0"/>
    <w:rsid w:val="000020D5"/>
    <w:rsid w:val="00012366"/>
    <w:rsid w:val="00021FBE"/>
    <w:rsid w:val="00030AD5"/>
    <w:rsid w:val="00051DB2"/>
    <w:rsid w:val="000521D7"/>
    <w:rsid w:val="00063159"/>
    <w:rsid w:val="00063799"/>
    <w:rsid w:val="000649CB"/>
    <w:rsid w:val="00074BBD"/>
    <w:rsid w:val="000876D7"/>
    <w:rsid w:val="000A0B58"/>
    <w:rsid w:val="000A6228"/>
    <w:rsid w:val="000B5D40"/>
    <w:rsid w:val="000B7EC6"/>
    <w:rsid w:val="000C4CC4"/>
    <w:rsid w:val="000D4366"/>
    <w:rsid w:val="000D7FEA"/>
    <w:rsid w:val="000F1209"/>
    <w:rsid w:val="0010013C"/>
    <w:rsid w:val="001040CC"/>
    <w:rsid w:val="00107D87"/>
    <w:rsid w:val="00107DD5"/>
    <w:rsid w:val="00120F40"/>
    <w:rsid w:val="001222F0"/>
    <w:rsid w:val="0012343A"/>
    <w:rsid w:val="00133B8D"/>
    <w:rsid w:val="0013611E"/>
    <w:rsid w:val="00140B2E"/>
    <w:rsid w:val="00144E4F"/>
    <w:rsid w:val="001515BF"/>
    <w:rsid w:val="0015296F"/>
    <w:rsid w:val="00157255"/>
    <w:rsid w:val="00160700"/>
    <w:rsid w:val="0017134D"/>
    <w:rsid w:val="00172274"/>
    <w:rsid w:val="00180FE8"/>
    <w:rsid w:val="001874AD"/>
    <w:rsid w:val="001A1D4B"/>
    <w:rsid w:val="001A210E"/>
    <w:rsid w:val="001A2994"/>
    <w:rsid w:val="001A4AED"/>
    <w:rsid w:val="001B075C"/>
    <w:rsid w:val="001B1440"/>
    <w:rsid w:val="001B420A"/>
    <w:rsid w:val="001C1523"/>
    <w:rsid w:val="001D07D5"/>
    <w:rsid w:val="001D30D3"/>
    <w:rsid w:val="001E1BBD"/>
    <w:rsid w:val="001E3EF9"/>
    <w:rsid w:val="001F0658"/>
    <w:rsid w:val="001F7CF1"/>
    <w:rsid w:val="00200909"/>
    <w:rsid w:val="00221D8F"/>
    <w:rsid w:val="0022205D"/>
    <w:rsid w:val="002272DB"/>
    <w:rsid w:val="00232458"/>
    <w:rsid w:val="00233E42"/>
    <w:rsid w:val="002371DE"/>
    <w:rsid w:val="00246DFC"/>
    <w:rsid w:val="00256A9F"/>
    <w:rsid w:val="002579E7"/>
    <w:rsid w:val="00276047"/>
    <w:rsid w:val="00276778"/>
    <w:rsid w:val="00277B08"/>
    <w:rsid w:val="00294F84"/>
    <w:rsid w:val="0029588A"/>
    <w:rsid w:val="00297444"/>
    <w:rsid w:val="002A10BA"/>
    <w:rsid w:val="002A4458"/>
    <w:rsid w:val="002C6F17"/>
    <w:rsid w:val="002D0E59"/>
    <w:rsid w:val="002D589A"/>
    <w:rsid w:val="002D6D36"/>
    <w:rsid w:val="002E491A"/>
    <w:rsid w:val="00310B72"/>
    <w:rsid w:val="00322BBB"/>
    <w:rsid w:val="00333927"/>
    <w:rsid w:val="00336CF6"/>
    <w:rsid w:val="00344D89"/>
    <w:rsid w:val="003500B7"/>
    <w:rsid w:val="00350106"/>
    <w:rsid w:val="003502AB"/>
    <w:rsid w:val="00351D88"/>
    <w:rsid w:val="003531BD"/>
    <w:rsid w:val="00362A28"/>
    <w:rsid w:val="00380B55"/>
    <w:rsid w:val="003832D9"/>
    <w:rsid w:val="0039345B"/>
    <w:rsid w:val="0039758A"/>
    <w:rsid w:val="003A0D65"/>
    <w:rsid w:val="003B1C79"/>
    <w:rsid w:val="003D4561"/>
    <w:rsid w:val="003E0862"/>
    <w:rsid w:val="0040155D"/>
    <w:rsid w:val="0041079B"/>
    <w:rsid w:val="00414FDB"/>
    <w:rsid w:val="00415A5E"/>
    <w:rsid w:val="0041713E"/>
    <w:rsid w:val="00421D3F"/>
    <w:rsid w:val="00423785"/>
    <w:rsid w:val="00425248"/>
    <w:rsid w:val="00452D26"/>
    <w:rsid w:val="004531F1"/>
    <w:rsid w:val="004636A5"/>
    <w:rsid w:val="0047339E"/>
    <w:rsid w:val="00480692"/>
    <w:rsid w:val="00481F0C"/>
    <w:rsid w:val="004A06CD"/>
    <w:rsid w:val="004A4B6F"/>
    <w:rsid w:val="004A4CF9"/>
    <w:rsid w:val="004C321A"/>
    <w:rsid w:val="004D2965"/>
    <w:rsid w:val="004D2D9D"/>
    <w:rsid w:val="004F3D4B"/>
    <w:rsid w:val="005004FE"/>
    <w:rsid w:val="005035C4"/>
    <w:rsid w:val="0052265B"/>
    <w:rsid w:val="00522A6B"/>
    <w:rsid w:val="005259F7"/>
    <w:rsid w:val="005268CD"/>
    <w:rsid w:val="0053044F"/>
    <w:rsid w:val="00536FF1"/>
    <w:rsid w:val="00545120"/>
    <w:rsid w:val="00562443"/>
    <w:rsid w:val="0057671A"/>
    <w:rsid w:val="00587578"/>
    <w:rsid w:val="005A75C9"/>
    <w:rsid w:val="005A7AD2"/>
    <w:rsid w:val="005B187D"/>
    <w:rsid w:val="005B2619"/>
    <w:rsid w:val="005D32E0"/>
    <w:rsid w:val="005E7B0F"/>
    <w:rsid w:val="00606975"/>
    <w:rsid w:val="0061597B"/>
    <w:rsid w:val="006232DC"/>
    <w:rsid w:val="0063094F"/>
    <w:rsid w:val="00635DAE"/>
    <w:rsid w:val="006608D2"/>
    <w:rsid w:val="00660D27"/>
    <w:rsid w:val="0066438B"/>
    <w:rsid w:val="00672FBE"/>
    <w:rsid w:val="00693B8E"/>
    <w:rsid w:val="00697CAF"/>
    <w:rsid w:val="006A3121"/>
    <w:rsid w:val="006A7F70"/>
    <w:rsid w:val="006B039C"/>
    <w:rsid w:val="006D67F3"/>
    <w:rsid w:val="006F1FFF"/>
    <w:rsid w:val="006F228C"/>
    <w:rsid w:val="006F6D10"/>
    <w:rsid w:val="00712B94"/>
    <w:rsid w:val="00717590"/>
    <w:rsid w:val="00720ACE"/>
    <w:rsid w:val="007228FA"/>
    <w:rsid w:val="007609D5"/>
    <w:rsid w:val="007B02C2"/>
    <w:rsid w:val="007B2126"/>
    <w:rsid w:val="007B2CA1"/>
    <w:rsid w:val="007D0ABC"/>
    <w:rsid w:val="007D266F"/>
    <w:rsid w:val="007D4FF9"/>
    <w:rsid w:val="007F25A8"/>
    <w:rsid w:val="008042F5"/>
    <w:rsid w:val="008117AA"/>
    <w:rsid w:val="008149B8"/>
    <w:rsid w:val="00822C94"/>
    <w:rsid w:val="00836085"/>
    <w:rsid w:val="00855290"/>
    <w:rsid w:val="008565AF"/>
    <w:rsid w:val="00857F98"/>
    <w:rsid w:val="008666AF"/>
    <w:rsid w:val="00884D7B"/>
    <w:rsid w:val="00886959"/>
    <w:rsid w:val="0089362A"/>
    <w:rsid w:val="00893A34"/>
    <w:rsid w:val="008A27DA"/>
    <w:rsid w:val="008A36E1"/>
    <w:rsid w:val="008A37A7"/>
    <w:rsid w:val="008A5263"/>
    <w:rsid w:val="008A6FB6"/>
    <w:rsid w:val="008B0736"/>
    <w:rsid w:val="008C7720"/>
    <w:rsid w:val="008E70F5"/>
    <w:rsid w:val="008F1EF4"/>
    <w:rsid w:val="008F2AB8"/>
    <w:rsid w:val="00902355"/>
    <w:rsid w:val="009162BA"/>
    <w:rsid w:val="00921BBD"/>
    <w:rsid w:val="00950B06"/>
    <w:rsid w:val="00952333"/>
    <w:rsid w:val="00954C67"/>
    <w:rsid w:val="0096275C"/>
    <w:rsid w:val="00970069"/>
    <w:rsid w:val="009721EB"/>
    <w:rsid w:val="0097429D"/>
    <w:rsid w:val="00980ACA"/>
    <w:rsid w:val="009848F6"/>
    <w:rsid w:val="009B49E0"/>
    <w:rsid w:val="009B5804"/>
    <w:rsid w:val="009B706E"/>
    <w:rsid w:val="009C0144"/>
    <w:rsid w:val="009C0AA0"/>
    <w:rsid w:val="009C423A"/>
    <w:rsid w:val="009D7203"/>
    <w:rsid w:val="009E1DBE"/>
    <w:rsid w:val="009E79ED"/>
    <w:rsid w:val="00A01D68"/>
    <w:rsid w:val="00A07596"/>
    <w:rsid w:val="00A16FC5"/>
    <w:rsid w:val="00A17A08"/>
    <w:rsid w:val="00A24545"/>
    <w:rsid w:val="00A32BE8"/>
    <w:rsid w:val="00A40D52"/>
    <w:rsid w:val="00A52B6E"/>
    <w:rsid w:val="00A53F36"/>
    <w:rsid w:val="00A60673"/>
    <w:rsid w:val="00A75534"/>
    <w:rsid w:val="00A901F1"/>
    <w:rsid w:val="00A9504D"/>
    <w:rsid w:val="00AA259E"/>
    <w:rsid w:val="00AC070E"/>
    <w:rsid w:val="00AC1872"/>
    <w:rsid w:val="00AC7CAA"/>
    <w:rsid w:val="00AD20F7"/>
    <w:rsid w:val="00AD631F"/>
    <w:rsid w:val="00AD79C8"/>
    <w:rsid w:val="00AE21FF"/>
    <w:rsid w:val="00AF1F18"/>
    <w:rsid w:val="00AF29FD"/>
    <w:rsid w:val="00AF2D65"/>
    <w:rsid w:val="00AF5D3C"/>
    <w:rsid w:val="00B06326"/>
    <w:rsid w:val="00B0726E"/>
    <w:rsid w:val="00B219D1"/>
    <w:rsid w:val="00B2281C"/>
    <w:rsid w:val="00B408F7"/>
    <w:rsid w:val="00B44A48"/>
    <w:rsid w:val="00B515B5"/>
    <w:rsid w:val="00B70CA3"/>
    <w:rsid w:val="00B81FA4"/>
    <w:rsid w:val="00B8794C"/>
    <w:rsid w:val="00B95EF4"/>
    <w:rsid w:val="00BA7BBE"/>
    <w:rsid w:val="00BB0741"/>
    <w:rsid w:val="00BB6509"/>
    <w:rsid w:val="00BC248C"/>
    <w:rsid w:val="00BD1CC5"/>
    <w:rsid w:val="00BF007B"/>
    <w:rsid w:val="00C01EC0"/>
    <w:rsid w:val="00C12907"/>
    <w:rsid w:val="00C244EE"/>
    <w:rsid w:val="00C342AA"/>
    <w:rsid w:val="00C378DA"/>
    <w:rsid w:val="00C52A3C"/>
    <w:rsid w:val="00C540EC"/>
    <w:rsid w:val="00C60953"/>
    <w:rsid w:val="00C613C3"/>
    <w:rsid w:val="00C72224"/>
    <w:rsid w:val="00C75706"/>
    <w:rsid w:val="00C8518D"/>
    <w:rsid w:val="00C909EE"/>
    <w:rsid w:val="00C9201C"/>
    <w:rsid w:val="00C93076"/>
    <w:rsid w:val="00C93AE1"/>
    <w:rsid w:val="00CA4815"/>
    <w:rsid w:val="00CA4C71"/>
    <w:rsid w:val="00CA7BFA"/>
    <w:rsid w:val="00CC4E00"/>
    <w:rsid w:val="00CC5643"/>
    <w:rsid w:val="00CD5DED"/>
    <w:rsid w:val="00CE7481"/>
    <w:rsid w:val="00CF534A"/>
    <w:rsid w:val="00CF6562"/>
    <w:rsid w:val="00D06362"/>
    <w:rsid w:val="00D126F2"/>
    <w:rsid w:val="00D15320"/>
    <w:rsid w:val="00D24488"/>
    <w:rsid w:val="00D3179C"/>
    <w:rsid w:val="00D45DF3"/>
    <w:rsid w:val="00D4624B"/>
    <w:rsid w:val="00D46E54"/>
    <w:rsid w:val="00D5688A"/>
    <w:rsid w:val="00D70064"/>
    <w:rsid w:val="00D759EB"/>
    <w:rsid w:val="00D86284"/>
    <w:rsid w:val="00D9228E"/>
    <w:rsid w:val="00D94E36"/>
    <w:rsid w:val="00DA5C31"/>
    <w:rsid w:val="00DB058E"/>
    <w:rsid w:val="00DC0F2B"/>
    <w:rsid w:val="00DC540B"/>
    <w:rsid w:val="00DC5980"/>
    <w:rsid w:val="00DD2B46"/>
    <w:rsid w:val="00DD5FD5"/>
    <w:rsid w:val="00DE4D37"/>
    <w:rsid w:val="00DF5AF3"/>
    <w:rsid w:val="00DF7C6E"/>
    <w:rsid w:val="00E010F1"/>
    <w:rsid w:val="00E016CD"/>
    <w:rsid w:val="00E05F6D"/>
    <w:rsid w:val="00E06ED6"/>
    <w:rsid w:val="00E32AB7"/>
    <w:rsid w:val="00E33BC6"/>
    <w:rsid w:val="00E33E78"/>
    <w:rsid w:val="00E35C4A"/>
    <w:rsid w:val="00E502DC"/>
    <w:rsid w:val="00E50F76"/>
    <w:rsid w:val="00E529E5"/>
    <w:rsid w:val="00E545A8"/>
    <w:rsid w:val="00E61427"/>
    <w:rsid w:val="00E67FC0"/>
    <w:rsid w:val="00E90FAC"/>
    <w:rsid w:val="00EB4C2F"/>
    <w:rsid w:val="00EB6DFF"/>
    <w:rsid w:val="00EC5BC9"/>
    <w:rsid w:val="00EC7A75"/>
    <w:rsid w:val="00ED0DDF"/>
    <w:rsid w:val="00ED4110"/>
    <w:rsid w:val="00F02D1E"/>
    <w:rsid w:val="00F1000D"/>
    <w:rsid w:val="00F311A4"/>
    <w:rsid w:val="00F3278D"/>
    <w:rsid w:val="00F577A5"/>
    <w:rsid w:val="00F602E0"/>
    <w:rsid w:val="00F81FC0"/>
    <w:rsid w:val="00F82C2C"/>
    <w:rsid w:val="00F85913"/>
    <w:rsid w:val="00F93426"/>
    <w:rsid w:val="00F95767"/>
    <w:rsid w:val="00F95E98"/>
    <w:rsid w:val="00FA5823"/>
    <w:rsid w:val="00FB2061"/>
    <w:rsid w:val="00FC08D2"/>
    <w:rsid w:val="00FC1107"/>
    <w:rsid w:val="00FD4D6E"/>
    <w:rsid w:val="00FD6383"/>
    <w:rsid w:val="00FF5BC8"/>
    <w:rsid w:val="1323A51C"/>
    <w:rsid w:val="19901A1C"/>
    <w:rsid w:val="2C2CCC35"/>
    <w:rsid w:val="5D271A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A7E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BBB"/>
    <w:pPr>
      <w:spacing w:before="200" w:after="200"/>
    </w:pPr>
    <w:rPr>
      <w:rFonts w:ascii="Aptos" w:hAnsi="Aptos"/>
    </w:rPr>
  </w:style>
  <w:style w:type="paragraph" w:styleId="Heading1">
    <w:name w:val="heading 1"/>
    <w:basedOn w:val="Normal"/>
    <w:next w:val="Normal"/>
    <w:link w:val="Heading1Char"/>
    <w:uiPriority w:val="9"/>
    <w:qFormat/>
    <w:rsid w:val="008F1EF4"/>
    <w:pPr>
      <w:keepNext/>
      <w:keepLines/>
      <w:spacing w:before="2720" w:after="0" w:line="640" w:lineRule="exact"/>
      <w:ind w:left="1332" w:right="1701"/>
      <w:outlineLvl w:val="0"/>
    </w:pPr>
    <w:rPr>
      <w:rFonts w:ascii="Aptos Display" w:eastAsiaTheme="majorEastAsia" w:hAnsi="Aptos Display" w:cstheme="majorBidi"/>
      <w:b/>
      <w:sz w:val="60"/>
      <w:szCs w:val="32"/>
    </w:rPr>
  </w:style>
  <w:style w:type="paragraph" w:styleId="Heading2">
    <w:name w:val="heading 2"/>
    <w:basedOn w:val="Normal"/>
    <w:next w:val="Normal"/>
    <w:link w:val="Heading2Char"/>
    <w:uiPriority w:val="9"/>
    <w:unhideWhenUsed/>
    <w:qFormat/>
    <w:rsid w:val="00D3179C"/>
    <w:pPr>
      <w:keepNext/>
      <w:keepLines/>
      <w:spacing w:before="720" w:after="160"/>
      <w:outlineLvl w:val="1"/>
    </w:pPr>
    <w:rPr>
      <w:rFonts w:ascii="Aptos Display" w:eastAsiaTheme="majorEastAsia" w:hAnsi="Aptos Display" w:cstheme="majorBidi"/>
      <w:color w:val="0060A1" w:themeColor="accent3"/>
      <w:sz w:val="44"/>
      <w:szCs w:val="26"/>
    </w:rPr>
  </w:style>
  <w:style w:type="paragraph" w:styleId="Heading3">
    <w:name w:val="heading 3"/>
    <w:basedOn w:val="Normal"/>
    <w:next w:val="Normal"/>
    <w:link w:val="Heading3Char"/>
    <w:uiPriority w:val="9"/>
    <w:unhideWhenUsed/>
    <w:qFormat/>
    <w:rsid w:val="00AA259E"/>
    <w:pPr>
      <w:keepNext/>
      <w:keepLines/>
      <w:spacing w:before="320" w:after="60"/>
      <w:outlineLvl w:val="2"/>
    </w:pPr>
    <w:rPr>
      <w:rFonts w:ascii="Aptos Display" w:eastAsiaTheme="majorEastAsia" w:hAnsi="Aptos Display" w:cstheme="majorBidi"/>
      <w:b/>
      <w:color w:val="1B2163" w:themeColor="text2"/>
      <w:sz w:val="32"/>
      <w:szCs w:val="24"/>
    </w:rPr>
  </w:style>
  <w:style w:type="paragraph" w:styleId="Heading4">
    <w:name w:val="heading 4"/>
    <w:basedOn w:val="Normal"/>
    <w:next w:val="Normal"/>
    <w:link w:val="Heading4Char"/>
    <w:uiPriority w:val="9"/>
    <w:unhideWhenUsed/>
    <w:qFormat/>
    <w:rsid w:val="00AA259E"/>
    <w:pPr>
      <w:keepNext/>
      <w:keepLines/>
      <w:spacing w:before="360" w:after="0"/>
      <w:outlineLvl w:val="3"/>
    </w:pPr>
    <w:rPr>
      <w:rFonts w:ascii="Aptos Display" w:eastAsiaTheme="majorEastAsia" w:hAnsi="Aptos Display" w:cstheme="majorBidi"/>
      <w:b/>
      <w:iCs/>
      <w:color w:val="002B48" w:themeColor="text1"/>
      <w:sz w:val="28"/>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2AC893"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60A1"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1EF4"/>
    <w:rPr>
      <w:rFonts w:ascii="Aptos Display" w:eastAsiaTheme="majorEastAsia" w:hAnsi="Aptos Display" w:cstheme="majorBidi"/>
      <w:b/>
      <w:sz w:val="60"/>
      <w:szCs w:val="32"/>
    </w:rPr>
  </w:style>
  <w:style w:type="character" w:customStyle="1" w:styleId="Heading2Char">
    <w:name w:val="Heading 2 Char"/>
    <w:basedOn w:val="DefaultParagraphFont"/>
    <w:link w:val="Heading2"/>
    <w:uiPriority w:val="9"/>
    <w:rsid w:val="00D3179C"/>
    <w:rPr>
      <w:rFonts w:ascii="Aptos Display" w:eastAsiaTheme="majorEastAsia" w:hAnsi="Aptos Display" w:cstheme="majorBidi"/>
      <w:color w:val="0060A1" w:themeColor="accent3"/>
      <w:sz w:val="44"/>
      <w:szCs w:val="26"/>
    </w:rPr>
  </w:style>
  <w:style w:type="character" w:customStyle="1" w:styleId="Heading3Char">
    <w:name w:val="Heading 3 Char"/>
    <w:basedOn w:val="DefaultParagraphFont"/>
    <w:link w:val="Heading3"/>
    <w:uiPriority w:val="9"/>
    <w:rsid w:val="00AA259E"/>
    <w:rPr>
      <w:rFonts w:ascii="Aptos Display" w:eastAsiaTheme="majorEastAsia" w:hAnsi="Aptos Display" w:cstheme="majorBidi"/>
      <w:b/>
      <w:color w:val="1B2163" w:themeColor="text2"/>
      <w:sz w:val="32"/>
      <w:szCs w:val="24"/>
    </w:rPr>
  </w:style>
  <w:style w:type="character" w:customStyle="1" w:styleId="Heading4Char">
    <w:name w:val="Heading 4 Char"/>
    <w:basedOn w:val="DefaultParagraphFont"/>
    <w:link w:val="Heading4"/>
    <w:uiPriority w:val="9"/>
    <w:rsid w:val="00AA259E"/>
    <w:rPr>
      <w:rFonts w:ascii="Aptos Display" w:eastAsiaTheme="majorEastAsia" w:hAnsi="Aptos Display" w:cstheme="majorBidi"/>
      <w:b/>
      <w:iCs/>
      <w:color w:val="002B48" w:themeColor="text1"/>
      <w:sz w:val="28"/>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35"/>
    <w:qFormat/>
    <w:rsid w:val="009E1DBE"/>
    <w:pPr>
      <w:spacing w:after="120" w:line="240" w:lineRule="auto"/>
    </w:pPr>
    <w:rPr>
      <w:rFonts w:ascii="Aptos Display" w:hAnsi="Aptos Display"/>
      <w:b/>
      <w:iCs/>
      <w:color w:val="1B2163"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2AC893" w:themeColor="accent2"/>
    </w:rPr>
  </w:style>
  <w:style w:type="paragraph" w:styleId="Subtitle">
    <w:name w:val="Subtitle"/>
    <w:basedOn w:val="Normal"/>
    <w:next w:val="Normal"/>
    <w:link w:val="SubtitleChar"/>
    <w:uiPriority w:val="11"/>
    <w:qFormat/>
    <w:rsid w:val="008F1EF4"/>
    <w:pPr>
      <w:numPr>
        <w:ilvl w:val="1"/>
      </w:numPr>
      <w:spacing w:before="360" w:after="140"/>
      <w:ind w:left="1332"/>
    </w:pPr>
    <w:rPr>
      <w:rFonts w:ascii="Aptos Display" w:eastAsiaTheme="minorEastAsia" w:hAnsi="Aptos Display"/>
      <w:color w:val="004878" w:themeColor="accent1"/>
      <w:spacing w:val="15"/>
      <w:sz w:val="36"/>
      <w:szCs w:val="36"/>
    </w:rPr>
  </w:style>
  <w:style w:type="character" w:customStyle="1" w:styleId="SubtitleChar">
    <w:name w:val="Subtitle Char"/>
    <w:basedOn w:val="DefaultParagraphFont"/>
    <w:link w:val="Subtitle"/>
    <w:uiPriority w:val="11"/>
    <w:rsid w:val="008F1EF4"/>
    <w:rPr>
      <w:rFonts w:ascii="Aptos Display" w:eastAsiaTheme="minorEastAsia" w:hAnsi="Aptos Display"/>
      <w:color w:val="004878" w:themeColor="accent1"/>
      <w:spacing w:val="15"/>
      <w:sz w:val="36"/>
      <w:szCs w:val="36"/>
    </w:rPr>
  </w:style>
  <w:style w:type="paragraph" w:styleId="List">
    <w:name w:val="List"/>
    <w:basedOn w:val="Normal"/>
    <w:uiPriority w:val="98"/>
    <w:qFormat/>
    <w:rsid w:val="00F602E0"/>
    <w:pPr>
      <w:numPr>
        <w:numId w:val="38"/>
      </w:numPr>
      <w:spacing w:before="0" w:after="100"/>
    </w:pPr>
  </w:style>
  <w:style w:type="paragraph" w:styleId="List2">
    <w:name w:val="List 2"/>
    <w:basedOn w:val="Normal"/>
    <w:uiPriority w:val="98"/>
    <w:semiHidden/>
    <w:qFormat/>
    <w:rsid w:val="00F85913"/>
    <w:pPr>
      <w:numPr>
        <w:ilvl w:val="1"/>
        <w:numId w:val="19"/>
      </w:numPr>
      <w:contextualSpacing/>
    </w:pPr>
  </w:style>
  <w:style w:type="paragraph" w:styleId="List3">
    <w:name w:val="List 3"/>
    <w:basedOn w:val="Normal"/>
    <w:uiPriority w:val="98"/>
    <w:semiHidden/>
    <w:qFormat/>
    <w:rsid w:val="00BC248C"/>
    <w:pPr>
      <w:numPr>
        <w:ilvl w:val="2"/>
        <w:numId w:val="19"/>
      </w:numPr>
      <w:contextualSpacing/>
    </w:pPr>
  </w:style>
  <w:style w:type="paragraph" w:styleId="List4">
    <w:name w:val="List 4"/>
    <w:basedOn w:val="Normal"/>
    <w:uiPriority w:val="98"/>
    <w:semiHidden/>
    <w:qFormat/>
    <w:rsid w:val="00BC248C"/>
    <w:pPr>
      <w:numPr>
        <w:ilvl w:val="3"/>
        <w:numId w:val="19"/>
      </w:numPr>
      <w:contextualSpacing/>
    </w:pPr>
  </w:style>
  <w:style w:type="paragraph" w:styleId="ListNumber">
    <w:name w:val="List Number"/>
    <w:basedOn w:val="Normal"/>
    <w:uiPriority w:val="98"/>
    <w:qFormat/>
    <w:rsid w:val="00F602E0"/>
    <w:pPr>
      <w:numPr>
        <w:numId w:val="30"/>
      </w:numPr>
      <w:spacing w:before="0" w:after="100"/>
    </w:pPr>
  </w:style>
  <w:style w:type="paragraph" w:styleId="ListNumber2">
    <w:name w:val="List Number 2"/>
    <w:basedOn w:val="Normal"/>
    <w:uiPriority w:val="98"/>
    <w:semiHidden/>
    <w:qFormat/>
    <w:rsid w:val="00276047"/>
    <w:pPr>
      <w:numPr>
        <w:ilvl w:val="1"/>
        <w:numId w:val="5"/>
      </w:numPr>
      <w:contextualSpacing/>
    </w:pPr>
  </w:style>
  <w:style w:type="paragraph" w:styleId="ListBullet3">
    <w:name w:val="List Bullet 3"/>
    <w:basedOn w:val="Normal"/>
    <w:uiPriority w:val="98"/>
    <w:semiHidden/>
    <w:qFormat/>
    <w:rsid w:val="008A36E1"/>
    <w:pPr>
      <w:numPr>
        <w:numId w:val="16"/>
      </w:numPr>
      <w:ind w:left="851" w:hanging="284"/>
      <w:contextualSpacing/>
    </w:pPr>
  </w:style>
  <w:style w:type="paragraph" w:styleId="ListNumber3">
    <w:name w:val="List Number 3"/>
    <w:basedOn w:val="Normal"/>
    <w:uiPriority w:val="98"/>
    <w:semiHidden/>
    <w:qFormat/>
    <w:rsid w:val="00950B06"/>
    <w:pPr>
      <w:numPr>
        <w:ilvl w:val="2"/>
        <w:numId w:val="5"/>
      </w:numPr>
      <w:contextualSpacing/>
    </w:pPr>
  </w:style>
  <w:style w:type="paragraph" w:styleId="ListNumber4">
    <w:name w:val="List Number 4"/>
    <w:basedOn w:val="Normal"/>
    <w:uiPriority w:val="98"/>
    <w:semiHidden/>
    <w:qFormat/>
    <w:rsid w:val="0012343A"/>
    <w:pPr>
      <w:numPr>
        <w:ilvl w:val="3"/>
        <w:numId w:val="5"/>
      </w:numPr>
      <w:contextualSpacing/>
    </w:pPr>
  </w:style>
  <w:style w:type="paragraph" w:styleId="ListBullet">
    <w:name w:val="List Bullet"/>
    <w:basedOn w:val="Normal"/>
    <w:uiPriority w:val="98"/>
    <w:qFormat/>
    <w:rsid w:val="0039758A"/>
    <w:pPr>
      <w:numPr>
        <w:numId w:val="39"/>
      </w:numPr>
      <w:spacing w:before="0" w:after="100"/>
    </w:pPr>
  </w:style>
  <w:style w:type="paragraph" w:styleId="ListBullet2">
    <w:name w:val="List Bullet 2"/>
    <w:basedOn w:val="Normal"/>
    <w:uiPriority w:val="98"/>
    <w:semiHidden/>
    <w:qFormat/>
    <w:rsid w:val="00C75706"/>
    <w:pPr>
      <w:numPr>
        <w:ilvl w:val="1"/>
        <w:numId w:val="1"/>
      </w:numPr>
      <w:ind w:left="568" w:hanging="284"/>
      <w:contextualSpacing/>
    </w:pPr>
  </w:style>
  <w:style w:type="paragraph" w:styleId="ListBullet4">
    <w:name w:val="List Bullet 4"/>
    <w:basedOn w:val="Normal"/>
    <w:uiPriority w:val="98"/>
    <w:semiHidden/>
    <w:qFormat/>
    <w:rsid w:val="00C75706"/>
    <w:pPr>
      <w:numPr>
        <w:numId w:val="14"/>
      </w:numPr>
      <w:ind w:left="1135" w:hanging="284"/>
      <w:contextualSpacing/>
    </w:pPr>
  </w:style>
  <w:style w:type="paragraph" w:styleId="Quote">
    <w:name w:val="Quote"/>
    <w:basedOn w:val="Normal"/>
    <w:next w:val="Normal"/>
    <w:link w:val="QuoteChar"/>
    <w:uiPriority w:val="29"/>
    <w:qFormat/>
    <w:rsid w:val="009E1DBE"/>
    <w:pPr>
      <w:ind w:left="864" w:right="864"/>
      <w:jc w:val="center"/>
    </w:pPr>
    <w:rPr>
      <w:rFonts w:ascii="Aptos Serif" w:hAnsi="Aptos Serif"/>
      <w:iCs/>
      <w:color w:val="5F6369"/>
    </w:rPr>
  </w:style>
  <w:style w:type="character" w:customStyle="1" w:styleId="QuoteChar">
    <w:name w:val="Quote Char"/>
    <w:basedOn w:val="DefaultParagraphFont"/>
    <w:link w:val="Quote"/>
    <w:uiPriority w:val="29"/>
    <w:rsid w:val="009E1DBE"/>
    <w:rPr>
      <w:rFonts w:ascii="Aptos Serif" w:hAnsi="Aptos Serif"/>
      <w:iCs/>
      <w:color w:val="5F6369"/>
    </w:rPr>
  </w:style>
  <w:style w:type="table" w:customStyle="1" w:styleId="EDU-Basic">
    <w:name w:val="EDU - Basic"/>
    <w:basedOn w:val="TableNormal"/>
    <w:uiPriority w:val="99"/>
    <w:rsid w:val="0015725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1B2163"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44E4F"/>
    <w:pPr>
      <w:tabs>
        <w:tab w:val="right" w:leader="dot" w:pos="9214"/>
      </w:tabs>
      <w:spacing w:after="100"/>
    </w:pPr>
  </w:style>
  <w:style w:type="paragraph" w:styleId="TOC2">
    <w:name w:val="toc 2"/>
    <w:basedOn w:val="Normal"/>
    <w:next w:val="Normal"/>
    <w:autoRedefine/>
    <w:uiPriority w:val="39"/>
    <w:unhideWhenUsed/>
    <w:rsid w:val="00256A9F"/>
    <w:pPr>
      <w:tabs>
        <w:tab w:val="right" w:leader="dot" w:pos="9214"/>
      </w:tabs>
      <w:spacing w:after="100"/>
      <w:ind w:left="220"/>
    </w:pPr>
  </w:style>
  <w:style w:type="paragraph" w:styleId="TOC3">
    <w:name w:val="toc 3"/>
    <w:basedOn w:val="Normal"/>
    <w:next w:val="Normal"/>
    <w:autoRedefine/>
    <w:uiPriority w:val="39"/>
    <w:unhideWhenUsed/>
    <w:rsid w:val="00256A9F"/>
    <w:pPr>
      <w:tabs>
        <w:tab w:val="right" w:leader="dot" w:pos="9214"/>
      </w:tabs>
      <w:spacing w:after="100"/>
      <w:ind w:left="440"/>
    </w:pPr>
  </w:style>
  <w:style w:type="paragraph" w:styleId="TOCHeading">
    <w:name w:val="TOC Heading"/>
    <w:basedOn w:val="Heading1"/>
    <w:next w:val="Normal"/>
    <w:uiPriority w:val="39"/>
    <w:unhideWhenUsed/>
    <w:qFormat/>
    <w:rsid w:val="00D06362"/>
    <w:pPr>
      <w:spacing w:before="0" w:after="240" w:line="259" w:lineRule="auto"/>
      <w:ind w:left="0"/>
      <w:outlineLvl w:val="9"/>
    </w:pPr>
    <w:rPr>
      <w:color w:val="1B2163" w:themeColor="text2"/>
      <w:sz w:val="44"/>
      <w:lang w:val="en-US"/>
    </w:rPr>
  </w:style>
  <w:style w:type="numbering" w:customStyle="1" w:styleId="ListAlpha-ListStyle">
    <w:name w:val="List Alpha - List Style"/>
    <w:uiPriority w:val="99"/>
    <w:rsid w:val="00F602E0"/>
    <w:pPr>
      <w:numPr>
        <w:numId w:val="20"/>
      </w:numPr>
    </w:pPr>
  </w:style>
  <w:style w:type="numbering" w:customStyle="1" w:styleId="ListBullet-ListStyle">
    <w:name w:val="List Bullet - List Style"/>
    <w:uiPriority w:val="99"/>
    <w:rsid w:val="0039758A"/>
    <w:pPr>
      <w:numPr>
        <w:numId w:val="26"/>
      </w:numPr>
    </w:pPr>
  </w:style>
  <w:style w:type="numbering" w:customStyle="1" w:styleId="ListNumber-ListStyle">
    <w:name w:val="List Number - List Style"/>
    <w:uiPriority w:val="99"/>
    <w:rsid w:val="00F602E0"/>
    <w:pPr>
      <w:numPr>
        <w:numId w:val="30"/>
      </w:numPr>
    </w:pPr>
  </w:style>
  <w:style w:type="paragraph" w:customStyle="1" w:styleId="Normal-AfterHeadings">
    <w:name w:val="Normal - After Headings"/>
    <w:basedOn w:val="Normal"/>
    <w:qFormat/>
    <w:rsid w:val="00246DFC"/>
    <w:pPr>
      <w:spacing w:before="0"/>
    </w:pPr>
  </w:style>
  <w:style w:type="paragraph" w:styleId="ListParagraph">
    <w:name w:val="List Paragraph"/>
    <w:basedOn w:val="Normal"/>
    <w:uiPriority w:val="34"/>
    <w:qFormat/>
    <w:rsid w:val="00DF7C6E"/>
    <w:pPr>
      <w:ind w:left="720"/>
      <w:contextualSpacing/>
    </w:pPr>
  </w:style>
  <w:style w:type="paragraph" w:styleId="EndnoteText">
    <w:name w:val="endnote text"/>
    <w:basedOn w:val="Normal"/>
    <w:link w:val="EndnoteTextChar"/>
    <w:uiPriority w:val="99"/>
    <w:semiHidden/>
    <w:unhideWhenUsed/>
    <w:rsid w:val="00E90FAC"/>
    <w:pPr>
      <w:spacing w:before="0" w:after="0" w:line="240" w:lineRule="auto"/>
    </w:pPr>
    <w:rPr>
      <w:rFonts w:ascii="Aptos Display" w:hAnsi="Aptos Display"/>
      <w:sz w:val="20"/>
      <w:szCs w:val="20"/>
    </w:rPr>
  </w:style>
  <w:style w:type="character" w:customStyle="1" w:styleId="EndnoteTextChar">
    <w:name w:val="Endnote Text Char"/>
    <w:basedOn w:val="DefaultParagraphFont"/>
    <w:link w:val="EndnoteText"/>
    <w:uiPriority w:val="99"/>
    <w:semiHidden/>
    <w:rsid w:val="00E90FAC"/>
    <w:rPr>
      <w:rFonts w:ascii="Aptos Display" w:hAnsi="Aptos Display"/>
      <w:sz w:val="20"/>
      <w:szCs w:val="20"/>
    </w:rPr>
  </w:style>
  <w:style w:type="character" w:styleId="EndnoteReference">
    <w:name w:val="endnote reference"/>
    <w:basedOn w:val="DefaultParagraphFont"/>
    <w:uiPriority w:val="99"/>
    <w:semiHidden/>
    <w:unhideWhenUsed/>
    <w:rsid w:val="00E90FAC"/>
    <w:rPr>
      <w:vertAlign w:val="superscript"/>
    </w:rPr>
  </w:style>
  <w:style w:type="paragraph" w:styleId="Revision">
    <w:name w:val="Revision"/>
    <w:hidden/>
    <w:uiPriority w:val="99"/>
    <w:semiHidden/>
    <w:rsid w:val="003E0862"/>
    <w:pPr>
      <w:spacing w:after="0" w:line="240" w:lineRule="auto"/>
    </w:pPr>
    <w:rPr>
      <w:rFonts w:ascii="Aptos" w:hAnsi="Aptos"/>
    </w:rPr>
  </w:style>
  <w:style w:type="table" w:styleId="GridTable4-Accent1">
    <w:name w:val="Grid Table 4 Accent 1"/>
    <w:basedOn w:val="TableNormal"/>
    <w:uiPriority w:val="49"/>
    <w:rsid w:val="00C909EE"/>
    <w:pPr>
      <w:spacing w:after="0" w:line="240" w:lineRule="auto"/>
    </w:pPr>
    <w:rPr>
      <w:kern w:val="2"/>
      <w14:ligatures w14:val="standardContextual"/>
    </w:rPr>
    <w:tblPr>
      <w:tblStyleRowBandSize w:val="1"/>
      <w:tblStyleColBandSize w:val="1"/>
      <w:tblBorders>
        <w:top w:val="single" w:sz="4" w:space="0" w:color="006CB5" w:themeColor="text1" w:themeTint="BF"/>
        <w:left w:val="single" w:sz="4" w:space="0" w:color="006CB5" w:themeColor="text1" w:themeTint="BF"/>
        <w:bottom w:val="single" w:sz="4" w:space="0" w:color="006CB5" w:themeColor="text1" w:themeTint="BF"/>
        <w:right w:val="single" w:sz="4" w:space="0" w:color="006CB5" w:themeColor="text1" w:themeTint="BF"/>
        <w:insideH w:val="single" w:sz="4" w:space="0" w:color="006CB5" w:themeColor="text1" w:themeTint="BF"/>
        <w:insideV w:val="single" w:sz="4" w:space="0" w:color="006CB5" w:themeColor="text1" w:themeTint="BF"/>
      </w:tblBorders>
    </w:tblPr>
    <w:tblStylePr w:type="firstRow">
      <w:rPr>
        <w:b/>
        <w:bCs/>
        <w:color w:val="FFFFFF" w:themeColor="background1"/>
      </w:rPr>
      <w:tblPr/>
      <w:tcPr>
        <w:tcBorders>
          <w:top w:val="single" w:sz="4" w:space="0" w:color="004878" w:themeColor="accent1"/>
          <w:left w:val="single" w:sz="4" w:space="0" w:color="004878" w:themeColor="accent1"/>
          <w:bottom w:val="single" w:sz="4" w:space="0" w:color="004878" w:themeColor="accent1"/>
          <w:right w:val="single" w:sz="4" w:space="0" w:color="004878" w:themeColor="accent1"/>
          <w:insideH w:val="nil"/>
          <w:insideV w:val="nil"/>
        </w:tcBorders>
        <w:shd w:val="clear" w:color="auto" w:fill="004878" w:themeFill="accent1"/>
      </w:tcPr>
    </w:tblStylePr>
    <w:tblStylePr w:type="lastRow">
      <w:rPr>
        <w:b/>
        <w:bCs/>
      </w:rPr>
      <w:tblPr/>
      <w:tcPr>
        <w:tcBorders>
          <w:top w:val="double" w:sz="4" w:space="0" w:color="004878" w:themeColor="accent1"/>
        </w:tcBorders>
      </w:tcPr>
    </w:tblStylePr>
    <w:tblStylePr w:type="firstCol">
      <w:rPr>
        <w:b/>
        <w:bCs/>
      </w:rPr>
    </w:tblStylePr>
    <w:tblStylePr w:type="lastCol">
      <w:rPr>
        <w:b/>
        <w:bCs/>
      </w:rPr>
    </w:tblStylePr>
    <w:tblStylePr w:type="band1Vert">
      <w:tblPr/>
      <w:tcPr>
        <w:shd w:val="clear" w:color="auto" w:fill="B1DFFF" w:themeFill="accent1" w:themeFillTint="33"/>
      </w:tcPr>
    </w:tblStylePr>
    <w:tblStylePr w:type="band1Horz">
      <w:tblPr/>
      <w:tcPr>
        <w:shd w:val="clear" w:color="auto" w:fill="B1DF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o.gov.au/about-ato/tax-avoidance/the-fight-against-tax-crime/our-focus/illegal-phoenix-activity/phoenix-taskfor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Custom 4">
      <a:dk1>
        <a:srgbClr val="002B48"/>
      </a:dk1>
      <a:lt1>
        <a:sysClr val="window" lastClr="FFFFFF"/>
      </a:lt1>
      <a:dk2>
        <a:srgbClr val="1B2163"/>
      </a:dk2>
      <a:lt2>
        <a:srgbClr val="2585A3"/>
      </a:lt2>
      <a:accent1>
        <a:srgbClr val="004878"/>
      </a:accent1>
      <a:accent2>
        <a:srgbClr val="2AC893"/>
      </a:accent2>
      <a:accent3>
        <a:srgbClr val="0060A1"/>
      </a:accent3>
      <a:accent4>
        <a:srgbClr val="DB88CF"/>
      </a:accent4>
      <a:accent5>
        <a:srgbClr val="004878"/>
      </a:accent5>
      <a:accent6>
        <a:srgbClr val="262165"/>
      </a:accent6>
      <a:hlink>
        <a:srgbClr val="0060A1"/>
      </a:hlink>
      <a:folHlink>
        <a:srgbClr val="611D5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5679</Words>
  <Characters>32371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37975</CharactersWithSpaces>
  <SharedDoc>false</SharedDoc>
  <HLinks>
    <vt:vector size="72" baseType="variant">
      <vt:variant>
        <vt:i4>1441844</vt:i4>
      </vt:variant>
      <vt:variant>
        <vt:i4>68</vt:i4>
      </vt:variant>
      <vt:variant>
        <vt:i4>0</vt:i4>
      </vt:variant>
      <vt:variant>
        <vt:i4>5</vt:i4>
      </vt:variant>
      <vt:variant>
        <vt:lpwstr/>
      </vt:variant>
      <vt:variant>
        <vt:lpwstr>_Toc234246665</vt:lpwstr>
      </vt:variant>
      <vt:variant>
        <vt:i4>1441844</vt:i4>
      </vt:variant>
      <vt:variant>
        <vt:i4>62</vt:i4>
      </vt:variant>
      <vt:variant>
        <vt:i4>0</vt:i4>
      </vt:variant>
      <vt:variant>
        <vt:i4>5</vt:i4>
      </vt:variant>
      <vt:variant>
        <vt:lpwstr/>
      </vt:variant>
      <vt:variant>
        <vt:lpwstr>_Toc234246664</vt:lpwstr>
      </vt:variant>
      <vt:variant>
        <vt:i4>1441844</vt:i4>
      </vt:variant>
      <vt:variant>
        <vt:i4>56</vt:i4>
      </vt:variant>
      <vt:variant>
        <vt:i4>0</vt:i4>
      </vt:variant>
      <vt:variant>
        <vt:i4>5</vt:i4>
      </vt:variant>
      <vt:variant>
        <vt:lpwstr/>
      </vt:variant>
      <vt:variant>
        <vt:lpwstr>_Toc234246663</vt:lpwstr>
      </vt:variant>
      <vt:variant>
        <vt:i4>1441844</vt:i4>
      </vt:variant>
      <vt:variant>
        <vt:i4>50</vt:i4>
      </vt:variant>
      <vt:variant>
        <vt:i4>0</vt:i4>
      </vt:variant>
      <vt:variant>
        <vt:i4>5</vt:i4>
      </vt:variant>
      <vt:variant>
        <vt:lpwstr/>
      </vt:variant>
      <vt:variant>
        <vt:lpwstr>_Toc234246662</vt:lpwstr>
      </vt:variant>
      <vt:variant>
        <vt:i4>1441844</vt:i4>
      </vt:variant>
      <vt:variant>
        <vt:i4>44</vt:i4>
      </vt:variant>
      <vt:variant>
        <vt:i4>0</vt:i4>
      </vt:variant>
      <vt:variant>
        <vt:i4>5</vt:i4>
      </vt:variant>
      <vt:variant>
        <vt:lpwstr/>
      </vt:variant>
      <vt:variant>
        <vt:lpwstr>_Toc234246661</vt:lpwstr>
      </vt:variant>
      <vt:variant>
        <vt:i4>1441844</vt:i4>
      </vt:variant>
      <vt:variant>
        <vt:i4>38</vt:i4>
      </vt:variant>
      <vt:variant>
        <vt:i4>0</vt:i4>
      </vt:variant>
      <vt:variant>
        <vt:i4>5</vt:i4>
      </vt:variant>
      <vt:variant>
        <vt:lpwstr/>
      </vt:variant>
      <vt:variant>
        <vt:lpwstr>_Toc234246660</vt:lpwstr>
      </vt:variant>
      <vt:variant>
        <vt:i4>1376308</vt:i4>
      </vt:variant>
      <vt:variant>
        <vt:i4>32</vt:i4>
      </vt:variant>
      <vt:variant>
        <vt:i4>0</vt:i4>
      </vt:variant>
      <vt:variant>
        <vt:i4>5</vt:i4>
      </vt:variant>
      <vt:variant>
        <vt:lpwstr/>
      </vt:variant>
      <vt:variant>
        <vt:lpwstr>_Toc234246659</vt:lpwstr>
      </vt:variant>
      <vt:variant>
        <vt:i4>1376308</vt:i4>
      </vt:variant>
      <vt:variant>
        <vt:i4>26</vt:i4>
      </vt:variant>
      <vt:variant>
        <vt:i4>0</vt:i4>
      </vt:variant>
      <vt:variant>
        <vt:i4>5</vt:i4>
      </vt:variant>
      <vt:variant>
        <vt:lpwstr/>
      </vt:variant>
      <vt:variant>
        <vt:lpwstr>_Toc234246658</vt:lpwstr>
      </vt:variant>
      <vt:variant>
        <vt:i4>1376308</vt:i4>
      </vt:variant>
      <vt:variant>
        <vt:i4>20</vt:i4>
      </vt:variant>
      <vt:variant>
        <vt:i4>0</vt:i4>
      </vt:variant>
      <vt:variant>
        <vt:i4>5</vt:i4>
      </vt:variant>
      <vt:variant>
        <vt:lpwstr/>
      </vt:variant>
      <vt:variant>
        <vt:lpwstr>_Toc234246657</vt:lpwstr>
      </vt:variant>
      <vt:variant>
        <vt:i4>1376308</vt:i4>
      </vt:variant>
      <vt:variant>
        <vt:i4>14</vt:i4>
      </vt:variant>
      <vt:variant>
        <vt:i4>0</vt:i4>
      </vt:variant>
      <vt:variant>
        <vt:i4>5</vt:i4>
      </vt:variant>
      <vt:variant>
        <vt:lpwstr/>
      </vt:variant>
      <vt:variant>
        <vt:lpwstr>_Toc234246656</vt:lpwstr>
      </vt:variant>
      <vt:variant>
        <vt:i4>1376308</vt:i4>
      </vt:variant>
      <vt:variant>
        <vt:i4>8</vt:i4>
      </vt:variant>
      <vt:variant>
        <vt:i4>0</vt:i4>
      </vt:variant>
      <vt:variant>
        <vt:i4>5</vt:i4>
      </vt:variant>
      <vt:variant>
        <vt:lpwstr/>
      </vt:variant>
      <vt:variant>
        <vt:lpwstr>_Toc234246655</vt:lpwstr>
      </vt:variant>
      <vt:variant>
        <vt:i4>1376308</vt:i4>
      </vt:variant>
      <vt:variant>
        <vt:i4>2</vt:i4>
      </vt:variant>
      <vt:variant>
        <vt:i4>0</vt:i4>
      </vt:variant>
      <vt:variant>
        <vt:i4>5</vt:i4>
      </vt:variant>
      <vt:variant>
        <vt:lpwstr/>
      </vt:variant>
      <vt:variant>
        <vt:lpwstr>_Toc234246654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Labour Hire Senior Officials’ Working Group Final Report – National Model Law Principles for Labour Hire Regulation</dc:title>
  <dc:subject/>
  <dc:creator/>
  <cp:keywords/>
  <dc:description/>
  <cp:lastModifiedBy/>
  <cp:revision>1</cp:revision>
  <dcterms:created xsi:type="dcterms:W3CDTF">2026-08-27T04:03:00Z</dcterms:created>
  <dcterms:modified xsi:type="dcterms:W3CDTF">2026-08-27T04:04:00Z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2026-08-27T04:04:09Z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a53224a5-d01a-47c9-a700-aec72fc6e03c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