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B77BE" w14:textId="77777777" w:rsidR="001414F3" w:rsidRDefault="00182363" w:rsidP="00130923">
      <w:pPr>
        <w:pStyle w:val="BodyText"/>
      </w:pPr>
      <w:bookmarkStart w:id="0" w:name="_GoBack"/>
      <w:bookmarkEnd w:id="0"/>
      <w:r>
        <w:rPr>
          <w:noProof/>
        </w:rPr>
        <w:pict w14:anchorId="39FB7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alt="Decorative image" style="position:absolute;margin-left:0;margin-top:-73.75pt;width:601.8pt;height:874.05pt;z-index:-251657216;mso-position-horizontal:center;mso-position-horizontal-relative:text;mso-position-vertical-relative:text">
            <v:imagedata r:id="rId12" o:title="ED15-0015 Corporate Plan 2015-19_high res-Front Cover"/>
          </v:shape>
        </w:pict>
      </w:r>
      <w:r w:rsidR="0068490D">
        <w:rPr>
          <w:noProof/>
        </w:rPr>
        <w:drawing>
          <wp:inline distT="0" distB="0" distL="0" distR="0" wp14:anchorId="39FB7A16" wp14:editId="39FB7A17">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14:paraId="39FB77BF" w14:textId="77777777" w:rsidR="00686F67" w:rsidRPr="00686F67" w:rsidRDefault="00AB1761" w:rsidP="00686F67">
      <w:pPr>
        <w:pStyle w:val="Title"/>
        <w:spacing w:before="1560"/>
        <w:ind w:left="1276" w:right="-23"/>
        <w:rPr>
          <w:b w:val="0"/>
          <w:color w:val="7F7F7F" w:themeColor="background1"/>
          <w:szCs w:val="72"/>
        </w:rPr>
      </w:pPr>
      <w:r w:rsidRPr="00686F67">
        <w:rPr>
          <w:b w:val="0"/>
          <w:color w:val="7F7F7F" w:themeColor="background1"/>
          <w:szCs w:val="72"/>
        </w:rPr>
        <w:t xml:space="preserve">Department </w:t>
      </w:r>
    </w:p>
    <w:p w14:paraId="39FB77C0" w14:textId="77777777" w:rsidR="00686F67" w:rsidRPr="00686F67" w:rsidRDefault="00AB1761" w:rsidP="009542FF">
      <w:pPr>
        <w:pStyle w:val="Title"/>
        <w:spacing w:before="1920"/>
        <w:ind w:left="1276" w:right="-23"/>
        <w:rPr>
          <w:b w:val="0"/>
          <w:color w:val="7F7F7F" w:themeColor="background1"/>
          <w:szCs w:val="72"/>
        </w:rPr>
      </w:pPr>
      <w:r w:rsidRPr="00686F67">
        <w:rPr>
          <w:b w:val="0"/>
          <w:color w:val="7F7F7F" w:themeColor="background1"/>
          <w:szCs w:val="72"/>
        </w:rPr>
        <w:t xml:space="preserve">of </w:t>
      </w:r>
      <w:r w:rsidR="00BA4D57" w:rsidRPr="00686F67">
        <w:rPr>
          <w:b w:val="0"/>
          <w:color w:val="7F7F7F" w:themeColor="background1"/>
          <w:szCs w:val="72"/>
        </w:rPr>
        <w:t xml:space="preserve">Education </w:t>
      </w:r>
    </w:p>
    <w:p w14:paraId="39FB77C1" w14:textId="77777777" w:rsidR="00686F67" w:rsidRPr="00686F67" w:rsidRDefault="0068490D" w:rsidP="009542FF">
      <w:pPr>
        <w:pStyle w:val="Title"/>
        <w:spacing w:before="1920"/>
        <w:ind w:left="1276" w:right="-23"/>
        <w:rPr>
          <w:b w:val="0"/>
          <w:color w:val="7F7F7F" w:themeColor="background1"/>
          <w:szCs w:val="72"/>
        </w:rPr>
      </w:pPr>
      <w:r w:rsidRPr="00686F67">
        <w:rPr>
          <w:b w:val="0"/>
          <w:color w:val="7F7F7F" w:themeColor="background1"/>
          <w:szCs w:val="72"/>
        </w:rPr>
        <w:t xml:space="preserve">and Training </w:t>
      </w:r>
    </w:p>
    <w:p w14:paraId="39FB77C2" w14:textId="77777777" w:rsidR="00E35B9A" w:rsidRPr="00686F67" w:rsidRDefault="00E44B58" w:rsidP="009542FF">
      <w:pPr>
        <w:pStyle w:val="Title"/>
        <w:spacing w:before="1920"/>
        <w:ind w:left="1276" w:right="-23"/>
        <w:rPr>
          <w:b w:val="0"/>
          <w:color w:val="165788" w:themeColor="text2"/>
          <w:szCs w:val="72"/>
        </w:rPr>
      </w:pPr>
      <w:r w:rsidRPr="00686F67">
        <w:rPr>
          <w:b w:val="0"/>
          <w:color w:val="165788" w:themeColor="text2"/>
          <w:szCs w:val="72"/>
        </w:rPr>
        <w:t>Corporate Plan</w:t>
      </w:r>
    </w:p>
    <w:p w14:paraId="39FB77C3" w14:textId="77777777" w:rsidR="00686F67" w:rsidRPr="00686F67" w:rsidRDefault="00686F67" w:rsidP="00686F67">
      <w:pPr>
        <w:pStyle w:val="Title"/>
        <w:spacing w:before="1920"/>
        <w:ind w:left="1276" w:right="-23"/>
        <w:rPr>
          <w:rStyle w:val="Emphasis"/>
          <w:b/>
          <w:i w:val="0"/>
          <w:color w:val="165788" w:themeColor="text2"/>
          <w:szCs w:val="72"/>
        </w:rPr>
      </w:pPr>
      <w:r w:rsidRPr="00686F67">
        <w:rPr>
          <w:b w:val="0"/>
          <w:color w:val="165788" w:themeColor="text2"/>
          <w:szCs w:val="72"/>
        </w:rPr>
        <w:t>2015-19</w:t>
      </w:r>
    </w:p>
    <w:p w14:paraId="39FB77C4" w14:textId="77777777" w:rsidR="00686F67" w:rsidRPr="00B40FEB" w:rsidRDefault="00686F67" w:rsidP="00E35B9A">
      <w:pPr>
        <w:ind w:left="1276"/>
        <w:rPr>
          <w:rStyle w:val="Emphasis"/>
          <w:i w:val="0"/>
          <w:color w:val="165788" w:themeColor="accent1"/>
        </w:rPr>
      </w:pPr>
    </w:p>
    <w:p w14:paraId="39FB77C5" w14:textId="77777777" w:rsidR="00686F67" w:rsidRPr="00B40FEB" w:rsidRDefault="00686F67" w:rsidP="00E35B9A">
      <w:pPr>
        <w:ind w:left="1276"/>
        <w:rPr>
          <w:rStyle w:val="Emphasis"/>
          <w:i w:val="0"/>
          <w:color w:val="165788" w:themeColor="accent1"/>
        </w:rPr>
      </w:pPr>
    </w:p>
    <w:p w14:paraId="39FB77C6" w14:textId="77777777" w:rsidR="00686F67" w:rsidRPr="00B40FEB" w:rsidRDefault="00686F67" w:rsidP="00E35B9A">
      <w:pPr>
        <w:ind w:left="1276"/>
        <w:rPr>
          <w:rStyle w:val="Emphasis"/>
          <w:i w:val="0"/>
          <w:color w:val="165788" w:themeColor="accent1"/>
        </w:rPr>
      </w:pPr>
    </w:p>
    <w:p w14:paraId="39FB77C7" w14:textId="77777777" w:rsidR="00686F67" w:rsidRPr="00B40FEB" w:rsidRDefault="00686F67" w:rsidP="00E35B9A">
      <w:pPr>
        <w:ind w:left="1276"/>
        <w:rPr>
          <w:rStyle w:val="Emphasis"/>
          <w:i w:val="0"/>
          <w:color w:val="165788" w:themeColor="accent1"/>
        </w:rPr>
      </w:pPr>
    </w:p>
    <w:p w14:paraId="39FB77C8" w14:textId="77777777" w:rsidR="00686F67" w:rsidRPr="00B40FEB" w:rsidRDefault="00686F67" w:rsidP="00E35B9A">
      <w:pPr>
        <w:ind w:left="1276"/>
        <w:rPr>
          <w:rStyle w:val="Emphasis"/>
          <w:i w:val="0"/>
          <w:color w:val="165788" w:themeColor="accent1"/>
        </w:rPr>
      </w:pPr>
    </w:p>
    <w:p w14:paraId="39FB77C9" w14:textId="77777777" w:rsidR="00686F67" w:rsidRPr="00B40FEB" w:rsidRDefault="00686F67" w:rsidP="00E35B9A">
      <w:pPr>
        <w:ind w:left="1276"/>
        <w:rPr>
          <w:rStyle w:val="Emphasis"/>
          <w:i w:val="0"/>
          <w:color w:val="165788" w:themeColor="accent1"/>
        </w:rPr>
      </w:pPr>
    </w:p>
    <w:p w14:paraId="39FB77CA" w14:textId="77777777" w:rsidR="00686F67" w:rsidRPr="00B40FEB" w:rsidRDefault="00686F67" w:rsidP="00E35B9A">
      <w:pPr>
        <w:ind w:left="1276"/>
        <w:rPr>
          <w:rStyle w:val="Emphasis"/>
          <w:i w:val="0"/>
          <w:color w:val="165788" w:themeColor="accent1"/>
        </w:rPr>
      </w:pPr>
    </w:p>
    <w:p w14:paraId="39FB77CB" w14:textId="77777777" w:rsidR="00686F67" w:rsidRPr="00B40FEB" w:rsidRDefault="00686F67" w:rsidP="00E35B9A">
      <w:pPr>
        <w:ind w:left="1276"/>
        <w:rPr>
          <w:rStyle w:val="Emphasis"/>
          <w:i w:val="0"/>
          <w:color w:val="165788" w:themeColor="accent1"/>
        </w:rPr>
      </w:pPr>
    </w:p>
    <w:p w14:paraId="39FB77CC" w14:textId="77777777" w:rsidR="00686F67" w:rsidRPr="00B40FEB" w:rsidRDefault="00686F67" w:rsidP="00E35B9A">
      <w:pPr>
        <w:ind w:left="1276"/>
        <w:rPr>
          <w:rStyle w:val="Emphasis"/>
          <w:i w:val="0"/>
          <w:color w:val="165788" w:themeColor="accent1"/>
        </w:rPr>
      </w:pPr>
    </w:p>
    <w:p w14:paraId="39FB77CD" w14:textId="77777777" w:rsidR="00686F67" w:rsidRPr="00B40FEB" w:rsidRDefault="00686F67" w:rsidP="00E35B9A">
      <w:pPr>
        <w:ind w:left="1276"/>
        <w:rPr>
          <w:rStyle w:val="Emphasis"/>
          <w:i w:val="0"/>
          <w:color w:val="165788" w:themeColor="accent1"/>
        </w:rPr>
      </w:pPr>
    </w:p>
    <w:p w14:paraId="39FB77CE" w14:textId="77777777" w:rsidR="00686F67" w:rsidRPr="00B40FEB" w:rsidRDefault="00686F67" w:rsidP="00E35B9A">
      <w:pPr>
        <w:ind w:left="1276"/>
        <w:rPr>
          <w:rStyle w:val="Emphasis"/>
          <w:i w:val="0"/>
          <w:color w:val="165788" w:themeColor="accent1"/>
        </w:rPr>
      </w:pPr>
    </w:p>
    <w:p w14:paraId="39FB77CF" w14:textId="77777777" w:rsidR="00B40FEB" w:rsidRPr="00B40FEB" w:rsidRDefault="00B40FEB" w:rsidP="00E35B9A">
      <w:pPr>
        <w:ind w:left="1276"/>
        <w:rPr>
          <w:rStyle w:val="Emphasis"/>
          <w:i w:val="0"/>
          <w:color w:val="165788" w:themeColor="accent1"/>
        </w:rPr>
      </w:pPr>
    </w:p>
    <w:p w14:paraId="39FB77D0" w14:textId="77777777" w:rsidR="00B40FEB" w:rsidRPr="00B40FEB" w:rsidRDefault="00B40FEB" w:rsidP="00E35B9A">
      <w:pPr>
        <w:ind w:left="1276"/>
        <w:rPr>
          <w:rStyle w:val="Emphasis"/>
          <w:i w:val="0"/>
          <w:color w:val="165788" w:themeColor="accent1"/>
        </w:rPr>
      </w:pPr>
    </w:p>
    <w:p w14:paraId="39FB77D1" w14:textId="77777777" w:rsidR="00686F67" w:rsidRPr="00686F67" w:rsidRDefault="00686F67" w:rsidP="00686F67">
      <w:pPr>
        <w:spacing w:after="0"/>
        <w:ind w:left="1276"/>
        <w:jc w:val="right"/>
        <w:rPr>
          <w:rStyle w:val="Emphasis"/>
          <w:i w:val="0"/>
          <w:color w:val="FFFFFF" w:themeColor="background2"/>
          <w:sz w:val="32"/>
          <w:szCs w:val="32"/>
        </w:rPr>
      </w:pPr>
      <w:r w:rsidRPr="00686F67">
        <w:rPr>
          <w:rStyle w:val="Emphasis"/>
          <w:i w:val="0"/>
          <w:color w:val="FFFFFF" w:themeColor="background2"/>
          <w:sz w:val="32"/>
          <w:szCs w:val="32"/>
        </w:rPr>
        <w:t>www.education.gov.au</w:t>
      </w:r>
    </w:p>
    <w:p w14:paraId="39FB77D2" w14:textId="77777777" w:rsidR="00130923" w:rsidRPr="00686F67" w:rsidRDefault="00F47193" w:rsidP="00686F67">
      <w:pPr>
        <w:spacing w:after="120"/>
        <w:ind w:left="1276"/>
        <w:jc w:val="right"/>
        <w:rPr>
          <w:b/>
          <w:i/>
        </w:rPr>
      </w:pPr>
      <w:r w:rsidRPr="00686F67">
        <w:rPr>
          <w:rStyle w:val="Emphasis"/>
          <w:b w:val="0"/>
          <w:i w:val="0"/>
          <w:color w:val="FFFFFF" w:themeColor="background2"/>
          <w:sz w:val="32"/>
          <w:szCs w:val="32"/>
        </w:rPr>
        <w:t>Opportunity through learning</w:t>
      </w:r>
      <w:r w:rsidR="00B40FEB">
        <w:rPr>
          <w:rStyle w:val="Emphasis"/>
          <w:b w:val="0"/>
          <w:i w:val="0"/>
          <w:color w:val="FFFFFF" w:themeColor="background2"/>
          <w:sz w:val="32"/>
          <w:szCs w:val="32"/>
        </w:rPr>
        <w:t>.</w:t>
      </w:r>
      <w:r w:rsidR="00130923" w:rsidRPr="00686F67">
        <w:rPr>
          <w:b/>
          <w:i/>
        </w:rPr>
        <w:br w:type="page"/>
      </w:r>
    </w:p>
    <w:p w14:paraId="39FB77D3" w14:textId="77777777" w:rsidR="00130923" w:rsidRDefault="00130923" w:rsidP="00130923">
      <w:pPr>
        <w:pStyle w:val="BodyText"/>
        <w:sectPr w:rsidR="00130923" w:rsidSect="00640D64">
          <w:headerReference w:type="default" r:id="rId14"/>
          <w:footerReference w:type="default" r:id="rId15"/>
          <w:pgSz w:w="11906" w:h="16838"/>
          <w:pgMar w:top="0" w:right="991" w:bottom="0" w:left="993" w:header="708" w:footer="283" w:gutter="0"/>
          <w:cols w:space="708"/>
          <w:docGrid w:linePitch="360"/>
        </w:sectPr>
      </w:pPr>
    </w:p>
    <w:p w14:paraId="39FB77D4" w14:textId="77777777" w:rsidR="00130923" w:rsidRDefault="00130923" w:rsidP="00130923">
      <w:pPr>
        <w:pStyle w:val="numberedpara"/>
        <w:numPr>
          <w:ilvl w:val="0"/>
          <w:numId w:val="0"/>
        </w:numPr>
        <w:tabs>
          <w:tab w:val="left" w:pos="720"/>
        </w:tabs>
        <w:rPr>
          <w:sz w:val="20"/>
          <w:szCs w:val="20"/>
        </w:rPr>
      </w:pPr>
      <w:r>
        <w:rPr>
          <w:noProof/>
          <w:sz w:val="20"/>
          <w:szCs w:val="20"/>
        </w:rPr>
        <w:lastRenderedPageBreak/>
        <w:drawing>
          <wp:inline distT="0" distB="0" distL="0" distR="0" wp14:anchorId="39FB7A18" wp14:editId="39FB7A19">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9FB77D5" w14:textId="77777777"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8"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00B54A39">
        <w:t>) licence.</w:t>
      </w:r>
    </w:p>
    <w:p w14:paraId="39FB77D6"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9" w:history="1">
        <w:r w:rsidRPr="00EC78E7">
          <w:rPr>
            <w:rStyle w:val="Hyperlink"/>
          </w:rPr>
          <w:t>CC BY 3.0 AU licence</w:t>
        </w:r>
      </w:hyperlink>
      <w:r w:rsidRPr="000462F1">
        <w:t xml:space="preserve"> (</w:t>
      </w:r>
      <w:r w:rsidRPr="00EC78E7">
        <w:t>http://creativecommons.org/licenses/by/3.0/au/legalcode</w:t>
      </w:r>
      <w:r w:rsidR="00B54A39">
        <w:t>).</w:t>
      </w:r>
    </w:p>
    <w:p w14:paraId="39FB77D7" w14:textId="77777777" w:rsidR="00882ABC" w:rsidRPr="00882ABC" w:rsidRDefault="00130923">
      <w:r w:rsidRPr="000462F1">
        <w:t>The document must be attributed as the</w:t>
      </w:r>
      <w:r>
        <w:t xml:space="preserve"> </w:t>
      </w:r>
      <w:r w:rsidR="00B54A39">
        <w:t>‘Department of Education and Training Corporate Plan 2015-19’</w:t>
      </w:r>
      <w:r>
        <w:t>.</w:t>
      </w:r>
      <w:r w:rsidR="00882ABC">
        <w:rPr>
          <w:sz w:val="20"/>
          <w:szCs w:val="20"/>
        </w:rPr>
        <w:br w:type="page"/>
      </w:r>
    </w:p>
    <w:p w14:paraId="39FB77D8" w14:textId="77777777" w:rsidR="00130923" w:rsidRDefault="00130923" w:rsidP="00130923">
      <w:pPr>
        <w:pStyle w:val="numberedpara"/>
        <w:numPr>
          <w:ilvl w:val="0"/>
          <w:numId w:val="0"/>
        </w:numPr>
        <w:tabs>
          <w:tab w:val="left" w:pos="720"/>
        </w:tabs>
        <w:spacing w:before="120" w:after="120"/>
        <w:rPr>
          <w:sz w:val="20"/>
          <w:szCs w:val="20"/>
        </w:rPr>
        <w:sectPr w:rsidR="00130923" w:rsidSect="00B95EA0">
          <w:type w:val="continuous"/>
          <w:pgSz w:w="11906" w:h="16838"/>
          <w:pgMar w:top="11482"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39FB77D9" w14:textId="77777777" w:rsidR="00EF4A38" w:rsidRDefault="00EF4A38">
          <w:pPr>
            <w:pStyle w:val="TOCHeading"/>
          </w:pPr>
          <w:r>
            <w:t>Contents</w:t>
          </w:r>
        </w:p>
        <w:p w14:paraId="39FB77DA" w14:textId="77777777" w:rsidR="00882ABC" w:rsidRDefault="00EF4A38">
          <w:pPr>
            <w:pStyle w:val="TOC1"/>
            <w:tabs>
              <w:tab w:val="right" w:leader="dot" w:pos="9016"/>
            </w:tabs>
            <w:rPr>
              <w:noProof/>
              <w:lang w:eastAsia="en-AU"/>
            </w:rPr>
          </w:pPr>
          <w:r>
            <w:fldChar w:fldCharType="begin"/>
          </w:r>
          <w:r>
            <w:instrText xml:space="preserve"> TOC \o "1-3" \h \z \u </w:instrText>
          </w:r>
          <w:r>
            <w:fldChar w:fldCharType="separate"/>
          </w:r>
          <w:hyperlink w:anchor="_Toc428520725" w:history="1">
            <w:r w:rsidR="00882ABC" w:rsidRPr="003901AB">
              <w:rPr>
                <w:rStyle w:val="Hyperlink"/>
                <w:noProof/>
              </w:rPr>
              <w:t>Introduction</w:t>
            </w:r>
            <w:r w:rsidR="00882ABC">
              <w:rPr>
                <w:noProof/>
                <w:webHidden/>
              </w:rPr>
              <w:tab/>
            </w:r>
            <w:r w:rsidR="00882ABC">
              <w:rPr>
                <w:noProof/>
                <w:webHidden/>
              </w:rPr>
              <w:fldChar w:fldCharType="begin"/>
            </w:r>
            <w:r w:rsidR="00882ABC">
              <w:rPr>
                <w:noProof/>
                <w:webHidden/>
              </w:rPr>
              <w:instrText xml:space="preserve"> PAGEREF _Toc428520725 \h </w:instrText>
            </w:r>
            <w:r w:rsidR="00882ABC">
              <w:rPr>
                <w:noProof/>
                <w:webHidden/>
              </w:rPr>
            </w:r>
            <w:r w:rsidR="00882ABC">
              <w:rPr>
                <w:noProof/>
                <w:webHidden/>
              </w:rPr>
              <w:fldChar w:fldCharType="separate"/>
            </w:r>
            <w:r w:rsidR="00882ABC">
              <w:rPr>
                <w:noProof/>
                <w:webHidden/>
              </w:rPr>
              <w:t>4</w:t>
            </w:r>
            <w:r w:rsidR="00882ABC">
              <w:rPr>
                <w:noProof/>
                <w:webHidden/>
              </w:rPr>
              <w:fldChar w:fldCharType="end"/>
            </w:r>
          </w:hyperlink>
        </w:p>
        <w:p w14:paraId="39FB77DB" w14:textId="77777777" w:rsidR="00882ABC" w:rsidRDefault="00182363">
          <w:pPr>
            <w:pStyle w:val="TOC2"/>
            <w:tabs>
              <w:tab w:val="right" w:leader="dot" w:pos="9016"/>
            </w:tabs>
            <w:rPr>
              <w:noProof/>
              <w:lang w:eastAsia="en-AU"/>
            </w:rPr>
          </w:pPr>
          <w:hyperlink w:anchor="_Toc428520726" w:history="1">
            <w:r w:rsidR="00882ABC" w:rsidRPr="003901AB">
              <w:rPr>
                <w:rStyle w:val="Hyperlink"/>
                <w:noProof/>
              </w:rPr>
              <w:t>Secretary’s foreword</w:t>
            </w:r>
            <w:r w:rsidR="00882ABC">
              <w:rPr>
                <w:noProof/>
                <w:webHidden/>
              </w:rPr>
              <w:tab/>
            </w:r>
            <w:r w:rsidR="00882ABC">
              <w:rPr>
                <w:noProof/>
                <w:webHidden/>
              </w:rPr>
              <w:fldChar w:fldCharType="begin"/>
            </w:r>
            <w:r w:rsidR="00882ABC">
              <w:rPr>
                <w:noProof/>
                <w:webHidden/>
              </w:rPr>
              <w:instrText xml:space="preserve"> PAGEREF _Toc428520726 \h </w:instrText>
            </w:r>
            <w:r w:rsidR="00882ABC">
              <w:rPr>
                <w:noProof/>
                <w:webHidden/>
              </w:rPr>
            </w:r>
            <w:r w:rsidR="00882ABC">
              <w:rPr>
                <w:noProof/>
                <w:webHidden/>
              </w:rPr>
              <w:fldChar w:fldCharType="separate"/>
            </w:r>
            <w:r w:rsidR="00882ABC">
              <w:rPr>
                <w:noProof/>
                <w:webHidden/>
              </w:rPr>
              <w:t>4</w:t>
            </w:r>
            <w:r w:rsidR="00882ABC">
              <w:rPr>
                <w:noProof/>
                <w:webHidden/>
              </w:rPr>
              <w:fldChar w:fldCharType="end"/>
            </w:r>
          </w:hyperlink>
        </w:p>
        <w:p w14:paraId="39FB77DC" w14:textId="77777777" w:rsidR="00882ABC" w:rsidRDefault="00182363">
          <w:pPr>
            <w:pStyle w:val="TOC2"/>
            <w:tabs>
              <w:tab w:val="right" w:leader="dot" w:pos="9016"/>
            </w:tabs>
            <w:rPr>
              <w:noProof/>
              <w:lang w:eastAsia="en-AU"/>
            </w:rPr>
          </w:pPr>
          <w:hyperlink w:anchor="_Toc428520727" w:history="1">
            <w:r w:rsidR="00882ABC" w:rsidRPr="003901AB">
              <w:rPr>
                <w:rStyle w:val="Hyperlink"/>
                <w:noProof/>
              </w:rPr>
              <w:t>This document</w:t>
            </w:r>
            <w:r w:rsidR="00882ABC">
              <w:rPr>
                <w:noProof/>
                <w:webHidden/>
              </w:rPr>
              <w:tab/>
            </w:r>
            <w:r w:rsidR="00882ABC">
              <w:rPr>
                <w:noProof/>
                <w:webHidden/>
              </w:rPr>
              <w:fldChar w:fldCharType="begin"/>
            </w:r>
            <w:r w:rsidR="00882ABC">
              <w:rPr>
                <w:noProof/>
                <w:webHidden/>
              </w:rPr>
              <w:instrText xml:space="preserve"> PAGEREF _Toc428520727 \h </w:instrText>
            </w:r>
            <w:r w:rsidR="00882ABC">
              <w:rPr>
                <w:noProof/>
                <w:webHidden/>
              </w:rPr>
            </w:r>
            <w:r w:rsidR="00882ABC">
              <w:rPr>
                <w:noProof/>
                <w:webHidden/>
              </w:rPr>
              <w:fldChar w:fldCharType="separate"/>
            </w:r>
            <w:r w:rsidR="00882ABC">
              <w:rPr>
                <w:noProof/>
                <w:webHidden/>
              </w:rPr>
              <w:t>5</w:t>
            </w:r>
            <w:r w:rsidR="00882ABC">
              <w:rPr>
                <w:noProof/>
                <w:webHidden/>
              </w:rPr>
              <w:fldChar w:fldCharType="end"/>
            </w:r>
          </w:hyperlink>
        </w:p>
        <w:p w14:paraId="39FB77DD" w14:textId="77777777" w:rsidR="00882ABC" w:rsidRDefault="00182363">
          <w:pPr>
            <w:pStyle w:val="TOC1"/>
            <w:tabs>
              <w:tab w:val="right" w:leader="dot" w:pos="9016"/>
            </w:tabs>
            <w:rPr>
              <w:noProof/>
              <w:lang w:eastAsia="en-AU"/>
            </w:rPr>
          </w:pPr>
          <w:hyperlink w:anchor="_Toc428520728" w:history="1">
            <w:r w:rsidR="00882ABC" w:rsidRPr="003901AB">
              <w:rPr>
                <w:rStyle w:val="Hyperlink"/>
                <w:noProof/>
              </w:rPr>
              <w:t>Purpose</w:t>
            </w:r>
            <w:r w:rsidR="00882ABC">
              <w:rPr>
                <w:noProof/>
                <w:webHidden/>
              </w:rPr>
              <w:tab/>
            </w:r>
            <w:r w:rsidR="00882ABC">
              <w:rPr>
                <w:noProof/>
                <w:webHidden/>
              </w:rPr>
              <w:fldChar w:fldCharType="begin"/>
            </w:r>
            <w:r w:rsidR="00882ABC">
              <w:rPr>
                <w:noProof/>
                <w:webHidden/>
              </w:rPr>
              <w:instrText xml:space="preserve"> PAGEREF _Toc428520728 \h </w:instrText>
            </w:r>
            <w:r w:rsidR="00882ABC">
              <w:rPr>
                <w:noProof/>
                <w:webHidden/>
              </w:rPr>
            </w:r>
            <w:r w:rsidR="00882ABC">
              <w:rPr>
                <w:noProof/>
                <w:webHidden/>
              </w:rPr>
              <w:fldChar w:fldCharType="separate"/>
            </w:r>
            <w:r w:rsidR="00882ABC">
              <w:rPr>
                <w:noProof/>
                <w:webHidden/>
              </w:rPr>
              <w:t>6</w:t>
            </w:r>
            <w:r w:rsidR="00882ABC">
              <w:rPr>
                <w:noProof/>
                <w:webHidden/>
              </w:rPr>
              <w:fldChar w:fldCharType="end"/>
            </w:r>
          </w:hyperlink>
        </w:p>
        <w:p w14:paraId="39FB77DE" w14:textId="77777777" w:rsidR="00882ABC" w:rsidRDefault="00182363">
          <w:pPr>
            <w:pStyle w:val="TOC2"/>
            <w:tabs>
              <w:tab w:val="right" w:leader="dot" w:pos="9016"/>
            </w:tabs>
            <w:rPr>
              <w:noProof/>
              <w:lang w:eastAsia="en-AU"/>
            </w:rPr>
          </w:pPr>
          <w:hyperlink w:anchor="_Toc428520729" w:history="1">
            <w:r w:rsidR="00882ABC" w:rsidRPr="003901AB">
              <w:rPr>
                <w:rStyle w:val="Hyperlink"/>
                <w:noProof/>
              </w:rPr>
              <w:t>Our vision</w:t>
            </w:r>
            <w:r w:rsidR="00882ABC">
              <w:rPr>
                <w:noProof/>
                <w:webHidden/>
              </w:rPr>
              <w:tab/>
            </w:r>
            <w:r w:rsidR="00882ABC">
              <w:rPr>
                <w:noProof/>
                <w:webHidden/>
              </w:rPr>
              <w:fldChar w:fldCharType="begin"/>
            </w:r>
            <w:r w:rsidR="00882ABC">
              <w:rPr>
                <w:noProof/>
                <w:webHidden/>
              </w:rPr>
              <w:instrText xml:space="preserve"> PAGEREF _Toc428520729 \h </w:instrText>
            </w:r>
            <w:r w:rsidR="00882ABC">
              <w:rPr>
                <w:noProof/>
                <w:webHidden/>
              </w:rPr>
            </w:r>
            <w:r w:rsidR="00882ABC">
              <w:rPr>
                <w:noProof/>
                <w:webHidden/>
              </w:rPr>
              <w:fldChar w:fldCharType="separate"/>
            </w:r>
            <w:r w:rsidR="00882ABC">
              <w:rPr>
                <w:noProof/>
                <w:webHidden/>
              </w:rPr>
              <w:t>6</w:t>
            </w:r>
            <w:r w:rsidR="00882ABC">
              <w:rPr>
                <w:noProof/>
                <w:webHidden/>
              </w:rPr>
              <w:fldChar w:fldCharType="end"/>
            </w:r>
          </w:hyperlink>
        </w:p>
        <w:p w14:paraId="39FB77DF" w14:textId="77777777" w:rsidR="00882ABC" w:rsidRDefault="00182363">
          <w:pPr>
            <w:pStyle w:val="TOC2"/>
            <w:tabs>
              <w:tab w:val="right" w:leader="dot" w:pos="9016"/>
            </w:tabs>
            <w:rPr>
              <w:noProof/>
              <w:lang w:eastAsia="en-AU"/>
            </w:rPr>
          </w:pPr>
          <w:hyperlink w:anchor="_Toc428520730" w:history="1">
            <w:r w:rsidR="00882ABC" w:rsidRPr="003901AB">
              <w:rPr>
                <w:rStyle w:val="Hyperlink"/>
                <w:noProof/>
              </w:rPr>
              <w:t>Our mission</w:t>
            </w:r>
            <w:r w:rsidR="00882ABC">
              <w:rPr>
                <w:noProof/>
                <w:webHidden/>
              </w:rPr>
              <w:tab/>
            </w:r>
            <w:r w:rsidR="00882ABC">
              <w:rPr>
                <w:noProof/>
                <w:webHidden/>
              </w:rPr>
              <w:fldChar w:fldCharType="begin"/>
            </w:r>
            <w:r w:rsidR="00882ABC">
              <w:rPr>
                <w:noProof/>
                <w:webHidden/>
              </w:rPr>
              <w:instrText xml:space="preserve"> PAGEREF _Toc428520730 \h </w:instrText>
            </w:r>
            <w:r w:rsidR="00882ABC">
              <w:rPr>
                <w:noProof/>
                <w:webHidden/>
              </w:rPr>
            </w:r>
            <w:r w:rsidR="00882ABC">
              <w:rPr>
                <w:noProof/>
                <w:webHidden/>
              </w:rPr>
              <w:fldChar w:fldCharType="separate"/>
            </w:r>
            <w:r w:rsidR="00882ABC">
              <w:rPr>
                <w:noProof/>
                <w:webHidden/>
              </w:rPr>
              <w:t>6</w:t>
            </w:r>
            <w:r w:rsidR="00882ABC">
              <w:rPr>
                <w:noProof/>
                <w:webHidden/>
              </w:rPr>
              <w:fldChar w:fldCharType="end"/>
            </w:r>
          </w:hyperlink>
        </w:p>
        <w:p w14:paraId="39FB77E0" w14:textId="77777777" w:rsidR="00882ABC" w:rsidRDefault="00182363">
          <w:pPr>
            <w:pStyle w:val="TOC2"/>
            <w:tabs>
              <w:tab w:val="right" w:leader="dot" w:pos="9016"/>
            </w:tabs>
            <w:rPr>
              <w:noProof/>
              <w:lang w:eastAsia="en-AU"/>
            </w:rPr>
          </w:pPr>
          <w:hyperlink w:anchor="_Toc428520731" w:history="1">
            <w:r w:rsidR="00882ABC" w:rsidRPr="003901AB">
              <w:rPr>
                <w:rStyle w:val="Hyperlink"/>
                <w:noProof/>
              </w:rPr>
              <w:t>Our outcomes</w:t>
            </w:r>
            <w:r w:rsidR="00882ABC">
              <w:rPr>
                <w:noProof/>
                <w:webHidden/>
              </w:rPr>
              <w:tab/>
            </w:r>
            <w:r w:rsidR="00882ABC">
              <w:rPr>
                <w:noProof/>
                <w:webHidden/>
              </w:rPr>
              <w:fldChar w:fldCharType="begin"/>
            </w:r>
            <w:r w:rsidR="00882ABC">
              <w:rPr>
                <w:noProof/>
                <w:webHidden/>
              </w:rPr>
              <w:instrText xml:space="preserve"> PAGEREF _Toc428520731 \h </w:instrText>
            </w:r>
            <w:r w:rsidR="00882ABC">
              <w:rPr>
                <w:noProof/>
                <w:webHidden/>
              </w:rPr>
            </w:r>
            <w:r w:rsidR="00882ABC">
              <w:rPr>
                <w:noProof/>
                <w:webHidden/>
              </w:rPr>
              <w:fldChar w:fldCharType="separate"/>
            </w:r>
            <w:r w:rsidR="00882ABC">
              <w:rPr>
                <w:noProof/>
                <w:webHidden/>
              </w:rPr>
              <w:t>6</w:t>
            </w:r>
            <w:r w:rsidR="00882ABC">
              <w:rPr>
                <w:noProof/>
                <w:webHidden/>
              </w:rPr>
              <w:fldChar w:fldCharType="end"/>
            </w:r>
          </w:hyperlink>
        </w:p>
        <w:p w14:paraId="39FB77E1" w14:textId="77777777" w:rsidR="00882ABC" w:rsidRDefault="00182363">
          <w:pPr>
            <w:pStyle w:val="TOC2"/>
            <w:tabs>
              <w:tab w:val="right" w:leader="dot" w:pos="9016"/>
            </w:tabs>
            <w:rPr>
              <w:noProof/>
              <w:lang w:eastAsia="en-AU"/>
            </w:rPr>
          </w:pPr>
          <w:hyperlink w:anchor="_Toc428520732" w:history="1">
            <w:r w:rsidR="00882ABC" w:rsidRPr="003901AB">
              <w:rPr>
                <w:rStyle w:val="Hyperlink"/>
                <w:noProof/>
              </w:rPr>
              <w:t>Our goals</w:t>
            </w:r>
            <w:r w:rsidR="00882ABC">
              <w:rPr>
                <w:noProof/>
                <w:webHidden/>
              </w:rPr>
              <w:tab/>
            </w:r>
            <w:r w:rsidR="00882ABC">
              <w:rPr>
                <w:noProof/>
                <w:webHidden/>
              </w:rPr>
              <w:fldChar w:fldCharType="begin"/>
            </w:r>
            <w:r w:rsidR="00882ABC">
              <w:rPr>
                <w:noProof/>
                <w:webHidden/>
              </w:rPr>
              <w:instrText xml:space="preserve"> PAGEREF _Toc428520732 \h </w:instrText>
            </w:r>
            <w:r w:rsidR="00882ABC">
              <w:rPr>
                <w:noProof/>
                <w:webHidden/>
              </w:rPr>
            </w:r>
            <w:r w:rsidR="00882ABC">
              <w:rPr>
                <w:noProof/>
                <w:webHidden/>
              </w:rPr>
              <w:fldChar w:fldCharType="separate"/>
            </w:r>
            <w:r w:rsidR="00882ABC">
              <w:rPr>
                <w:noProof/>
                <w:webHidden/>
              </w:rPr>
              <w:t>6</w:t>
            </w:r>
            <w:r w:rsidR="00882ABC">
              <w:rPr>
                <w:noProof/>
                <w:webHidden/>
              </w:rPr>
              <w:fldChar w:fldCharType="end"/>
            </w:r>
          </w:hyperlink>
        </w:p>
        <w:p w14:paraId="39FB77E2" w14:textId="77777777" w:rsidR="00882ABC" w:rsidRDefault="00182363">
          <w:pPr>
            <w:pStyle w:val="TOC2"/>
            <w:tabs>
              <w:tab w:val="right" w:leader="dot" w:pos="9016"/>
            </w:tabs>
            <w:rPr>
              <w:noProof/>
              <w:lang w:eastAsia="en-AU"/>
            </w:rPr>
          </w:pPr>
          <w:hyperlink w:anchor="_Toc428520733" w:history="1">
            <w:r w:rsidR="00882ABC" w:rsidRPr="003901AB">
              <w:rPr>
                <w:rStyle w:val="Hyperlink"/>
                <w:noProof/>
              </w:rPr>
              <w:t>Our values and culture</w:t>
            </w:r>
            <w:r w:rsidR="00882ABC">
              <w:rPr>
                <w:noProof/>
                <w:webHidden/>
              </w:rPr>
              <w:tab/>
            </w:r>
            <w:r w:rsidR="00882ABC">
              <w:rPr>
                <w:noProof/>
                <w:webHidden/>
              </w:rPr>
              <w:fldChar w:fldCharType="begin"/>
            </w:r>
            <w:r w:rsidR="00882ABC">
              <w:rPr>
                <w:noProof/>
                <w:webHidden/>
              </w:rPr>
              <w:instrText xml:space="preserve"> PAGEREF _Toc428520733 \h </w:instrText>
            </w:r>
            <w:r w:rsidR="00882ABC">
              <w:rPr>
                <w:noProof/>
                <w:webHidden/>
              </w:rPr>
            </w:r>
            <w:r w:rsidR="00882ABC">
              <w:rPr>
                <w:noProof/>
                <w:webHidden/>
              </w:rPr>
              <w:fldChar w:fldCharType="separate"/>
            </w:r>
            <w:r w:rsidR="00882ABC">
              <w:rPr>
                <w:noProof/>
                <w:webHidden/>
              </w:rPr>
              <w:t>7</w:t>
            </w:r>
            <w:r w:rsidR="00882ABC">
              <w:rPr>
                <w:noProof/>
                <w:webHidden/>
              </w:rPr>
              <w:fldChar w:fldCharType="end"/>
            </w:r>
          </w:hyperlink>
        </w:p>
        <w:p w14:paraId="39FB77E3" w14:textId="77777777" w:rsidR="00882ABC" w:rsidRDefault="00182363">
          <w:pPr>
            <w:pStyle w:val="TOC2"/>
            <w:tabs>
              <w:tab w:val="right" w:leader="dot" w:pos="9016"/>
            </w:tabs>
            <w:rPr>
              <w:noProof/>
              <w:lang w:eastAsia="en-AU"/>
            </w:rPr>
          </w:pPr>
          <w:hyperlink w:anchor="_Toc428520734" w:history="1">
            <w:r w:rsidR="00882ABC" w:rsidRPr="003901AB">
              <w:rPr>
                <w:rStyle w:val="Hyperlink"/>
                <w:noProof/>
              </w:rPr>
              <w:t>Indigenous business is everyone’s business</w:t>
            </w:r>
            <w:r w:rsidR="00882ABC">
              <w:rPr>
                <w:noProof/>
                <w:webHidden/>
              </w:rPr>
              <w:tab/>
            </w:r>
            <w:r w:rsidR="00882ABC">
              <w:rPr>
                <w:noProof/>
                <w:webHidden/>
              </w:rPr>
              <w:fldChar w:fldCharType="begin"/>
            </w:r>
            <w:r w:rsidR="00882ABC">
              <w:rPr>
                <w:noProof/>
                <w:webHidden/>
              </w:rPr>
              <w:instrText xml:space="preserve"> PAGEREF _Toc428520734 \h </w:instrText>
            </w:r>
            <w:r w:rsidR="00882ABC">
              <w:rPr>
                <w:noProof/>
                <w:webHidden/>
              </w:rPr>
            </w:r>
            <w:r w:rsidR="00882ABC">
              <w:rPr>
                <w:noProof/>
                <w:webHidden/>
              </w:rPr>
              <w:fldChar w:fldCharType="separate"/>
            </w:r>
            <w:r w:rsidR="00882ABC">
              <w:rPr>
                <w:noProof/>
                <w:webHidden/>
              </w:rPr>
              <w:t>8</w:t>
            </w:r>
            <w:r w:rsidR="00882ABC">
              <w:rPr>
                <w:noProof/>
                <w:webHidden/>
              </w:rPr>
              <w:fldChar w:fldCharType="end"/>
            </w:r>
          </w:hyperlink>
        </w:p>
        <w:p w14:paraId="39FB77E4" w14:textId="77777777" w:rsidR="00882ABC" w:rsidRDefault="00182363">
          <w:pPr>
            <w:pStyle w:val="TOC1"/>
            <w:tabs>
              <w:tab w:val="right" w:leader="dot" w:pos="9016"/>
            </w:tabs>
            <w:rPr>
              <w:noProof/>
              <w:lang w:eastAsia="en-AU"/>
            </w:rPr>
          </w:pPr>
          <w:hyperlink w:anchor="_Toc428520735" w:history="1">
            <w:r w:rsidR="00882ABC" w:rsidRPr="003901AB">
              <w:rPr>
                <w:rStyle w:val="Hyperlink"/>
                <w:noProof/>
              </w:rPr>
              <w:t>Key areas of focus</w:t>
            </w:r>
            <w:r w:rsidR="00882ABC">
              <w:rPr>
                <w:noProof/>
                <w:webHidden/>
              </w:rPr>
              <w:tab/>
            </w:r>
            <w:r w:rsidR="00882ABC">
              <w:rPr>
                <w:noProof/>
                <w:webHidden/>
              </w:rPr>
              <w:fldChar w:fldCharType="begin"/>
            </w:r>
            <w:r w:rsidR="00882ABC">
              <w:rPr>
                <w:noProof/>
                <w:webHidden/>
              </w:rPr>
              <w:instrText xml:space="preserve"> PAGEREF _Toc428520735 \h </w:instrText>
            </w:r>
            <w:r w:rsidR="00882ABC">
              <w:rPr>
                <w:noProof/>
                <w:webHidden/>
              </w:rPr>
            </w:r>
            <w:r w:rsidR="00882ABC">
              <w:rPr>
                <w:noProof/>
                <w:webHidden/>
              </w:rPr>
              <w:fldChar w:fldCharType="separate"/>
            </w:r>
            <w:r w:rsidR="00882ABC">
              <w:rPr>
                <w:noProof/>
                <w:webHidden/>
              </w:rPr>
              <w:t>8</w:t>
            </w:r>
            <w:r w:rsidR="00882ABC">
              <w:rPr>
                <w:noProof/>
                <w:webHidden/>
              </w:rPr>
              <w:fldChar w:fldCharType="end"/>
            </w:r>
          </w:hyperlink>
        </w:p>
        <w:p w14:paraId="39FB77E5" w14:textId="77777777" w:rsidR="00882ABC" w:rsidRDefault="00182363">
          <w:pPr>
            <w:pStyle w:val="TOC1"/>
            <w:tabs>
              <w:tab w:val="right" w:leader="dot" w:pos="9016"/>
            </w:tabs>
            <w:rPr>
              <w:noProof/>
              <w:lang w:eastAsia="en-AU"/>
            </w:rPr>
          </w:pPr>
          <w:hyperlink w:anchor="_Toc428520736" w:history="1">
            <w:r w:rsidR="00882ABC" w:rsidRPr="003901AB">
              <w:rPr>
                <w:rStyle w:val="Hyperlink"/>
                <w:noProof/>
              </w:rPr>
              <w:t>Environment</w:t>
            </w:r>
            <w:r w:rsidR="00882ABC">
              <w:rPr>
                <w:noProof/>
                <w:webHidden/>
              </w:rPr>
              <w:tab/>
            </w:r>
            <w:r w:rsidR="00882ABC">
              <w:rPr>
                <w:noProof/>
                <w:webHidden/>
              </w:rPr>
              <w:fldChar w:fldCharType="begin"/>
            </w:r>
            <w:r w:rsidR="00882ABC">
              <w:rPr>
                <w:noProof/>
                <w:webHidden/>
              </w:rPr>
              <w:instrText xml:space="preserve"> PAGEREF _Toc428520736 \h </w:instrText>
            </w:r>
            <w:r w:rsidR="00882ABC">
              <w:rPr>
                <w:noProof/>
                <w:webHidden/>
              </w:rPr>
            </w:r>
            <w:r w:rsidR="00882ABC">
              <w:rPr>
                <w:noProof/>
                <w:webHidden/>
              </w:rPr>
              <w:fldChar w:fldCharType="separate"/>
            </w:r>
            <w:r w:rsidR="00882ABC">
              <w:rPr>
                <w:noProof/>
                <w:webHidden/>
              </w:rPr>
              <w:t>9</w:t>
            </w:r>
            <w:r w:rsidR="00882ABC">
              <w:rPr>
                <w:noProof/>
                <w:webHidden/>
              </w:rPr>
              <w:fldChar w:fldCharType="end"/>
            </w:r>
          </w:hyperlink>
        </w:p>
        <w:p w14:paraId="39FB77E6" w14:textId="77777777" w:rsidR="00882ABC" w:rsidRDefault="00182363">
          <w:pPr>
            <w:pStyle w:val="TOC1"/>
            <w:tabs>
              <w:tab w:val="right" w:leader="dot" w:pos="9016"/>
            </w:tabs>
            <w:rPr>
              <w:noProof/>
              <w:lang w:eastAsia="en-AU"/>
            </w:rPr>
          </w:pPr>
          <w:hyperlink w:anchor="_Toc428520737" w:history="1">
            <w:r w:rsidR="00882ABC" w:rsidRPr="003901AB">
              <w:rPr>
                <w:rStyle w:val="Hyperlink"/>
                <w:noProof/>
              </w:rPr>
              <w:t>Performance</w:t>
            </w:r>
            <w:r w:rsidR="00882ABC">
              <w:rPr>
                <w:noProof/>
                <w:webHidden/>
              </w:rPr>
              <w:tab/>
            </w:r>
            <w:r w:rsidR="00882ABC">
              <w:rPr>
                <w:noProof/>
                <w:webHidden/>
              </w:rPr>
              <w:fldChar w:fldCharType="begin"/>
            </w:r>
            <w:r w:rsidR="00882ABC">
              <w:rPr>
                <w:noProof/>
                <w:webHidden/>
              </w:rPr>
              <w:instrText xml:space="preserve"> PAGEREF _Toc428520737 \h </w:instrText>
            </w:r>
            <w:r w:rsidR="00882ABC">
              <w:rPr>
                <w:noProof/>
                <w:webHidden/>
              </w:rPr>
            </w:r>
            <w:r w:rsidR="00882ABC">
              <w:rPr>
                <w:noProof/>
                <w:webHidden/>
              </w:rPr>
              <w:fldChar w:fldCharType="separate"/>
            </w:r>
            <w:r w:rsidR="00882ABC">
              <w:rPr>
                <w:noProof/>
                <w:webHidden/>
              </w:rPr>
              <w:t>12</w:t>
            </w:r>
            <w:r w:rsidR="00882ABC">
              <w:rPr>
                <w:noProof/>
                <w:webHidden/>
              </w:rPr>
              <w:fldChar w:fldCharType="end"/>
            </w:r>
          </w:hyperlink>
        </w:p>
        <w:p w14:paraId="39FB77E7" w14:textId="77777777" w:rsidR="00882ABC" w:rsidRDefault="00182363">
          <w:pPr>
            <w:pStyle w:val="TOC2"/>
            <w:tabs>
              <w:tab w:val="right" w:leader="dot" w:pos="9016"/>
            </w:tabs>
            <w:rPr>
              <w:noProof/>
              <w:lang w:eastAsia="en-AU"/>
            </w:rPr>
          </w:pPr>
          <w:hyperlink w:anchor="_Toc428520738" w:history="1">
            <w:r w:rsidR="00882ABC" w:rsidRPr="003901AB">
              <w:rPr>
                <w:rStyle w:val="Hyperlink"/>
                <w:noProof/>
              </w:rPr>
              <w:t>Outcome 1</w:t>
            </w:r>
            <w:r w:rsidR="00882ABC">
              <w:rPr>
                <w:noProof/>
                <w:webHidden/>
              </w:rPr>
              <w:tab/>
            </w:r>
            <w:r w:rsidR="00882ABC">
              <w:rPr>
                <w:noProof/>
                <w:webHidden/>
              </w:rPr>
              <w:fldChar w:fldCharType="begin"/>
            </w:r>
            <w:r w:rsidR="00882ABC">
              <w:rPr>
                <w:noProof/>
                <w:webHidden/>
              </w:rPr>
              <w:instrText xml:space="preserve"> PAGEREF _Toc428520738 \h </w:instrText>
            </w:r>
            <w:r w:rsidR="00882ABC">
              <w:rPr>
                <w:noProof/>
                <w:webHidden/>
              </w:rPr>
            </w:r>
            <w:r w:rsidR="00882ABC">
              <w:rPr>
                <w:noProof/>
                <w:webHidden/>
              </w:rPr>
              <w:fldChar w:fldCharType="separate"/>
            </w:r>
            <w:r w:rsidR="00882ABC">
              <w:rPr>
                <w:noProof/>
                <w:webHidden/>
              </w:rPr>
              <w:t>12</w:t>
            </w:r>
            <w:r w:rsidR="00882ABC">
              <w:rPr>
                <w:noProof/>
                <w:webHidden/>
              </w:rPr>
              <w:fldChar w:fldCharType="end"/>
            </w:r>
          </w:hyperlink>
        </w:p>
        <w:p w14:paraId="39FB77E8" w14:textId="77777777" w:rsidR="00882ABC" w:rsidRDefault="00182363">
          <w:pPr>
            <w:pStyle w:val="TOC2"/>
            <w:tabs>
              <w:tab w:val="right" w:leader="dot" w:pos="9016"/>
            </w:tabs>
            <w:rPr>
              <w:noProof/>
              <w:lang w:eastAsia="en-AU"/>
            </w:rPr>
          </w:pPr>
          <w:hyperlink w:anchor="_Toc428520739" w:history="1">
            <w:r w:rsidR="00882ABC" w:rsidRPr="003901AB">
              <w:rPr>
                <w:rStyle w:val="Hyperlink"/>
                <w:noProof/>
              </w:rPr>
              <w:t>Goal 1: Support quality early learning and schooling</w:t>
            </w:r>
            <w:r w:rsidR="00882ABC">
              <w:rPr>
                <w:noProof/>
                <w:webHidden/>
              </w:rPr>
              <w:tab/>
            </w:r>
            <w:r w:rsidR="00882ABC">
              <w:rPr>
                <w:noProof/>
                <w:webHidden/>
              </w:rPr>
              <w:fldChar w:fldCharType="begin"/>
            </w:r>
            <w:r w:rsidR="00882ABC">
              <w:rPr>
                <w:noProof/>
                <w:webHidden/>
              </w:rPr>
              <w:instrText xml:space="preserve"> PAGEREF _Toc428520739 \h </w:instrText>
            </w:r>
            <w:r w:rsidR="00882ABC">
              <w:rPr>
                <w:noProof/>
                <w:webHidden/>
              </w:rPr>
            </w:r>
            <w:r w:rsidR="00882ABC">
              <w:rPr>
                <w:noProof/>
                <w:webHidden/>
              </w:rPr>
              <w:fldChar w:fldCharType="separate"/>
            </w:r>
            <w:r w:rsidR="00882ABC">
              <w:rPr>
                <w:noProof/>
                <w:webHidden/>
              </w:rPr>
              <w:t>12</w:t>
            </w:r>
            <w:r w:rsidR="00882ABC">
              <w:rPr>
                <w:noProof/>
                <w:webHidden/>
              </w:rPr>
              <w:fldChar w:fldCharType="end"/>
            </w:r>
          </w:hyperlink>
        </w:p>
        <w:p w14:paraId="39FB77E9" w14:textId="77777777" w:rsidR="00882ABC" w:rsidRDefault="00182363">
          <w:pPr>
            <w:pStyle w:val="TOC2"/>
            <w:tabs>
              <w:tab w:val="right" w:leader="dot" w:pos="9016"/>
            </w:tabs>
            <w:rPr>
              <w:noProof/>
              <w:lang w:eastAsia="en-AU"/>
            </w:rPr>
          </w:pPr>
          <w:hyperlink w:anchor="_Toc428520740" w:history="1">
            <w:r w:rsidR="00882ABC" w:rsidRPr="003901AB">
              <w:rPr>
                <w:rStyle w:val="Hyperlink"/>
                <w:noProof/>
              </w:rPr>
              <w:t>Outcome 2</w:t>
            </w:r>
            <w:r w:rsidR="00882ABC">
              <w:rPr>
                <w:noProof/>
                <w:webHidden/>
              </w:rPr>
              <w:tab/>
            </w:r>
            <w:r w:rsidR="00882ABC">
              <w:rPr>
                <w:noProof/>
                <w:webHidden/>
              </w:rPr>
              <w:fldChar w:fldCharType="begin"/>
            </w:r>
            <w:r w:rsidR="00882ABC">
              <w:rPr>
                <w:noProof/>
                <w:webHidden/>
              </w:rPr>
              <w:instrText xml:space="preserve"> PAGEREF _Toc428520740 \h </w:instrText>
            </w:r>
            <w:r w:rsidR="00882ABC">
              <w:rPr>
                <w:noProof/>
                <w:webHidden/>
              </w:rPr>
            </w:r>
            <w:r w:rsidR="00882ABC">
              <w:rPr>
                <w:noProof/>
                <w:webHidden/>
              </w:rPr>
              <w:fldChar w:fldCharType="separate"/>
            </w:r>
            <w:r w:rsidR="00882ABC">
              <w:rPr>
                <w:noProof/>
                <w:webHidden/>
              </w:rPr>
              <w:t>16</w:t>
            </w:r>
            <w:r w:rsidR="00882ABC">
              <w:rPr>
                <w:noProof/>
                <w:webHidden/>
              </w:rPr>
              <w:fldChar w:fldCharType="end"/>
            </w:r>
          </w:hyperlink>
        </w:p>
        <w:p w14:paraId="39FB77EA" w14:textId="77777777" w:rsidR="00882ABC" w:rsidRDefault="00182363">
          <w:pPr>
            <w:pStyle w:val="TOC2"/>
            <w:tabs>
              <w:tab w:val="right" w:leader="dot" w:pos="9016"/>
            </w:tabs>
            <w:rPr>
              <w:noProof/>
              <w:lang w:eastAsia="en-AU"/>
            </w:rPr>
          </w:pPr>
          <w:hyperlink w:anchor="_Toc428520741" w:history="1">
            <w:r w:rsidR="00882ABC" w:rsidRPr="003901AB">
              <w:rPr>
                <w:rStyle w:val="Hyperlink"/>
                <w:noProof/>
              </w:rPr>
              <w:t>Goal 2: Excel through knowledge</w:t>
            </w:r>
            <w:r w:rsidR="00882ABC">
              <w:rPr>
                <w:noProof/>
                <w:webHidden/>
              </w:rPr>
              <w:tab/>
            </w:r>
            <w:r w:rsidR="00882ABC">
              <w:rPr>
                <w:noProof/>
                <w:webHidden/>
              </w:rPr>
              <w:fldChar w:fldCharType="begin"/>
            </w:r>
            <w:r w:rsidR="00882ABC">
              <w:rPr>
                <w:noProof/>
                <w:webHidden/>
              </w:rPr>
              <w:instrText xml:space="preserve"> PAGEREF _Toc428520741 \h </w:instrText>
            </w:r>
            <w:r w:rsidR="00882ABC">
              <w:rPr>
                <w:noProof/>
                <w:webHidden/>
              </w:rPr>
            </w:r>
            <w:r w:rsidR="00882ABC">
              <w:rPr>
                <w:noProof/>
                <w:webHidden/>
              </w:rPr>
              <w:fldChar w:fldCharType="separate"/>
            </w:r>
            <w:r w:rsidR="00882ABC">
              <w:rPr>
                <w:noProof/>
                <w:webHidden/>
              </w:rPr>
              <w:t>16</w:t>
            </w:r>
            <w:r w:rsidR="00882ABC">
              <w:rPr>
                <w:noProof/>
                <w:webHidden/>
              </w:rPr>
              <w:fldChar w:fldCharType="end"/>
            </w:r>
          </w:hyperlink>
        </w:p>
        <w:p w14:paraId="39FB77EB" w14:textId="77777777" w:rsidR="00882ABC" w:rsidRDefault="00182363">
          <w:pPr>
            <w:pStyle w:val="TOC2"/>
            <w:tabs>
              <w:tab w:val="right" w:leader="dot" w:pos="9016"/>
            </w:tabs>
            <w:rPr>
              <w:noProof/>
              <w:lang w:eastAsia="en-AU"/>
            </w:rPr>
          </w:pPr>
          <w:hyperlink w:anchor="_Toc428520742" w:history="1">
            <w:r w:rsidR="00882ABC" w:rsidRPr="003901AB">
              <w:rPr>
                <w:rStyle w:val="Hyperlink"/>
                <w:noProof/>
              </w:rPr>
              <w:t>Goal 3: Build skills and capability</w:t>
            </w:r>
            <w:r w:rsidR="00882ABC">
              <w:rPr>
                <w:noProof/>
                <w:webHidden/>
              </w:rPr>
              <w:tab/>
            </w:r>
            <w:r w:rsidR="00882ABC">
              <w:rPr>
                <w:noProof/>
                <w:webHidden/>
              </w:rPr>
              <w:fldChar w:fldCharType="begin"/>
            </w:r>
            <w:r w:rsidR="00882ABC">
              <w:rPr>
                <w:noProof/>
                <w:webHidden/>
              </w:rPr>
              <w:instrText xml:space="preserve"> PAGEREF _Toc428520742 \h </w:instrText>
            </w:r>
            <w:r w:rsidR="00882ABC">
              <w:rPr>
                <w:noProof/>
                <w:webHidden/>
              </w:rPr>
            </w:r>
            <w:r w:rsidR="00882ABC">
              <w:rPr>
                <w:noProof/>
                <w:webHidden/>
              </w:rPr>
              <w:fldChar w:fldCharType="separate"/>
            </w:r>
            <w:r w:rsidR="00882ABC">
              <w:rPr>
                <w:noProof/>
                <w:webHidden/>
              </w:rPr>
              <w:t>19</w:t>
            </w:r>
            <w:r w:rsidR="00882ABC">
              <w:rPr>
                <w:noProof/>
                <w:webHidden/>
              </w:rPr>
              <w:fldChar w:fldCharType="end"/>
            </w:r>
          </w:hyperlink>
        </w:p>
        <w:p w14:paraId="39FB77EC" w14:textId="77777777" w:rsidR="00882ABC" w:rsidRDefault="00182363">
          <w:pPr>
            <w:pStyle w:val="TOC2"/>
            <w:tabs>
              <w:tab w:val="right" w:leader="dot" w:pos="9016"/>
            </w:tabs>
            <w:rPr>
              <w:noProof/>
              <w:lang w:eastAsia="en-AU"/>
            </w:rPr>
          </w:pPr>
          <w:hyperlink w:anchor="_Toc428520743" w:history="1">
            <w:r w:rsidR="00882ABC" w:rsidRPr="003901AB">
              <w:rPr>
                <w:rStyle w:val="Hyperlink"/>
                <w:noProof/>
              </w:rPr>
              <w:t>Evaluations</w:t>
            </w:r>
            <w:r w:rsidR="00882ABC">
              <w:rPr>
                <w:noProof/>
                <w:webHidden/>
              </w:rPr>
              <w:tab/>
            </w:r>
            <w:r w:rsidR="00882ABC">
              <w:rPr>
                <w:noProof/>
                <w:webHidden/>
              </w:rPr>
              <w:fldChar w:fldCharType="begin"/>
            </w:r>
            <w:r w:rsidR="00882ABC">
              <w:rPr>
                <w:noProof/>
                <w:webHidden/>
              </w:rPr>
              <w:instrText xml:space="preserve"> PAGEREF _Toc428520743 \h </w:instrText>
            </w:r>
            <w:r w:rsidR="00882ABC">
              <w:rPr>
                <w:noProof/>
                <w:webHidden/>
              </w:rPr>
            </w:r>
            <w:r w:rsidR="00882ABC">
              <w:rPr>
                <w:noProof/>
                <w:webHidden/>
              </w:rPr>
              <w:fldChar w:fldCharType="separate"/>
            </w:r>
            <w:r w:rsidR="00882ABC">
              <w:rPr>
                <w:noProof/>
                <w:webHidden/>
              </w:rPr>
              <w:t>22</w:t>
            </w:r>
            <w:r w:rsidR="00882ABC">
              <w:rPr>
                <w:noProof/>
                <w:webHidden/>
              </w:rPr>
              <w:fldChar w:fldCharType="end"/>
            </w:r>
          </w:hyperlink>
        </w:p>
        <w:p w14:paraId="39FB77ED" w14:textId="77777777" w:rsidR="00882ABC" w:rsidRDefault="00182363">
          <w:pPr>
            <w:pStyle w:val="TOC1"/>
            <w:tabs>
              <w:tab w:val="right" w:leader="dot" w:pos="9016"/>
            </w:tabs>
            <w:rPr>
              <w:noProof/>
              <w:lang w:eastAsia="en-AU"/>
            </w:rPr>
          </w:pPr>
          <w:hyperlink w:anchor="_Toc428520744" w:history="1">
            <w:r w:rsidR="00882ABC" w:rsidRPr="003901AB">
              <w:rPr>
                <w:rStyle w:val="Hyperlink"/>
                <w:noProof/>
              </w:rPr>
              <w:t>Capabilities</w:t>
            </w:r>
            <w:r w:rsidR="00882ABC">
              <w:rPr>
                <w:noProof/>
                <w:webHidden/>
              </w:rPr>
              <w:tab/>
            </w:r>
            <w:r w:rsidR="00882ABC">
              <w:rPr>
                <w:noProof/>
                <w:webHidden/>
              </w:rPr>
              <w:fldChar w:fldCharType="begin"/>
            </w:r>
            <w:r w:rsidR="00882ABC">
              <w:rPr>
                <w:noProof/>
                <w:webHidden/>
              </w:rPr>
              <w:instrText xml:space="preserve"> PAGEREF _Toc428520744 \h </w:instrText>
            </w:r>
            <w:r w:rsidR="00882ABC">
              <w:rPr>
                <w:noProof/>
                <w:webHidden/>
              </w:rPr>
            </w:r>
            <w:r w:rsidR="00882ABC">
              <w:rPr>
                <w:noProof/>
                <w:webHidden/>
              </w:rPr>
              <w:fldChar w:fldCharType="separate"/>
            </w:r>
            <w:r w:rsidR="00882ABC">
              <w:rPr>
                <w:noProof/>
                <w:webHidden/>
              </w:rPr>
              <w:t>23</w:t>
            </w:r>
            <w:r w:rsidR="00882ABC">
              <w:rPr>
                <w:noProof/>
                <w:webHidden/>
              </w:rPr>
              <w:fldChar w:fldCharType="end"/>
            </w:r>
          </w:hyperlink>
        </w:p>
        <w:p w14:paraId="39FB77EE" w14:textId="77777777" w:rsidR="00882ABC" w:rsidRDefault="00182363">
          <w:pPr>
            <w:pStyle w:val="TOC2"/>
            <w:tabs>
              <w:tab w:val="right" w:leader="dot" w:pos="9016"/>
            </w:tabs>
            <w:rPr>
              <w:noProof/>
              <w:lang w:eastAsia="en-AU"/>
            </w:rPr>
          </w:pPr>
          <w:hyperlink w:anchor="_Toc428520745" w:history="1">
            <w:r w:rsidR="00882ABC" w:rsidRPr="003901AB">
              <w:rPr>
                <w:rStyle w:val="Hyperlink"/>
                <w:noProof/>
              </w:rPr>
              <w:t>Goal 4: Enable business areas</w:t>
            </w:r>
            <w:r w:rsidR="00882ABC">
              <w:rPr>
                <w:noProof/>
                <w:webHidden/>
              </w:rPr>
              <w:tab/>
            </w:r>
            <w:r w:rsidR="00882ABC">
              <w:rPr>
                <w:noProof/>
                <w:webHidden/>
              </w:rPr>
              <w:fldChar w:fldCharType="begin"/>
            </w:r>
            <w:r w:rsidR="00882ABC">
              <w:rPr>
                <w:noProof/>
                <w:webHidden/>
              </w:rPr>
              <w:instrText xml:space="preserve"> PAGEREF _Toc428520745 \h </w:instrText>
            </w:r>
            <w:r w:rsidR="00882ABC">
              <w:rPr>
                <w:noProof/>
                <w:webHidden/>
              </w:rPr>
            </w:r>
            <w:r w:rsidR="00882ABC">
              <w:rPr>
                <w:noProof/>
                <w:webHidden/>
              </w:rPr>
              <w:fldChar w:fldCharType="separate"/>
            </w:r>
            <w:r w:rsidR="00882ABC">
              <w:rPr>
                <w:noProof/>
                <w:webHidden/>
              </w:rPr>
              <w:t>23</w:t>
            </w:r>
            <w:r w:rsidR="00882ABC">
              <w:rPr>
                <w:noProof/>
                <w:webHidden/>
              </w:rPr>
              <w:fldChar w:fldCharType="end"/>
            </w:r>
          </w:hyperlink>
        </w:p>
        <w:p w14:paraId="39FB77EF" w14:textId="77777777" w:rsidR="00882ABC" w:rsidRDefault="00182363">
          <w:pPr>
            <w:pStyle w:val="TOC2"/>
            <w:tabs>
              <w:tab w:val="right" w:leader="dot" w:pos="9016"/>
            </w:tabs>
            <w:rPr>
              <w:noProof/>
              <w:lang w:eastAsia="en-AU"/>
            </w:rPr>
          </w:pPr>
          <w:hyperlink w:anchor="_Toc428520746" w:history="1">
            <w:r w:rsidR="00882ABC" w:rsidRPr="003901AB">
              <w:rPr>
                <w:rStyle w:val="Hyperlink"/>
                <w:noProof/>
              </w:rPr>
              <w:t>Our pathways</w:t>
            </w:r>
            <w:r w:rsidR="00882ABC">
              <w:rPr>
                <w:noProof/>
                <w:webHidden/>
              </w:rPr>
              <w:tab/>
            </w:r>
            <w:r w:rsidR="00882ABC">
              <w:rPr>
                <w:noProof/>
                <w:webHidden/>
              </w:rPr>
              <w:fldChar w:fldCharType="begin"/>
            </w:r>
            <w:r w:rsidR="00882ABC">
              <w:rPr>
                <w:noProof/>
                <w:webHidden/>
              </w:rPr>
              <w:instrText xml:space="preserve"> PAGEREF _Toc428520746 \h </w:instrText>
            </w:r>
            <w:r w:rsidR="00882ABC">
              <w:rPr>
                <w:noProof/>
                <w:webHidden/>
              </w:rPr>
            </w:r>
            <w:r w:rsidR="00882ABC">
              <w:rPr>
                <w:noProof/>
                <w:webHidden/>
              </w:rPr>
              <w:fldChar w:fldCharType="separate"/>
            </w:r>
            <w:r w:rsidR="00882ABC">
              <w:rPr>
                <w:noProof/>
                <w:webHidden/>
              </w:rPr>
              <w:t>24</w:t>
            </w:r>
            <w:r w:rsidR="00882ABC">
              <w:rPr>
                <w:noProof/>
                <w:webHidden/>
              </w:rPr>
              <w:fldChar w:fldCharType="end"/>
            </w:r>
          </w:hyperlink>
        </w:p>
        <w:p w14:paraId="39FB77F0" w14:textId="77777777" w:rsidR="00882ABC" w:rsidRDefault="00182363">
          <w:pPr>
            <w:pStyle w:val="TOC2"/>
            <w:tabs>
              <w:tab w:val="right" w:leader="dot" w:pos="9016"/>
            </w:tabs>
            <w:rPr>
              <w:noProof/>
              <w:lang w:eastAsia="en-AU"/>
            </w:rPr>
          </w:pPr>
          <w:hyperlink w:anchor="_Toc428520747" w:history="1">
            <w:r w:rsidR="00882ABC" w:rsidRPr="003901AB">
              <w:rPr>
                <w:rStyle w:val="Hyperlink"/>
                <w:noProof/>
              </w:rPr>
              <w:t>Workforce planning</w:t>
            </w:r>
            <w:r w:rsidR="00882ABC">
              <w:rPr>
                <w:noProof/>
                <w:webHidden/>
              </w:rPr>
              <w:tab/>
            </w:r>
            <w:r w:rsidR="00882ABC">
              <w:rPr>
                <w:noProof/>
                <w:webHidden/>
              </w:rPr>
              <w:fldChar w:fldCharType="begin"/>
            </w:r>
            <w:r w:rsidR="00882ABC">
              <w:rPr>
                <w:noProof/>
                <w:webHidden/>
              </w:rPr>
              <w:instrText xml:space="preserve"> PAGEREF _Toc428520747 \h </w:instrText>
            </w:r>
            <w:r w:rsidR="00882ABC">
              <w:rPr>
                <w:noProof/>
                <w:webHidden/>
              </w:rPr>
            </w:r>
            <w:r w:rsidR="00882ABC">
              <w:rPr>
                <w:noProof/>
                <w:webHidden/>
              </w:rPr>
              <w:fldChar w:fldCharType="separate"/>
            </w:r>
            <w:r w:rsidR="00882ABC">
              <w:rPr>
                <w:noProof/>
                <w:webHidden/>
              </w:rPr>
              <w:t>25</w:t>
            </w:r>
            <w:r w:rsidR="00882ABC">
              <w:rPr>
                <w:noProof/>
                <w:webHidden/>
              </w:rPr>
              <w:fldChar w:fldCharType="end"/>
            </w:r>
          </w:hyperlink>
        </w:p>
        <w:p w14:paraId="39FB77F1" w14:textId="77777777" w:rsidR="00882ABC" w:rsidRDefault="00182363">
          <w:pPr>
            <w:pStyle w:val="TOC2"/>
            <w:tabs>
              <w:tab w:val="right" w:leader="dot" w:pos="9016"/>
            </w:tabs>
            <w:rPr>
              <w:noProof/>
              <w:lang w:eastAsia="en-AU"/>
            </w:rPr>
          </w:pPr>
          <w:hyperlink w:anchor="_Toc428520748" w:history="1">
            <w:r w:rsidR="00882ABC" w:rsidRPr="003901AB">
              <w:rPr>
                <w:rStyle w:val="Hyperlink"/>
                <w:noProof/>
              </w:rPr>
              <w:t>ICT capability</w:t>
            </w:r>
            <w:r w:rsidR="00882ABC">
              <w:rPr>
                <w:noProof/>
                <w:webHidden/>
              </w:rPr>
              <w:tab/>
            </w:r>
            <w:r w:rsidR="00882ABC">
              <w:rPr>
                <w:noProof/>
                <w:webHidden/>
              </w:rPr>
              <w:fldChar w:fldCharType="begin"/>
            </w:r>
            <w:r w:rsidR="00882ABC">
              <w:rPr>
                <w:noProof/>
                <w:webHidden/>
              </w:rPr>
              <w:instrText xml:space="preserve"> PAGEREF _Toc428520748 \h </w:instrText>
            </w:r>
            <w:r w:rsidR="00882ABC">
              <w:rPr>
                <w:noProof/>
                <w:webHidden/>
              </w:rPr>
            </w:r>
            <w:r w:rsidR="00882ABC">
              <w:rPr>
                <w:noProof/>
                <w:webHidden/>
              </w:rPr>
              <w:fldChar w:fldCharType="separate"/>
            </w:r>
            <w:r w:rsidR="00882ABC">
              <w:rPr>
                <w:noProof/>
                <w:webHidden/>
              </w:rPr>
              <w:t>26</w:t>
            </w:r>
            <w:r w:rsidR="00882ABC">
              <w:rPr>
                <w:noProof/>
                <w:webHidden/>
              </w:rPr>
              <w:fldChar w:fldCharType="end"/>
            </w:r>
          </w:hyperlink>
        </w:p>
        <w:p w14:paraId="39FB77F2" w14:textId="77777777" w:rsidR="00882ABC" w:rsidRDefault="00182363">
          <w:pPr>
            <w:pStyle w:val="TOC2"/>
            <w:tabs>
              <w:tab w:val="right" w:leader="dot" w:pos="9016"/>
            </w:tabs>
            <w:rPr>
              <w:noProof/>
              <w:lang w:eastAsia="en-AU"/>
            </w:rPr>
          </w:pPr>
          <w:hyperlink w:anchor="_Toc428520749" w:history="1">
            <w:r w:rsidR="00882ABC" w:rsidRPr="003901AB">
              <w:rPr>
                <w:rStyle w:val="Hyperlink"/>
                <w:noProof/>
              </w:rPr>
              <w:t>Shared Services Centre</w:t>
            </w:r>
            <w:r w:rsidR="00882ABC">
              <w:rPr>
                <w:noProof/>
                <w:webHidden/>
              </w:rPr>
              <w:tab/>
            </w:r>
            <w:r w:rsidR="00882ABC">
              <w:rPr>
                <w:noProof/>
                <w:webHidden/>
              </w:rPr>
              <w:fldChar w:fldCharType="begin"/>
            </w:r>
            <w:r w:rsidR="00882ABC">
              <w:rPr>
                <w:noProof/>
                <w:webHidden/>
              </w:rPr>
              <w:instrText xml:space="preserve"> PAGEREF _Toc428520749 \h </w:instrText>
            </w:r>
            <w:r w:rsidR="00882ABC">
              <w:rPr>
                <w:noProof/>
                <w:webHidden/>
              </w:rPr>
            </w:r>
            <w:r w:rsidR="00882ABC">
              <w:rPr>
                <w:noProof/>
                <w:webHidden/>
              </w:rPr>
              <w:fldChar w:fldCharType="separate"/>
            </w:r>
            <w:r w:rsidR="00882ABC">
              <w:rPr>
                <w:noProof/>
                <w:webHidden/>
              </w:rPr>
              <w:t>26</w:t>
            </w:r>
            <w:r w:rsidR="00882ABC">
              <w:rPr>
                <w:noProof/>
                <w:webHidden/>
              </w:rPr>
              <w:fldChar w:fldCharType="end"/>
            </w:r>
          </w:hyperlink>
        </w:p>
        <w:p w14:paraId="39FB77F3" w14:textId="77777777" w:rsidR="00882ABC" w:rsidRDefault="00182363">
          <w:pPr>
            <w:pStyle w:val="TOC2"/>
            <w:tabs>
              <w:tab w:val="right" w:leader="dot" w:pos="9016"/>
            </w:tabs>
            <w:rPr>
              <w:noProof/>
              <w:lang w:eastAsia="en-AU"/>
            </w:rPr>
          </w:pPr>
          <w:hyperlink w:anchor="_Toc428520750" w:history="1">
            <w:r w:rsidR="00882ABC" w:rsidRPr="003901AB">
              <w:rPr>
                <w:rStyle w:val="Hyperlink"/>
                <w:noProof/>
              </w:rPr>
              <w:t>Reducing red tape and driving innovation</w:t>
            </w:r>
            <w:r w:rsidR="00882ABC">
              <w:rPr>
                <w:noProof/>
                <w:webHidden/>
              </w:rPr>
              <w:tab/>
            </w:r>
            <w:r w:rsidR="00882ABC">
              <w:rPr>
                <w:noProof/>
                <w:webHidden/>
              </w:rPr>
              <w:fldChar w:fldCharType="begin"/>
            </w:r>
            <w:r w:rsidR="00882ABC">
              <w:rPr>
                <w:noProof/>
                <w:webHidden/>
              </w:rPr>
              <w:instrText xml:space="preserve"> PAGEREF _Toc428520750 \h </w:instrText>
            </w:r>
            <w:r w:rsidR="00882ABC">
              <w:rPr>
                <w:noProof/>
                <w:webHidden/>
              </w:rPr>
            </w:r>
            <w:r w:rsidR="00882ABC">
              <w:rPr>
                <w:noProof/>
                <w:webHidden/>
              </w:rPr>
              <w:fldChar w:fldCharType="separate"/>
            </w:r>
            <w:r w:rsidR="00882ABC">
              <w:rPr>
                <w:noProof/>
                <w:webHidden/>
              </w:rPr>
              <w:t>27</w:t>
            </w:r>
            <w:r w:rsidR="00882ABC">
              <w:rPr>
                <w:noProof/>
                <w:webHidden/>
              </w:rPr>
              <w:fldChar w:fldCharType="end"/>
            </w:r>
          </w:hyperlink>
        </w:p>
        <w:p w14:paraId="39FB77F4" w14:textId="77777777" w:rsidR="00882ABC" w:rsidRDefault="00182363">
          <w:pPr>
            <w:pStyle w:val="TOC1"/>
            <w:tabs>
              <w:tab w:val="right" w:leader="dot" w:pos="9016"/>
            </w:tabs>
            <w:rPr>
              <w:noProof/>
              <w:lang w:eastAsia="en-AU"/>
            </w:rPr>
          </w:pPr>
          <w:hyperlink w:anchor="_Toc428520751" w:history="1">
            <w:r w:rsidR="00882ABC" w:rsidRPr="003901AB">
              <w:rPr>
                <w:rStyle w:val="Hyperlink"/>
                <w:noProof/>
              </w:rPr>
              <w:t>Risk oversight and management</w:t>
            </w:r>
            <w:r w:rsidR="00882ABC">
              <w:rPr>
                <w:noProof/>
                <w:webHidden/>
              </w:rPr>
              <w:tab/>
            </w:r>
            <w:r w:rsidR="00882ABC">
              <w:rPr>
                <w:noProof/>
                <w:webHidden/>
              </w:rPr>
              <w:fldChar w:fldCharType="begin"/>
            </w:r>
            <w:r w:rsidR="00882ABC">
              <w:rPr>
                <w:noProof/>
                <w:webHidden/>
              </w:rPr>
              <w:instrText xml:space="preserve"> PAGEREF _Toc428520751 \h </w:instrText>
            </w:r>
            <w:r w:rsidR="00882ABC">
              <w:rPr>
                <w:noProof/>
                <w:webHidden/>
              </w:rPr>
            </w:r>
            <w:r w:rsidR="00882ABC">
              <w:rPr>
                <w:noProof/>
                <w:webHidden/>
              </w:rPr>
              <w:fldChar w:fldCharType="separate"/>
            </w:r>
            <w:r w:rsidR="00882ABC">
              <w:rPr>
                <w:noProof/>
                <w:webHidden/>
              </w:rPr>
              <w:t>28</w:t>
            </w:r>
            <w:r w:rsidR="00882ABC">
              <w:rPr>
                <w:noProof/>
                <w:webHidden/>
              </w:rPr>
              <w:fldChar w:fldCharType="end"/>
            </w:r>
          </w:hyperlink>
        </w:p>
        <w:p w14:paraId="39FB77F5" w14:textId="77777777" w:rsidR="00882ABC" w:rsidRDefault="00182363">
          <w:pPr>
            <w:pStyle w:val="TOC1"/>
            <w:tabs>
              <w:tab w:val="right" w:leader="dot" w:pos="9016"/>
            </w:tabs>
            <w:rPr>
              <w:noProof/>
              <w:lang w:eastAsia="en-AU"/>
            </w:rPr>
          </w:pPr>
          <w:hyperlink w:anchor="_Toc428520752" w:history="1">
            <w:r w:rsidR="00882ABC" w:rsidRPr="003901AB">
              <w:rPr>
                <w:rStyle w:val="Hyperlink"/>
                <w:noProof/>
              </w:rPr>
              <w:t>Administered programmes</w:t>
            </w:r>
            <w:r w:rsidR="00882ABC">
              <w:rPr>
                <w:noProof/>
                <w:webHidden/>
              </w:rPr>
              <w:tab/>
            </w:r>
            <w:r w:rsidR="00882ABC">
              <w:rPr>
                <w:noProof/>
                <w:webHidden/>
              </w:rPr>
              <w:fldChar w:fldCharType="begin"/>
            </w:r>
            <w:r w:rsidR="00882ABC">
              <w:rPr>
                <w:noProof/>
                <w:webHidden/>
              </w:rPr>
              <w:instrText xml:space="preserve"> PAGEREF _Toc428520752 \h </w:instrText>
            </w:r>
            <w:r w:rsidR="00882ABC">
              <w:rPr>
                <w:noProof/>
                <w:webHidden/>
              </w:rPr>
            </w:r>
            <w:r w:rsidR="00882ABC">
              <w:rPr>
                <w:noProof/>
                <w:webHidden/>
              </w:rPr>
              <w:fldChar w:fldCharType="separate"/>
            </w:r>
            <w:r w:rsidR="00882ABC">
              <w:rPr>
                <w:noProof/>
                <w:webHidden/>
              </w:rPr>
              <w:t>29</w:t>
            </w:r>
            <w:r w:rsidR="00882ABC">
              <w:rPr>
                <w:noProof/>
                <w:webHidden/>
              </w:rPr>
              <w:fldChar w:fldCharType="end"/>
            </w:r>
          </w:hyperlink>
        </w:p>
        <w:p w14:paraId="39FB77F6" w14:textId="77777777" w:rsidR="00882ABC" w:rsidRDefault="00182363">
          <w:pPr>
            <w:pStyle w:val="TOC1"/>
            <w:tabs>
              <w:tab w:val="right" w:leader="dot" w:pos="9016"/>
            </w:tabs>
            <w:rPr>
              <w:noProof/>
              <w:lang w:eastAsia="en-AU"/>
            </w:rPr>
          </w:pPr>
          <w:hyperlink w:anchor="_Toc428520753" w:history="1">
            <w:r w:rsidR="00882ABC" w:rsidRPr="003901AB">
              <w:rPr>
                <w:rStyle w:val="Hyperlink"/>
                <w:noProof/>
              </w:rPr>
              <w:t>Financials</w:t>
            </w:r>
            <w:r w:rsidR="00882ABC">
              <w:rPr>
                <w:noProof/>
                <w:webHidden/>
              </w:rPr>
              <w:tab/>
            </w:r>
            <w:r w:rsidR="00882ABC">
              <w:rPr>
                <w:noProof/>
                <w:webHidden/>
              </w:rPr>
              <w:fldChar w:fldCharType="begin"/>
            </w:r>
            <w:r w:rsidR="00882ABC">
              <w:rPr>
                <w:noProof/>
                <w:webHidden/>
              </w:rPr>
              <w:instrText xml:space="preserve"> PAGEREF _Toc428520753 \h </w:instrText>
            </w:r>
            <w:r w:rsidR="00882ABC">
              <w:rPr>
                <w:noProof/>
                <w:webHidden/>
              </w:rPr>
            </w:r>
            <w:r w:rsidR="00882ABC">
              <w:rPr>
                <w:noProof/>
                <w:webHidden/>
              </w:rPr>
              <w:fldChar w:fldCharType="separate"/>
            </w:r>
            <w:r w:rsidR="00882ABC">
              <w:rPr>
                <w:noProof/>
                <w:webHidden/>
              </w:rPr>
              <w:t>31</w:t>
            </w:r>
            <w:r w:rsidR="00882ABC">
              <w:rPr>
                <w:noProof/>
                <w:webHidden/>
              </w:rPr>
              <w:fldChar w:fldCharType="end"/>
            </w:r>
          </w:hyperlink>
        </w:p>
        <w:p w14:paraId="39FB77F7" w14:textId="77777777" w:rsidR="00EF4A38" w:rsidRDefault="00EF4A38">
          <w:r>
            <w:rPr>
              <w:b/>
              <w:bCs/>
              <w:noProof/>
            </w:rPr>
            <w:fldChar w:fldCharType="end"/>
          </w:r>
        </w:p>
      </w:sdtContent>
    </w:sdt>
    <w:p w14:paraId="39FB77F8" w14:textId="77777777" w:rsidR="00EF4A38" w:rsidRDefault="00EF4A38" w:rsidP="00EF4A38">
      <w:pPr>
        <w:pStyle w:val="numberedpara"/>
        <w:numPr>
          <w:ilvl w:val="0"/>
          <w:numId w:val="0"/>
        </w:numPr>
        <w:tabs>
          <w:tab w:val="left" w:pos="720"/>
        </w:tabs>
        <w:spacing w:before="120" w:after="120"/>
        <w:rPr>
          <w:sz w:val="20"/>
          <w:szCs w:val="20"/>
        </w:rPr>
        <w:sectPr w:rsidR="00EF4A38" w:rsidSect="00612D45">
          <w:type w:val="continuous"/>
          <w:pgSz w:w="11906" w:h="16838"/>
          <w:pgMar w:top="1985" w:right="1440" w:bottom="1440" w:left="1440" w:header="708" w:footer="708" w:gutter="0"/>
          <w:cols w:space="708"/>
          <w:docGrid w:linePitch="360"/>
        </w:sectPr>
      </w:pPr>
    </w:p>
    <w:p w14:paraId="39FB77F9" w14:textId="77777777" w:rsidR="00C10C19" w:rsidRDefault="00AB1761" w:rsidP="00AC65DA">
      <w:pPr>
        <w:pStyle w:val="Heading1"/>
      </w:pPr>
      <w:bookmarkStart w:id="1" w:name="_Toc428520725"/>
      <w:r>
        <w:lastRenderedPageBreak/>
        <w:t>Introduction</w:t>
      </w:r>
      <w:bookmarkEnd w:id="1"/>
    </w:p>
    <w:p w14:paraId="39FB77FA" w14:textId="77777777" w:rsidR="00C10C19" w:rsidRDefault="00AB1761" w:rsidP="00AC65DA">
      <w:pPr>
        <w:pStyle w:val="Heading2"/>
      </w:pPr>
      <w:bookmarkStart w:id="2" w:name="_Toc428520726"/>
      <w:r>
        <w:t>Secretary’s foreword</w:t>
      </w:r>
      <w:bookmarkEnd w:id="2"/>
    </w:p>
    <w:p w14:paraId="39FB77FB" w14:textId="77777777" w:rsidR="00AB1761" w:rsidRDefault="00AB1761" w:rsidP="00AB1761">
      <w:pPr>
        <w:rPr>
          <w:iCs/>
        </w:rPr>
      </w:pPr>
      <w:r>
        <w:rPr>
          <w:iCs/>
        </w:rPr>
        <w:t>I, as the accountable authority of the Department of Education and Training, am pleased to present the Department of Education and Training Corporate Plan 2015-19 (Corporate</w:t>
      </w:r>
      <w:r w:rsidR="00383514">
        <w:rPr>
          <w:iCs/>
        </w:rPr>
        <w:t xml:space="preserve"> Plan), which covers the period</w:t>
      </w:r>
      <w:r>
        <w:rPr>
          <w:iCs/>
        </w:rPr>
        <w:t xml:space="preserve"> of four years (2015/16 – 2018/19), as required under paragraph 35(1)(b) of the</w:t>
      </w:r>
      <w:r>
        <w:rPr>
          <w:i/>
          <w:iCs/>
        </w:rPr>
        <w:t xml:space="preserve"> Public Governance, Performance and Accountability Act 2013</w:t>
      </w:r>
      <w:r>
        <w:rPr>
          <w:iCs/>
        </w:rPr>
        <w:t>.</w:t>
      </w:r>
    </w:p>
    <w:p w14:paraId="39FB77FC" w14:textId="77777777" w:rsidR="00AB1761" w:rsidRDefault="00AB1761" w:rsidP="00AB1761">
      <w:r>
        <w:t>Our Corporate</w:t>
      </w:r>
      <w:r w:rsidR="00DA4A3C">
        <w:t xml:space="preserve"> Plan begins with our vision: ‘o</w:t>
      </w:r>
      <w:r>
        <w:t>pportunity through learning’. These three words encapsulate so much. Our department provides opportunity to build a stronger more productive economy, opportunity to build stronger communities and opportunity for a more equitable society. We e</w:t>
      </w:r>
      <w:r w:rsidR="00383514">
        <w:t>nable learning that is lifelong</w:t>
      </w:r>
      <w:r>
        <w:t xml:space="preserve"> through early learning, formal education and training, and through the richness of discovery and research.</w:t>
      </w:r>
    </w:p>
    <w:p w14:paraId="39FB77FD" w14:textId="77777777" w:rsidR="00AB1761" w:rsidRDefault="00AB1761" w:rsidP="00AB1761">
      <w:r>
        <w:t>I am proud of our critical role in supporting every student’s educational achievement which leads to increases in Australia’s productivity and innovation. This requi</w:t>
      </w:r>
      <w:r w:rsidR="00383514">
        <w:t xml:space="preserve">res us to work closely with </w:t>
      </w:r>
      <w:r>
        <w:t>education providers to continuously strengthen the industry and maximise its effectiveness and attractiveness to domestic and international students.</w:t>
      </w:r>
    </w:p>
    <w:p w14:paraId="39FB77FE" w14:textId="77777777" w:rsidR="00AB1761" w:rsidRDefault="00AB1761" w:rsidP="00AB1761">
      <w:r>
        <w:t>Our Corporate Plan also identifies the skills and capabilities of our people that are critical to our success. It explains our values and culture and how we behave when doing our work. It also shows our commitment to improving educational opportunities for Aboriginal and Torres Strait Islander peoples. For us, Indigenous business is everyone’s business.</w:t>
      </w:r>
    </w:p>
    <w:p w14:paraId="39FB77FF" w14:textId="77777777" w:rsidR="00AB1761" w:rsidRDefault="00AB1761" w:rsidP="00AB1761">
      <w:r>
        <w:t>I would like to thank everyone who has contributed to developing the Corporate Plan. The plan will build a shared understanding of our goals, prioritie</w:t>
      </w:r>
      <w:r w:rsidR="00383514">
        <w:t xml:space="preserve">s, and measures of performance </w:t>
      </w:r>
      <w:r>
        <w:t xml:space="preserve">so we can work together to achieve our vision of </w:t>
      </w:r>
      <w:r w:rsidR="00DA4A3C">
        <w:t>o</w:t>
      </w:r>
      <w:r>
        <w:t>pportunity through learning.</w:t>
      </w:r>
    </w:p>
    <w:p w14:paraId="39FB7800" w14:textId="77777777" w:rsidR="00AB1761" w:rsidRDefault="00AB1761" w:rsidP="00AB1761">
      <w:r>
        <w:t>Lisa Paul AO PSM</w:t>
      </w:r>
    </w:p>
    <w:p w14:paraId="39FB7801" w14:textId="77777777" w:rsidR="00AB1761" w:rsidRPr="00CF4528" w:rsidRDefault="00CF4528">
      <w:r>
        <w:t>August 2015</w:t>
      </w:r>
      <w:r w:rsidR="00AB1761">
        <w:br w:type="page"/>
      </w:r>
    </w:p>
    <w:p w14:paraId="39FB7802" w14:textId="77777777" w:rsidR="00AB1761" w:rsidRDefault="00383514" w:rsidP="00AB1761">
      <w:pPr>
        <w:pStyle w:val="Heading2"/>
      </w:pPr>
      <w:bookmarkStart w:id="3" w:name="_Toc428520727"/>
      <w:r>
        <w:lastRenderedPageBreak/>
        <w:t>This d</w:t>
      </w:r>
      <w:r w:rsidR="00AB1761">
        <w:t>ocument</w:t>
      </w:r>
      <w:bookmarkEnd w:id="3"/>
    </w:p>
    <w:p w14:paraId="39FB7803" w14:textId="77777777" w:rsidR="00AB1761" w:rsidRPr="00AB1761" w:rsidRDefault="00AB1761" w:rsidP="00AB1761">
      <w:pPr>
        <w:rPr>
          <w:iCs/>
        </w:rPr>
      </w:pPr>
      <w:r w:rsidRPr="00AB1761">
        <w:rPr>
          <w:iCs/>
        </w:rPr>
        <w:t>The Corporate Plan is the department’s key planning document, however it does not sit in isolation. It is one of several strategic documents that provides transparency to our planned and then delivered operations, including performance. The department takes a considered staged approach to its performance planning and reporting activities, starting with entity-wide business planning, outlined in the diag</w:t>
      </w:r>
      <w:r>
        <w:rPr>
          <w:iCs/>
        </w:rPr>
        <w:t>ram below.</w:t>
      </w:r>
    </w:p>
    <w:p w14:paraId="39FB7804" w14:textId="77777777" w:rsidR="00AB1761" w:rsidRDefault="00182363" w:rsidP="00AB1761">
      <w:pPr>
        <w:jc w:val="center"/>
      </w:pPr>
      <w:r>
        <w:pict w14:anchorId="39FB7A1A">
          <v:shape id="_x0000_i1025" type="#_x0000_t75" alt="Visual representation of the linkage between the various strategic document. More information is provided in the next figure's alt text." style="width:262.95pt;height:259.85pt;mso-position-horizontal:absolute">
            <v:imagedata r:id="rId20" o:title="ED15-0015 Coporate Plan_Figure 1-a"/>
          </v:shape>
        </w:pict>
      </w:r>
    </w:p>
    <w:p w14:paraId="39FB7805" w14:textId="77777777" w:rsidR="009E2E1A" w:rsidRDefault="00182363" w:rsidP="00AB1761">
      <w:pPr>
        <w:jc w:val="center"/>
      </w:pPr>
      <w:r>
        <w:pict w14:anchorId="39FB7A1B">
          <v:shape id="_x0000_i1026" type="#_x0000_t75" alt="Figure 1: The corporate plan (this document) outlines our purpose, goals, activities, and resulting outcomes, along with how we will assess our effectiveness. It also allows us to provide context on our operating environment. This informs more detailed internal business planning, including programme-level operational plans and individual performance agreements. &#10;The corporate plan is followed by the Portfolio Budget Statements (PBS) which provide further detail about our funded activities including lower level performance measures, indicators and targets. Throughout the year the department constantly monitors and evaluates the performance of our activities through business planning and data collection.&#10;The department’s progress in meeting our outcomes and goals will be documented within the Annual Performance Statement of our Annual Report. Lessons learned inform our future work and business planning.&#10;" style="width:450.8pt;height:200.35pt">
            <v:imagedata r:id="rId21" o:title="ED15-0015 Coporate Plan_Figure 1-b"/>
          </v:shape>
        </w:pict>
      </w:r>
    </w:p>
    <w:p w14:paraId="39FB7806" w14:textId="77777777" w:rsidR="00AB1761" w:rsidRDefault="002F1B07" w:rsidP="00CF4528">
      <w:r w:rsidRPr="00424377">
        <w:rPr>
          <w:b/>
          <w:bCs/>
        </w:rPr>
        <w:t xml:space="preserve">Figure 1: </w:t>
      </w:r>
      <w:r w:rsidR="00B54A39" w:rsidRPr="00424377">
        <w:rPr>
          <w:b/>
          <w:bCs/>
        </w:rPr>
        <w:t>Context in which this document should be read</w:t>
      </w:r>
      <w:r w:rsidR="00AB1761">
        <w:br w:type="page"/>
      </w:r>
    </w:p>
    <w:p w14:paraId="39FB7807" w14:textId="77777777" w:rsidR="00AB1761" w:rsidRDefault="00AB1761" w:rsidP="00AB1761">
      <w:pPr>
        <w:pStyle w:val="Heading1"/>
      </w:pPr>
      <w:bookmarkStart w:id="4" w:name="_Toc428520728"/>
      <w:r>
        <w:lastRenderedPageBreak/>
        <w:t>Purpose</w:t>
      </w:r>
      <w:bookmarkEnd w:id="4"/>
    </w:p>
    <w:p w14:paraId="39FB7808" w14:textId="77777777" w:rsidR="008A5299" w:rsidRDefault="00AB1761" w:rsidP="008A5299">
      <w:pPr>
        <w:pStyle w:val="Heading2"/>
      </w:pPr>
      <w:bookmarkStart w:id="5" w:name="_Toc423963073"/>
      <w:bookmarkStart w:id="6" w:name="_Toc428520729"/>
      <w:r w:rsidRPr="008A5299">
        <w:t xml:space="preserve">Our </w:t>
      </w:r>
      <w:r w:rsidR="00383514" w:rsidRPr="008A5299">
        <w:t>v</w:t>
      </w:r>
      <w:r w:rsidRPr="008A5299">
        <w:t>ision</w:t>
      </w:r>
      <w:bookmarkEnd w:id="5"/>
      <w:bookmarkEnd w:id="6"/>
    </w:p>
    <w:p w14:paraId="39FB7809" w14:textId="77777777" w:rsidR="00AB1761" w:rsidRDefault="00AB1761" w:rsidP="00AB1761">
      <w:r>
        <w:t>Opportunity through learning.</w:t>
      </w:r>
    </w:p>
    <w:p w14:paraId="39FB780A" w14:textId="77777777" w:rsidR="00AB1761" w:rsidRPr="00AB1761" w:rsidRDefault="00383514" w:rsidP="00564A58">
      <w:pPr>
        <w:pStyle w:val="Heading2"/>
      </w:pPr>
      <w:bookmarkStart w:id="7" w:name="_Toc423963074"/>
      <w:bookmarkStart w:id="8" w:name="_Toc428520730"/>
      <w:r>
        <w:t>Our m</w:t>
      </w:r>
      <w:r w:rsidR="00AB1761" w:rsidRPr="00AB1761">
        <w:t>ission</w:t>
      </w:r>
      <w:bookmarkEnd w:id="7"/>
      <w:bookmarkEnd w:id="8"/>
    </w:p>
    <w:p w14:paraId="39FB780B" w14:textId="77777777" w:rsidR="00383514" w:rsidRDefault="00383514" w:rsidP="00383514">
      <w:r>
        <w:t>Opportunity through learning transforms lives. We aim to provide learning opportunities for everyone, from children starting preschool to school, vocational and university students achieving their potential, international students using our quality universities, to the global impact of research. We want to be recognised for delivering and enabling quality, value for money education services to the Australian community.</w:t>
      </w:r>
    </w:p>
    <w:p w14:paraId="39FB780C" w14:textId="77777777" w:rsidR="00383514" w:rsidRDefault="00383514" w:rsidP="00383514">
      <w:r>
        <w:t>The department’s work reflects the Australian Government’s priorities for education. We provide evidence-based, well informed and highly regarded advice to support our ministers and stakeholders. We work together and in partnership with our stakeholders to achieve our vision.</w:t>
      </w:r>
    </w:p>
    <w:p w14:paraId="39FB780D" w14:textId="77777777" w:rsidR="00AB1761" w:rsidRPr="00AB1761" w:rsidRDefault="00383514" w:rsidP="00564A58">
      <w:pPr>
        <w:pStyle w:val="Heading2"/>
      </w:pPr>
      <w:bookmarkStart w:id="9" w:name="_Toc423963075"/>
      <w:bookmarkStart w:id="10" w:name="_Toc428520731"/>
      <w:r>
        <w:t>Our o</w:t>
      </w:r>
      <w:r w:rsidR="00AB1761" w:rsidRPr="00AB1761">
        <w:t>utcomes</w:t>
      </w:r>
      <w:bookmarkEnd w:id="9"/>
      <w:bookmarkEnd w:id="10"/>
    </w:p>
    <w:p w14:paraId="39FB780E" w14:textId="77777777" w:rsidR="00AB1761" w:rsidRDefault="00AB1761" w:rsidP="004A13FF">
      <w:pPr>
        <w:spacing w:after="120"/>
      </w:pPr>
      <w:r>
        <w:t>The department’s 2015-16 Portfolio Budget Statement</w:t>
      </w:r>
      <w:r w:rsidR="008C7D3C">
        <w:t>s</w:t>
      </w:r>
      <w:r>
        <w:t xml:space="preserve"> (PBS) identifies two Outcomes for which the department is responsible for delivering:</w:t>
      </w:r>
    </w:p>
    <w:p w14:paraId="39FB780F" w14:textId="77777777" w:rsidR="00AB1761" w:rsidRDefault="00AB1761" w:rsidP="005343E8">
      <w:pPr>
        <w:pStyle w:val="ListBullet"/>
      </w:pPr>
      <w:r>
        <w:t>Outcome 1: Quality early learning, schooling, student outcomes and transitions to and from school through parent engagement, quality teaching and learning environments.</w:t>
      </w:r>
    </w:p>
    <w:p w14:paraId="39FB7810" w14:textId="77777777" w:rsidR="00AB1761" w:rsidRDefault="00AB1761" w:rsidP="005343E8">
      <w:pPr>
        <w:pStyle w:val="ListBullet"/>
      </w:pPr>
      <w:r>
        <w:t>Outcome 2: Promote growth in economic productivity and social wellbeing through access to quality higher education, international education, international quality research, skills and training.</w:t>
      </w:r>
    </w:p>
    <w:p w14:paraId="39FB7811" w14:textId="77777777" w:rsidR="00AB1761" w:rsidRPr="00AB1761" w:rsidRDefault="00383514" w:rsidP="00564A58">
      <w:pPr>
        <w:pStyle w:val="Heading2"/>
      </w:pPr>
      <w:bookmarkStart w:id="11" w:name="_Toc423963076"/>
      <w:bookmarkStart w:id="12" w:name="_Toc428520732"/>
      <w:r>
        <w:t>Our g</w:t>
      </w:r>
      <w:r w:rsidR="00AB1761" w:rsidRPr="00AB1761">
        <w:t>oals</w:t>
      </w:r>
      <w:bookmarkEnd w:id="11"/>
      <w:bookmarkEnd w:id="12"/>
    </w:p>
    <w:p w14:paraId="39FB7812" w14:textId="77777777" w:rsidR="00383514" w:rsidRDefault="00383514" w:rsidP="00383514">
      <w:r>
        <w:t>Our goals describe the areas of work we will focus on to achieve our vision and deliver upon our two outcomes. We know we will only achieve success in our goals by collaborating with one another. Success in early learning, for example, will result in better outcomes in schooling and higher education and vocational learning. Across all of our goals we work to reduce red tape while striving for excellence.</w:t>
      </w:r>
    </w:p>
    <w:p w14:paraId="39FB7813" w14:textId="77777777" w:rsidR="00AB1761" w:rsidRDefault="00AB1761" w:rsidP="004A13FF">
      <w:pPr>
        <w:spacing w:after="120"/>
      </w:pPr>
      <w:r>
        <w:t>The department strives to achieve our vision through the delivery of four goals:</w:t>
      </w:r>
    </w:p>
    <w:p w14:paraId="39FB7814" w14:textId="77777777" w:rsidR="00AB1761" w:rsidRDefault="00AB1761" w:rsidP="005343E8">
      <w:pPr>
        <w:pStyle w:val="ListParagraph"/>
        <w:numPr>
          <w:ilvl w:val="0"/>
          <w:numId w:val="5"/>
        </w:numPr>
        <w:ind w:left="426"/>
      </w:pPr>
      <w:r>
        <w:t>Support quality early learning and schooling</w:t>
      </w:r>
    </w:p>
    <w:p w14:paraId="39FB7815" w14:textId="77777777" w:rsidR="00AB1761" w:rsidRDefault="00AB1761" w:rsidP="005343E8">
      <w:pPr>
        <w:pStyle w:val="ListParagraph"/>
        <w:numPr>
          <w:ilvl w:val="0"/>
          <w:numId w:val="5"/>
        </w:numPr>
        <w:ind w:left="426"/>
      </w:pPr>
      <w:r>
        <w:t>Excel through knowledge</w:t>
      </w:r>
    </w:p>
    <w:p w14:paraId="39FB7816" w14:textId="77777777" w:rsidR="00AB1761" w:rsidRDefault="00AB1761" w:rsidP="005343E8">
      <w:pPr>
        <w:pStyle w:val="ListParagraph"/>
        <w:numPr>
          <w:ilvl w:val="0"/>
          <w:numId w:val="5"/>
        </w:numPr>
        <w:ind w:left="426"/>
      </w:pPr>
      <w:r>
        <w:t>Build skills and capability</w:t>
      </w:r>
    </w:p>
    <w:p w14:paraId="39FB7817" w14:textId="77777777" w:rsidR="00AB1761" w:rsidRDefault="00AB1761" w:rsidP="004A13FF">
      <w:pPr>
        <w:pStyle w:val="ListParagraph"/>
        <w:numPr>
          <w:ilvl w:val="0"/>
          <w:numId w:val="5"/>
        </w:numPr>
        <w:spacing w:after="120"/>
        <w:ind w:left="425" w:hanging="357"/>
      </w:pPr>
      <w:r>
        <w:t>Enable business areas.</w:t>
      </w:r>
    </w:p>
    <w:p w14:paraId="39FB7818" w14:textId="77777777" w:rsidR="00476D9F" w:rsidRDefault="00AB1761">
      <w:r>
        <w:t>Goal 4 is about enabling our success delivery of the first three goals. The deliverables and performance measures associated with this enabling goal are identified within the c</w:t>
      </w:r>
      <w:r w:rsidR="00CF4528">
        <w:t>apability section of this plan.</w:t>
      </w:r>
      <w:r w:rsidR="00476D9F">
        <w:br w:type="page"/>
      </w:r>
    </w:p>
    <w:p w14:paraId="39FB7819" w14:textId="77777777" w:rsidR="00313676" w:rsidRDefault="00AB1761" w:rsidP="00476D9F">
      <w:pPr>
        <w:spacing w:after="600"/>
      </w:pPr>
      <w:r>
        <w:lastRenderedPageBreak/>
        <w:t xml:space="preserve">As outlined in Figure </w:t>
      </w:r>
      <w:r w:rsidR="00B54A39">
        <w:t>2</w:t>
      </w:r>
      <w:r>
        <w:t xml:space="preserve">, the department’s vision and mission is communicated through two PBS </w:t>
      </w:r>
      <w:r w:rsidR="00DA4A3C">
        <w:t>o</w:t>
      </w:r>
      <w:r>
        <w:t>utcomes, which are achieved through the delivery of four goals, supported by a range of programme and policy activities. The performance of these activities in de</w:t>
      </w:r>
      <w:r w:rsidR="00383514">
        <w:t>livering against the goals and o</w:t>
      </w:r>
      <w:r>
        <w:t xml:space="preserve">utcomes are reviewed in line with the </w:t>
      </w:r>
      <w:r>
        <w:rPr>
          <w:i/>
        </w:rPr>
        <w:t>Department of Educati</w:t>
      </w:r>
      <w:r w:rsidR="00DA4A3C">
        <w:rPr>
          <w:i/>
        </w:rPr>
        <w:t>on and Training Evaluation Plan</w:t>
      </w:r>
      <w:r w:rsidR="00476D9F">
        <w:t>.</w:t>
      </w:r>
    </w:p>
    <w:p w14:paraId="39FB781A" w14:textId="77777777" w:rsidR="00AB1761" w:rsidRDefault="00182363" w:rsidP="00313676">
      <w:pPr>
        <w:spacing w:after="0"/>
        <w:jc w:val="center"/>
        <w:rPr>
          <w:noProof/>
          <w:lang w:eastAsia="en-AU"/>
        </w:rPr>
      </w:pPr>
      <w:r>
        <w:rPr>
          <w:noProof/>
          <w:lang w:eastAsia="en-AU"/>
        </w:rPr>
        <w:pict w14:anchorId="39FB7A1C">
          <v:shape id="_x0000_i1027" type="#_x0000_t75" alt="Figure 2: The department’s vision, ‘opportunity through learning’, and mission are delivered by two budget outcomes. These outcomes are supported by three goals, which are enabled by a fourth internally-focused business goal. To achieve these goals the department administers a range of programmes and policies which include key performance measures. More information on our programmes, policies, and performance measures may be found in the section titled ‘Performance’." style="width:365.5pt;height:238.7pt;mso-position-vertical:absolute">
            <v:imagedata r:id="rId22" o:title="ED15-0015 Coporate Plan_Figure 2"/>
          </v:shape>
        </w:pict>
      </w:r>
    </w:p>
    <w:p w14:paraId="39FB781B" w14:textId="77777777" w:rsidR="00313676" w:rsidRDefault="00313676" w:rsidP="00AB1761">
      <w:pPr>
        <w:spacing w:after="0"/>
      </w:pPr>
    </w:p>
    <w:p w14:paraId="39FB781C" w14:textId="77777777" w:rsidR="00AB1761" w:rsidRPr="00C33A80" w:rsidRDefault="00AB1761" w:rsidP="00AB1761">
      <w:pPr>
        <w:rPr>
          <w:b/>
          <w:bCs/>
        </w:rPr>
      </w:pPr>
      <w:r w:rsidRPr="00C33A80">
        <w:rPr>
          <w:b/>
        </w:rPr>
        <w:t xml:space="preserve">Figure </w:t>
      </w:r>
      <w:r w:rsidR="00B54A39" w:rsidRPr="00C33A80">
        <w:rPr>
          <w:b/>
        </w:rPr>
        <w:t>2</w:t>
      </w:r>
      <w:r w:rsidRPr="00C33A80">
        <w:rPr>
          <w:b/>
        </w:rPr>
        <w:t>: Department of Education and Training strategic overview</w:t>
      </w:r>
    </w:p>
    <w:p w14:paraId="39FB781D" w14:textId="77777777" w:rsidR="00AB1761" w:rsidRPr="00AB1761" w:rsidRDefault="00AB1761" w:rsidP="00B92809">
      <w:pPr>
        <w:pStyle w:val="Heading2"/>
        <w:spacing w:before="360"/>
      </w:pPr>
      <w:bookmarkStart w:id="13" w:name="_Toc423963077"/>
      <w:bookmarkStart w:id="14" w:name="_Toc428520733"/>
      <w:r w:rsidRPr="00AB1761">
        <w:t xml:space="preserve">Our </w:t>
      </w:r>
      <w:r w:rsidR="00387DFE">
        <w:t>v</w:t>
      </w:r>
      <w:r w:rsidRPr="00AB1761">
        <w:t xml:space="preserve">alues and </w:t>
      </w:r>
      <w:r w:rsidR="00387DFE">
        <w:t>c</w:t>
      </w:r>
      <w:r w:rsidRPr="00AB1761">
        <w:t>ulture</w:t>
      </w:r>
      <w:bookmarkEnd w:id="13"/>
      <w:bookmarkEnd w:id="14"/>
    </w:p>
    <w:p w14:paraId="39FB781E" w14:textId="77777777" w:rsidR="00AB1761" w:rsidRDefault="00AB1761" w:rsidP="004A13FF">
      <w:pPr>
        <w:spacing w:after="120"/>
        <w:rPr>
          <w:rFonts w:cs="Calibri"/>
        </w:rPr>
      </w:pPr>
      <w:r>
        <w:rPr>
          <w:rFonts w:cs="Calibri"/>
        </w:rPr>
        <w:t xml:space="preserve">We proudly uphold the </w:t>
      </w:r>
      <w:hyperlink r:id="rId23" w:history="1">
        <w:r w:rsidRPr="00AB1761">
          <w:rPr>
            <w:rStyle w:val="Hyperlink"/>
            <w:rFonts w:cs="Calibri"/>
          </w:rPr>
          <w:t>Australian Public Service values and employment principles</w:t>
        </w:r>
      </w:hyperlink>
      <w:r>
        <w:rPr>
          <w:rFonts w:cs="Calibri"/>
        </w:rPr>
        <w:t>. We are impartial, committed to service, accountable, respectful and ethical. We support these values by creating a culture where:</w:t>
      </w:r>
    </w:p>
    <w:p w14:paraId="39FB781F" w14:textId="77777777" w:rsidR="00AB1761" w:rsidRDefault="002D7B64" w:rsidP="005343E8">
      <w:pPr>
        <w:pStyle w:val="ListBullet"/>
      </w:pPr>
      <w:r>
        <w:t>w</w:t>
      </w:r>
      <w:r w:rsidR="00AB1761">
        <w:t>e are consultative and responsive</w:t>
      </w:r>
    </w:p>
    <w:p w14:paraId="39FB7820" w14:textId="77777777" w:rsidR="00AB1761" w:rsidRDefault="002D7B64" w:rsidP="005343E8">
      <w:pPr>
        <w:pStyle w:val="ListBullet"/>
      </w:pPr>
      <w:r>
        <w:t>w</w:t>
      </w:r>
      <w:r w:rsidR="00AB1761">
        <w:t>e value learning, research, discovery and opportunity</w:t>
      </w:r>
    </w:p>
    <w:p w14:paraId="39FB7821" w14:textId="77777777" w:rsidR="00AB1761" w:rsidRDefault="002D7B64" w:rsidP="005343E8">
      <w:pPr>
        <w:pStyle w:val="ListBullet"/>
      </w:pPr>
      <w:r>
        <w:t>w</w:t>
      </w:r>
      <w:r w:rsidR="00AB1761">
        <w:t>e innovate to achieve our business outcomes more efficiently</w:t>
      </w:r>
    </w:p>
    <w:p w14:paraId="39FB7822" w14:textId="77777777" w:rsidR="00AB1761" w:rsidRDefault="002D7B64" w:rsidP="005343E8">
      <w:pPr>
        <w:pStyle w:val="ListBullet"/>
      </w:pPr>
      <w:r>
        <w:t>w</w:t>
      </w:r>
      <w:r w:rsidR="00AB1761">
        <w:t>e collaborate internally and externally to reach our goals</w:t>
      </w:r>
    </w:p>
    <w:p w14:paraId="39FB7823" w14:textId="77777777" w:rsidR="00AB1761" w:rsidRDefault="002D7B64" w:rsidP="005343E8">
      <w:pPr>
        <w:pStyle w:val="ListBullet"/>
      </w:pPr>
      <w:r>
        <w:t>w</w:t>
      </w:r>
      <w:r w:rsidR="00AB1761">
        <w:t>e lead by example at all levels and pride ourselves on being professional, high performing and innovative</w:t>
      </w:r>
    </w:p>
    <w:p w14:paraId="39FB7824" w14:textId="77777777" w:rsidR="00AB1761" w:rsidRDefault="002D7B64" w:rsidP="005343E8">
      <w:pPr>
        <w:pStyle w:val="ListBullet"/>
      </w:pPr>
      <w:r>
        <w:t>w</w:t>
      </w:r>
      <w:r w:rsidR="00AB1761">
        <w:t>e care for and support each other and value the skills, difference and diversity of our people</w:t>
      </w:r>
    </w:p>
    <w:p w14:paraId="39FB7825" w14:textId="77777777" w:rsidR="00476D9F" w:rsidRPr="00CF4528" w:rsidRDefault="002D7B64" w:rsidP="00CF4528">
      <w:pPr>
        <w:pStyle w:val="ListBullet"/>
      </w:pPr>
      <w:r>
        <w:t>w</w:t>
      </w:r>
      <w:r w:rsidR="00AB1761">
        <w:t xml:space="preserve">e celebrate our successes </w:t>
      </w:r>
      <w:bookmarkStart w:id="15" w:name="_Toc423963078"/>
      <w:r w:rsidR="00CF4528">
        <w:t>and learn from our experiences.</w:t>
      </w:r>
      <w:r w:rsidR="00476D9F">
        <w:br w:type="page"/>
      </w:r>
    </w:p>
    <w:p w14:paraId="39FB7826" w14:textId="77777777" w:rsidR="00AB1761" w:rsidRPr="00AB1761" w:rsidRDefault="00AB1761" w:rsidP="00564A58">
      <w:pPr>
        <w:pStyle w:val="Heading2"/>
      </w:pPr>
      <w:bookmarkStart w:id="16" w:name="_Toc428520734"/>
      <w:r w:rsidRPr="00AB1761">
        <w:lastRenderedPageBreak/>
        <w:t>Indigenous business is everyone’s business</w:t>
      </w:r>
      <w:bookmarkEnd w:id="15"/>
      <w:bookmarkEnd w:id="16"/>
    </w:p>
    <w:p w14:paraId="39FB7827" w14:textId="77777777" w:rsidR="002D7B64" w:rsidRDefault="002D7B64" w:rsidP="002D7B64">
      <w:r>
        <w:t>The department supports the Government’s priority to work with Aboriginal and Torres Strait Islander peoples, communities and business to build a better future and improve opportunities. The department develops and delivers education policies and programmes by working with Aboriginal and Torres Strait Islander peoples, respecting their cultures and building our own cultural capability.</w:t>
      </w:r>
    </w:p>
    <w:p w14:paraId="39FB7828" w14:textId="77777777" w:rsidR="009868F5" w:rsidRDefault="009868F5" w:rsidP="009868F5">
      <w:r>
        <w:t>We also proudly support the Government’s Indigenous procurement policy as a means of fostering Aboriginal and Torres Strait Islander business and creating jobs and employing more Indigenous Australians.</w:t>
      </w:r>
    </w:p>
    <w:p w14:paraId="39FB7829" w14:textId="77777777" w:rsidR="009868F5" w:rsidRDefault="009868F5" w:rsidP="00476D9F">
      <w:pPr>
        <w:spacing w:after="600"/>
      </w:pPr>
      <w:r>
        <w:t>Our employees are encouraged to embrace and value the important contribution Aboriginal and Torres Strait Islander peoples make to our department and wider Australian society. The department’s Reconciliation Action Plan (RAP) is a formal commitment and call to action for all our employees to ensure Indigenous business is part of their day-to-day business.</w:t>
      </w:r>
    </w:p>
    <w:p w14:paraId="39FB782A" w14:textId="77777777" w:rsidR="00AB1761" w:rsidRDefault="00AB1761" w:rsidP="00AB1761">
      <w:pPr>
        <w:pStyle w:val="Heading1"/>
      </w:pPr>
      <w:bookmarkStart w:id="17" w:name="_Toc423963079"/>
      <w:bookmarkStart w:id="18" w:name="_Toc428520735"/>
      <w:r>
        <w:t>Key areas of focus</w:t>
      </w:r>
      <w:bookmarkEnd w:id="17"/>
      <w:bookmarkEnd w:id="18"/>
    </w:p>
    <w:p w14:paraId="39FB782B" w14:textId="77777777" w:rsidR="003C63A2" w:rsidRDefault="00AB1761" w:rsidP="000E3260">
      <w:pPr>
        <w:spacing w:before="60" w:after="120"/>
      </w:pPr>
      <w:r>
        <w:t xml:space="preserve">The department has a number of strategic areas </w:t>
      </w:r>
      <w:r w:rsidR="00DA4A3C">
        <w:t>of focus to help all Australian</w:t>
      </w:r>
      <w:r>
        <w:t>s have access to quality education, regardless</w:t>
      </w:r>
      <w:r w:rsidR="003C63A2">
        <w:t xml:space="preserve"> of their age or stage of life.</w:t>
      </w:r>
    </w:p>
    <w:p w14:paraId="39FB782C" w14:textId="77777777" w:rsidR="00AB1761" w:rsidRDefault="00AB1761" w:rsidP="000E3260">
      <w:pPr>
        <w:spacing w:before="60" w:after="120"/>
      </w:pPr>
      <w:r>
        <w:t xml:space="preserve">In our lead role in national policies and programmes in education we will be working closely with our key stakeholders to meet these areas of focus. They are: </w:t>
      </w:r>
    </w:p>
    <w:p w14:paraId="39FB782D" w14:textId="77777777" w:rsidR="00AB1761" w:rsidRDefault="003C63A2" w:rsidP="005343E8">
      <w:pPr>
        <w:pStyle w:val="ListBullet"/>
      </w:pPr>
      <w:r>
        <w:t>r</w:t>
      </w:r>
      <w:r w:rsidR="00AB1761">
        <w:t xml:space="preserve">everse falling school education outcomes </w:t>
      </w:r>
    </w:p>
    <w:p w14:paraId="39FB782E" w14:textId="77777777" w:rsidR="00AB1761" w:rsidRDefault="003C63A2" w:rsidP="005343E8">
      <w:pPr>
        <w:pStyle w:val="ListBullet"/>
      </w:pPr>
      <w:r>
        <w:t>i</w:t>
      </w:r>
      <w:r w:rsidR="00AB1761">
        <w:t>mprove access to quality compulsory and post−school education</w:t>
      </w:r>
    </w:p>
    <w:p w14:paraId="39FB782F" w14:textId="77777777" w:rsidR="00AB1761" w:rsidRDefault="003C63A2" w:rsidP="005343E8">
      <w:pPr>
        <w:pStyle w:val="ListBullet"/>
      </w:pPr>
      <w:r>
        <w:t>c</w:t>
      </w:r>
      <w:r w:rsidR="00AB1761">
        <w:t>reate a more connected education system that is easier to navigate</w:t>
      </w:r>
    </w:p>
    <w:p w14:paraId="39FB7830" w14:textId="77777777" w:rsidR="00AB1761" w:rsidRDefault="003C63A2" w:rsidP="005343E8">
      <w:pPr>
        <w:pStyle w:val="ListBullet"/>
      </w:pPr>
      <w:r>
        <w:t>a</w:t>
      </w:r>
      <w:r w:rsidR="00AB1761">
        <w:t>ddress the distortions of the tertiary education sector</w:t>
      </w:r>
    </w:p>
    <w:p w14:paraId="39FB7831" w14:textId="77777777" w:rsidR="00AB1761" w:rsidRDefault="003C63A2" w:rsidP="005343E8">
      <w:pPr>
        <w:pStyle w:val="ListBullet"/>
      </w:pPr>
      <w:r>
        <w:t>e</w:t>
      </w:r>
      <w:r w:rsidR="00AB1761">
        <w:t>mploy market mechanisms effectively to lift VET quality</w:t>
      </w:r>
    </w:p>
    <w:p w14:paraId="39FB7832" w14:textId="77777777" w:rsidR="00AB1761" w:rsidRDefault="003C63A2" w:rsidP="005343E8">
      <w:pPr>
        <w:pStyle w:val="ListBullet"/>
      </w:pPr>
      <w:r>
        <w:t>p</w:t>
      </w:r>
      <w:r w:rsidR="00AB1761">
        <w:t>romote upskilling and skills utilisation in the workforce</w:t>
      </w:r>
    </w:p>
    <w:p w14:paraId="39FB7833" w14:textId="77777777" w:rsidR="00AB1761" w:rsidRDefault="003C63A2" w:rsidP="005343E8">
      <w:pPr>
        <w:pStyle w:val="ListBullet"/>
      </w:pPr>
      <w:r>
        <w:t>i</w:t>
      </w:r>
      <w:r w:rsidR="00AB1761">
        <w:t xml:space="preserve">mprove the sustainability and effectiveness of </w:t>
      </w:r>
      <w:r w:rsidR="00DA4A3C">
        <w:t>G</w:t>
      </w:r>
      <w:r w:rsidR="00AB1761">
        <w:t>overnment funding</w:t>
      </w:r>
    </w:p>
    <w:p w14:paraId="39FB7834" w14:textId="77777777" w:rsidR="00AB1761" w:rsidRDefault="003C63A2" w:rsidP="005343E8">
      <w:pPr>
        <w:pStyle w:val="ListBullet"/>
      </w:pPr>
      <w:r>
        <w:t>p</w:t>
      </w:r>
      <w:r w:rsidR="00AB1761">
        <w:t>reserve and extend Australia's sh</w:t>
      </w:r>
      <w:r>
        <w:t>are of global education markets</w:t>
      </w:r>
    </w:p>
    <w:p w14:paraId="39FB7835" w14:textId="77777777" w:rsidR="00AB1761" w:rsidRDefault="003C63A2" w:rsidP="005343E8">
      <w:pPr>
        <w:pStyle w:val="ListBullet"/>
      </w:pPr>
      <w:r>
        <w:t>s</w:t>
      </w:r>
      <w:r w:rsidR="00AB1761">
        <w:t>trengthen the higher education system</w:t>
      </w:r>
    </w:p>
    <w:p w14:paraId="39FB7836" w14:textId="77777777" w:rsidR="00476D9F" w:rsidRPr="00CF4528" w:rsidRDefault="003C63A2" w:rsidP="00CF4528">
      <w:pPr>
        <w:pStyle w:val="ListBullet"/>
      </w:pPr>
      <w:r>
        <w:t>i</w:t>
      </w:r>
      <w:r w:rsidR="00AB1761">
        <w:t xml:space="preserve">ntegrate Australia's research effort more directly into </w:t>
      </w:r>
      <w:bookmarkStart w:id="19" w:name="_Toc423963080"/>
      <w:r w:rsidR="00CF4528">
        <w:t>the national innovation system.</w:t>
      </w:r>
      <w:r w:rsidR="00476D9F">
        <w:br w:type="page"/>
      </w:r>
    </w:p>
    <w:p w14:paraId="39FB7837" w14:textId="77777777" w:rsidR="004F6F63" w:rsidRDefault="004F6F63" w:rsidP="004F6F63">
      <w:pPr>
        <w:pStyle w:val="Heading1"/>
      </w:pPr>
      <w:bookmarkStart w:id="20" w:name="_Toc428520736"/>
      <w:r>
        <w:lastRenderedPageBreak/>
        <w:t>Environment</w:t>
      </w:r>
      <w:bookmarkEnd w:id="19"/>
      <w:bookmarkEnd w:id="20"/>
    </w:p>
    <w:p w14:paraId="39FB7838" w14:textId="77777777" w:rsidR="008A49D8" w:rsidRDefault="008A49D8" w:rsidP="008A49D8">
      <w:r>
        <w:t>The Government is committed to strengthening economic growth and social wellbeing through better access to quality preschool, schooling and higher education, vocational education and training, international education and research. The department is strongly committed to providing opportunity through learning: our overarching purpose is to build stronger communities and a stronger economy by enriching early learning, supporting quality education and research, as well as building skills and capability.</w:t>
      </w:r>
    </w:p>
    <w:p w14:paraId="39FB7839" w14:textId="77777777" w:rsidR="008A49D8" w:rsidRDefault="008A49D8" w:rsidP="008A49D8">
      <w:r w:rsidRPr="008A49D8">
        <w:t>The broader environment in which the department is pursuing these goals is changing. The Australian economy is transitioning to a knowledge-based economy which is increasingly dependent on having a highly educated and skilled workforce. The Government’s investment in education has increased sharply in recent years. However, despite the increase in spending, there has been both an absolute and relative decline in student outcomes in schools.</w:t>
      </w:r>
    </w:p>
    <w:p w14:paraId="39FB783A" w14:textId="77777777" w:rsidR="008A49D8" w:rsidRDefault="008A49D8" w:rsidP="008A49D8">
      <w:r>
        <w:t>The strategic environment in which the department works is also undergoing considerable change. This includes significant and ongoing fiscal constraint in line with the Government’s commitment to Budget repair, and efforts to streamline the public sector through the Smaller Government Footprint agenda.</w:t>
      </w:r>
    </w:p>
    <w:p w14:paraId="39FB783B" w14:textId="77777777" w:rsidR="008A49D8" w:rsidRDefault="008A49D8" w:rsidP="008A49D8">
      <w:r>
        <w:t>In this context, the department will continue to maximise workforce productivity and streamline processes to ensure the agency remains efficient, effective and accountable. In support of the Government’s commitment to reducing red tape, the department will continue to examine our regulatory frameworks and requirements to ensure the administrative requirements and costs of working with Government are appropriate.</w:t>
      </w:r>
    </w:p>
    <w:p w14:paraId="39FB783C" w14:textId="77777777" w:rsidR="008A49D8" w:rsidRDefault="008A49D8" w:rsidP="008A49D8">
      <w:r>
        <w:t xml:space="preserve">The education and training sector is multifaceted and education is delivered through a complex mix of government, not for profit, religious, private and corporate entities. Our policies, programmes and stakeholder engagement need to respond to and reflect this complex delivery environment. </w:t>
      </w:r>
    </w:p>
    <w:p w14:paraId="39FB783D" w14:textId="77777777" w:rsidR="008A49D8" w:rsidRDefault="008A49D8" w:rsidP="008A49D8">
      <w:r>
        <w:t>A person’s engagement with learning can also be complex. Most begin their education in preschool, however, as the years progress, people’s educational experiences can vary greatly. In particular, people from disadvantaged backgrounds face many barriers to continuing their education. Some may re-engage with formal education at different stages of their lives.</w:t>
      </w:r>
    </w:p>
    <w:p w14:paraId="39FB783E" w14:textId="77777777" w:rsidR="004F6F63" w:rsidRDefault="004F6F63" w:rsidP="00B92809">
      <w:pPr>
        <w:spacing w:after="120"/>
        <w:rPr>
          <w:b/>
          <w:i/>
          <w:iCs/>
        </w:rPr>
      </w:pPr>
      <w:r>
        <w:rPr>
          <w:b/>
          <w:i/>
          <w:iCs/>
        </w:rPr>
        <w:t>Role of state and territory governments</w:t>
      </w:r>
    </w:p>
    <w:p w14:paraId="39FB783F" w14:textId="77777777" w:rsidR="00CF4528" w:rsidRDefault="003179E5">
      <w:r>
        <w:t>As part of Federation arrangements, responsibility for education rests with both Commonwealth and state governments. The Commonwealth performs a national leadership role and provides funding to the states and territories for the purpose of supporting education and training. This supports the delivery of quality education programmes across early childhood, schools, higher education and training. A number of portfolio agencies support the Department of Education and Training to deliver the Government’s education priorities.</w:t>
      </w:r>
      <w:r w:rsidR="00CF4528">
        <w:br w:type="page"/>
      </w:r>
    </w:p>
    <w:p w14:paraId="39FB7840" w14:textId="77777777" w:rsidR="003179E5" w:rsidRDefault="003179E5" w:rsidP="003179E5">
      <w:r>
        <w:lastRenderedPageBreak/>
        <w:t>The Government is examining options to reform the Federation to reduce duplication and ensure responsibilities and lines of accountability are clear. The outcomes of this review are likely to impact on the scale and scope of the department’s responsibilities, and affect our work with schools and youth, skills and training and higher education during the life of this plan.</w:t>
      </w:r>
    </w:p>
    <w:p w14:paraId="39FB7841" w14:textId="77777777" w:rsidR="004F6F63" w:rsidRDefault="004F6F63" w:rsidP="00B92809">
      <w:pPr>
        <w:spacing w:after="120"/>
        <w:rPr>
          <w:b/>
          <w:i/>
        </w:rPr>
      </w:pPr>
      <w:r>
        <w:rPr>
          <w:b/>
          <w:i/>
        </w:rPr>
        <w:t>An evolving education system</w:t>
      </w:r>
    </w:p>
    <w:p w14:paraId="39FB7842" w14:textId="77777777" w:rsidR="004F6F63" w:rsidRDefault="004F6F63" w:rsidP="004F6F63">
      <w:r>
        <w:t>The Government is committed to developing a more competitive, quality, diverse and innovative education system. To realise this objective, the department will continue to progress the Government’s reform agenda, in the school education, higher education and vocational education and training sectors.</w:t>
      </w:r>
    </w:p>
    <w:p w14:paraId="39FB7843" w14:textId="77777777" w:rsidR="004F6F63" w:rsidRDefault="004F6F63" w:rsidP="004F6F63">
      <w:r>
        <w:t xml:space="preserve">Innovation and research are essential to productivity growth. They are part of the process of knowledge creation, which drives economic growth through enabling new ideas to both the business and non-business sectors to deliver products and services more efficiently. The department will continue to support the Government’s commitment to restoring a focus on science, technology, engineering and mathematics, and to growing innovation and productivity through measures connected to the </w:t>
      </w:r>
      <w:r>
        <w:rPr>
          <w:i/>
        </w:rPr>
        <w:t>Industry Innovation and Competitiveness Agenda</w:t>
      </w:r>
      <w:r>
        <w:t xml:space="preserve"> and the </w:t>
      </w:r>
      <w:r>
        <w:rPr>
          <w:i/>
        </w:rPr>
        <w:t>Boosting Commercial Returns from Research</w:t>
      </w:r>
      <w:r>
        <w:t xml:space="preserve"> strategies.</w:t>
      </w:r>
    </w:p>
    <w:p w14:paraId="39FB7844" w14:textId="77777777" w:rsidR="004F6F63" w:rsidRDefault="004F6F63" w:rsidP="004F6F63">
      <w:r>
        <w:t xml:space="preserve">The international education sector is Australia’s fourth largest export industry and contributed </w:t>
      </w:r>
      <w:r w:rsidR="0077043C">
        <w:t xml:space="preserve">over </w:t>
      </w:r>
      <w:r>
        <w:t>$</w:t>
      </w:r>
      <w:r w:rsidR="0077043C">
        <w:t>17</w:t>
      </w:r>
      <w:r>
        <w:t> billion to the economy in 14. The industry is</w:t>
      </w:r>
      <w:r w:rsidR="0077043C">
        <w:t xml:space="preserve"> growing, with the latest data </w:t>
      </w:r>
      <w:r>
        <w:t>showing a</w:t>
      </w:r>
      <w:r w:rsidR="0077043C">
        <w:t xml:space="preserve"> 10</w:t>
      </w:r>
      <w:r>
        <w:t xml:space="preserve"> per cent increase in enrolments for the year-to-dat</w:t>
      </w:r>
      <w:r w:rsidR="0077043C">
        <w:t>e (June 2015)</w:t>
      </w:r>
      <w:r>
        <w:t xml:space="preserve">. A key challenge will be continuing to drive the quality and outcomes from our education sector to ensure international competitiveness and attractiveness. In recognition of the importance of this industry for Australia’s ongoing economic prosperity, the Government released the </w:t>
      </w:r>
      <w:r>
        <w:rPr>
          <w:i/>
        </w:rPr>
        <w:t>Draft Strategy for International Education</w:t>
      </w:r>
      <w:r>
        <w:t xml:space="preserve"> in April 2015 for consultation. The strategy, once finalised, will set a clear path for sustainable growth and strengthen all aspects of Australia’s international education and training engagement.</w:t>
      </w:r>
    </w:p>
    <w:p w14:paraId="39FB7845" w14:textId="77777777" w:rsidR="004F6F63" w:rsidRDefault="004F6F63" w:rsidP="004F6F63">
      <w:r>
        <w:t>Changes in technology require us to rethink how we do our business and also the role and delivery of education in the future. In particular, interactive social technologies present opportunities to better deliver policy, improve services and increase citizen engagement and participation.</w:t>
      </w:r>
    </w:p>
    <w:p w14:paraId="39FB7846" w14:textId="77777777" w:rsidR="004F6F63" w:rsidRDefault="004F6F63" w:rsidP="00B92809">
      <w:pPr>
        <w:spacing w:after="120"/>
        <w:rPr>
          <w:b/>
          <w:i/>
        </w:rPr>
      </w:pPr>
      <w:r>
        <w:rPr>
          <w:b/>
          <w:i/>
        </w:rPr>
        <w:t>Future demand for learning</w:t>
      </w:r>
    </w:p>
    <w:p w14:paraId="39FB7847" w14:textId="77777777" w:rsidR="004F6F63" w:rsidRDefault="004F6F63" w:rsidP="004F6F63">
      <w:r>
        <w:t>The 2015 Intergenerational Report, published by the Treasury, makes clear that Australia’s population is expected to grow, and increase in median age over the next 40 years. For example, the number of people aged between 15 and 64 for every person aged 65 and over has fallen from 7.3 people in 1975 to an estimated 4.5 people today. By 2055, this is projected to nearly halve again to 2.7 people. This demographic shift will have implications for the economy.</w:t>
      </w:r>
    </w:p>
    <w:p w14:paraId="39FB7848" w14:textId="77777777" w:rsidR="00476D9F" w:rsidRDefault="004F6F63">
      <w:pPr>
        <w:rPr>
          <w:b/>
          <w:i/>
        </w:rPr>
      </w:pPr>
      <w:r>
        <w:t>The projected decline in the proportion of the population participating in the labour force (from 64.6 per cent now to 62.4 per cent by 2054-55) will mean lower economic growth over the projection period. These demographic changes will place a greater focus on policies directed at building lifelong learning opportunities that support workforce participation through all stages of life.</w:t>
      </w:r>
      <w:r w:rsidR="00476D9F">
        <w:rPr>
          <w:b/>
          <w:i/>
        </w:rPr>
        <w:br w:type="page"/>
      </w:r>
    </w:p>
    <w:p w14:paraId="39FB7849" w14:textId="77777777" w:rsidR="004F6F63" w:rsidRDefault="004F6F63" w:rsidP="00B92809">
      <w:pPr>
        <w:spacing w:after="120"/>
        <w:rPr>
          <w:b/>
          <w:i/>
        </w:rPr>
      </w:pPr>
      <w:r>
        <w:rPr>
          <w:b/>
          <w:i/>
        </w:rPr>
        <w:lastRenderedPageBreak/>
        <w:t>Our complex environment</w:t>
      </w:r>
    </w:p>
    <w:p w14:paraId="39FB784A" w14:textId="77777777" w:rsidR="004F6F63" w:rsidRDefault="004B6581" w:rsidP="004F6F63">
      <w:r>
        <w:t>Figure 3</w:t>
      </w:r>
      <w:r w:rsidR="00302FA5">
        <w:t xml:space="preserve"> </w:t>
      </w:r>
      <w:r w:rsidR="004F6F63">
        <w:t>outlines our internal and</w:t>
      </w:r>
      <w:r w:rsidR="00302FA5">
        <w:t xml:space="preserve"> external operating environment</w:t>
      </w:r>
      <w:r w:rsidR="004F6F63">
        <w:t xml:space="preserve"> in which we work to achieve our vision.</w:t>
      </w:r>
    </w:p>
    <w:p w14:paraId="39FB784B" w14:textId="77777777" w:rsidR="004F6F63" w:rsidRDefault="00182363" w:rsidP="00CF4528">
      <w:pPr>
        <w:spacing w:after="0"/>
        <w:jc w:val="center"/>
        <w:rPr>
          <w:noProof/>
          <w:lang w:eastAsia="en-AU"/>
        </w:rPr>
      </w:pPr>
      <w:r>
        <w:rPr>
          <w:noProof/>
          <w:lang w:eastAsia="en-AU"/>
        </w:rPr>
        <w:pict w14:anchorId="39FB7A1D">
          <v:shape id="_x0000_i1028" type="#_x0000_t75" alt="Figure 3: The department's external environment consists of federal, state, and territory governments, non-government organisations, and a sphere of stakeholder influence. Our sphere of stakeholder influence includes the Australian public, childcare providers, children, communities, employers, families, parents, preschools, schools, universities, youth, domestic and international students, and registered training organisations. &#10;The Education portfolio, in addition to the Department of Education and Training, includes the, Australian Curriculum, Assessment and Reporting Authority, Australian Institute of Aboriginal and Torres Strait Islander Studies, Australian Institute for Teaching and School Leadership, Tertiary Education Quality and Standards Agency, Australian Research Council, and the Australian Skills Quality Authority.&#10;The department’s internal environment consists of a Shared Services Centre (which is a joint venture with the Department of Employment), and an executive decision-making board chaired by the Secretary of the Department. &#10;The internal environment is supported by an internal governance framework which includes committees that work alongside the organisational structure to support the department in achieving the portfolio priorities.&#10;" style="width:450.8pt;height:501.65pt">
            <v:imagedata r:id="rId24" o:title="ED15-0015 Coporate Plan_Figure 3"/>
          </v:shape>
        </w:pict>
      </w:r>
    </w:p>
    <w:p w14:paraId="39FB784C" w14:textId="77777777" w:rsidR="00302FA5" w:rsidRDefault="00302FA5" w:rsidP="004F6F63">
      <w:pPr>
        <w:spacing w:after="0"/>
      </w:pPr>
    </w:p>
    <w:p w14:paraId="39FB784D" w14:textId="77777777" w:rsidR="004F6F63" w:rsidRDefault="004F6F63">
      <w:pPr>
        <w:rPr>
          <w:rFonts w:ascii="Calibri" w:eastAsiaTheme="majorEastAsia" w:hAnsi="Calibri" w:cstheme="majorBidi"/>
          <w:b/>
          <w:bCs/>
        </w:rPr>
      </w:pPr>
      <w:r w:rsidRPr="00C33A80">
        <w:rPr>
          <w:b/>
          <w:bCs/>
        </w:rPr>
        <w:t xml:space="preserve">Figure </w:t>
      </w:r>
      <w:r w:rsidR="00B54A39" w:rsidRPr="00C33A80">
        <w:rPr>
          <w:b/>
          <w:bCs/>
        </w:rPr>
        <w:t>3</w:t>
      </w:r>
      <w:r w:rsidRPr="00C33A80">
        <w:rPr>
          <w:b/>
          <w:bCs/>
        </w:rPr>
        <w:t>: Department of Education and Training internal and external operating environment</w:t>
      </w:r>
      <w:r>
        <w:br w:type="page"/>
      </w:r>
    </w:p>
    <w:p w14:paraId="39FB784E" w14:textId="77777777" w:rsidR="004F6F63" w:rsidRDefault="004F6F63" w:rsidP="004F6F63">
      <w:pPr>
        <w:pStyle w:val="Heading1"/>
      </w:pPr>
      <w:bookmarkStart w:id="21" w:name="_Toc428520737"/>
      <w:r>
        <w:lastRenderedPageBreak/>
        <w:t>Performance</w:t>
      </w:r>
      <w:bookmarkEnd w:id="21"/>
    </w:p>
    <w:p w14:paraId="39FB784F" w14:textId="77777777" w:rsidR="004F6F63" w:rsidRDefault="004F6F63" w:rsidP="004F6F63">
      <w:bookmarkStart w:id="22" w:name="_Toc423963082"/>
      <w:bookmarkStart w:id="23" w:name="_Toc428520738"/>
      <w:r w:rsidRPr="00564A58">
        <w:rPr>
          <w:rStyle w:val="Heading2Char"/>
        </w:rPr>
        <w:t>Outcome 1</w:t>
      </w:r>
      <w:bookmarkEnd w:id="22"/>
      <w:bookmarkEnd w:id="23"/>
      <w:r>
        <w:rPr>
          <w:b/>
          <w:bCs/>
        </w:rPr>
        <w:t>:</w:t>
      </w:r>
      <w:r>
        <w:t xml:space="preserve"> Improved early learning, schooling, student educational outcomes and transitions to and from school through access to quality support, parent engagement, quality teaching and learning environments.</w:t>
      </w:r>
    </w:p>
    <w:p w14:paraId="39FB7850" w14:textId="77777777" w:rsidR="004F6F63" w:rsidRPr="004F6F63" w:rsidRDefault="004F6F63" w:rsidP="00564A58">
      <w:pPr>
        <w:pStyle w:val="Heading2"/>
      </w:pPr>
      <w:bookmarkStart w:id="24" w:name="_Toc423963083"/>
      <w:bookmarkStart w:id="25" w:name="_Toc428520739"/>
      <w:r w:rsidRPr="004F6F63">
        <w:t>Goal 1: Support quality early learning and schooling</w:t>
      </w:r>
      <w:bookmarkEnd w:id="24"/>
      <w:bookmarkEnd w:id="25"/>
    </w:p>
    <w:p w14:paraId="39FB7851" w14:textId="77777777" w:rsidR="004F6F63" w:rsidRDefault="004F6F63" w:rsidP="004A13FF">
      <w:pPr>
        <w:spacing w:after="120"/>
      </w:pPr>
      <w:r>
        <w:t xml:space="preserve">Support a high-quality school education system, including preschool, with improved outcomes for Australia’s students through a focus on quality teaching, school autonomy, parent engagement and a robust Australian </w:t>
      </w:r>
      <w:r w:rsidR="0077043C">
        <w:t>c</w:t>
      </w:r>
      <w:r>
        <w:t>urriculum.</w:t>
      </w:r>
    </w:p>
    <w:p w14:paraId="39FB7852" w14:textId="77777777" w:rsidR="004F6F63" w:rsidRDefault="004F6F63" w:rsidP="005343E8">
      <w:pPr>
        <w:pStyle w:val="ListBullet"/>
      </w:pPr>
      <w:r>
        <w:t>Support for early learning programmes to facilitate children’s transition to full-time school.</w:t>
      </w:r>
    </w:p>
    <w:p w14:paraId="39FB7853" w14:textId="77777777" w:rsidR="004F6F63" w:rsidRDefault="004F6F63" w:rsidP="005343E8">
      <w:pPr>
        <w:pStyle w:val="ListBullet"/>
      </w:pPr>
      <w:r>
        <w:t>Sustainable needs-based school funding to support improved student outcomes</w:t>
      </w:r>
    </w:p>
    <w:p w14:paraId="39FB7854" w14:textId="77777777" w:rsidR="004F6F63" w:rsidRDefault="004F6F63" w:rsidP="005343E8">
      <w:pPr>
        <w:pStyle w:val="ListBullet"/>
      </w:pPr>
      <w:r>
        <w:t>Partner with state and territory governments and non-government schooling authorities to achieve national policy priorities</w:t>
      </w:r>
    </w:p>
    <w:p w14:paraId="39FB7855" w14:textId="77777777" w:rsidR="004F6F63" w:rsidRDefault="004F6F63" w:rsidP="005343E8">
      <w:pPr>
        <w:pStyle w:val="ListBullet"/>
      </w:pPr>
      <w:r>
        <w:t>Measure educational outcomes through national assessments and international benchmarking</w:t>
      </w:r>
    </w:p>
    <w:p w14:paraId="39FB7856" w14:textId="77777777" w:rsidR="004F6F63" w:rsidRDefault="004F6F63" w:rsidP="004A13FF">
      <w:pPr>
        <w:pStyle w:val="ListBullet"/>
        <w:ind w:left="357" w:hanging="357"/>
      </w:pPr>
      <w:r>
        <w:t>Take a lead in building national evidence to inform d</w:t>
      </w:r>
      <w:r w:rsidR="004A13FF">
        <w:t>ecision making.</w:t>
      </w:r>
    </w:p>
    <w:p w14:paraId="39FB7857" w14:textId="77777777" w:rsidR="004F6F63" w:rsidRDefault="004F6F63" w:rsidP="00827EBA">
      <w:pPr>
        <w:spacing w:before="200"/>
        <w:rPr>
          <w:u w:val="single"/>
        </w:rPr>
      </w:pPr>
      <w:r>
        <w:rPr>
          <w:u w:val="single"/>
        </w:rPr>
        <w:t>Challenges:</w:t>
      </w:r>
    </w:p>
    <w:p w14:paraId="39FB7858" w14:textId="77777777" w:rsidR="004F6F63" w:rsidRPr="004A13FF" w:rsidRDefault="004F6F63" w:rsidP="00B92809">
      <w:pPr>
        <w:spacing w:after="120"/>
        <w:rPr>
          <w:b/>
          <w:i/>
        </w:rPr>
      </w:pPr>
      <w:r w:rsidRPr="004A13FF">
        <w:rPr>
          <w:b/>
          <w:i/>
        </w:rPr>
        <w:t>Preschool education</w:t>
      </w:r>
    </w:p>
    <w:p w14:paraId="39FB7859" w14:textId="77777777" w:rsidR="007A699F" w:rsidRDefault="007A699F" w:rsidP="007A699F">
      <w:r>
        <w:t>Preschool education has been shown to make an important contribution to children’s development and school readiness. This role is recognised through the commitment of Australian and state and territory governments to provide universal access to preschool programmes for Australian children aged four and five. A significant challenge remains to increase participation in preschool across Australia, particularly among Indigenous, vulnerable and disadvantaged children, who stand to benefit most from preschool participation.</w:t>
      </w:r>
    </w:p>
    <w:p w14:paraId="39FB785A" w14:textId="77777777" w:rsidR="004F6F63" w:rsidRPr="004A13FF" w:rsidRDefault="004F6F63" w:rsidP="00B92809">
      <w:pPr>
        <w:spacing w:after="120"/>
        <w:rPr>
          <w:b/>
          <w:i/>
        </w:rPr>
      </w:pPr>
      <w:r w:rsidRPr="004A13FF">
        <w:rPr>
          <w:b/>
          <w:i/>
        </w:rPr>
        <w:t>School education</w:t>
      </w:r>
    </w:p>
    <w:p w14:paraId="39FB785B" w14:textId="77777777" w:rsidR="007A699F" w:rsidRDefault="007A699F" w:rsidP="007A699F">
      <w:r>
        <w:t>The delivery of school education is the constitutional responsibility of the states and territories. The Commonwealth works in partnership with state and territory governments and non-government education authorities to provide funding, develop and implement national policy priorities, assess performance and support other education initiatives.</w:t>
      </w:r>
    </w:p>
    <w:p w14:paraId="39FB785C" w14:textId="77777777" w:rsidR="007A699F" w:rsidRDefault="007A699F" w:rsidP="007A699F">
      <w:r>
        <w:t>Australian Government funding for schooling has nearly doubled in real terms over the period between 2000 and 2013. Despite this increase in funding, the performance of Australian students in international testing has declined in both absolute and relative terms in the key learning areas of reading, maths and science. This decline is a result of fewer Australian students classified as ‘high performers’ and an increase in the number of low performers. There is also a substantial gap in student achievement between Indigenous and non-Indigenous students.</w:t>
      </w:r>
    </w:p>
    <w:p w14:paraId="39FB785D" w14:textId="77777777" w:rsidR="007A699F" w:rsidRDefault="007A699F" w:rsidP="007A699F">
      <w:r>
        <w:t>This performance record demonstrates that, while school resourcing is important, it is crucial that funding be spent effectively and in ways that lift performance and student outcomes.</w:t>
      </w:r>
    </w:p>
    <w:p w14:paraId="39FB785E" w14:textId="77777777" w:rsidR="004F6F63" w:rsidRDefault="004F6F63" w:rsidP="00827EBA">
      <w:pPr>
        <w:spacing w:before="200"/>
        <w:rPr>
          <w:u w:val="single"/>
        </w:rPr>
      </w:pPr>
      <w:r>
        <w:rPr>
          <w:u w:val="single"/>
        </w:rPr>
        <w:lastRenderedPageBreak/>
        <w:t xml:space="preserve">Priorities: </w:t>
      </w:r>
    </w:p>
    <w:p w14:paraId="39FB785F" w14:textId="77777777" w:rsidR="007C002D" w:rsidRDefault="007C002D" w:rsidP="007C002D">
      <w:r>
        <w:t>The Australian Government is focused on supporting quality early childhood education and universal access to support child development in the early years and prepare children for full-time school. In the 2015-16 Budget, the Government committed an additional $840 million over two years to support universal access to preschool programmes across Australia as an interim response to the Productivity Commission Report into Childcare and Early Childhood Learning. As recommended by the Productivity Commission, longer term arrangements for preschool will be considered in the context of the White Paper on the Reform of the Federation. The Australian Government, and the states and territories, are working together to improve the quality of data collected.</w:t>
      </w:r>
    </w:p>
    <w:p w14:paraId="39FB7860" w14:textId="77777777" w:rsidR="007C002D" w:rsidRDefault="007C002D" w:rsidP="007C002D">
      <w:r>
        <w:t>By drawing on national and international evidence to improve the educational outcomes of students and the performance of schools, the Australian Government has identified four reform areas that have a material impact on student performance: quality teaching, school autonomy, a robust Australian curriculum and increased parent engagement. The Government will work with state and territory governments and non-government schools to implement key reforms in these areas. The Government’s approach is not just about funding, it is about improving schooling through initiatives that can have a significant impact on student outcomes.</w:t>
      </w:r>
    </w:p>
    <w:p w14:paraId="39FB7861" w14:textId="77777777" w:rsidR="004F6F63" w:rsidRDefault="004F6F63" w:rsidP="00827EBA">
      <w:pPr>
        <w:spacing w:before="200"/>
        <w:rPr>
          <w:u w:val="single"/>
        </w:rPr>
      </w:pPr>
      <w:r>
        <w:rPr>
          <w:u w:val="single"/>
        </w:rPr>
        <w:t>Deliverables:</w:t>
      </w:r>
    </w:p>
    <w:p w14:paraId="39FB7862" w14:textId="77777777" w:rsidR="007C002D" w:rsidRDefault="007C002D" w:rsidP="007C002D">
      <w:pPr>
        <w:pStyle w:val="ListBullet"/>
      </w:pPr>
      <w:r>
        <w:t>ensure all children have access to, and participate in, quality preschool programmes in the year before full-time school</w:t>
      </w:r>
    </w:p>
    <w:p w14:paraId="39FB7863" w14:textId="77777777" w:rsidR="007C002D" w:rsidRDefault="007C002D" w:rsidP="007C002D">
      <w:pPr>
        <w:pStyle w:val="ListBullet"/>
      </w:pPr>
      <w:r>
        <w:t>implement national priorities for schooling under the Students First package of reforms: quality teaching, school autonomy, parent engagement and a strong and robust Australian curriculum</w:t>
      </w:r>
    </w:p>
    <w:p w14:paraId="39FB7864" w14:textId="77777777" w:rsidR="007C002D" w:rsidRDefault="007C002D" w:rsidP="007C002D">
      <w:pPr>
        <w:pStyle w:val="ListBullet"/>
      </w:pPr>
      <w:r>
        <w:t>contribute to the operating costs of government and non-government primary and secondary schools through needs-based funding</w:t>
      </w:r>
    </w:p>
    <w:p w14:paraId="39FB7865" w14:textId="77777777" w:rsidR="007C002D" w:rsidRDefault="007C002D" w:rsidP="007C002D">
      <w:pPr>
        <w:pStyle w:val="ListBullet"/>
      </w:pPr>
      <w:r>
        <w:t>improve national assessments, data collection and the information available to policy-makers, education authorities, teachers and parents.</w:t>
      </w:r>
    </w:p>
    <w:p w14:paraId="39FB7866" w14:textId="77777777" w:rsidR="004F6F63" w:rsidRDefault="00827EBA" w:rsidP="00827EBA">
      <w:pPr>
        <w:spacing w:before="200"/>
        <w:rPr>
          <w:u w:val="single"/>
        </w:rPr>
      </w:pPr>
      <w:r>
        <w:rPr>
          <w:u w:val="single"/>
        </w:rPr>
        <w:t xml:space="preserve">Annual </w:t>
      </w:r>
      <w:r w:rsidR="0077043C">
        <w:rPr>
          <w:u w:val="single"/>
        </w:rPr>
        <w:t>p</w:t>
      </w:r>
      <w:r w:rsidR="004F6F63">
        <w:rPr>
          <w:u w:val="single"/>
        </w:rPr>
        <w:t xml:space="preserve">erformance </w:t>
      </w:r>
      <w:r w:rsidR="0077043C">
        <w:rPr>
          <w:u w:val="single"/>
        </w:rPr>
        <w:t>m</w:t>
      </w:r>
      <w:r w:rsidR="004F6F63">
        <w:rPr>
          <w:u w:val="single"/>
        </w:rPr>
        <w:t>easures:</w:t>
      </w:r>
    </w:p>
    <w:p w14:paraId="39FB7867" w14:textId="77777777" w:rsidR="004F6F63" w:rsidRDefault="007C002D" w:rsidP="005343E8">
      <w:pPr>
        <w:pStyle w:val="ListBullet"/>
      </w:pPr>
      <w:r>
        <w:t>p</w:t>
      </w:r>
      <w:r w:rsidR="004F6F63">
        <w:t xml:space="preserve">roportion of children, including Indigenous, vulnerable and disadvantaged children, enrolled in the year before full-time school in quality early </w:t>
      </w:r>
      <w:r>
        <w:t>childhood education programmes</w:t>
      </w:r>
    </w:p>
    <w:p w14:paraId="39FB7868" w14:textId="77777777" w:rsidR="004F6F63" w:rsidRPr="008E7785" w:rsidRDefault="007C002D" w:rsidP="008E7785">
      <w:pPr>
        <w:pStyle w:val="ListBullet"/>
        <w:rPr>
          <w:rFonts w:ascii="Calibri" w:eastAsiaTheme="majorEastAsia" w:hAnsi="Calibri" w:cstheme="majorBidi"/>
          <w:b/>
          <w:bCs/>
        </w:rPr>
      </w:pPr>
      <w:r>
        <w:t>h</w:t>
      </w:r>
      <w:r w:rsidR="004F6F63">
        <w:t xml:space="preserve">igh-level targets and measures outlined in the </w:t>
      </w:r>
      <w:r w:rsidR="004F6F63" w:rsidRPr="008E7785">
        <w:rPr>
          <w:i/>
          <w:iCs/>
        </w:rPr>
        <w:t xml:space="preserve">Australian Education Act 2013 </w:t>
      </w:r>
      <w:r w:rsidR="004F6F63">
        <w:t>and</w:t>
      </w:r>
      <w:r w:rsidR="004F6F63" w:rsidRPr="008E7785">
        <w:rPr>
          <w:i/>
          <w:iCs/>
        </w:rPr>
        <w:t xml:space="preserve"> </w:t>
      </w:r>
      <w:r w:rsidR="004F6F63">
        <w:t>the Education Council’s</w:t>
      </w:r>
      <w:r w:rsidR="004F6F63" w:rsidRPr="008E7785">
        <w:rPr>
          <w:i/>
          <w:iCs/>
        </w:rPr>
        <w:t xml:space="preserve"> Measurement Framework for Schooling in Australia</w:t>
      </w:r>
      <w:r w:rsidR="004F6F63">
        <w:t>, including national performance, participation and Year 12 or equivalent attainment rates.</w:t>
      </w:r>
      <w:r w:rsidR="004F6F63">
        <w:br w:type="page"/>
      </w:r>
    </w:p>
    <w:p w14:paraId="39FB7869" w14:textId="77777777" w:rsidR="00DE15A0" w:rsidRPr="00A52667" w:rsidRDefault="00DE15A0" w:rsidP="00DE15A0">
      <w:pPr>
        <w:pStyle w:val="ListBullet"/>
        <w:numPr>
          <w:ilvl w:val="0"/>
          <w:numId w:val="0"/>
        </w:numPr>
        <w:ind w:left="360" w:hanging="360"/>
        <w:rPr>
          <w:b/>
        </w:rPr>
      </w:pPr>
      <w:bookmarkStart w:id="26" w:name="_Toc423963084"/>
      <w:r w:rsidRPr="00A52667">
        <w:rPr>
          <w:b/>
        </w:rPr>
        <w:lastRenderedPageBreak/>
        <w:t xml:space="preserve">Goal 1: </w:t>
      </w:r>
      <w:r w:rsidR="005A24E4" w:rsidRPr="00A52667">
        <w:rPr>
          <w:b/>
        </w:rPr>
        <w:t>Support quality early learning and schooling</w:t>
      </w:r>
    </w:p>
    <w:p w14:paraId="39FB786A" w14:textId="77777777" w:rsidR="00800762" w:rsidRDefault="00182363" w:rsidP="00800762">
      <w:pPr>
        <w:jc w:val="center"/>
        <w:rPr>
          <w:bCs/>
          <w:sz w:val="20"/>
          <w:szCs w:val="20"/>
        </w:rPr>
      </w:pPr>
      <w:r>
        <w:rPr>
          <w:bCs/>
          <w:sz w:val="20"/>
          <w:szCs w:val="20"/>
        </w:rPr>
        <w:pict w14:anchorId="39FB7A1E">
          <v:shape id="_x0000_i1029" type="#_x0000_t75" alt="Statistics relating to 'support early learning' component of goal 1.&#10;Early learning statistics:&#10;309,185 children aged between 4 and 5 years old are enrolled in preschool programmes. Of this number 83.7% are enrolled in 15 hours or more per week, 10.7% are in 10 to 14 hours per week, and 5.6% are enrolled in less that 10 hours per week. Aboriginal and Torres Strait Islander children comprise 4.3% of those enrolled in preschool programmes.&#10;There are 8,989 service providers delivering preschools programmes in Australia.&#10;" style="width:450.8pt;height:619.05pt">
            <v:imagedata r:id="rId25" o:title="ED15-0015 Corporate Plan 2015-19_Goal 1a"/>
          </v:shape>
        </w:pict>
      </w:r>
    </w:p>
    <w:p w14:paraId="39FB786B" w14:textId="77777777" w:rsidR="00E52909" w:rsidRPr="00800762" w:rsidRDefault="00E52909" w:rsidP="00800762">
      <w:pPr>
        <w:rPr>
          <w:rStyle w:val="Heading2Char"/>
          <w:b w:val="0"/>
          <w:sz w:val="20"/>
          <w:szCs w:val="20"/>
        </w:rPr>
      </w:pPr>
      <w:r w:rsidRPr="00800762">
        <w:rPr>
          <w:bCs/>
          <w:sz w:val="20"/>
          <w:szCs w:val="20"/>
        </w:rPr>
        <w:t xml:space="preserve">Source: </w:t>
      </w:r>
      <w:r w:rsidRPr="00800762">
        <w:rPr>
          <w:sz w:val="20"/>
          <w:szCs w:val="20"/>
        </w:rPr>
        <w:t>http</w:t>
      </w:r>
      <w:r w:rsidRPr="00800762">
        <w:rPr>
          <w:bCs/>
          <w:sz w:val="20"/>
          <w:szCs w:val="20"/>
        </w:rPr>
        <w:t>://www.abs.gov.au/ausstats/abs@.nsf/mf/4240.0</w:t>
      </w:r>
      <w:r w:rsidRPr="00800762">
        <w:rPr>
          <w:rStyle w:val="Heading2Char"/>
          <w:b w:val="0"/>
          <w:sz w:val="20"/>
          <w:szCs w:val="20"/>
        </w:rPr>
        <w:br w:type="page"/>
      </w:r>
    </w:p>
    <w:p w14:paraId="39FB786C" w14:textId="77777777" w:rsidR="00E52909" w:rsidRDefault="00522E0C" w:rsidP="004F6F63">
      <w:pPr>
        <w:rPr>
          <w:rStyle w:val="Heading2Char"/>
          <w:b w:val="0"/>
        </w:rPr>
      </w:pPr>
      <w:r>
        <w:rPr>
          <w:rFonts w:eastAsiaTheme="majorEastAsia"/>
          <w:noProof/>
          <w:lang w:eastAsia="en-AU"/>
        </w:rPr>
        <w:lastRenderedPageBreak/>
        <w:drawing>
          <wp:inline distT="0" distB="0" distL="0" distR="0" wp14:anchorId="39FB7A1F" wp14:editId="39FB7A20">
            <wp:extent cx="5725160" cy="3995420"/>
            <wp:effectExtent l="0" t="0" r="8890" b="5080"/>
            <wp:docPr id="1" name="Picture 1" descr="Statistics relating to 'support early learning' component of goal 1.&#10;School statistics:&#10;In 2014, there were 3.68 million students enrolled in school. Of these 65.1% were enrolled in government schools, 20.5% in Catholic schools, and 14.4% in independent schools.&#10;Aboriginal and Torres Strait Islander students comprised 5.2% of students enrolled. Of this, 94.2% were enrolled in government schools, 10.4% in Catholic schools, and 5.4% in independent schools.&#10;In 2013, students from low socio-economic status backgrounds comprised 56% of government school enrolments, 41% of Catholic school enrolments, and 26% of independent school enrol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tatistics relating to 'support early learning' component of goal 1.&#10;School statistics:&#10;In 2014, there were 3.68 million students enrolled in school. Of these 65.1% were enrolled in government schools, 20.5% in Catholic schools, and 14.4% in independent schools.&#10;Aboriginal and Torres Strait Islander students comprised 5.2% of students enrolled. Of this, 94.2% were enrolled in government schools, 10.4% in Catholic schools, and 5.4% in independent schools.&#10;In 2013, students from low socio-economic status backgrounds comprised 56% of government school enrolments, 41% of Catholic school enrolments, and 26% of independent school enrolments.&#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5160" cy="3995420"/>
                    </a:xfrm>
                    <a:prstGeom prst="rect">
                      <a:avLst/>
                    </a:prstGeom>
                    <a:noFill/>
                    <a:ln>
                      <a:noFill/>
                    </a:ln>
                  </pic:spPr>
                </pic:pic>
              </a:graphicData>
            </a:graphic>
          </wp:inline>
        </w:drawing>
      </w:r>
    </w:p>
    <w:p w14:paraId="39FB786D" w14:textId="77777777" w:rsidR="00E52909" w:rsidRDefault="00E52909" w:rsidP="00800762">
      <w:pPr>
        <w:jc w:val="center"/>
        <w:rPr>
          <w:rStyle w:val="Heading2Char"/>
          <w:b w:val="0"/>
        </w:rPr>
      </w:pPr>
    </w:p>
    <w:p w14:paraId="39FB786E" w14:textId="77777777" w:rsidR="003501DC" w:rsidRPr="00800762" w:rsidRDefault="003501DC" w:rsidP="00800762">
      <w:pPr>
        <w:spacing w:after="0"/>
      </w:pPr>
      <w:r w:rsidRPr="00800762">
        <w:t>Sources:</w:t>
      </w:r>
    </w:p>
    <w:p w14:paraId="39FB786F" w14:textId="77777777" w:rsidR="00BF39E7" w:rsidRPr="00800762" w:rsidRDefault="003501DC" w:rsidP="00800762">
      <w:pPr>
        <w:rPr>
          <w:rStyle w:val="Heading2Char"/>
          <w:i/>
        </w:rPr>
      </w:pPr>
      <w:r w:rsidRPr="00800762">
        <w:rPr>
          <w:i/>
        </w:rPr>
        <w:t>2014 statistics from ABS (2014) Schools Australia 2014, cat. No 4221.0 Table 43a; 2013 statistics from ABS (2014) Schools Australia 2013, cat. No 4221.0 Table 4A.31, and My School, 2010-2013 (ACARA)</w:t>
      </w:r>
      <w:r w:rsidR="00BF39E7" w:rsidRPr="00800762">
        <w:rPr>
          <w:rStyle w:val="Heading2Char"/>
          <w:i/>
        </w:rPr>
        <w:br w:type="page"/>
      </w:r>
    </w:p>
    <w:p w14:paraId="39FB7870" w14:textId="77777777" w:rsidR="004F6F63" w:rsidRDefault="004F6F63" w:rsidP="004F6F63">
      <w:bookmarkStart w:id="27" w:name="_Toc428520740"/>
      <w:r w:rsidRPr="00564A58">
        <w:rPr>
          <w:rStyle w:val="Heading2Char"/>
        </w:rPr>
        <w:lastRenderedPageBreak/>
        <w:t>Outcome 2</w:t>
      </w:r>
      <w:bookmarkEnd w:id="26"/>
      <w:bookmarkEnd w:id="27"/>
      <w:r>
        <w:rPr>
          <w:b/>
        </w:rPr>
        <w:t>:</w:t>
      </w:r>
      <w:r>
        <w:t xml:space="preserve"> Promote growth in economic productivity and social wellbeing through access to quality higher education, international education, and international quality research, skills and training.</w:t>
      </w:r>
    </w:p>
    <w:p w14:paraId="39FB7871" w14:textId="77777777" w:rsidR="004F6F63" w:rsidRPr="004F6F63" w:rsidRDefault="004F6F63" w:rsidP="00564A58">
      <w:pPr>
        <w:pStyle w:val="Heading2"/>
      </w:pPr>
      <w:bookmarkStart w:id="28" w:name="_Toc423963085"/>
      <w:bookmarkStart w:id="29" w:name="_Toc428520741"/>
      <w:r w:rsidRPr="004F6F63">
        <w:t>Goal 2: Excel through knowledge</w:t>
      </w:r>
      <w:bookmarkEnd w:id="28"/>
      <w:bookmarkEnd w:id="29"/>
    </w:p>
    <w:p w14:paraId="39FB7872" w14:textId="77777777" w:rsidR="004F6F63" w:rsidRDefault="004F6F63" w:rsidP="004A13FF">
      <w:pPr>
        <w:spacing w:after="120"/>
      </w:pPr>
      <w:r>
        <w:t>Enable the delivery of quality higher education, international education and research that contributes to Australia’s society and the global economy.</w:t>
      </w:r>
    </w:p>
    <w:p w14:paraId="39FB7873" w14:textId="77777777" w:rsidR="004F6F63" w:rsidRDefault="004F6F63" w:rsidP="005343E8">
      <w:pPr>
        <w:pStyle w:val="ListBullet"/>
      </w:pPr>
      <w:r>
        <w:t>Policies, funding and systems support high quality higher education and research</w:t>
      </w:r>
    </w:p>
    <w:p w14:paraId="39FB7874" w14:textId="77777777" w:rsidR="004F6F63" w:rsidRDefault="004F6F63" w:rsidP="005343E8">
      <w:pPr>
        <w:pStyle w:val="ListBullet"/>
      </w:pPr>
      <w:r>
        <w:t>Higher education and research outcomes demonstrate the relationship between education, research and prosperity</w:t>
      </w:r>
    </w:p>
    <w:p w14:paraId="39FB7875" w14:textId="77777777" w:rsidR="004F6F63" w:rsidRDefault="004F6F63" w:rsidP="005343E8">
      <w:pPr>
        <w:pStyle w:val="ListBullet"/>
      </w:pPr>
      <w:r>
        <w:t>Policy settings and growth in the sector inspires confidence from international providers and students and engages Australia with the region.</w:t>
      </w:r>
    </w:p>
    <w:p w14:paraId="39FB7876" w14:textId="77777777" w:rsidR="004F6F63" w:rsidRDefault="004F6F63" w:rsidP="00827EBA">
      <w:pPr>
        <w:spacing w:before="200"/>
        <w:rPr>
          <w:u w:val="single"/>
        </w:rPr>
      </w:pPr>
      <w:r>
        <w:rPr>
          <w:u w:val="single"/>
        </w:rPr>
        <w:t>Challenges:</w:t>
      </w:r>
    </w:p>
    <w:p w14:paraId="39FB7877" w14:textId="77777777" w:rsidR="00303893" w:rsidRDefault="00303893" w:rsidP="00303893">
      <w:pPr>
        <w:rPr>
          <w:lang w:eastAsia="en-AU"/>
        </w:rPr>
      </w:pPr>
      <w:r>
        <w:rPr>
          <w:lang w:eastAsia="en-AU"/>
        </w:rPr>
        <w:t>The challenge for the department is to maintain and enhance the quality of Australia’s domestic and international market presence, ensuring a highly skilled workforce which focuses on students having opportunities for access, participation and success and delivering quality, excellence, collaboration, diversity and sustainability in research.</w:t>
      </w:r>
    </w:p>
    <w:p w14:paraId="39FB7878" w14:textId="77777777" w:rsidR="00303893" w:rsidRDefault="00303893" w:rsidP="00303893">
      <w:pPr>
        <w:rPr>
          <w:lang w:eastAsia="en-AU"/>
        </w:rPr>
      </w:pPr>
      <w:r>
        <w:rPr>
          <w:lang w:eastAsia="en-AU"/>
        </w:rPr>
        <w:t>By actively engaging with stakeholders and ensuring that policies are adequately matched with resourcing, the department will be able to assist the higher education sector in meeting government objectives.</w:t>
      </w:r>
    </w:p>
    <w:p w14:paraId="39FB7879" w14:textId="77777777" w:rsidR="004F6F63" w:rsidRDefault="004F6F63" w:rsidP="00827EBA">
      <w:pPr>
        <w:spacing w:before="200"/>
        <w:rPr>
          <w:u w:val="single"/>
        </w:rPr>
      </w:pPr>
      <w:r>
        <w:rPr>
          <w:u w:val="single"/>
        </w:rPr>
        <w:t>Priorities:</w:t>
      </w:r>
    </w:p>
    <w:p w14:paraId="39FB787A" w14:textId="77777777" w:rsidR="00303893" w:rsidRDefault="00303893" w:rsidP="00303893">
      <w:r>
        <w:t>In partnership with vocational education and training (VET) providers, universities and other higher education institutions and industry, the Government is working to promote a world class tertiary education system and research sector which are innovative, competitive and globally connected.</w:t>
      </w:r>
    </w:p>
    <w:p w14:paraId="39FB787B" w14:textId="77777777" w:rsidR="00303893" w:rsidRDefault="00303893" w:rsidP="00303893">
      <w:r>
        <w:t>Our top priorities include reforming Australia’s higher education sector to ensure it is fair, sustainable and provides a quality education for all students, improving Australia’s economic performance through better translation of publicly funded research into commercial outcomes, and maintaining Australia’s status as a world leader in international education.</w:t>
      </w:r>
    </w:p>
    <w:p w14:paraId="39FB787C" w14:textId="77777777" w:rsidR="004F6F63" w:rsidRDefault="004F6F63" w:rsidP="004F6F63">
      <w:r>
        <w:t>In partnership with vocational education and training (VET) providers, universities and other higher education institutions and industry, the Government is working to promote a world class tertiary education system and research sector which are innovative, competitive and globally connected.</w:t>
      </w:r>
    </w:p>
    <w:p w14:paraId="39FB787D" w14:textId="77777777" w:rsidR="004F6F63" w:rsidRDefault="004F6F63" w:rsidP="004F6F63">
      <w:pPr>
        <w:rPr>
          <w:u w:val="single"/>
        </w:rPr>
      </w:pPr>
      <w:r>
        <w:rPr>
          <w:u w:val="single"/>
        </w:rPr>
        <w:t>Deliverables:</w:t>
      </w:r>
    </w:p>
    <w:p w14:paraId="39FB787E" w14:textId="77777777" w:rsidR="004F6F63" w:rsidRDefault="0077043C" w:rsidP="005343E8">
      <w:pPr>
        <w:pStyle w:val="ListBullet"/>
      </w:pPr>
      <w:r>
        <w:t>r</w:t>
      </w:r>
      <w:r w:rsidR="004F6F63">
        <w:t>emove the up-front cost barriers to tertiary education and training, including through subsidised tuition for higher education</w:t>
      </w:r>
    </w:p>
    <w:p w14:paraId="39FB787F" w14:textId="77777777" w:rsidR="004F6F63" w:rsidRDefault="0077043C" w:rsidP="005343E8">
      <w:pPr>
        <w:pStyle w:val="ListBullet"/>
      </w:pPr>
      <w:r>
        <w:t>e</w:t>
      </w:r>
      <w:r w:rsidR="004F6F63">
        <w:t>stablish a new institute for learning and teaching excellence in universities</w:t>
      </w:r>
    </w:p>
    <w:p w14:paraId="39FB7880" w14:textId="77777777" w:rsidR="004F6F63" w:rsidRDefault="0077043C" w:rsidP="005343E8">
      <w:pPr>
        <w:pStyle w:val="ListBullet"/>
      </w:pPr>
      <w:r>
        <w:lastRenderedPageBreak/>
        <w:t>i</w:t>
      </w:r>
      <w:r w:rsidR="004F6F63">
        <w:t>mprove higher education access and participation, and to ensure that the quality of our higher education system is maintained and improved</w:t>
      </w:r>
    </w:p>
    <w:p w14:paraId="39FB7881" w14:textId="77777777" w:rsidR="004F6F63" w:rsidRDefault="0077043C" w:rsidP="005343E8">
      <w:pPr>
        <w:pStyle w:val="ListBullet"/>
      </w:pPr>
      <w:r>
        <w:t>i</w:t>
      </w:r>
      <w:r w:rsidR="004F6F63">
        <w:t>nvest in Australian higher education research and research capacity</w:t>
      </w:r>
    </w:p>
    <w:p w14:paraId="39FB7882" w14:textId="77777777" w:rsidR="004F6F63" w:rsidRDefault="0077043C" w:rsidP="005343E8">
      <w:pPr>
        <w:pStyle w:val="ListBullet"/>
      </w:pPr>
      <w:r>
        <w:t>s</w:t>
      </w:r>
      <w:r w:rsidR="004F6F63">
        <w:t>upport major research infrastructure that underpins world-class research activity in Australia and provides the platform for collaboration between the research sector, industry and government</w:t>
      </w:r>
    </w:p>
    <w:p w14:paraId="39FB7883" w14:textId="77777777" w:rsidR="004F6F63" w:rsidRDefault="0077043C" w:rsidP="005343E8">
      <w:pPr>
        <w:pStyle w:val="ListBullet"/>
      </w:pPr>
      <w:r>
        <w:t>b</w:t>
      </w:r>
      <w:r w:rsidR="004F6F63">
        <w:t>uild the capacity and reputation of Australian education and develop regional and global engagement</w:t>
      </w:r>
    </w:p>
    <w:p w14:paraId="39FB7884" w14:textId="77777777" w:rsidR="004F6F63" w:rsidRDefault="0077043C" w:rsidP="005343E8">
      <w:pPr>
        <w:pStyle w:val="ListBullet"/>
      </w:pPr>
      <w:r>
        <w:t>i</w:t>
      </w:r>
      <w:r w:rsidR="004F6F63">
        <w:t>mplement legislative, systems and business processes to support the higher education reforms</w:t>
      </w:r>
    </w:p>
    <w:p w14:paraId="39FB7885" w14:textId="77777777" w:rsidR="004F6F63" w:rsidRDefault="0077043C" w:rsidP="005343E8">
      <w:pPr>
        <w:pStyle w:val="ListBullet"/>
      </w:pPr>
      <w:r>
        <w:t>d</w:t>
      </w:r>
      <w:r w:rsidR="004F6F63">
        <w:t>eregulate higher education, in collaboration with jurisdictions and other bodies such as TEQSA</w:t>
      </w:r>
    </w:p>
    <w:p w14:paraId="39FB7886" w14:textId="77777777" w:rsidR="004F6F63" w:rsidRDefault="0077043C" w:rsidP="005343E8">
      <w:pPr>
        <w:pStyle w:val="ListBullet"/>
      </w:pPr>
      <w:r>
        <w:t>develop a n</w:t>
      </w:r>
      <w:r w:rsidR="004F6F63">
        <w:t>ew national strategy for Australia’s international education sector.</w:t>
      </w:r>
    </w:p>
    <w:p w14:paraId="39FB7887" w14:textId="77777777" w:rsidR="004F6F63" w:rsidRDefault="00827EBA" w:rsidP="00827EBA">
      <w:pPr>
        <w:spacing w:before="200"/>
        <w:rPr>
          <w:u w:val="single"/>
        </w:rPr>
      </w:pPr>
      <w:r>
        <w:rPr>
          <w:u w:val="single"/>
        </w:rPr>
        <w:t xml:space="preserve">Annual </w:t>
      </w:r>
      <w:r w:rsidR="0077043C">
        <w:rPr>
          <w:u w:val="single"/>
        </w:rPr>
        <w:t>p</w:t>
      </w:r>
      <w:r w:rsidR="004F6F63">
        <w:rPr>
          <w:u w:val="single"/>
        </w:rPr>
        <w:t xml:space="preserve">erformance </w:t>
      </w:r>
      <w:r w:rsidR="0077043C">
        <w:rPr>
          <w:u w:val="single"/>
        </w:rPr>
        <w:t>m</w:t>
      </w:r>
      <w:r w:rsidR="004F6F63">
        <w:rPr>
          <w:u w:val="single"/>
        </w:rPr>
        <w:t>easures:</w:t>
      </w:r>
    </w:p>
    <w:p w14:paraId="39FB7888" w14:textId="77777777" w:rsidR="004F6F63" w:rsidRDefault="0077043C" w:rsidP="005343E8">
      <w:pPr>
        <w:pStyle w:val="ListBullet"/>
      </w:pPr>
      <w:r>
        <w:t>i</w:t>
      </w:r>
      <w:r w:rsidR="004F6F63">
        <w:t>ncreased student participation in higher education, including by previously under-represented groups</w:t>
      </w:r>
    </w:p>
    <w:p w14:paraId="39FB7889" w14:textId="77777777" w:rsidR="004F6F63" w:rsidRDefault="0077043C" w:rsidP="005343E8">
      <w:pPr>
        <w:pStyle w:val="ListBullet"/>
      </w:pPr>
      <w:r>
        <w:t>i</w:t>
      </w:r>
      <w:r w:rsidR="004F6F63">
        <w:t>mproved infrastructure for tertiary education</w:t>
      </w:r>
    </w:p>
    <w:p w14:paraId="39FB788A" w14:textId="77777777" w:rsidR="004F6F63" w:rsidRDefault="0077043C" w:rsidP="005343E8">
      <w:pPr>
        <w:pStyle w:val="ListBullet"/>
      </w:pPr>
      <w:r>
        <w:t>i</w:t>
      </w:r>
      <w:r w:rsidR="004F6F63">
        <w:t>mproved quality in higher education</w:t>
      </w:r>
    </w:p>
    <w:p w14:paraId="39FB788B" w14:textId="77777777" w:rsidR="004F6F63" w:rsidRDefault="0077043C" w:rsidP="005343E8">
      <w:pPr>
        <w:pStyle w:val="ListBullet"/>
      </w:pPr>
      <w:r>
        <w:t>i</w:t>
      </w:r>
      <w:r w:rsidR="004F6F63">
        <w:t>ncreased participation in science and maths</w:t>
      </w:r>
    </w:p>
    <w:p w14:paraId="39FB788C" w14:textId="77777777" w:rsidR="004F6F63" w:rsidRDefault="0077043C" w:rsidP="005343E8">
      <w:pPr>
        <w:pStyle w:val="ListBullet"/>
      </w:pPr>
      <w:r>
        <w:t>s</w:t>
      </w:r>
      <w:r w:rsidR="004F6F63">
        <w:t>ustained research performance, transparency and accountability of Australian higher education providers</w:t>
      </w:r>
    </w:p>
    <w:p w14:paraId="39FB788D" w14:textId="77777777" w:rsidR="004F6F63" w:rsidRDefault="0077043C" w:rsidP="005343E8">
      <w:pPr>
        <w:pStyle w:val="ListBullet"/>
      </w:pPr>
      <w:r>
        <w:t>s</w:t>
      </w:r>
      <w:r w:rsidR="004F6F63">
        <w:t>ustained number of students completing higher degrees by research</w:t>
      </w:r>
    </w:p>
    <w:p w14:paraId="39FB788E" w14:textId="77777777" w:rsidR="004F6F63" w:rsidRDefault="0077043C" w:rsidP="005343E8">
      <w:pPr>
        <w:pStyle w:val="ListBullet"/>
      </w:pPr>
      <w:r>
        <w:t>i</w:t>
      </w:r>
      <w:r w:rsidR="004F6F63">
        <w:t>mproved resear</w:t>
      </w:r>
      <w:r>
        <w:t>ch performance of less research-</w:t>
      </w:r>
      <w:r w:rsidR="004F6F63">
        <w:t>intensive universities</w:t>
      </w:r>
    </w:p>
    <w:p w14:paraId="39FB788F" w14:textId="77777777" w:rsidR="004F6F63" w:rsidRDefault="0077043C" w:rsidP="005343E8">
      <w:pPr>
        <w:pStyle w:val="ListBullet"/>
      </w:pPr>
      <w:r>
        <w:t>i</w:t>
      </w:r>
      <w:r w:rsidR="004F6F63">
        <w:t>ncreased number of participants in activities promoting research-based careers</w:t>
      </w:r>
    </w:p>
    <w:p w14:paraId="39FB7890" w14:textId="77777777" w:rsidR="004F6F63" w:rsidRDefault="0077043C" w:rsidP="005343E8">
      <w:pPr>
        <w:pStyle w:val="ListBullet"/>
      </w:pPr>
      <w:r>
        <w:t>i</w:t>
      </w:r>
      <w:r w:rsidR="004F6F63">
        <w:t>ncreased access to research infrastructure to facilitate and support collaborative research activities</w:t>
      </w:r>
    </w:p>
    <w:p w14:paraId="39FB7891" w14:textId="77777777" w:rsidR="004F6F63" w:rsidRDefault="0077043C" w:rsidP="005343E8">
      <w:pPr>
        <w:pStyle w:val="ListBullet"/>
      </w:pPr>
      <w:r>
        <w:t>s</w:t>
      </w:r>
      <w:r w:rsidR="004F6F63">
        <w:t xml:space="preserve">urvey of </w:t>
      </w:r>
      <w:r>
        <w:t>i</w:t>
      </w:r>
      <w:r w:rsidR="004F6F63">
        <w:t>nternational students’ satisfaction with studying and living in Australia</w:t>
      </w:r>
    </w:p>
    <w:p w14:paraId="39FB7892" w14:textId="77777777" w:rsidR="004F6F63" w:rsidRDefault="0077043C" w:rsidP="005343E8">
      <w:pPr>
        <w:pStyle w:val="ListBullet"/>
      </w:pPr>
      <w:r>
        <w:t>s</w:t>
      </w:r>
      <w:r w:rsidR="004F6F63">
        <w:t>tudents who are able to repay their HELP debts do so</w:t>
      </w:r>
    </w:p>
    <w:p w14:paraId="39FB7893" w14:textId="77777777" w:rsidR="004D79ED" w:rsidRDefault="0077043C" w:rsidP="00CF4528">
      <w:pPr>
        <w:pStyle w:val="ListBullet"/>
      </w:pPr>
      <w:r>
        <w:t>h</w:t>
      </w:r>
      <w:r w:rsidR="004F6F63">
        <w:t>igh quality policy advice to Government on the higher education sector.</w:t>
      </w:r>
      <w:r w:rsidR="004D79ED">
        <w:br w:type="page"/>
      </w:r>
    </w:p>
    <w:p w14:paraId="39FB7894" w14:textId="77777777" w:rsidR="004D79ED" w:rsidRPr="00A52667" w:rsidRDefault="004D79ED" w:rsidP="004D79ED">
      <w:pPr>
        <w:pStyle w:val="ListBullet"/>
        <w:numPr>
          <w:ilvl w:val="0"/>
          <w:numId w:val="0"/>
        </w:numPr>
        <w:ind w:left="360" w:hanging="360"/>
        <w:rPr>
          <w:b/>
        </w:rPr>
      </w:pPr>
      <w:r w:rsidRPr="00A52667">
        <w:rPr>
          <w:b/>
        </w:rPr>
        <w:lastRenderedPageBreak/>
        <w:t>Goal 2: Excel through knowledge</w:t>
      </w:r>
    </w:p>
    <w:p w14:paraId="39FB7895" w14:textId="77777777" w:rsidR="004D79ED" w:rsidRDefault="00182363" w:rsidP="00CF4528">
      <w:pPr>
        <w:pStyle w:val="ListBullet"/>
        <w:numPr>
          <w:ilvl w:val="0"/>
          <w:numId w:val="0"/>
        </w:numPr>
        <w:ind w:left="360" w:hanging="360"/>
        <w:jc w:val="center"/>
      </w:pPr>
      <w:r>
        <w:rPr>
          <w:noProof/>
          <w:lang w:eastAsia="en-AU"/>
        </w:rPr>
        <w:pict w14:anchorId="39FB7A21">
          <v:shape id="_x0000_i1030" type="#_x0000_t75" alt="Statistics relating to goal 2: excel through knowledge.&#10;In 2014, there were a total of 1,373,230 higher education students, up by 4.5% from 2013. Of the 1.37 million:&#10;73% were undergraduates, 275 post-graduates.&#10;75% domestic students, 25% international.&#10;71% full-time, 29% part-time.&#10;41% commencing students, 59% continuing.&#10;92% in public institutions, 8% in private.&#10;17.5% from low SES backgrounds.&#10;55.4% were female.&#10;19.3% were from regional areas of Australia." style="width:450.8pt;height:488.35pt">
            <v:imagedata r:id="rId27" o:title="ED15-0015 Corporate Plan 2015-19_Goal 2"/>
          </v:shape>
        </w:pict>
      </w:r>
    </w:p>
    <w:p w14:paraId="39FB7896" w14:textId="77777777" w:rsidR="006C30B9" w:rsidRDefault="004D79ED" w:rsidP="006C30B9">
      <w:pPr>
        <w:pStyle w:val="ListBullet"/>
        <w:numPr>
          <w:ilvl w:val="0"/>
          <w:numId w:val="0"/>
        </w:numPr>
        <w:spacing w:after="360"/>
        <w:ind w:left="357" w:hanging="357"/>
      </w:pPr>
      <w:r>
        <w:t>2014 Higher Education Sta</w:t>
      </w:r>
      <w:r w:rsidR="006C30B9">
        <w:t>tistics (comparison data 2013).</w:t>
      </w:r>
    </w:p>
    <w:p w14:paraId="39FB7897" w14:textId="77777777" w:rsidR="004F6F63" w:rsidRDefault="004D79ED">
      <w:pPr>
        <w:rPr>
          <w:rFonts w:ascii="Calibri" w:eastAsiaTheme="majorEastAsia" w:hAnsi="Calibri" w:cstheme="majorBidi"/>
          <w:b/>
          <w:bCs/>
        </w:rPr>
      </w:pPr>
      <w:r w:rsidRPr="002B32E1">
        <w:rPr>
          <w:bCs/>
          <w:i/>
        </w:rPr>
        <w:t>Source: Department of Education and Training Selected Higher Education Statistics</w:t>
      </w:r>
      <w:r w:rsidR="004F6F63">
        <w:br w:type="page"/>
      </w:r>
    </w:p>
    <w:p w14:paraId="39FB7898" w14:textId="77777777" w:rsidR="004F6F63" w:rsidRPr="004F6F63" w:rsidRDefault="004F6F63" w:rsidP="00564A58">
      <w:pPr>
        <w:pStyle w:val="Heading2"/>
      </w:pPr>
      <w:bookmarkStart w:id="30" w:name="_Toc423963086"/>
      <w:bookmarkStart w:id="31" w:name="_Toc428520742"/>
      <w:r w:rsidRPr="004F6F63">
        <w:lastRenderedPageBreak/>
        <w:t>Goal 3: Build skills and capability</w:t>
      </w:r>
      <w:bookmarkEnd w:id="30"/>
      <w:bookmarkEnd w:id="31"/>
    </w:p>
    <w:p w14:paraId="39FB7899" w14:textId="77777777" w:rsidR="004F6F63" w:rsidRDefault="004F6F63" w:rsidP="004A13FF">
      <w:pPr>
        <w:spacing w:after="120"/>
      </w:pPr>
      <w:r>
        <w:t>Ensure that Australia’s workforce has the capability to respond to the needs of current and emerging industries, thus contributing to their global competitiveness.</w:t>
      </w:r>
    </w:p>
    <w:p w14:paraId="39FB789A" w14:textId="77777777" w:rsidR="004F6F63" w:rsidRDefault="004F6F63" w:rsidP="005343E8">
      <w:pPr>
        <w:pStyle w:val="ListBullet"/>
      </w:pPr>
      <w:r>
        <w:t>Skills and training tailored to the needs of current and emerging industries</w:t>
      </w:r>
      <w:r w:rsidR="008E7785">
        <w:t>.</w:t>
      </w:r>
    </w:p>
    <w:p w14:paraId="39FB789B" w14:textId="77777777" w:rsidR="004F6F63" w:rsidRDefault="004F6F63" w:rsidP="005343E8">
      <w:pPr>
        <w:pStyle w:val="ListBullet"/>
      </w:pPr>
      <w:r>
        <w:t>Training pathways that are more responsive to the needs of workers wishing to enhance their skills.</w:t>
      </w:r>
    </w:p>
    <w:p w14:paraId="39FB789C" w14:textId="77777777" w:rsidR="004F6F63" w:rsidRDefault="004F6F63" w:rsidP="00827EBA">
      <w:pPr>
        <w:spacing w:before="200"/>
        <w:rPr>
          <w:u w:val="single"/>
        </w:rPr>
      </w:pPr>
      <w:r>
        <w:rPr>
          <w:u w:val="single"/>
        </w:rPr>
        <w:t>Challenges:</w:t>
      </w:r>
    </w:p>
    <w:p w14:paraId="39FB789D" w14:textId="77777777" w:rsidR="008E7785" w:rsidRPr="008E7785" w:rsidRDefault="008E7785" w:rsidP="008E7785">
      <w:pPr>
        <w:rPr>
          <w:rFonts w:cstheme="minorHAnsi"/>
        </w:rPr>
      </w:pPr>
      <w:r w:rsidRPr="008E7785">
        <w:rPr>
          <w:rFonts w:cstheme="minorHAnsi"/>
        </w:rPr>
        <w:t>The sector is undergoing significant transition with reforms</w:t>
      </w:r>
      <w:r>
        <w:rPr>
          <w:rFonts w:cstheme="minorHAnsi"/>
        </w:rPr>
        <w:t xml:space="preserve"> </w:t>
      </w:r>
      <w:r w:rsidRPr="008E7785">
        <w:rPr>
          <w:rFonts w:cstheme="minorHAnsi"/>
        </w:rPr>
        <w:t>in regulation, funding and information to ensure that skills</w:t>
      </w:r>
      <w:r>
        <w:rPr>
          <w:rFonts w:cstheme="minorHAnsi"/>
        </w:rPr>
        <w:t xml:space="preserve"> </w:t>
      </w:r>
      <w:r w:rsidRPr="008E7785">
        <w:rPr>
          <w:rFonts w:cstheme="minorHAnsi"/>
        </w:rPr>
        <w:t>meet the needs of students and employers now and in the</w:t>
      </w:r>
      <w:r>
        <w:rPr>
          <w:rFonts w:cstheme="minorHAnsi"/>
        </w:rPr>
        <w:t xml:space="preserve"> </w:t>
      </w:r>
      <w:r w:rsidRPr="008E7785">
        <w:rPr>
          <w:rFonts w:cstheme="minorHAnsi"/>
        </w:rPr>
        <w:t>future. The challenge for the department is to continue</w:t>
      </w:r>
      <w:r>
        <w:rPr>
          <w:rFonts w:cstheme="minorHAnsi"/>
        </w:rPr>
        <w:t xml:space="preserve"> </w:t>
      </w:r>
      <w:r w:rsidRPr="008E7785">
        <w:rPr>
          <w:rFonts w:cstheme="minorHAnsi"/>
        </w:rPr>
        <w:t>to lift the quality of training providers and their courses,</w:t>
      </w:r>
      <w:r>
        <w:rPr>
          <w:rFonts w:cstheme="minorHAnsi"/>
        </w:rPr>
        <w:t xml:space="preserve"> </w:t>
      </w:r>
      <w:r w:rsidRPr="008E7785">
        <w:rPr>
          <w:rFonts w:cstheme="minorHAnsi"/>
        </w:rPr>
        <w:t>and to increase the job prospects of students to ensure</w:t>
      </w:r>
      <w:r>
        <w:rPr>
          <w:rFonts w:cstheme="minorHAnsi"/>
        </w:rPr>
        <w:t xml:space="preserve"> </w:t>
      </w:r>
      <w:r w:rsidRPr="008E7785">
        <w:rPr>
          <w:rFonts w:cstheme="minorHAnsi"/>
        </w:rPr>
        <w:t>workforce trend demands are met.</w:t>
      </w:r>
    </w:p>
    <w:p w14:paraId="39FB789E" w14:textId="77777777" w:rsidR="008E7785" w:rsidRDefault="008E7785" w:rsidP="008E7785">
      <w:pPr>
        <w:rPr>
          <w:rFonts w:cstheme="minorHAnsi"/>
        </w:rPr>
      </w:pPr>
      <w:r w:rsidRPr="008E7785">
        <w:rPr>
          <w:rFonts w:cstheme="minorHAnsi"/>
        </w:rPr>
        <w:t>The department’s inclusive approach to policy and</w:t>
      </w:r>
      <w:r>
        <w:rPr>
          <w:rFonts w:cstheme="minorHAnsi"/>
        </w:rPr>
        <w:t xml:space="preserve"> </w:t>
      </w:r>
      <w:r w:rsidRPr="008E7785">
        <w:rPr>
          <w:rFonts w:cstheme="minorHAnsi"/>
        </w:rPr>
        <w:t>programme development by engaging openly and</w:t>
      </w:r>
      <w:r>
        <w:rPr>
          <w:rFonts w:cstheme="minorHAnsi"/>
        </w:rPr>
        <w:t xml:space="preserve"> </w:t>
      </w:r>
      <w:r w:rsidRPr="008E7785">
        <w:rPr>
          <w:rFonts w:cstheme="minorHAnsi"/>
        </w:rPr>
        <w:t>meaningfully with stakeholders, will ensure the department</w:t>
      </w:r>
      <w:r>
        <w:rPr>
          <w:rFonts w:cstheme="minorHAnsi"/>
        </w:rPr>
        <w:t xml:space="preserve"> </w:t>
      </w:r>
      <w:r w:rsidRPr="008E7785">
        <w:rPr>
          <w:rFonts w:cstheme="minorHAnsi"/>
        </w:rPr>
        <w:t>is positioned to achieve the best outcome for students,</w:t>
      </w:r>
      <w:r>
        <w:rPr>
          <w:rFonts w:cstheme="minorHAnsi"/>
        </w:rPr>
        <w:t xml:space="preserve"> </w:t>
      </w:r>
      <w:r w:rsidRPr="008E7785">
        <w:rPr>
          <w:rFonts w:cstheme="minorHAnsi"/>
        </w:rPr>
        <w:t>employers and industry.</w:t>
      </w:r>
    </w:p>
    <w:p w14:paraId="39FB789F" w14:textId="77777777" w:rsidR="004F6F63" w:rsidRDefault="004F6F63" w:rsidP="00827EBA">
      <w:pPr>
        <w:spacing w:before="200"/>
        <w:rPr>
          <w:u w:val="single"/>
        </w:rPr>
      </w:pPr>
      <w:r>
        <w:rPr>
          <w:u w:val="single"/>
        </w:rPr>
        <w:t>Priorities:</w:t>
      </w:r>
    </w:p>
    <w:p w14:paraId="39FB78A0" w14:textId="77777777" w:rsidR="004F6F63" w:rsidRDefault="004F6F63" w:rsidP="004F6F63">
      <w:r>
        <w:t>Ensure a highly skilled workforce, by focusing on providing all students with opportunities for access, participation and success. Create an effective and efficient skills and training system that is industry-led and delivers the skills Australian employers need.</w:t>
      </w:r>
    </w:p>
    <w:p w14:paraId="39FB78A1" w14:textId="77777777" w:rsidR="004F6F63" w:rsidRDefault="004F6F63" w:rsidP="004F6F63">
      <w:pPr>
        <w:rPr>
          <w:color w:val="000000"/>
        </w:rPr>
      </w:pPr>
      <w:r>
        <w:rPr>
          <w:color w:val="000000"/>
        </w:rPr>
        <w:t xml:space="preserve">Better linking training to real jobs and delivering improved employment outcomes. </w:t>
      </w:r>
      <w:r>
        <w:t xml:space="preserve">Ensuring better consumer information leads to increased quality and </w:t>
      </w:r>
      <w:r>
        <w:rPr>
          <w:color w:val="000000"/>
        </w:rPr>
        <w:t>maintaining the good reputation of the VET sector, both here and overseas.</w:t>
      </w:r>
    </w:p>
    <w:p w14:paraId="39FB78A2" w14:textId="77777777" w:rsidR="004F6F63" w:rsidRDefault="004F6F63" w:rsidP="00827EBA">
      <w:pPr>
        <w:spacing w:before="200"/>
        <w:rPr>
          <w:u w:val="single"/>
        </w:rPr>
      </w:pPr>
      <w:r>
        <w:rPr>
          <w:u w:val="single"/>
        </w:rPr>
        <w:t>Deliverables:</w:t>
      </w:r>
    </w:p>
    <w:p w14:paraId="39FB78A3" w14:textId="77777777" w:rsidR="004F6F63" w:rsidRDefault="008E7785" w:rsidP="005343E8">
      <w:pPr>
        <w:pStyle w:val="ListBullet"/>
      </w:pPr>
      <w:r>
        <w:t>d</w:t>
      </w:r>
      <w:r w:rsidR="004F6F63">
        <w:t>evelop an effective and efficient national training system that meets the needs of Australia’s current and emerging industries, including</w:t>
      </w:r>
      <w:r w:rsidR="005343E8">
        <w:t>:</w:t>
      </w:r>
    </w:p>
    <w:p w14:paraId="39FB78A4" w14:textId="77777777" w:rsidR="004F6F63" w:rsidRDefault="00EE35B6" w:rsidP="005343E8">
      <w:pPr>
        <w:pStyle w:val="ListBullet2"/>
      </w:pPr>
      <w:r>
        <w:t>i</w:t>
      </w:r>
      <w:r w:rsidR="004F6F63">
        <w:t>mproving access to training</w:t>
      </w:r>
    </w:p>
    <w:p w14:paraId="39FB78A5" w14:textId="77777777" w:rsidR="004F6F63" w:rsidRDefault="00EE35B6" w:rsidP="005343E8">
      <w:pPr>
        <w:pStyle w:val="ListBullet2"/>
      </w:pPr>
      <w:r>
        <w:t>f</w:t>
      </w:r>
      <w:r w:rsidR="004F6F63">
        <w:t>acilitating training that will enhance Australian businesses’ competitiveness in global markets</w:t>
      </w:r>
    </w:p>
    <w:p w14:paraId="39FB78A6" w14:textId="77777777" w:rsidR="004F6F63" w:rsidRDefault="00EE35B6" w:rsidP="005343E8">
      <w:pPr>
        <w:pStyle w:val="ListBullet2"/>
      </w:pPr>
      <w:r>
        <w:t>i</w:t>
      </w:r>
      <w:r w:rsidR="004F6F63">
        <w:t>ncrease completions of apprenticeships and develop the skills of the Australian workforce</w:t>
      </w:r>
      <w:r w:rsidR="000E3260">
        <w:t>.</w:t>
      </w:r>
    </w:p>
    <w:p w14:paraId="39FB78A7" w14:textId="77777777" w:rsidR="004F6F63" w:rsidRDefault="008E7785" w:rsidP="005343E8">
      <w:pPr>
        <w:pStyle w:val="ListBullet"/>
      </w:pPr>
      <w:r>
        <w:t>d</w:t>
      </w:r>
      <w:r w:rsidR="004F6F63">
        <w:t xml:space="preserve">evelop policies that will improve the VET sector through </w:t>
      </w:r>
      <w:r w:rsidR="00EE35B6">
        <w:t>three</w:t>
      </w:r>
      <w:r w:rsidR="004F6F63">
        <w:t xml:space="preserve"> principl</w:t>
      </w:r>
      <w:r w:rsidR="00EE35B6">
        <w:t>es</w:t>
      </w:r>
      <w:r w:rsidR="004F6F63">
        <w:t>:</w:t>
      </w:r>
    </w:p>
    <w:p w14:paraId="39FB78A8" w14:textId="77777777" w:rsidR="004F6F63" w:rsidRDefault="004F6F63" w:rsidP="005343E8">
      <w:pPr>
        <w:pStyle w:val="ListBullet2"/>
      </w:pPr>
      <w:r>
        <w:t>Jobs – stronger linkages between training and real jobs, to delivering better employment outcomes and more effective regulation</w:t>
      </w:r>
    </w:p>
    <w:p w14:paraId="39FB78A9" w14:textId="77777777" w:rsidR="004F6F63" w:rsidRDefault="004F6F63" w:rsidP="005343E8">
      <w:pPr>
        <w:pStyle w:val="ListBullet2"/>
      </w:pPr>
      <w:r>
        <w:t>Quality – standards for training providers, and stronger consumer protection</w:t>
      </w:r>
    </w:p>
    <w:p w14:paraId="39FB78AA" w14:textId="77777777" w:rsidR="0049612C" w:rsidRPr="00CF4528" w:rsidRDefault="004F6F63" w:rsidP="00CF4528">
      <w:pPr>
        <w:pStyle w:val="ListBullet2"/>
      </w:pPr>
      <w:r>
        <w:t xml:space="preserve">Status – increasing the VET sector’s reputation </w:t>
      </w:r>
      <w:r w:rsidR="00CF4528">
        <w:t>nationally and internationally.</w:t>
      </w:r>
      <w:r w:rsidR="0049612C" w:rsidRPr="00CF4528">
        <w:rPr>
          <w:u w:val="single"/>
        </w:rPr>
        <w:br w:type="page"/>
      </w:r>
    </w:p>
    <w:p w14:paraId="39FB78AB" w14:textId="77777777" w:rsidR="004F6F63" w:rsidRDefault="00827EBA" w:rsidP="00827EBA">
      <w:pPr>
        <w:spacing w:before="200"/>
        <w:rPr>
          <w:u w:val="single"/>
        </w:rPr>
      </w:pPr>
      <w:r>
        <w:rPr>
          <w:u w:val="single"/>
        </w:rPr>
        <w:lastRenderedPageBreak/>
        <w:t xml:space="preserve">Annual </w:t>
      </w:r>
      <w:r w:rsidR="00EE35B6">
        <w:rPr>
          <w:u w:val="single"/>
        </w:rPr>
        <w:t>p</w:t>
      </w:r>
      <w:r w:rsidR="004F6F63">
        <w:rPr>
          <w:u w:val="single"/>
        </w:rPr>
        <w:t xml:space="preserve">erformance </w:t>
      </w:r>
      <w:r w:rsidR="00EE35B6">
        <w:rPr>
          <w:u w:val="single"/>
        </w:rPr>
        <w:t>m</w:t>
      </w:r>
      <w:r w:rsidR="004F6F63">
        <w:rPr>
          <w:u w:val="single"/>
        </w:rPr>
        <w:t>easures:</w:t>
      </w:r>
    </w:p>
    <w:p w14:paraId="39FB78AC" w14:textId="77777777" w:rsidR="004F6F63" w:rsidRDefault="00EE35B6" w:rsidP="005343E8">
      <w:pPr>
        <w:pStyle w:val="ListBullet"/>
      </w:pPr>
      <w:r>
        <w:t>g</w:t>
      </w:r>
      <w:r w:rsidR="004F6F63">
        <w:t>rowth in the number and proportion of Australians with VET skills (includes measurement of whether employed or not)</w:t>
      </w:r>
    </w:p>
    <w:p w14:paraId="39FB78AD" w14:textId="77777777" w:rsidR="004F6F63" w:rsidRDefault="00EE35B6" w:rsidP="005343E8">
      <w:pPr>
        <w:pStyle w:val="ListBullet"/>
      </w:pPr>
      <w:r>
        <w:t>g</w:t>
      </w:r>
      <w:r w:rsidR="004F6F63">
        <w:t>rowth in the apprenticeship completion rate</w:t>
      </w:r>
    </w:p>
    <w:p w14:paraId="39FB78AE" w14:textId="77777777" w:rsidR="004F6F63" w:rsidRDefault="00EE35B6" w:rsidP="005343E8">
      <w:pPr>
        <w:pStyle w:val="ListBullet"/>
      </w:pPr>
      <w:r>
        <w:t>c</w:t>
      </w:r>
      <w:r w:rsidR="004F6F63">
        <w:t>hange in reported employer satisfaction with vocationally-trained graduates</w:t>
      </w:r>
    </w:p>
    <w:p w14:paraId="39FB78AF" w14:textId="77777777" w:rsidR="004F6F63" w:rsidRDefault="00EE35B6" w:rsidP="005343E8">
      <w:pPr>
        <w:pStyle w:val="ListBullet"/>
      </w:pPr>
      <w:r>
        <w:t>c</w:t>
      </w:r>
      <w:r w:rsidR="004F6F63">
        <w:t>hange in reported student satisfaction, including proportion of students reporting improved employment status</w:t>
      </w:r>
    </w:p>
    <w:p w14:paraId="39FB78B0" w14:textId="77777777" w:rsidR="004F6F63" w:rsidRDefault="00EE35B6" w:rsidP="005343E8">
      <w:pPr>
        <w:pStyle w:val="ListBullet"/>
      </w:pPr>
      <w:r>
        <w:t>c</w:t>
      </w:r>
      <w:r w:rsidR="004F6F63">
        <w:t>hanges in individual returns from investment in education and training, including employment and wages</w:t>
      </w:r>
    </w:p>
    <w:p w14:paraId="39FB78B1" w14:textId="77777777" w:rsidR="004F6F63" w:rsidRDefault="00EE35B6" w:rsidP="005343E8">
      <w:pPr>
        <w:pStyle w:val="ListBullet"/>
      </w:pPr>
      <w:r>
        <w:t>c</w:t>
      </w:r>
      <w:r w:rsidR="004F6F63">
        <w:t>hange in indicators of quality of training, including regulatory actions and revisions to training packages</w:t>
      </w:r>
    </w:p>
    <w:p w14:paraId="39FB78B2" w14:textId="77777777" w:rsidR="004F6F63" w:rsidRDefault="00EE35B6" w:rsidP="005343E8">
      <w:pPr>
        <w:pStyle w:val="ListBullet"/>
      </w:pPr>
      <w:r>
        <w:t>p</w:t>
      </w:r>
      <w:r w:rsidR="004F6F63">
        <w:t>rogress towards National Partnership on Skills Reform outcomes (greater accessibility, transparency, quality and efficiency of the VET system)</w:t>
      </w:r>
    </w:p>
    <w:p w14:paraId="39FB78B3" w14:textId="77777777" w:rsidR="008E7785" w:rsidRDefault="00EE35B6" w:rsidP="00CF4528">
      <w:pPr>
        <w:pStyle w:val="ListBullet"/>
      </w:pPr>
      <w:r>
        <w:t>p</w:t>
      </w:r>
      <w:r w:rsidR="004F6F63">
        <w:t xml:space="preserve">olicy work and advice performance measures that support the delivery of specified outputs or projects, facilitate reforms or reward those jurisdictions that deliver on </w:t>
      </w:r>
      <w:r w:rsidR="00CF4528">
        <w:t>nationally significant reforms.</w:t>
      </w:r>
      <w:r w:rsidR="008E7785">
        <w:br w:type="page"/>
      </w:r>
    </w:p>
    <w:p w14:paraId="39FB78B4" w14:textId="77777777" w:rsidR="008E7785" w:rsidRPr="00A52667" w:rsidRDefault="008E7785" w:rsidP="008E7785">
      <w:pPr>
        <w:pStyle w:val="ListBullet"/>
        <w:numPr>
          <w:ilvl w:val="0"/>
          <w:numId w:val="0"/>
        </w:numPr>
        <w:ind w:left="360" w:hanging="360"/>
        <w:rPr>
          <w:b/>
        </w:rPr>
      </w:pPr>
      <w:r w:rsidRPr="00A52667">
        <w:rPr>
          <w:b/>
        </w:rPr>
        <w:lastRenderedPageBreak/>
        <w:t>Goal 3: Build skills and capability</w:t>
      </w:r>
    </w:p>
    <w:p w14:paraId="39FB78B5" w14:textId="77777777" w:rsidR="008E7785" w:rsidRDefault="00182363" w:rsidP="00CF4528">
      <w:pPr>
        <w:pStyle w:val="ListBullet"/>
        <w:numPr>
          <w:ilvl w:val="0"/>
          <w:numId w:val="0"/>
        </w:numPr>
        <w:ind w:left="360" w:hanging="360"/>
        <w:jc w:val="center"/>
      </w:pPr>
      <w:r>
        <w:pict w14:anchorId="39FB7A22">
          <v:shape id="_x0000_i1031" type="#_x0000_t75" alt="Statistics relating to goal 3: build skills and capability.&#10;In 2013, there were a total of 1,877,500 VET students, of which:&#10;52% were male, 48% female.&#10;4.6% were Aboriginal and Torres Strait Islander.&#10;6.8% of students had a disability.&#10;20.6% were studying for a Cert 1 or 2, 58.8% for a Cert 3 or 4, 13% for a diploma, and 14.5% were studying other forms of accreditation.&#10;Other points of interest include:&#10;21% of school leavers immediately enter a form of VET.&#10;For 1 in 3 Australians aged 15 to 74, their highest qualification is from VET.&#10;65-75% of jobs, in 2025, will require post-secondary qualifications.&#10;In 2015 there were 4,590 registered training organisations.&#10;" style="width:450.8pt;height:535.3pt">
            <v:imagedata r:id="rId28" o:title="ED15-0015 Corporate Plan 2015-19_Goal 3"/>
          </v:shape>
        </w:pict>
      </w:r>
    </w:p>
    <w:p w14:paraId="39FB78B6" w14:textId="77777777" w:rsidR="008E7785" w:rsidRDefault="008E7785" w:rsidP="008E7785">
      <w:pPr>
        <w:pStyle w:val="ListBullet"/>
        <w:numPr>
          <w:ilvl w:val="0"/>
          <w:numId w:val="0"/>
        </w:numPr>
        <w:ind w:left="360" w:hanging="360"/>
      </w:pPr>
    </w:p>
    <w:p w14:paraId="39FB78B7" w14:textId="77777777" w:rsidR="00EE35B6" w:rsidRPr="008E7785" w:rsidRDefault="008E7785">
      <w:pPr>
        <w:rPr>
          <w:rFonts w:ascii="Calibri" w:eastAsiaTheme="majorEastAsia" w:hAnsi="Calibri" w:cstheme="majorBidi"/>
          <w:bCs/>
          <w:sz w:val="20"/>
          <w:szCs w:val="20"/>
        </w:rPr>
      </w:pPr>
      <w:r w:rsidRPr="002B32E1">
        <w:t xml:space="preserve">Sources: </w:t>
      </w:r>
      <w:r w:rsidRPr="002B32E1">
        <w:rPr>
          <w:i/>
        </w:rPr>
        <w:t>ABS Survey of education and work, May 2014 table 17; Australian Workplace and Productivity Agency: Future Focus - 2013 National Workforce Development Strategy</w:t>
      </w:r>
      <w:bookmarkStart w:id="32" w:name="_Toc423963087"/>
      <w:r w:rsidR="00EE35B6">
        <w:br w:type="page"/>
      </w:r>
    </w:p>
    <w:p w14:paraId="39FB78B8" w14:textId="77777777" w:rsidR="00564A58" w:rsidRPr="00564A58" w:rsidRDefault="00564A58" w:rsidP="00564A58">
      <w:pPr>
        <w:pStyle w:val="Heading2"/>
      </w:pPr>
      <w:bookmarkStart w:id="33" w:name="_Toc428520743"/>
      <w:r w:rsidRPr="00564A58">
        <w:lastRenderedPageBreak/>
        <w:t>Evaluations</w:t>
      </w:r>
      <w:bookmarkEnd w:id="32"/>
      <w:bookmarkEnd w:id="33"/>
    </w:p>
    <w:p w14:paraId="39FB78B9" w14:textId="77777777" w:rsidR="006C30B9" w:rsidRDefault="006C30B9" w:rsidP="006C30B9">
      <w:r>
        <w:t>The department supports a strong evidence-based culture to systematically and objectively assess the impact of our policies and programmes. Through this we can determine the quality of delivery, impact and efficiency of our activities. It also helps us determine best practice approaches.</w:t>
      </w:r>
    </w:p>
    <w:p w14:paraId="39FB78BA" w14:textId="77777777" w:rsidR="006D72D3" w:rsidRDefault="006C30B9" w:rsidP="00564A58">
      <w:r w:rsidRPr="006D72D3">
        <w:t>The</w:t>
      </w:r>
      <w:r w:rsidRPr="006D72D3">
        <w:rPr>
          <w:i/>
        </w:rPr>
        <w:t xml:space="preserve"> Department of Education and Training Evaluation Plan 2015–2017</w:t>
      </w:r>
      <w:r>
        <w:t xml:space="preserve"> sits alongside the </w:t>
      </w:r>
      <w:r w:rsidRPr="006D72D3">
        <w:rPr>
          <w:i/>
        </w:rPr>
        <w:t>Department of Education Corporate Plan 2015–19</w:t>
      </w:r>
      <w:r>
        <w:t xml:space="preserve"> and sets our broad evaluation goals as part of our performance framework. The plan affirms that evaluation supports policy and programme development.</w:t>
      </w:r>
      <w:r w:rsidR="006D72D3">
        <w:t xml:space="preserve"> </w:t>
      </w:r>
      <w:r>
        <w:t>It sets out the aims of the department’s evaluation agenda and its priorities.</w:t>
      </w:r>
    </w:p>
    <w:p w14:paraId="39FB78BB" w14:textId="77777777" w:rsidR="00564A58" w:rsidRDefault="006C30B9" w:rsidP="00564A58">
      <w:r>
        <w:t>The department recognises that the capabilities of our people will be a key driver of the quality of the evaluation activities set out in this document.</w:t>
      </w:r>
      <w:r w:rsidR="00564A58">
        <w:br w:type="page"/>
      </w:r>
    </w:p>
    <w:p w14:paraId="39FB78BC" w14:textId="77777777" w:rsidR="00564A58" w:rsidRPr="00564A58" w:rsidRDefault="00564A58" w:rsidP="00564A58">
      <w:pPr>
        <w:pStyle w:val="Heading1"/>
      </w:pPr>
      <w:bookmarkStart w:id="34" w:name="_Toc423963088"/>
      <w:bookmarkStart w:id="35" w:name="_Toc428520744"/>
      <w:r w:rsidRPr="00564A58">
        <w:lastRenderedPageBreak/>
        <w:t>Capabilities</w:t>
      </w:r>
      <w:bookmarkEnd w:id="34"/>
      <w:bookmarkEnd w:id="35"/>
    </w:p>
    <w:p w14:paraId="39FB78BD" w14:textId="77777777" w:rsidR="006D72D3" w:rsidRDefault="006D72D3" w:rsidP="006D72D3">
      <w:r>
        <w:t>In light of the complex operating environment, to achieve our outcomes for Government, priority is given to building our capacity to formulate rigorous policy, and share and analyse data, to solidify the department’s role in providing national leadership in education with Australia.</w:t>
      </w:r>
    </w:p>
    <w:p w14:paraId="39FB78BE" w14:textId="77777777" w:rsidR="006D72D3" w:rsidRDefault="006D72D3" w:rsidP="006D72D3">
      <w:r>
        <w:t>The department is structured into three main clusters: Schools and Youth (Outcome 1), Higher Education, Research and International, and Skills and Training (Outcome 2). The clusters are supported by two corporate groups within the department, and the Shared Services Centre which provides transactional corporate and enabling services.</w:t>
      </w:r>
    </w:p>
    <w:p w14:paraId="39FB78BF" w14:textId="77777777" w:rsidR="006D72D3" w:rsidRDefault="006D72D3" w:rsidP="006D72D3">
      <w:r>
        <w:t>The department’s fourth and final goal, ‘Enable business areas’, is aimed at supporting and enabling our capability. This goal is achieved through our strong governance arrangements, business planning process and the People Capability Framework.</w:t>
      </w:r>
    </w:p>
    <w:p w14:paraId="39FB78C0" w14:textId="77777777" w:rsidR="00564A58" w:rsidRPr="00564A58" w:rsidRDefault="00564A58" w:rsidP="00564A58">
      <w:pPr>
        <w:pStyle w:val="Heading2"/>
      </w:pPr>
      <w:bookmarkStart w:id="36" w:name="_Toc423963089"/>
      <w:bookmarkStart w:id="37" w:name="_Toc428520745"/>
      <w:r w:rsidRPr="00564A58">
        <w:t>Goal 4: Enable business areas</w:t>
      </w:r>
      <w:bookmarkEnd w:id="36"/>
      <w:bookmarkEnd w:id="37"/>
    </w:p>
    <w:p w14:paraId="39FB78C1" w14:textId="77777777" w:rsidR="00564A58" w:rsidRDefault="00564A58" w:rsidP="004A13FF">
      <w:pPr>
        <w:spacing w:after="120"/>
      </w:pPr>
      <w:r>
        <w:t>Our internal corporate services and Shared Services Centre (SSC) work collaboratively to support business areas in achieving their goals and maintaining productivity and excellence within a constrained fiscal environment.</w:t>
      </w:r>
    </w:p>
    <w:p w14:paraId="39FB78C2" w14:textId="77777777" w:rsidR="00564A58" w:rsidRDefault="00564A58" w:rsidP="005343E8">
      <w:pPr>
        <w:pStyle w:val="ListBullet"/>
      </w:pPr>
      <w:r>
        <w:t>Corporate areas offer strategic services and expertise to the department’s business areas</w:t>
      </w:r>
      <w:r w:rsidR="006D72D3">
        <w:t>.</w:t>
      </w:r>
    </w:p>
    <w:p w14:paraId="39FB78C3" w14:textId="77777777" w:rsidR="00564A58" w:rsidRDefault="00564A58" w:rsidP="005343E8">
      <w:pPr>
        <w:pStyle w:val="ListBullet"/>
      </w:pPr>
      <w:r>
        <w:t>Corporate services are delivered seamlessly without compromising accountability, compliance or quality</w:t>
      </w:r>
      <w:r w:rsidR="006D72D3">
        <w:t>.</w:t>
      </w:r>
    </w:p>
    <w:p w14:paraId="39FB78C4" w14:textId="77777777" w:rsidR="00564A58" w:rsidRDefault="00564A58" w:rsidP="005343E8">
      <w:pPr>
        <w:pStyle w:val="ListBullet"/>
      </w:pPr>
      <w:r>
        <w:t>Reliable technologies and systems are accessible and support our ministers, the department and stakeholders to strive for better ways of working.</w:t>
      </w:r>
    </w:p>
    <w:p w14:paraId="39FB78C5" w14:textId="77777777" w:rsidR="00564A58" w:rsidRDefault="00564A58" w:rsidP="00827EBA">
      <w:pPr>
        <w:spacing w:before="200"/>
        <w:rPr>
          <w:u w:val="single"/>
        </w:rPr>
      </w:pPr>
      <w:r>
        <w:rPr>
          <w:u w:val="single"/>
        </w:rPr>
        <w:t>Challenges:</w:t>
      </w:r>
    </w:p>
    <w:p w14:paraId="39FB78C6" w14:textId="77777777" w:rsidR="00564A58" w:rsidRDefault="00551104" w:rsidP="00551104">
      <w:r>
        <w:t>The key challenge for the corporate groups is supporting the wider department to effectively operate, enabling it to deliver its goals through delivery of an appropriate governance structure and improved capability and enabling technology/systems. The Functional and Efficiency Review, currently underway, will guide the department’s future direction, including business model, to ensure our continued effectiveness and efficiency.</w:t>
      </w:r>
    </w:p>
    <w:p w14:paraId="39FB78C7" w14:textId="77777777" w:rsidR="00564A58" w:rsidRDefault="00564A58" w:rsidP="00827EBA">
      <w:pPr>
        <w:spacing w:before="200"/>
        <w:rPr>
          <w:u w:val="single"/>
        </w:rPr>
      </w:pPr>
      <w:r>
        <w:rPr>
          <w:u w:val="single"/>
        </w:rPr>
        <w:t>Priorities:</w:t>
      </w:r>
    </w:p>
    <w:p w14:paraId="39FB78C8" w14:textId="77777777" w:rsidR="00476D9F" w:rsidRPr="00CF4528" w:rsidRDefault="00564A58">
      <w:r>
        <w:t>A key part of the department’s work in driving efficient government administration will involve the implementation of Functional and Efficiency Review recommendations and improvi</w:t>
      </w:r>
      <w:bookmarkStart w:id="38" w:name="_Toc423963090"/>
      <w:r w:rsidR="00CF4528">
        <w:t>ng its performance information.</w:t>
      </w:r>
      <w:r w:rsidR="00476D9F">
        <w:br w:type="page"/>
      </w:r>
    </w:p>
    <w:p w14:paraId="39FB78C9" w14:textId="77777777" w:rsidR="00564A58" w:rsidRPr="00564A58" w:rsidRDefault="003155CC" w:rsidP="00EE35B6">
      <w:pPr>
        <w:pStyle w:val="Heading2"/>
      </w:pPr>
      <w:bookmarkStart w:id="39" w:name="_Toc428520746"/>
      <w:r>
        <w:lastRenderedPageBreak/>
        <w:t>Our p</w:t>
      </w:r>
      <w:r w:rsidR="00564A58" w:rsidRPr="00564A58">
        <w:t>athways</w:t>
      </w:r>
      <w:bookmarkEnd w:id="38"/>
      <w:bookmarkEnd w:id="39"/>
    </w:p>
    <w:p w14:paraId="39FB78CA" w14:textId="77777777" w:rsidR="00564A58" w:rsidRDefault="00564A58" w:rsidP="00564A58">
      <w:pPr>
        <w:rPr>
          <w:rFonts w:cs="Calibri"/>
        </w:rPr>
      </w:pPr>
      <w:r>
        <w:rPr>
          <w:rFonts w:cs="Calibri"/>
        </w:rPr>
        <w:t>Our pathways describe how we will get the job done. They articulate our behaviours and ways of working that reflect what is most important to us as we work towards achieving our goals. Our pathways describe the expectations of ourselves and guide how we work with each other and our stakeholders. Our pathways help us strive to be the best we can be and can b</w:t>
      </w:r>
      <w:r w:rsidR="004A13FF">
        <w:rPr>
          <w:rFonts w:cs="Calibri"/>
        </w:rPr>
        <w:t>e summarised into four pathways</w:t>
      </w:r>
      <w:r w:rsidR="0049612C">
        <w:rPr>
          <w:rFonts w:cs="Calibri"/>
        </w:rPr>
        <w:t>:</w:t>
      </w:r>
      <w:r w:rsidR="004A13FF">
        <w:rPr>
          <w:rFonts w:cs="Calibri"/>
        </w:rPr>
        <w:t xml:space="preserve"> </w:t>
      </w:r>
      <w:r w:rsidR="003155CC">
        <w:rPr>
          <w:rFonts w:cs="Calibri"/>
        </w:rPr>
        <w:t>r</w:t>
      </w:r>
      <w:r w:rsidR="004A13FF">
        <w:rPr>
          <w:rFonts w:cs="Calibri"/>
        </w:rPr>
        <w:t>espond and deliver</w:t>
      </w:r>
      <w:r w:rsidR="003155CC">
        <w:rPr>
          <w:rFonts w:cs="Calibri"/>
        </w:rPr>
        <w:t>,</w:t>
      </w:r>
      <w:r w:rsidR="004A13FF">
        <w:rPr>
          <w:rFonts w:cs="Calibri"/>
        </w:rPr>
        <w:t xml:space="preserve"> </w:t>
      </w:r>
      <w:r w:rsidR="003155CC">
        <w:rPr>
          <w:rFonts w:cs="Calibri"/>
        </w:rPr>
        <w:t>e</w:t>
      </w:r>
      <w:r w:rsidR="004A13FF">
        <w:rPr>
          <w:rFonts w:cs="Calibri"/>
        </w:rPr>
        <w:t>xcellence through evidence</w:t>
      </w:r>
      <w:r w:rsidR="003155CC">
        <w:rPr>
          <w:rFonts w:cs="Calibri"/>
        </w:rPr>
        <w:t>,</w:t>
      </w:r>
      <w:r w:rsidR="004A13FF">
        <w:rPr>
          <w:rFonts w:cs="Calibri"/>
        </w:rPr>
        <w:t xml:space="preserve"> </w:t>
      </w:r>
      <w:r w:rsidR="003155CC">
        <w:rPr>
          <w:rFonts w:cs="Calibri"/>
        </w:rPr>
        <w:t>e</w:t>
      </w:r>
      <w:r w:rsidR="004A13FF">
        <w:rPr>
          <w:rFonts w:cs="Calibri"/>
        </w:rPr>
        <w:t>mpower our people</w:t>
      </w:r>
      <w:r w:rsidR="003155CC">
        <w:rPr>
          <w:rFonts w:cs="Calibri"/>
        </w:rPr>
        <w:t>,</w:t>
      </w:r>
      <w:r w:rsidR="0049612C">
        <w:rPr>
          <w:rFonts w:cs="Calibri"/>
        </w:rPr>
        <w:t xml:space="preserve"> and</w:t>
      </w:r>
      <w:r w:rsidR="004A13FF">
        <w:rPr>
          <w:rFonts w:cs="Calibri"/>
        </w:rPr>
        <w:t xml:space="preserve"> </w:t>
      </w:r>
      <w:r w:rsidR="003155CC">
        <w:rPr>
          <w:rFonts w:cs="Calibri"/>
        </w:rPr>
        <w:t>c</w:t>
      </w:r>
      <w:r w:rsidR="004A13FF">
        <w:rPr>
          <w:rFonts w:cs="Calibri"/>
        </w:rPr>
        <w:t>apability through diversity.</w:t>
      </w:r>
    </w:p>
    <w:p w14:paraId="39FB78CB" w14:textId="77777777" w:rsidR="00564A58" w:rsidRDefault="00182363" w:rsidP="00CF4528">
      <w:pPr>
        <w:spacing w:after="0"/>
        <w:jc w:val="center"/>
      </w:pPr>
      <w:r>
        <w:rPr>
          <w:b/>
          <w:noProof/>
          <w:sz w:val="36"/>
          <w:lang w:eastAsia="en-AU"/>
        </w:rPr>
        <w:pict w14:anchorId="39FB7A23">
          <v:shape id="_x0000_i1032" type="#_x0000_t75" alt="This is a visual representation of our four pathways and four departmental goals untied to deliver on our vision, opportunity through learning." style="width:450.8pt;height:358.45pt">
            <v:imagedata r:id="rId29" o:title="ED15-0015 Coporate Plan_Figure 4"/>
          </v:shape>
        </w:pict>
      </w:r>
    </w:p>
    <w:p w14:paraId="39FB78CC" w14:textId="77777777" w:rsidR="00476D9F" w:rsidRPr="00CF4528" w:rsidRDefault="00564A58">
      <w:pPr>
        <w:rPr>
          <w:b/>
        </w:rPr>
      </w:pPr>
      <w:r w:rsidRPr="00C33A80">
        <w:rPr>
          <w:b/>
        </w:rPr>
        <w:t xml:space="preserve">Figure </w:t>
      </w:r>
      <w:r w:rsidR="00B54A39" w:rsidRPr="00C33A80">
        <w:rPr>
          <w:b/>
        </w:rPr>
        <w:t>4</w:t>
      </w:r>
      <w:r w:rsidRPr="00C33A80">
        <w:rPr>
          <w:b/>
        </w:rPr>
        <w:t>: Relationship between the various strategic co</w:t>
      </w:r>
      <w:r w:rsidR="004B6581" w:rsidRPr="00C33A80">
        <w:rPr>
          <w:b/>
        </w:rPr>
        <w:t>mponents of the Corporate Plan.</w:t>
      </w:r>
      <w:bookmarkStart w:id="40" w:name="_Toc423963091"/>
      <w:r w:rsidR="00476D9F">
        <w:br w:type="page"/>
      </w:r>
    </w:p>
    <w:p w14:paraId="39FB78CD" w14:textId="77777777" w:rsidR="00564A58" w:rsidRPr="00564A58" w:rsidRDefault="003155CC" w:rsidP="003155CC">
      <w:pPr>
        <w:pStyle w:val="Heading2"/>
      </w:pPr>
      <w:bookmarkStart w:id="41" w:name="_Toc428520747"/>
      <w:r>
        <w:lastRenderedPageBreak/>
        <w:t>Workforce p</w:t>
      </w:r>
      <w:r w:rsidR="00564A58" w:rsidRPr="00564A58">
        <w:t>lanning</w:t>
      </w:r>
      <w:bookmarkEnd w:id="40"/>
      <w:bookmarkEnd w:id="41"/>
    </w:p>
    <w:p w14:paraId="39FB78CE" w14:textId="77777777" w:rsidR="00564A58" w:rsidRDefault="00564A58" w:rsidP="00564A58">
      <w:r>
        <w:t>The Department of Education and Training operates in an increasingly complex policy environment, with a range of international and domestic drivers impacting on the department’s priorities and future workforce requirements.</w:t>
      </w:r>
    </w:p>
    <w:p w14:paraId="39FB78CF" w14:textId="77777777" w:rsidR="00564A58" w:rsidRDefault="00564A58" w:rsidP="000E3260">
      <w:pPr>
        <w:spacing w:before="60" w:after="120"/>
      </w:pPr>
      <w:r>
        <w:t>Ensuring that the department remains responsive to the needs of government, in an environment of fiscal constraint and change, will require a diverse workforce where people:</w:t>
      </w:r>
    </w:p>
    <w:p w14:paraId="39FB78D0" w14:textId="77777777" w:rsidR="00564A58" w:rsidRDefault="003155CC" w:rsidP="004A13FF">
      <w:pPr>
        <w:pStyle w:val="ListBullet"/>
      </w:pPr>
      <w:r>
        <w:t>d</w:t>
      </w:r>
      <w:r w:rsidR="00564A58">
        <w:t>evelop and implement effective policy underpinned by robust analysis, data and evidence</w:t>
      </w:r>
    </w:p>
    <w:p w14:paraId="39FB78D1" w14:textId="77777777" w:rsidR="00564A58" w:rsidRDefault="003155CC" w:rsidP="004A13FF">
      <w:pPr>
        <w:pStyle w:val="ListBullet"/>
      </w:pPr>
      <w:r>
        <w:t>t</w:t>
      </w:r>
      <w:r w:rsidR="00564A58">
        <w:t>ake a strategic approach to internal and external communications</w:t>
      </w:r>
    </w:p>
    <w:p w14:paraId="39FB78D2" w14:textId="77777777" w:rsidR="00564A58" w:rsidRDefault="003155CC" w:rsidP="004A13FF">
      <w:pPr>
        <w:pStyle w:val="ListBullet"/>
      </w:pPr>
      <w:r>
        <w:t>e</w:t>
      </w:r>
      <w:r w:rsidR="00564A58">
        <w:t>mbrace change and lead others</w:t>
      </w:r>
    </w:p>
    <w:p w14:paraId="39FB78D3" w14:textId="77777777" w:rsidR="00564A58" w:rsidRDefault="003155CC" w:rsidP="004A13FF">
      <w:pPr>
        <w:pStyle w:val="ListBullet"/>
      </w:pPr>
      <w:r>
        <w:t>c</w:t>
      </w:r>
      <w:r w:rsidR="00564A58">
        <w:t>ollaborate, think globally, and innovate locally</w:t>
      </w:r>
    </w:p>
    <w:p w14:paraId="39FB78D4" w14:textId="77777777" w:rsidR="00564A58" w:rsidRDefault="003155CC" w:rsidP="004A13FF">
      <w:pPr>
        <w:pStyle w:val="ListBullet"/>
      </w:pPr>
      <w:r>
        <w:t>t</w:t>
      </w:r>
      <w:r w:rsidR="00CF6BEC">
        <w:t>ake a whole-</w:t>
      </w:r>
      <w:r w:rsidR="00564A58">
        <w:t>of</w:t>
      </w:r>
      <w:r w:rsidR="00CF6BEC">
        <w:t>-</w:t>
      </w:r>
      <w:r w:rsidR="00564A58">
        <w:t>department approach to Indigenous policy and cultural competency.</w:t>
      </w:r>
    </w:p>
    <w:p w14:paraId="39FB78D5" w14:textId="77777777" w:rsidR="00564A58" w:rsidRDefault="00564A58" w:rsidP="00564A58">
      <w:r>
        <w:t xml:space="preserve">The department’s workforce planning strategies address the gap between our current and required future workforce and the impact of existing workforce trends that, without intervention, are likely to continue in the longer term. </w:t>
      </w:r>
    </w:p>
    <w:p w14:paraId="39FB78D6" w14:textId="77777777" w:rsidR="003155CC" w:rsidRDefault="003155CC" w:rsidP="00476D9F">
      <w:r w:rsidRPr="003155CC">
        <w:t>Our recruitment policies and practices also reflect that Indigenous business is everyone’s business, ensuring our people have an appropriate level of cultural understanding from day one. They also ensure our Aboriginal and Torres Strait Islander employees are supported to reach their full potential, recognising that their unique skills and experiences are vital in supporting the department’s priorities.</w:t>
      </w:r>
    </w:p>
    <w:p w14:paraId="39FB78D7" w14:textId="77777777" w:rsidR="00564A58" w:rsidRDefault="00564A58" w:rsidP="008F11AA">
      <w:pPr>
        <w:spacing w:before="200" w:after="120"/>
      </w:pPr>
      <w:r>
        <w:t>Our strategies include implementation of:</w:t>
      </w:r>
    </w:p>
    <w:p w14:paraId="39FB78D8" w14:textId="77777777" w:rsidR="00564A58" w:rsidRDefault="003155CC" w:rsidP="005343E8">
      <w:pPr>
        <w:pStyle w:val="ListBullet"/>
        <w:rPr>
          <w:rFonts w:eastAsia="Times New Roman" w:cstheme="minorHAnsi"/>
        </w:rPr>
      </w:pPr>
      <w:r>
        <w:t>t</w:t>
      </w:r>
      <w:r w:rsidR="00564A58">
        <w:t>he</w:t>
      </w:r>
      <w:r w:rsidR="00564A58">
        <w:rPr>
          <w:rFonts w:eastAsia="Times New Roman" w:cstheme="minorHAnsi"/>
        </w:rPr>
        <w:t xml:space="preserve"> </w:t>
      </w:r>
      <w:r w:rsidR="00564A58">
        <w:rPr>
          <w:rFonts w:eastAsia="Times New Roman" w:cstheme="minorHAnsi"/>
          <w:i/>
        </w:rPr>
        <w:t>APS Optimal Management Structures (OMS) Framework</w:t>
      </w:r>
    </w:p>
    <w:p w14:paraId="39FB78D9" w14:textId="77777777" w:rsidR="00564A58" w:rsidRDefault="003155CC" w:rsidP="005343E8">
      <w:pPr>
        <w:pStyle w:val="ListBullet"/>
        <w:rPr>
          <w:rFonts w:eastAsia="Times New Roman" w:cstheme="minorHAnsi"/>
        </w:rPr>
      </w:pPr>
      <w:r>
        <w:rPr>
          <w:rFonts w:eastAsia="Times New Roman" w:cstheme="minorHAnsi"/>
        </w:rPr>
        <w:t>a</w:t>
      </w:r>
      <w:r w:rsidR="00564A58">
        <w:rPr>
          <w:rFonts w:eastAsia="Times New Roman" w:cstheme="minorHAnsi"/>
        </w:rPr>
        <w:t xml:space="preserve"> departmental Learning and Development (L&amp;D) Action Plan and leadership strategy (known as </w:t>
      </w:r>
      <w:r w:rsidR="00564A58">
        <w:rPr>
          <w:rFonts w:eastAsia="Times New Roman" w:cstheme="minorHAnsi"/>
          <w:i/>
        </w:rPr>
        <w:t>Leadership in Education and Training</w:t>
      </w:r>
      <w:r w:rsidR="00564A58">
        <w:rPr>
          <w:rFonts w:eastAsia="Times New Roman" w:cstheme="minorHAnsi"/>
        </w:rPr>
        <w:t>)</w:t>
      </w:r>
    </w:p>
    <w:p w14:paraId="39FB78DA" w14:textId="77777777" w:rsidR="00564A58" w:rsidRDefault="003155CC" w:rsidP="005343E8">
      <w:pPr>
        <w:pStyle w:val="ListBullet"/>
        <w:rPr>
          <w:rFonts w:eastAsia="Times New Roman" w:cstheme="minorHAnsi"/>
        </w:rPr>
      </w:pPr>
      <w:r>
        <w:rPr>
          <w:rFonts w:eastAsia="Times New Roman" w:cstheme="minorHAnsi"/>
        </w:rPr>
        <w:t>t</w:t>
      </w:r>
      <w:r w:rsidR="00564A58">
        <w:rPr>
          <w:rFonts w:eastAsia="Times New Roman" w:cstheme="minorHAnsi"/>
        </w:rPr>
        <w:t xml:space="preserve">he department’s </w:t>
      </w:r>
      <w:r w:rsidR="00564A58">
        <w:rPr>
          <w:rFonts w:eastAsia="Times New Roman" w:cstheme="minorHAnsi"/>
          <w:i/>
        </w:rPr>
        <w:t xml:space="preserve">Diversity Strategy </w:t>
      </w:r>
      <w:r w:rsidR="00564A58">
        <w:rPr>
          <w:rFonts w:eastAsia="Times New Roman" w:cstheme="minorHAnsi"/>
        </w:rPr>
        <w:t>and</w:t>
      </w:r>
      <w:r w:rsidR="00564A58">
        <w:rPr>
          <w:rFonts w:eastAsia="Times New Roman" w:cstheme="minorHAnsi"/>
          <w:i/>
        </w:rPr>
        <w:t xml:space="preserve"> Aboriginal and Torres Strait Islander Recruitment, Retention and Career Development Plan</w:t>
      </w:r>
    </w:p>
    <w:p w14:paraId="39FB78DB" w14:textId="77777777" w:rsidR="003155CC" w:rsidRDefault="003155CC" w:rsidP="003155CC">
      <w:pPr>
        <w:pStyle w:val="ListBullet"/>
        <w:rPr>
          <w:rFonts w:eastAsia="Times New Roman" w:cstheme="minorHAnsi"/>
        </w:rPr>
      </w:pPr>
      <w:r w:rsidRPr="003155CC">
        <w:rPr>
          <w:rFonts w:eastAsia="Times New Roman" w:cstheme="minorHAnsi"/>
        </w:rPr>
        <w:t xml:space="preserve">the </w:t>
      </w:r>
      <w:r w:rsidRPr="00E463AC">
        <w:rPr>
          <w:rFonts w:eastAsia="Times New Roman" w:cstheme="minorHAnsi"/>
          <w:i/>
        </w:rPr>
        <w:t>Indigenous Business Is Everyone’s Business</w:t>
      </w:r>
      <w:r w:rsidRPr="003155CC">
        <w:rPr>
          <w:rFonts w:eastAsia="Times New Roman" w:cstheme="minorHAnsi"/>
        </w:rPr>
        <w:t xml:space="preserve"> framework, which helps ensure we build appropriate workforce capabilities and that we have the right programme and policy settings in place to support Indigenous outcomes</w:t>
      </w:r>
    </w:p>
    <w:p w14:paraId="39FB78DC" w14:textId="77777777" w:rsidR="00564A58" w:rsidRDefault="003155CC" w:rsidP="005343E8">
      <w:pPr>
        <w:pStyle w:val="ListBullet"/>
        <w:rPr>
          <w:rFonts w:eastAsia="Times New Roman" w:cstheme="minorHAnsi"/>
        </w:rPr>
      </w:pPr>
      <w:r>
        <w:rPr>
          <w:rFonts w:eastAsia="Times New Roman" w:cstheme="minorHAnsi"/>
        </w:rPr>
        <w:t>m</w:t>
      </w:r>
      <w:r w:rsidR="00564A58">
        <w:rPr>
          <w:rFonts w:eastAsia="Times New Roman" w:cstheme="minorHAnsi"/>
        </w:rPr>
        <w:t>obility arrangements that facilitate the movement of individuals to different roles within the department and in other agencies</w:t>
      </w:r>
    </w:p>
    <w:p w14:paraId="39FB78DD" w14:textId="77777777" w:rsidR="00564A58" w:rsidRDefault="003155CC" w:rsidP="005343E8">
      <w:pPr>
        <w:pStyle w:val="ListBullet"/>
        <w:rPr>
          <w:rFonts w:eastAsia="Times New Roman" w:cstheme="minorHAnsi"/>
        </w:rPr>
      </w:pPr>
      <w:r>
        <w:rPr>
          <w:rFonts w:eastAsia="Times New Roman" w:cstheme="minorHAnsi"/>
        </w:rPr>
        <w:t>a</w:t>
      </w:r>
      <w:r w:rsidR="00564A58">
        <w:rPr>
          <w:rFonts w:eastAsia="Times New Roman" w:cstheme="minorHAnsi"/>
        </w:rPr>
        <w:t>n attendance management strategy and toolkit.</w:t>
      </w:r>
    </w:p>
    <w:p w14:paraId="39FB78DE" w14:textId="77777777" w:rsidR="00564A58" w:rsidRDefault="00564A58" w:rsidP="008F11AA">
      <w:pPr>
        <w:spacing w:before="200" w:after="120"/>
        <w:rPr>
          <w:rFonts w:eastAsia="Times New Roman" w:cstheme="minorHAnsi"/>
        </w:rPr>
      </w:pPr>
      <w:r>
        <w:t>The</w:t>
      </w:r>
      <w:r>
        <w:rPr>
          <w:rFonts w:eastAsia="Times New Roman" w:cstheme="minorHAnsi"/>
        </w:rPr>
        <w:t xml:space="preserve"> department will also:</w:t>
      </w:r>
    </w:p>
    <w:p w14:paraId="39FB78DF" w14:textId="77777777" w:rsidR="00564A58" w:rsidRDefault="003155CC" w:rsidP="005343E8">
      <w:pPr>
        <w:pStyle w:val="ListBullet"/>
        <w:rPr>
          <w:rFonts w:eastAsia="Times New Roman" w:cstheme="minorHAnsi"/>
        </w:rPr>
      </w:pPr>
      <w:r>
        <w:rPr>
          <w:rFonts w:eastAsia="Times New Roman" w:cstheme="minorHAnsi"/>
        </w:rPr>
        <w:t>d</w:t>
      </w:r>
      <w:r w:rsidR="00564A58">
        <w:rPr>
          <w:rFonts w:eastAsia="Times New Roman" w:cstheme="minorHAnsi"/>
        </w:rPr>
        <w:t>evelop and implement a single departmental Enterprise Agreement</w:t>
      </w:r>
    </w:p>
    <w:p w14:paraId="39FB78E0" w14:textId="77777777" w:rsidR="00476D9F" w:rsidRPr="00CF4528" w:rsidRDefault="003155CC" w:rsidP="00CF4528">
      <w:pPr>
        <w:pStyle w:val="ListBullet"/>
        <w:rPr>
          <w:rFonts w:eastAsia="Times New Roman" w:cstheme="minorHAnsi"/>
        </w:rPr>
      </w:pPr>
      <w:r>
        <w:rPr>
          <w:rFonts w:eastAsia="Times New Roman" w:cstheme="minorHAnsi"/>
        </w:rPr>
        <w:t>c</w:t>
      </w:r>
      <w:r w:rsidR="00564A58">
        <w:rPr>
          <w:rFonts w:eastAsia="Times New Roman" w:cstheme="minorHAnsi"/>
        </w:rPr>
        <w:t>ontinue with the current suite of entry</w:t>
      </w:r>
      <w:r w:rsidR="00CF6BEC">
        <w:rPr>
          <w:rFonts w:eastAsia="Times New Roman" w:cstheme="minorHAnsi"/>
        </w:rPr>
        <w:t>-</w:t>
      </w:r>
      <w:r w:rsidR="00564A58">
        <w:rPr>
          <w:rFonts w:eastAsia="Times New Roman" w:cstheme="minorHAnsi"/>
        </w:rPr>
        <w:t>level development programmes to promote workforce renewal a</w:t>
      </w:r>
      <w:r w:rsidR="00CF4528">
        <w:rPr>
          <w:rFonts w:eastAsia="Times New Roman" w:cstheme="minorHAnsi"/>
        </w:rPr>
        <w:t>nd build leadership capability.</w:t>
      </w:r>
      <w:r w:rsidR="00476D9F" w:rsidRPr="00CF4528">
        <w:rPr>
          <w:rFonts w:eastAsia="Times New Roman" w:cstheme="minorHAnsi"/>
          <w:u w:val="single"/>
        </w:rPr>
        <w:br w:type="page"/>
      </w:r>
    </w:p>
    <w:p w14:paraId="39FB78E1" w14:textId="77777777" w:rsidR="00564A58" w:rsidRDefault="00564A58" w:rsidP="00827EBA">
      <w:pPr>
        <w:spacing w:before="200"/>
        <w:rPr>
          <w:rFonts w:eastAsia="Times New Roman" w:cstheme="minorHAnsi"/>
          <w:u w:val="single"/>
        </w:rPr>
      </w:pPr>
      <w:r>
        <w:rPr>
          <w:rFonts w:eastAsia="Times New Roman" w:cstheme="minorHAnsi"/>
          <w:u w:val="single"/>
        </w:rPr>
        <w:lastRenderedPageBreak/>
        <w:t xml:space="preserve">Performance </w:t>
      </w:r>
      <w:r w:rsidR="003155CC">
        <w:rPr>
          <w:rFonts w:eastAsia="Times New Roman" w:cstheme="minorHAnsi"/>
          <w:u w:val="single"/>
        </w:rPr>
        <w:t>m</w:t>
      </w:r>
      <w:r w:rsidRPr="00827EBA">
        <w:rPr>
          <w:u w:val="single"/>
        </w:rPr>
        <w:t>easures</w:t>
      </w:r>
      <w:r>
        <w:rPr>
          <w:rFonts w:eastAsia="Times New Roman" w:cstheme="minorHAnsi"/>
          <w:u w:val="single"/>
        </w:rPr>
        <w:t>:</w:t>
      </w:r>
    </w:p>
    <w:p w14:paraId="39FB78E2" w14:textId="77777777" w:rsidR="00564A58" w:rsidRDefault="003155CC" w:rsidP="005343E8">
      <w:pPr>
        <w:pStyle w:val="ListBullet"/>
        <w:rPr>
          <w:rFonts w:eastAsia="Times New Roman" w:cstheme="minorHAnsi"/>
        </w:rPr>
      </w:pPr>
      <w:r>
        <w:rPr>
          <w:rFonts w:eastAsia="Times New Roman" w:cstheme="minorHAnsi"/>
        </w:rPr>
        <w:t>t</w:t>
      </w:r>
      <w:r w:rsidR="00564A58">
        <w:rPr>
          <w:rFonts w:eastAsia="Times New Roman" w:cstheme="minorHAnsi"/>
        </w:rPr>
        <w:t>he department’s management structures support business delivery and ensure that people are undertaking work at the right classification levels and exercising appropriate spans of control and delegation</w:t>
      </w:r>
    </w:p>
    <w:p w14:paraId="39FB78E3" w14:textId="77777777" w:rsidR="00564A58" w:rsidRDefault="003155CC" w:rsidP="005343E8">
      <w:pPr>
        <w:pStyle w:val="ListBullet"/>
        <w:rPr>
          <w:rFonts w:eastAsia="Times New Roman" w:cstheme="minorHAnsi"/>
        </w:rPr>
      </w:pPr>
      <w:r>
        <w:rPr>
          <w:rFonts w:eastAsia="Times New Roman" w:cstheme="minorHAnsi"/>
        </w:rPr>
        <w:t>t</w:t>
      </w:r>
      <w:r w:rsidR="00564A58">
        <w:rPr>
          <w:rFonts w:eastAsia="Times New Roman" w:cstheme="minorHAnsi"/>
        </w:rPr>
        <w:t>he department builds the workforce it needs and harnesses the benefits of diversity and inclusion</w:t>
      </w:r>
    </w:p>
    <w:p w14:paraId="39FB78E4" w14:textId="77777777" w:rsidR="00564A58" w:rsidRPr="005343E8" w:rsidRDefault="003155CC" w:rsidP="005343E8">
      <w:pPr>
        <w:pStyle w:val="ListBullet"/>
        <w:rPr>
          <w:rFonts w:eastAsia="Times New Roman" w:cstheme="minorHAnsi"/>
        </w:rPr>
      </w:pPr>
      <w:r>
        <w:rPr>
          <w:rFonts w:eastAsia="Times New Roman" w:cstheme="minorHAnsi"/>
        </w:rPr>
        <w:t>t</w:t>
      </w:r>
      <w:r w:rsidR="00564A58">
        <w:rPr>
          <w:rFonts w:eastAsia="Times New Roman" w:cstheme="minorHAnsi"/>
        </w:rPr>
        <w:t xml:space="preserve">he department’s Enterprise Agreement provides an affordable set of </w:t>
      </w:r>
      <w:r>
        <w:rPr>
          <w:rFonts w:eastAsia="Times New Roman" w:cstheme="minorHAnsi"/>
        </w:rPr>
        <w:t xml:space="preserve">employee </w:t>
      </w:r>
      <w:r w:rsidR="00564A58">
        <w:rPr>
          <w:rFonts w:eastAsia="Times New Roman" w:cstheme="minorHAnsi"/>
        </w:rPr>
        <w:t xml:space="preserve">terms and conditions and </w:t>
      </w:r>
      <w:r>
        <w:rPr>
          <w:rFonts w:eastAsia="Times New Roman" w:cstheme="minorHAnsi"/>
        </w:rPr>
        <w:t>provides flexibility to support</w:t>
      </w:r>
      <w:r w:rsidR="00564A58">
        <w:rPr>
          <w:rFonts w:eastAsia="Times New Roman" w:cstheme="minorHAnsi"/>
        </w:rPr>
        <w:t xml:space="preserve"> organisational productivity and performance.</w:t>
      </w:r>
    </w:p>
    <w:p w14:paraId="39FB78E5" w14:textId="77777777" w:rsidR="00564A58" w:rsidRDefault="00564A58" w:rsidP="00476D9F">
      <w:pPr>
        <w:pStyle w:val="Heading2"/>
        <w:spacing w:before="360"/>
      </w:pPr>
      <w:bookmarkStart w:id="42" w:name="_Toc423963092"/>
      <w:bookmarkStart w:id="43" w:name="_Toc428520748"/>
      <w:r>
        <w:t xml:space="preserve">ICT </w:t>
      </w:r>
      <w:r w:rsidR="00C83847">
        <w:t>c</w:t>
      </w:r>
      <w:r>
        <w:t>apability</w:t>
      </w:r>
      <w:bookmarkEnd w:id="42"/>
      <w:bookmarkEnd w:id="43"/>
    </w:p>
    <w:p w14:paraId="39FB78E6" w14:textId="77777777" w:rsidR="00251BCE" w:rsidRDefault="00564A58" w:rsidP="000E3260">
      <w:pPr>
        <w:spacing w:before="60" w:after="120"/>
      </w:pPr>
      <w:r>
        <w:t xml:space="preserve">To help meet current challenges and respond to future demands, the department’s approach to </w:t>
      </w:r>
      <w:r w:rsidRPr="005343E8">
        <w:t xml:space="preserve">capability is centred around maximising the use of tools and technology to </w:t>
      </w:r>
      <w:r w:rsidR="00251BCE">
        <w:t>inform and support strategic policy development and achieve</w:t>
      </w:r>
      <w:r w:rsidRPr="005343E8">
        <w:t xml:space="preserve"> business outcomes, support innovati</w:t>
      </w:r>
      <w:r w:rsidR="00251BCE">
        <w:t>on and agile</w:t>
      </w:r>
      <w:r w:rsidRPr="005343E8">
        <w:t xml:space="preserve"> working arrangements. Our investment choices are guided by the department’s strategic priorities.</w:t>
      </w:r>
    </w:p>
    <w:p w14:paraId="39FB78E7" w14:textId="77777777" w:rsidR="00564A58" w:rsidRPr="005343E8" w:rsidRDefault="00564A58" w:rsidP="000E3260">
      <w:pPr>
        <w:spacing w:before="60" w:after="120"/>
      </w:pPr>
      <w:r w:rsidRPr="005343E8">
        <w:t>Key capability focus areas include:</w:t>
      </w:r>
    </w:p>
    <w:p w14:paraId="39FB78E8" w14:textId="77777777" w:rsidR="00251BCE" w:rsidRDefault="00C83847" w:rsidP="00251BCE">
      <w:pPr>
        <w:pStyle w:val="ListBullet"/>
        <w:rPr>
          <w:rFonts w:eastAsia="Times New Roman" w:cstheme="minorHAnsi"/>
        </w:rPr>
      </w:pPr>
      <w:r>
        <w:rPr>
          <w:rFonts w:eastAsia="Times New Roman" w:cstheme="minorHAnsi"/>
        </w:rPr>
        <w:t>e</w:t>
      </w:r>
      <w:r w:rsidR="00251BCE" w:rsidRPr="005343E8">
        <w:rPr>
          <w:rFonts w:eastAsia="Times New Roman" w:cstheme="minorHAnsi"/>
        </w:rPr>
        <w:t>ncouraging and enabling innovation</w:t>
      </w:r>
    </w:p>
    <w:p w14:paraId="39FB78E9" w14:textId="77777777" w:rsidR="00251BCE" w:rsidRPr="005343E8" w:rsidRDefault="00C83847" w:rsidP="00251BCE">
      <w:pPr>
        <w:pStyle w:val="ListBullet"/>
        <w:rPr>
          <w:rFonts w:eastAsia="Times New Roman" w:cstheme="minorHAnsi"/>
        </w:rPr>
      </w:pPr>
      <w:r>
        <w:rPr>
          <w:rFonts w:eastAsia="Times New Roman" w:cstheme="minorHAnsi"/>
        </w:rPr>
        <w:t>a</w:t>
      </w:r>
      <w:r w:rsidR="00251BCE" w:rsidRPr="005343E8">
        <w:rPr>
          <w:rFonts w:eastAsia="Times New Roman" w:cstheme="minorHAnsi"/>
        </w:rPr>
        <w:t>n analytics and evidence culture, support by data, systems and technology</w:t>
      </w:r>
    </w:p>
    <w:p w14:paraId="39FB78EA" w14:textId="77777777" w:rsidR="00564A58" w:rsidRPr="005343E8" w:rsidRDefault="00C83847" w:rsidP="005343E8">
      <w:pPr>
        <w:pStyle w:val="ListBullet"/>
        <w:rPr>
          <w:rFonts w:eastAsia="Times New Roman" w:cstheme="minorHAnsi"/>
        </w:rPr>
      </w:pPr>
      <w:r>
        <w:rPr>
          <w:rFonts w:eastAsia="Times New Roman" w:cstheme="minorHAnsi"/>
        </w:rPr>
        <w:t>a</w:t>
      </w:r>
      <w:r w:rsidR="00564A58" w:rsidRPr="005343E8">
        <w:rPr>
          <w:rFonts w:eastAsia="Times New Roman" w:cstheme="minorHAnsi"/>
        </w:rPr>
        <w:t xml:space="preserve"> focus on user-centred design and benefits driven investment to deliver strategic priorities</w:t>
      </w:r>
    </w:p>
    <w:p w14:paraId="39FB78EB" w14:textId="77777777" w:rsidR="00564A58" w:rsidRPr="005343E8" w:rsidRDefault="00C83847" w:rsidP="005343E8">
      <w:pPr>
        <w:pStyle w:val="ListBullet"/>
        <w:rPr>
          <w:rFonts w:eastAsia="Times New Roman" w:cstheme="minorHAnsi"/>
        </w:rPr>
      </w:pPr>
      <w:r>
        <w:rPr>
          <w:rFonts w:eastAsia="Times New Roman" w:cstheme="minorHAnsi"/>
        </w:rPr>
        <w:t>s</w:t>
      </w:r>
      <w:r w:rsidR="00564A58" w:rsidRPr="005343E8">
        <w:rPr>
          <w:rFonts w:eastAsia="Times New Roman" w:cstheme="minorHAnsi"/>
        </w:rPr>
        <w:t>trong design governance</w:t>
      </w:r>
    </w:p>
    <w:p w14:paraId="39FB78EC" w14:textId="77777777" w:rsidR="00564A58" w:rsidRPr="005343E8" w:rsidRDefault="00C83847" w:rsidP="005343E8">
      <w:pPr>
        <w:pStyle w:val="ListBullet"/>
        <w:rPr>
          <w:rFonts w:eastAsia="Times New Roman" w:cstheme="minorHAnsi"/>
        </w:rPr>
      </w:pPr>
      <w:r>
        <w:rPr>
          <w:rFonts w:eastAsia="Times New Roman" w:cstheme="minorHAnsi"/>
        </w:rPr>
        <w:t>m</w:t>
      </w:r>
      <w:r w:rsidR="00564A58" w:rsidRPr="005343E8">
        <w:rPr>
          <w:rFonts w:eastAsia="Times New Roman" w:cstheme="minorHAnsi"/>
        </w:rPr>
        <w:t>aturing our portfolio, programme and project capabilities</w:t>
      </w:r>
    </w:p>
    <w:p w14:paraId="39FB78ED" w14:textId="77777777" w:rsidR="00564A58" w:rsidRPr="005343E8" w:rsidRDefault="00C83847" w:rsidP="005343E8">
      <w:pPr>
        <w:pStyle w:val="ListBullet"/>
        <w:rPr>
          <w:rFonts w:eastAsia="Times New Roman" w:cstheme="minorHAnsi"/>
        </w:rPr>
      </w:pPr>
      <w:r>
        <w:rPr>
          <w:rFonts w:eastAsia="Times New Roman" w:cstheme="minorHAnsi"/>
        </w:rPr>
        <w:t>f</w:t>
      </w:r>
      <w:r w:rsidR="00564A58" w:rsidRPr="005343E8">
        <w:rPr>
          <w:rFonts w:eastAsia="Times New Roman" w:cstheme="minorHAnsi"/>
        </w:rPr>
        <w:t>ully utilising our current investments to maximise organisational outcomes</w:t>
      </w:r>
      <w:r w:rsidR="00251BCE">
        <w:rPr>
          <w:rFonts w:eastAsia="Times New Roman" w:cstheme="minorHAnsi"/>
        </w:rPr>
        <w:t>, and rationalising our application portfolio</w:t>
      </w:r>
    </w:p>
    <w:p w14:paraId="39FB78EE" w14:textId="77777777" w:rsidR="00564A58" w:rsidRPr="005343E8" w:rsidRDefault="00C83847" w:rsidP="005343E8">
      <w:pPr>
        <w:pStyle w:val="ListBullet"/>
        <w:rPr>
          <w:rFonts w:eastAsia="Times New Roman" w:cstheme="minorHAnsi"/>
        </w:rPr>
      </w:pPr>
      <w:r>
        <w:rPr>
          <w:rFonts w:eastAsia="Times New Roman" w:cstheme="minorHAnsi"/>
        </w:rPr>
        <w:t>l</w:t>
      </w:r>
      <w:r w:rsidR="00251BCE">
        <w:rPr>
          <w:rFonts w:eastAsia="Times New Roman" w:cstheme="minorHAnsi"/>
        </w:rPr>
        <w:t>everaging our knowledge and technology to reform business processes.</w:t>
      </w:r>
    </w:p>
    <w:p w14:paraId="39FB78EF" w14:textId="77777777" w:rsidR="00564A58" w:rsidRPr="005343E8" w:rsidRDefault="00564A58" w:rsidP="00564A58">
      <w:r w:rsidRPr="005343E8">
        <w:t xml:space="preserve">The department will continue to be a leader in technology utilisation, including the adoption of cloud, </w:t>
      </w:r>
      <w:r w:rsidR="00C83847">
        <w:t>supporting the Shared Services C</w:t>
      </w:r>
      <w:r w:rsidRPr="005343E8">
        <w:t>entre</w:t>
      </w:r>
      <w:r w:rsidR="00C83847">
        <w:t xml:space="preserve"> (SSC)</w:t>
      </w:r>
      <w:r w:rsidRPr="005343E8">
        <w:t xml:space="preserve"> </w:t>
      </w:r>
      <w:r w:rsidR="00251BCE">
        <w:t xml:space="preserve">and </w:t>
      </w:r>
      <w:r w:rsidRPr="005343E8">
        <w:t>utilising technology to help deliver efficient business processes that meet the needs of users and delivery of</w:t>
      </w:r>
      <w:r w:rsidR="00251BCE">
        <w:t>, and support for, whole of government initiatives. This includes the Whole of Government</w:t>
      </w:r>
      <w:r w:rsidRPr="005343E8">
        <w:t xml:space="preserve"> </w:t>
      </w:r>
      <w:r w:rsidR="00251BCE">
        <w:t>Parliamentary Workflow Solution, which is delivered by the department</w:t>
      </w:r>
      <w:r w:rsidR="004A13FF">
        <w:t>.</w:t>
      </w:r>
    </w:p>
    <w:p w14:paraId="39FB78F0" w14:textId="77777777" w:rsidR="00564A58" w:rsidRPr="00C83847" w:rsidRDefault="00564A58" w:rsidP="00476D9F">
      <w:pPr>
        <w:pStyle w:val="Heading2"/>
        <w:spacing w:before="360"/>
      </w:pPr>
      <w:bookmarkStart w:id="44" w:name="_Toc423963093"/>
      <w:bookmarkStart w:id="45" w:name="_Toc428520749"/>
      <w:r>
        <w:t>Shared Service</w:t>
      </w:r>
      <w:r w:rsidR="00C83847">
        <w:t>s</w:t>
      </w:r>
      <w:r>
        <w:t xml:space="preserve"> Centre</w:t>
      </w:r>
      <w:bookmarkEnd w:id="44"/>
      <w:bookmarkEnd w:id="45"/>
    </w:p>
    <w:p w14:paraId="39FB78F1" w14:textId="77777777" w:rsidR="00476D9F" w:rsidRDefault="00564A58">
      <w:pPr>
        <w:rPr>
          <w:rFonts w:eastAsia="Calibri" w:cstheme="minorHAnsi"/>
        </w:rPr>
      </w:pPr>
      <w:r>
        <w:rPr>
          <w:rFonts w:eastAsia="Calibri" w:cstheme="minorHAnsi"/>
        </w:rPr>
        <w:t xml:space="preserve">The department has, in conjunction with the Department of Employment, contributed people and resources towards the development of the Shared Services Centre (SSC). The SSC provides corporate and technology services to Australian Government customers and is accountable to both the Department of Education and Training and the Department of Employment. The SSC was created out of recognition that a single, larger service delivery organisation could offer economies of scale </w:t>
      </w:r>
      <w:r w:rsidR="00CF4528">
        <w:rPr>
          <w:rFonts w:eastAsia="Calibri" w:cstheme="minorHAnsi"/>
        </w:rPr>
        <w:t>and foster innovative practice.</w:t>
      </w:r>
      <w:r w:rsidR="00476D9F">
        <w:rPr>
          <w:rFonts w:eastAsia="Calibri" w:cstheme="minorHAnsi"/>
        </w:rPr>
        <w:br w:type="page"/>
      </w:r>
    </w:p>
    <w:p w14:paraId="39FB78F2" w14:textId="77777777" w:rsidR="00564A58" w:rsidRDefault="00564A58" w:rsidP="00564A58">
      <w:pPr>
        <w:spacing w:before="60" w:after="120"/>
        <w:rPr>
          <w:rFonts w:eastAsia="Calibri" w:cstheme="minorHAnsi"/>
        </w:rPr>
      </w:pPr>
      <w:r>
        <w:rPr>
          <w:rFonts w:eastAsia="Calibri" w:cstheme="minorHAnsi"/>
        </w:rPr>
        <w:lastRenderedPageBreak/>
        <w:t>The SSC is committed to continuous service improvement and the commitment to provide analysis and advice regarding solutions that best fit customer needs. The SSC aims to:</w:t>
      </w:r>
    </w:p>
    <w:p w14:paraId="39FB78F3" w14:textId="77777777" w:rsidR="00564A58" w:rsidRDefault="00C83847" w:rsidP="005343E8">
      <w:pPr>
        <w:pStyle w:val="ListBullet"/>
        <w:rPr>
          <w:rFonts w:eastAsia="Times New Roman" w:cstheme="minorHAnsi"/>
        </w:rPr>
      </w:pPr>
      <w:r>
        <w:rPr>
          <w:rFonts w:eastAsia="Times New Roman" w:cstheme="minorHAnsi"/>
        </w:rPr>
        <w:t>r</w:t>
      </w:r>
      <w:r w:rsidR="00564A58">
        <w:rPr>
          <w:rFonts w:eastAsia="Times New Roman" w:cstheme="minorHAnsi"/>
        </w:rPr>
        <w:t>educe complexity and implement best practice processes in technology and automation</w:t>
      </w:r>
    </w:p>
    <w:p w14:paraId="39FB78F4" w14:textId="77777777" w:rsidR="00564A58" w:rsidRDefault="00C83847" w:rsidP="005343E8">
      <w:pPr>
        <w:pStyle w:val="ListBullet"/>
        <w:rPr>
          <w:rFonts w:eastAsia="Times New Roman" w:cstheme="minorHAnsi"/>
        </w:rPr>
      </w:pPr>
      <w:r>
        <w:rPr>
          <w:rFonts w:eastAsia="Times New Roman" w:cstheme="minorHAnsi"/>
        </w:rPr>
        <w:t>d</w:t>
      </w:r>
      <w:r w:rsidR="00564A58">
        <w:rPr>
          <w:rFonts w:eastAsia="Times New Roman" w:cstheme="minorHAnsi"/>
        </w:rPr>
        <w:t>eliver comprehensive metrics allowing for monitoring and improvement of service offerings and performance</w:t>
      </w:r>
    </w:p>
    <w:p w14:paraId="39FB78F5" w14:textId="77777777" w:rsidR="00564A58" w:rsidRDefault="00C83847" w:rsidP="005343E8">
      <w:pPr>
        <w:pStyle w:val="ListBullet"/>
        <w:rPr>
          <w:rFonts w:eastAsia="Times New Roman" w:cstheme="minorHAnsi"/>
        </w:rPr>
      </w:pPr>
      <w:r>
        <w:rPr>
          <w:rFonts w:eastAsia="Times New Roman" w:cstheme="minorHAnsi"/>
        </w:rPr>
        <w:t>d</w:t>
      </w:r>
      <w:r w:rsidR="00564A58">
        <w:rPr>
          <w:rFonts w:eastAsia="Times New Roman" w:cstheme="minorHAnsi"/>
        </w:rPr>
        <w:t>rive operational excellence through feedback from employees and customers and by benchmarking with industry best practice</w:t>
      </w:r>
    </w:p>
    <w:p w14:paraId="39FB78F6" w14:textId="77777777" w:rsidR="00564A58" w:rsidRPr="005343E8" w:rsidRDefault="00C83847" w:rsidP="005343E8">
      <w:pPr>
        <w:pStyle w:val="ListBullet"/>
        <w:rPr>
          <w:rFonts w:eastAsia="Times New Roman" w:cstheme="minorHAnsi"/>
        </w:rPr>
      </w:pPr>
      <w:r>
        <w:rPr>
          <w:rFonts w:eastAsia="Times New Roman" w:cstheme="minorHAnsi"/>
        </w:rPr>
        <w:t>d</w:t>
      </w:r>
      <w:r w:rsidR="00564A58">
        <w:rPr>
          <w:rFonts w:eastAsia="Times New Roman" w:cstheme="minorHAnsi"/>
        </w:rPr>
        <w:t>evelop high quality</w:t>
      </w:r>
      <w:r w:rsidR="00564A58" w:rsidRPr="005343E8">
        <w:rPr>
          <w:rFonts w:eastAsia="Times New Roman" w:cstheme="minorHAnsi"/>
        </w:rPr>
        <w:t xml:space="preserve"> management information to underpin and support service delivery.</w:t>
      </w:r>
    </w:p>
    <w:p w14:paraId="39FB78F7" w14:textId="77777777" w:rsidR="00564A58" w:rsidRDefault="00564A58" w:rsidP="00564A58">
      <w:pPr>
        <w:spacing w:after="120"/>
        <w:rPr>
          <w:b/>
          <w:u w:val="single"/>
        </w:rPr>
      </w:pPr>
      <w:r>
        <w:rPr>
          <w:rFonts w:eastAsia="Calibri" w:cstheme="minorHAnsi"/>
        </w:rPr>
        <w:t>The department retains a range of corporate areas to provide services not covered by the SSC, and our internal corporate services and the SSC work collaboratively to support business areas in achieving their goals.</w:t>
      </w:r>
    </w:p>
    <w:p w14:paraId="39FB78F8" w14:textId="77777777" w:rsidR="00564A58" w:rsidRDefault="00564A58" w:rsidP="00476D9F">
      <w:pPr>
        <w:pStyle w:val="Heading2"/>
        <w:spacing w:before="360"/>
      </w:pPr>
      <w:bookmarkStart w:id="46" w:name="_Toc423963094"/>
      <w:bookmarkStart w:id="47" w:name="_Toc428520750"/>
      <w:r>
        <w:t>Reducing red tape and driving innovation</w:t>
      </w:r>
      <w:bookmarkEnd w:id="46"/>
      <w:bookmarkEnd w:id="47"/>
    </w:p>
    <w:p w14:paraId="39FB78F9" w14:textId="77777777" w:rsidR="004B1B7D" w:rsidRDefault="004B1B7D" w:rsidP="004B1B7D">
      <w:r>
        <w:t>The department is committed to the government’s deregulation agenda, which focuses on eliminating inefficient or unnecessary regulation that imposes burdens on business, individuals and community organisations. To this end, the department has established a deregulation unit to lead the implementation of the deregulation agenda, as well as an internal deregulation committee with senior representation from across the department to provide strategic oversight.</w:t>
      </w:r>
    </w:p>
    <w:p w14:paraId="39FB78FA" w14:textId="77777777" w:rsidR="00476D9F" w:rsidRPr="00CF4528" w:rsidRDefault="004B1B7D">
      <w:r>
        <w:t>Innovation is central to growth in national productivity and an innovative public sector is central to improving national outcomes. The department is committed to driving innovation within the workplace. As part of this commitment the department holds Innovation Month each year to engage with employees and encourage them to come up with, and</w:t>
      </w:r>
      <w:bookmarkStart w:id="48" w:name="_Toc423963095"/>
      <w:r w:rsidR="00CF4528">
        <w:t xml:space="preserve"> try, new and innovative ideas.</w:t>
      </w:r>
      <w:r w:rsidR="00476D9F">
        <w:br w:type="page"/>
      </w:r>
    </w:p>
    <w:p w14:paraId="39FB78FB" w14:textId="77777777" w:rsidR="00564A58" w:rsidRPr="00564A58" w:rsidRDefault="00564A58" w:rsidP="00564A58">
      <w:pPr>
        <w:pStyle w:val="Heading1"/>
      </w:pPr>
      <w:bookmarkStart w:id="49" w:name="_Toc428520751"/>
      <w:r w:rsidRPr="00564A58">
        <w:lastRenderedPageBreak/>
        <w:t>R</w:t>
      </w:r>
      <w:r>
        <w:t>isk oversight and management</w:t>
      </w:r>
      <w:bookmarkEnd w:id="48"/>
      <w:bookmarkEnd w:id="49"/>
    </w:p>
    <w:p w14:paraId="39FB78FC" w14:textId="77777777" w:rsidR="00F30918" w:rsidRDefault="00F30918" w:rsidP="00F30918">
      <w:r>
        <w:t>The Department of Education and Training is committed to good corporate governance and sound management practices, which includes a structured approach to the management of risk. Our risk management framework and policy is based upon the Australian and New Zealand Standard for Risk Management (AS/NZS ISO 31000:2009) and draws upon the Australian Government’s Better Practice Guide for Risk Management.</w:t>
      </w:r>
    </w:p>
    <w:p w14:paraId="39FB78FD" w14:textId="77777777" w:rsidR="00F30918" w:rsidRDefault="00F30918" w:rsidP="00F30918">
      <w:r>
        <w:t>Our risk management policy and framework describe our approach to managing risks at all levels of the organisation. The framework promotes risk management as an integral component of core business delivery and encourages all employees to manage risk as part of their everyday responsibilities. The framework supports our people in identifying, treating and monitoring risks related to potential threats, harm, losses, failures and opportunities in the development, implementation and management of government programmes. Risk management also forms a core part of our business planning cycle.</w:t>
      </w:r>
    </w:p>
    <w:p w14:paraId="39FB78FE" w14:textId="77777777" w:rsidR="00564A58" w:rsidRDefault="00564A58" w:rsidP="00564A58">
      <w:r>
        <w:t>Our Audit Committee provides independent strategic assurance on the appropriateness of the department’s risk controls and compliance framework.</w:t>
      </w:r>
    </w:p>
    <w:p w14:paraId="39FB78FF" w14:textId="77777777" w:rsidR="00564A58" w:rsidRDefault="00F30918" w:rsidP="00564A58">
      <w:r>
        <w:t>To support our structured approach to risk identification, risk treatment and monitoring, the department has in place its own enterprise-wide risk management system, RiskActive. RiskActive is supported by online learning modules that assist people in gaining a general understanding of the concepts of risk management. In conjunction with these tools, workshops are run with business units to help identify specific risks and assist employees to understand all aspects of risk management.</w:t>
      </w:r>
      <w:r w:rsidR="00564A58">
        <w:br w:type="page"/>
      </w:r>
    </w:p>
    <w:p w14:paraId="39FB7900" w14:textId="77777777" w:rsidR="00564A58" w:rsidRDefault="00564A58" w:rsidP="00564A58">
      <w:pPr>
        <w:pStyle w:val="Heading1"/>
      </w:pPr>
      <w:bookmarkStart w:id="50" w:name="_Toc423963096"/>
      <w:bookmarkStart w:id="51" w:name="_Toc428520752"/>
      <w:r>
        <w:lastRenderedPageBreak/>
        <w:t>Administered programmes</w:t>
      </w:r>
      <w:bookmarkEnd w:id="50"/>
      <w:bookmarkEnd w:id="51"/>
    </w:p>
    <w:p w14:paraId="39FB7901" w14:textId="77777777" w:rsidR="00564A58" w:rsidRPr="002F1B07" w:rsidRDefault="00564A58" w:rsidP="002F1B07">
      <w:pPr>
        <w:spacing w:before="240" w:after="0"/>
        <w:rPr>
          <w:b/>
          <w:sz w:val="28"/>
          <w:szCs w:val="28"/>
        </w:rPr>
      </w:pPr>
      <w:r w:rsidRPr="002F1B07">
        <w:rPr>
          <w:b/>
          <w:sz w:val="28"/>
          <w:szCs w:val="28"/>
        </w:rPr>
        <w:t>Goal 1: Support quality early learning and schooling</w:t>
      </w:r>
    </w:p>
    <w:p w14:paraId="39FB7902" w14:textId="77777777" w:rsidR="00564A58" w:rsidRDefault="00564A58" w:rsidP="00C83847">
      <w:pPr>
        <w:pStyle w:val="ListBullet"/>
        <w:spacing w:after="0"/>
        <w:ind w:left="369" w:hanging="369"/>
      </w:pPr>
      <w:r>
        <w:t>Programme 1.1: Government Schools National Support</w:t>
      </w:r>
    </w:p>
    <w:p w14:paraId="39FB7903" w14:textId="77777777" w:rsidR="00C83847" w:rsidRDefault="00C83847" w:rsidP="00C83847">
      <w:pPr>
        <w:pStyle w:val="ListBullet2"/>
        <w:spacing w:after="0"/>
        <w:ind w:left="766" w:hanging="369"/>
      </w:pPr>
      <w:r>
        <w:t>Government Schools – Recurrent grants</w:t>
      </w:r>
    </w:p>
    <w:p w14:paraId="39FB7904" w14:textId="77777777" w:rsidR="00564A58" w:rsidRDefault="00564A58" w:rsidP="000F4FF4">
      <w:pPr>
        <w:pStyle w:val="ListBullet"/>
        <w:spacing w:after="0"/>
        <w:ind w:left="369" w:hanging="369"/>
        <w:rPr>
          <w:rFonts w:cstheme="minorHAnsi"/>
        </w:rPr>
      </w:pPr>
      <w:r>
        <w:t>Programme</w:t>
      </w:r>
      <w:r>
        <w:rPr>
          <w:rFonts w:cstheme="minorHAnsi"/>
        </w:rPr>
        <w:t xml:space="preserve"> 1.2: Non-Government Schools National Support</w:t>
      </w:r>
    </w:p>
    <w:p w14:paraId="39FB7905" w14:textId="77777777" w:rsidR="00C83847" w:rsidRDefault="00C83847" w:rsidP="00C83847">
      <w:pPr>
        <w:pStyle w:val="ListBullet2"/>
        <w:spacing w:after="0"/>
        <w:ind w:left="766" w:hanging="369"/>
      </w:pPr>
      <w:r>
        <w:t>Non- Government Schools – Recurrent grants</w:t>
      </w:r>
    </w:p>
    <w:p w14:paraId="39FB7906" w14:textId="77777777" w:rsidR="00C83847" w:rsidRDefault="00C83847" w:rsidP="00C83847">
      <w:pPr>
        <w:pStyle w:val="ListBullet2"/>
        <w:spacing w:after="0"/>
        <w:ind w:left="766" w:hanging="369"/>
      </w:pPr>
      <w:r>
        <w:t xml:space="preserve">Non-Government Schools – </w:t>
      </w:r>
      <w:r w:rsidR="007212D9">
        <w:t>Capital</w:t>
      </w:r>
      <w:r>
        <w:t xml:space="preserve"> grants</w:t>
      </w:r>
    </w:p>
    <w:p w14:paraId="39FB7907" w14:textId="77777777" w:rsidR="00564A58" w:rsidRPr="000F4FF4" w:rsidRDefault="00564A58" w:rsidP="000F4FF4">
      <w:pPr>
        <w:pStyle w:val="ListBullet2"/>
        <w:spacing w:after="0"/>
        <w:ind w:left="766" w:hanging="369"/>
        <w:rPr>
          <w:i/>
        </w:rPr>
      </w:pPr>
      <w:r w:rsidRPr="000F4FF4">
        <w:rPr>
          <w:i/>
        </w:rPr>
        <w:t>Short Term Emergency Assistance</w:t>
      </w:r>
    </w:p>
    <w:p w14:paraId="39FB7908" w14:textId="77777777" w:rsidR="00564A58" w:rsidRPr="000F4FF4" w:rsidRDefault="00564A58" w:rsidP="000F4FF4">
      <w:pPr>
        <w:pStyle w:val="ListBullet2"/>
        <w:spacing w:after="0"/>
        <w:ind w:left="766" w:hanging="369"/>
        <w:rPr>
          <w:i/>
        </w:rPr>
      </w:pPr>
      <w:r w:rsidRPr="000F4FF4">
        <w:rPr>
          <w:i/>
        </w:rPr>
        <w:t>Non-Government Representative Bodies</w:t>
      </w:r>
    </w:p>
    <w:p w14:paraId="39FB7909" w14:textId="77777777" w:rsidR="00564A58" w:rsidRDefault="00564A58" w:rsidP="000F4FF4">
      <w:pPr>
        <w:pStyle w:val="ListBullet"/>
        <w:spacing w:after="0"/>
        <w:ind w:left="369" w:hanging="369"/>
        <w:rPr>
          <w:rFonts w:cstheme="minorHAnsi"/>
        </w:rPr>
      </w:pPr>
      <w:r>
        <w:rPr>
          <w:rFonts w:cstheme="minorHAnsi"/>
        </w:rPr>
        <w:t>Programme 1.3: Early Learning and Schools Support</w:t>
      </w:r>
    </w:p>
    <w:p w14:paraId="39FB790A" w14:textId="77777777" w:rsidR="00564A58" w:rsidRPr="000F4FF4" w:rsidRDefault="00564A58" w:rsidP="000F4FF4">
      <w:pPr>
        <w:pStyle w:val="ListBullet2"/>
        <w:spacing w:after="0"/>
        <w:ind w:left="766" w:hanging="369"/>
        <w:rPr>
          <w:i/>
        </w:rPr>
      </w:pPr>
      <w:r w:rsidRPr="000F4FF4">
        <w:rPr>
          <w:i/>
        </w:rPr>
        <w:t>Grants and Awards</w:t>
      </w:r>
    </w:p>
    <w:p w14:paraId="39FB790B" w14:textId="77777777" w:rsidR="00564A58" w:rsidRPr="000F4FF4" w:rsidRDefault="00564A58" w:rsidP="000F4FF4">
      <w:pPr>
        <w:pStyle w:val="ListBullet2"/>
        <w:spacing w:after="0"/>
        <w:ind w:left="766" w:hanging="369"/>
        <w:rPr>
          <w:i/>
        </w:rPr>
      </w:pPr>
      <w:r w:rsidRPr="000F4FF4">
        <w:rPr>
          <w:i/>
        </w:rPr>
        <w:t>Quality Outcomes</w:t>
      </w:r>
    </w:p>
    <w:p w14:paraId="39FB790C" w14:textId="77777777" w:rsidR="00564A58" w:rsidRPr="000F4FF4" w:rsidRDefault="00564A58" w:rsidP="000F4FF4">
      <w:pPr>
        <w:pStyle w:val="ListBullet2"/>
        <w:spacing w:after="0"/>
        <w:ind w:left="766" w:hanging="369"/>
        <w:rPr>
          <w:i/>
        </w:rPr>
      </w:pPr>
      <w:r w:rsidRPr="000F4FF4">
        <w:rPr>
          <w:i/>
        </w:rPr>
        <w:t>Helping Children with Autism</w:t>
      </w:r>
    </w:p>
    <w:p w14:paraId="39FB790D" w14:textId="77777777" w:rsidR="00564A58" w:rsidRPr="000F4FF4" w:rsidRDefault="00564A58" w:rsidP="000F4FF4">
      <w:pPr>
        <w:pStyle w:val="ListBullet2"/>
        <w:spacing w:after="0"/>
        <w:ind w:left="766" w:hanging="369"/>
        <w:rPr>
          <w:i/>
        </w:rPr>
      </w:pPr>
      <w:r w:rsidRPr="000F4FF4">
        <w:rPr>
          <w:i/>
        </w:rPr>
        <w:t>Maths and Science Participation</w:t>
      </w:r>
    </w:p>
    <w:p w14:paraId="39FB790E" w14:textId="77777777" w:rsidR="00564A58" w:rsidRPr="000F4FF4" w:rsidRDefault="00564A58" w:rsidP="000F4FF4">
      <w:pPr>
        <w:pStyle w:val="ListBullet2"/>
        <w:spacing w:after="0"/>
        <w:ind w:left="766" w:hanging="369"/>
        <w:rPr>
          <w:i/>
        </w:rPr>
      </w:pPr>
      <w:r w:rsidRPr="000F4FF4">
        <w:rPr>
          <w:i/>
        </w:rPr>
        <w:t>Teach for Australia</w:t>
      </w:r>
    </w:p>
    <w:p w14:paraId="39FB790F" w14:textId="77777777" w:rsidR="00564A58" w:rsidRPr="000F4FF4" w:rsidRDefault="00564A58" w:rsidP="000F4FF4">
      <w:pPr>
        <w:pStyle w:val="ListBullet2"/>
        <w:spacing w:after="0"/>
        <w:ind w:left="766" w:hanging="369"/>
        <w:rPr>
          <w:i/>
        </w:rPr>
      </w:pPr>
      <w:r w:rsidRPr="000F4FF4">
        <w:rPr>
          <w:i/>
        </w:rPr>
        <w:t>Flexible Literacy Learning for Remote Primary Schools</w:t>
      </w:r>
    </w:p>
    <w:p w14:paraId="39FB7910" w14:textId="77777777" w:rsidR="00564A58" w:rsidRPr="000F4FF4" w:rsidRDefault="00564A58" w:rsidP="000F4FF4">
      <w:pPr>
        <w:pStyle w:val="ListBullet2"/>
        <w:spacing w:after="0"/>
        <w:ind w:left="766" w:hanging="369"/>
        <w:rPr>
          <w:i/>
        </w:rPr>
      </w:pPr>
      <w:r w:rsidRPr="000F4FF4">
        <w:rPr>
          <w:i/>
        </w:rPr>
        <w:t>National Assessment Reform</w:t>
      </w:r>
    </w:p>
    <w:p w14:paraId="39FB7911" w14:textId="77777777" w:rsidR="00564A58" w:rsidRPr="000F4FF4" w:rsidRDefault="00564A58" w:rsidP="000F4FF4">
      <w:pPr>
        <w:pStyle w:val="ListBullet2"/>
        <w:spacing w:after="0"/>
        <w:ind w:left="766" w:hanging="369"/>
        <w:rPr>
          <w:i/>
        </w:rPr>
      </w:pPr>
      <w:r w:rsidRPr="000F4FF4">
        <w:rPr>
          <w:i/>
        </w:rPr>
        <w:t>Science, Technology, Engineering, and Mathematics (STEM)</w:t>
      </w:r>
    </w:p>
    <w:p w14:paraId="39FB7912" w14:textId="77777777" w:rsidR="00564A58" w:rsidRPr="000F4FF4" w:rsidRDefault="00564A58" w:rsidP="000F4FF4">
      <w:pPr>
        <w:pStyle w:val="ListBullet2"/>
        <w:spacing w:after="0"/>
        <w:ind w:left="766" w:hanging="369"/>
        <w:rPr>
          <w:i/>
        </w:rPr>
      </w:pPr>
      <w:r w:rsidRPr="000F4FF4">
        <w:rPr>
          <w:i/>
        </w:rPr>
        <w:t>Improving the Teaching of Foreign Languages</w:t>
      </w:r>
    </w:p>
    <w:p w14:paraId="39FB7913" w14:textId="77777777" w:rsidR="00564A58" w:rsidRPr="000F4FF4" w:rsidRDefault="00564A58" w:rsidP="000F4FF4">
      <w:pPr>
        <w:pStyle w:val="ListBullet2"/>
        <w:spacing w:after="0"/>
        <w:ind w:left="766" w:hanging="369"/>
        <w:rPr>
          <w:i/>
        </w:rPr>
      </w:pPr>
      <w:r w:rsidRPr="000F4FF4">
        <w:rPr>
          <w:i/>
        </w:rPr>
        <w:t>Australian Early Development Census</w:t>
      </w:r>
    </w:p>
    <w:p w14:paraId="39FB7914" w14:textId="77777777" w:rsidR="00564A58" w:rsidRPr="000F4FF4" w:rsidRDefault="00564A58" w:rsidP="000F4FF4">
      <w:pPr>
        <w:pStyle w:val="ListBullet2"/>
        <w:spacing w:after="0"/>
        <w:ind w:left="766" w:hanging="369"/>
        <w:rPr>
          <w:i/>
        </w:rPr>
      </w:pPr>
      <w:r w:rsidRPr="000F4FF4">
        <w:rPr>
          <w:i/>
        </w:rPr>
        <w:t>Universal Access</w:t>
      </w:r>
      <w:r w:rsidR="007212D9">
        <w:rPr>
          <w:i/>
        </w:rPr>
        <w:t xml:space="preserve"> to Preschool – Research Development</w:t>
      </w:r>
    </w:p>
    <w:p w14:paraId="39FB7915" w14:textId="77777777" w:rsidR="00564A58" w:rsidRPr="000F4FF4" w:rsidRDefault="00564A58" w:rsidP="000F4FF4">
      <w:pPr>
        <w:pStyle w:val="ListBullet2"/>
        <w:spacing w:after="0"/>
        <w:ind w:left="766" w:hanging="369"/>
        <w:rPr>
          <w:i/>
        </w:rPr>
      </w:pPr>
      <w:r w:rsidRPr="000F4FF4">
        <w:rPr>
          <w:i/>
        </w:rPr>
        <w:t>Early Learning Languages Australia (ELLA)</w:t>
      </w:r>
    </w:p>
    <w:p w14:paraId="39FB7916" w14:textId="77777777" w:rsidR="00564A58" w:rsidRPr="000F4FF4" w:rsidRDefault="00564A58" w:rsidP="000F4FF4">
      <w:pPr>
        <w:pStyle w:val="ListBullet2"/>
        <w:spacing w:after="0"/>
        <w:ind w:left="766" w:hanging="369"/>
        <w:rPr>
          <w:i/>
        </w:rPr>
      </w:pPr>
      <w:r w:rsidRPr="000F4FF4">
        <w:rPr>
          <w:i/>
        </w:rPr>
        <w:t xml:space="preserve">Australian Government Response to TEMAG </w:t>
      </w:r>
    </w:p>
    <w:p w14:paraId="39FB7917" w14:textId="77777777" w:rsidR="00564A58" w:rsidRDefault="00564A58" w:rsidP="000F4FF4">
      <w:pPr>
        <w:pStyle w:val="ListBullet"/>
        <w:ind w:left="369" w:hanging="369"/>
        <w:rPr>
          <w:rFonts w:cstheme="minorHAnsi"/>
        </w:rPr>
      </w:pPr>
      <w:r>
        <w:rPr>
          <w:rFonts w:cstheme="minorHAnsi"/>
        </w:rPr>
        <w:t>Programme 1.4: Trade Training Centres in Schools</w:t>
      </w:r>
    </w:p>
    <w:p w14:paraId="39FB7918" w14:textId="77777777" w:rsidR="00564A58" w:rsidRDefault="00564A58" w:rsidP="000F4FF4">
      <w:pPr>
        <w:pStyle w:val="ListBullet"/>
        <w:spacing w:after="0"/>
        <w:ind w:left="369" w:hanging="369"/>
        <w:rPr>
          <w:rFonts w:cstheme="minorHAnsi"/>
        </w:rPr>
      </w:pPr>
      <w:r>
        <w:rPr>
          <w:rFonts w:cstheme="minorHAnsi"/>
        </w:rPr>
        <w:t>Programme 1.6: Youth Support</w:t>
      </w:r>
    </w:p>
    <w:p w14:paraId="39FB7919" w14:textId="77777777" w:rsidR="00564A58" w:rsidRPr="000F4FF4" w:rsidRDefault="00564A58" w:rsidP="000F4FF4">
      <w:pPr>
        <w:pStyle w:val="ListBullet2"/>
        <w:spacing w:after="0"/>
        <w:ind w:left="766" w:hanging="369"/>
        <w:rPr>
          <w:i/>
        </w:rPr>
      </w:pPr>
      <w:r w:rsidRPr="000F4FF4">
        <w:rPr>
          <w:i/>
        </w:rPr>
        <w:t>Youth Engagement</w:t>
      </w:r>
    </w:p>
    <w:p w14:paraId="39FB791A" w14:textId="77777777" w:rsidR="00564A58" w:rsidRPr="000F4FF4" w:rsidRDefault="00564A58" w:rsidP="000F4FF4">
      <w:pPr>
        <w:pStyle w:val="ListBullet2"/>
        <w:spacing w:after="0"/>
        <w:ind w:left="766" w:hanging="369"/>
        <w:rPr>
          <w:i/>
        </w:rPr>
      </w:pPr>
      <w:r w:rsidRPr="000F4FF4">
        <w:rPr>
          <w:i/>
        </w:rPr>
        <w:t>National Youth Affairs Research Scheme</w:t>
      </w:r>
    </w:p>
    <w:p w14:paraId="39FB791B" w14:textId="77777777" w:rsidR="00564A58" w:rsidRPr="002F1B07" w:rsidRDefault="00564A58" w:rsidP="002F1B07">
      <w:pPr>
        <w:spacing w:before="240" w:after="0"/>
        <w:rPr>
          <w:b/>
          <w:sz w:val="28"/>
          <w:szCs w:val="28"/>
        </w:rPr>
      </w:pPr>
      <w:r w:rsidRPr="002F1B07">
        <w:rPr>
          <w:b/>
          <w:sz w:val="28"/>
          <w:szCs w:val="28"/>
        </w:rPr>
        <w:t>Goal 2: Excel through knowledge</w:t>
      </w:r>
    </w:p>
    <w:p w14:paraId="39FB791C" w14:textId="77777777" w:rsidR="00564A58" w:rsidRPr="000F4FF4" w:rsidRDefault="00564A58" w:rsidP="000F4FF4">
      <w:pPr>
        <w:pStyle w:val="ListBullet"/>
        <w:ind w:left="369" w:hanging="369"/>
        <w:rPr>
          <w:rFonts w:cstheme="minorHAnsi"/>
        </w:rPr>
      </w:pPr>
      <w:r w:rsidRPr="000F4FF4">
        <w:rPr>
          <w:rFonts w:cstheme="minorHAnsi"/>
        </w:rPr>
        <w:t>Programme 2.1: Commonwealth Grant Scheme</w:t>
      </w:r>
    </w:p>
    <w:p w14:paraId="39FB791D" w14:textId="77777777" w:rsidR="00564A58" w:rsidRPr="000F4FF4" w:rsidRDefault="00564A58" w:rsidP="000F4FF4">
      <w:pPr>
        <w:pStyle w:val="ListBullet"/>
        <w:ind w:left="369" w:hanging="369"/>
        <w:rPr>
          <w:rFonts w:cstheme="minorHAnsi"/>
        </w:rPr>
      </w:pPr>
      <w:r w:rsidRPr="000F4FF4">
        <w:rPr>
          <w:rFonts w:cstheme="minorHAnsi"/>
        </w:rPr>
        <w:t>Programme 2.2 Higher Education Superannuation Scheme</w:t>
      </w:r>
    </w:p>
    <w:p w14:paraId="39FB791E" w14:textId="77777777" w:rsidR="00564A58" w:rsidRDefault="00564A58" w:rsidP="000F4FF4">
      <w:pPr>
        <w:pStyle w:val="ListBullet"/>
        <w:spacing w:after="0"/>
        <w:ind w:left="369" w:hanging="369"/>
      </w:pPr>
      <w:r w:rsidRPr="000F4FF4">
        <w:rPr>
          <w:rFonts w:cstheme="minorHAnsi"/>
        </w:rPr>
        <w:t>Programme</w:t>
      </w:r>
      <w:r>
        <w:t xml:space="preserve"> 2.3: Higher Education Support</w:t>
      </w:r>
    </w:p>
    <w:p w14:paraId="39FB791F" w14:textId="77777777" w:rsidR="00564A58" w:rsidRPr="000F4FF4" w:rsidRDefault="00564A58" w:rsidP="000F4FF4">
      <w:pPr>
        <w:pStyle w:val="ListBullet2"/>
        <w:spacing w:after="0"/>
        <w:ind w:left="766" w:hanging="369"/>
        <w:rPr>
          <w:i/>
        </w:rPr>
      </w:pPr>
      <w:r w:rsidRPr="000F4FF4">
        <w:rPr>
          <w:i/>
        </w:rPr>
        <w:t>Diversity and Structural Reform</w:t>
      </w:r>
    </w:p>
    <w:p w14:paraId="39FB7920" w14:textId="77777777" w:rsidR="00564A58" w:rsidRPr="000F4FF4" w:rsidRDefault="00564A58" w:rsidP="000F4FF4">
      <w:pPr>
        <w:pStyle w:val="ListBullet2"/>
        <w:spacing w:after="0"/>
        <w:ind w:left="766" w:hanging="369"/>
        <w:rPr>
          <w:i/>
        </w:rPr>
      </w:pPr>
      <w:r w:rsidRPr="000F4FF4">
        <w:rPr>
          <w:i/>
        </w:rPr>
        <w:t>Higher Education Participation Programme</w:t>
      </w:r>
    </w:p>
    <w:p w14:paraId="39FB7921" w14:textId="77777777" w:rsidR="00564A58" w:rsidRPr="000F4FF4" w:rsidRDefault="00564A58" w:rsidP="000F4FF4">
      <w:pPr>
        <w:pStyle w:val="ListBullet2"/>
        <w:spacing w:after="0"/>
        <w:ind w:left="766" w:hanging="369"/>
        <w:rPr>
          <w:i/>
        </w:rPr>
      </w:pPr>
      <w:r w:rsidRPr="000F4FF4">
        <w:rPr>
          <w:i/>
        </w:rPr>
        <w:t>National Institutes</w:t>
      </w:r>
    </w:p>
    <w:p w14:paraId="39FB7922" w14:textId="77777777" w:rsidR="00564A58" w:rsidRPr="000F4FF4" w:rsidRDefault="00564A58" w:rsidP="000F4FF4">
      <w:pPr>
        <w:pStyle w:val="ListBullet2"/>
        <w:spacing w:after="0"/>
        <w:ind w:left="766" w:hanging="369"/>
        <w:rPr>
          <w:i/>
        </w:rPr>
      </w:pPr>
      <w:r w:rsidRPr="000F4FF4">
        <w:rPr>
          <w:i/>
        </w:rPr>
        <w:t>Promotion of Excellence in Learning and Teaching in Higher Education</w:t>
      </w:r>
    </w:p>
    <w:p w14:paraId="39FB7923" w14:textId="77777777" w:rsidR="00564A58" w:rsidRPr="000F4FF4" w:rsidRDefault="00564A58" w:rsidP="000F4FF4">
      <w:pPr>
        <w:pStyle w:val="ListBullet2"/>
        <w:spacing w:after="0"/>
        <w:ind w:left="766" w:hanging="369"/>
        <w:rPr>
          <w:i/>
        </w:rPr>
      </w:pPr>
      <w:r w:rsidRPr="000F4FF4">
        <w:rPr>
          <w:i/>
        </w:rPr>
        <w:t>Education Investment Fund (out to 2016-17)</w:t>
      </w:r>
    </w:p>
    <w:p w14:paraId="39FB7924" w14:textId="77777777" w:rsidR="00564A58" w:rsidRPr="000F4FF4" w:rsidRDefault="00564A58" w:rsidP="000F4FF4">
      <w:pPr>
        <w:pStyle w:val="ListBullet2"/>
        <w:spacing w:after="0"/>
        <w:ind w:left="766" w:hanging="369"/>
        <w:rPr>
          <w:i/>
        </w:rPr>
      </w:pPr>
      <w:r w:rsidRPr="000F4FF4">
        <w:rPr>
          <w:i/>
        </w:rPr>
        <w:t>Disability Support Programme</w:t>
      </w:r>
    </w:p>
    <w:p w14:paraId="39FB7925" w14:textId="77777777" w:rsidR="00564A58" w:rsidRPr="000F4FF4" w:rsidRDefault="00564A58" w:rsidP="000F4FF4">
      <w:pPr>
        <w:pStyle w:val="ListBullet2"/>
        <w:spacing w:after="0"/>
        <w:ind w:left="766" w:hanging="369"/>
        <w:rPr>
          <w:i/>
        </w:rPr>
      </w:pPr>
      <w:r w:rsidRPr="000F4FF4">
        <w:rPr>
          <w:i/>
        </w:rPr>
        <w:t>Quality Indicators for Teaching and Learning</w:t>
      </w:r>
    </w:p>
    <w:p w14:paraId="39FB7926" w14:textId="77777777" w:rsidR="00564A58" w:rsidRPr="000F4FF4" w:rsidRDefault="00564A58" w:rsidP="000F4FF4">
      <w:pPr>
        <w:pStyle w:val="ListBullet2"/>
        <w:spacing w:after="0"/>
        <w:ind w:left="766" w:hanging="369"/>
        <w:rPr>
          <w:i/>
        </w:rPr>
      </w:pPr>
      <w:r w:rsidRPr="000F4FF4">
        <w:rPr>
          <w:i/>
        </w:rPr>
        <w:t>Quality Initiatives</w:t>
      </w:r>
    </w:p>
    <w:p w14:paraId="39FB7927" w14:textId="77777777" w:rsidR="00564A58" w:rsidRPr="000F4FF4" w:rsidRDefault="00564A58" w:rsidP="000F4FF4">
      <w:pPr>
        <w:pStyle w:val="ListBullet2"/>
        <w:spacing w:after="0"/>
        <w:ind w:left="766" w:hanging="369"/>
        <w:rPr>
          <w:i/>
        </w:rPr>
      </w:pPr>
      <w:r w:rsidRPr="000F4FF4">
        <w:rPr>
          <w:i/>
        </w:rPr>
        <w:lastRenderedPageBreak/>
        <w:t>Education Investment Fund – Higher Education (2015-16 only)</w:t>
      </w:r>
    </w:p>
    <w:p w14:paraId="39FB7928" w14:textId="77777777" w:rsidR="00564A58" w:rsidRPr="000F4FF4" w:rsidRDefault="00564A58" w:rsidP="000F4FF4">
      <w:pPr>
        <w:pStyle w:val="ListBullet2"/>
        <w:spacing w:after="0"/>
        <w:ind w:left="766" w:hanging="369"/>
        <w:rPr>
          <w:i/>
        </w:rPr>
      </w:pPr>
      <w:r>
        <w:rPr>
          <w:i/>
        </w:rPr>
        <w:t>National Disability Coordination Officer</w:t>
      </w:r>
    </w:p>
    <w:p w14:paraId="39FB7929" w14:textId="77777777" w:rsidR="00564A58" w:rsidRDefault="00564A58" w:rsidP="000F4FF4">
      <w:pPr>
        <w:pStyle w:val="ListBullet"/>
        <w:spacing w:after="0"/>
        <w:ind w:left="369" w:hanging="369"/>
        <w:rPr>
          <w:rFonts w:ascii="Times New Roman" w:hAnsi="Times New Roman" w:cs="Times New Roman"/>
        </w:rPr>
      </w:pPr>
      <w:r>
        <w:t>Programme 2.4: Higher Education Loan Programme</w:t>
      </w:r>
    </w:p>
    <w:p w14:paraId="39FB792A" w14:textId="77777777" w:rsidR="00564A58" w:rsidRDefault="00564A58" w:rsidP="000F4FF4">
      <w:pPr>
        <w:pStyle w:val="ListBullet2"/>
        <w:spacing w:after="0"/>
        <w:ind w:left="766" w:hanging="369"/>
        <w:rPr>
          <w:i/>
        </w:rPr>
      </w:pPr>
      <w:r>
        <w:rPr>
          <w:i/>
        </w:rPr>
        <w:t>HECS-HELP</w:t>
      </w:r>
    </w:p>
    <w:p w14:paraId="39FB792B" w14:textId="77777777" w:rsidR="00564A58" w:rsidRDefault="00564A58" w:rsidP="000F4FF4">
      <w:pPr>
        <w:pStyle w:val="ListBullet2"/>
        <w:spacing w:after="0"/>
        <w:ind w:left="766" w:hanging="369"/>
        <w:rPr>
          <w:i/>
        </w:rPr>
      </w:pPr>
      <w:r>
        <w:rPr>
          <w:i/>
        </w:rPr>
        <w:t>FEE-HELP</w:t>
      </w:r>
    </w:p>
    <w:p w14:paraId="39FB792C" w14:textId="77777777" w:rsidR="00564A58" w:rsidRDefault="00564A58" w:rsidP="000F4FF4">
      <w:pPr>
        <w:pStyle w:val="ListBullet2"/>
        <w:spacing w:after="0"/>
        <w:ind w:left="766" w:hanging="369"/>
        <w:rPr>
          <w:i/>
        </w:rPr>
      </w:pPr>
      <w:r>
        <w:rPr>
          <w:i/>
        </w:rPr>
        <w:t>OS-HELP</w:t>
      </w:r>
    </w:p>
    <w:p w14:paraId="39FB792D" w14:textId="77777777" w:rsidR="00564A58" w:rsidRDefault="00564A58" w:rsidP="000F4FF4">
      <w:pPr>
        <w:pStyle w:val="ListBullet2"/>
        <w:spacing w:after="0"/>
        <w:ind w:left="766" w:hanging="369"/>
        <w:rPr>
          <w:i/>
        </w:rPr>
      </w:pPr>
      <w:r>
        <w:rPr>
          <w:i/>
        </w:rPr>
        <w:t>SA-HELP</w:t>
      </w:r>
    </w:p>
    <w:p w14:paraId="39FB792E" w14:textId="77777777" w:rsidR="00564A58" w:rsidRDefault="00564A58" w:rsidP="000F4FF4">
      <w:pPr>
        <w:pStyle w:val="ListBullet2"/>
        <w:spacing w:after="0"/>
        <w:ind w:left="766" w:hanging="369"/>
        <w:rPr>
          <w:i/>
        </w:rPr>
      </w:pPr>
      <w:r>
        <w:rPr>
          <w:i/>
        </w:rPr>
        <w:t>VET FEE-HELP</w:t>
      </w:r>
    </w:p>
    <w:p w14:paraId="39FB792F" w14:textId="77777777" w:rsidR="00564A58" w:rsidRDefault="00564A58" w:rsidP="000F4FF4">
      <w:pPr>
        <w:pStyle w:val="ListBullet"/>
        <w:spacing w:after="0"/>
        <w:ind w:left="369" w:hanging="369"/>
      </w:pPr>
      <w:r>
        <w:t>Programme 2.5: Investment in Higher Education Research</w:t>
      </w:r>
    </w:p>
    <w:p w14:paraId="39FB7930" w14:textId="77777777" w:rsidR="00564A58" w:rsidRDefault="00564A58" w:rsidP="000F4FF4">
      <w:pPr>
        <w:pStyle w:val="ListBullet2"/>
        <w:spacing w:after="0"/>
        <w:ind w:left="766" w:hanging="369"/>
        <w:rPr>
          <w:i/>
        </w:rPr>
      </w:pPr>
      <w:r>
        <w:rPr>
          <w:i/>
        </w:rPr>
        <w:t>Sustainable Research Excellence initiative</w:t>
      </w:r>
    </w:p>
    <w:p w14:paraId="39FB7931" w14:textId="77777777" w:rsidR="00564A58" w:rsidRDefault="00564A58" w:rsidP="000F4FF4">
      <w:pPr>
        <w:pStyle w:val="ListBullet2"/>
        <w:spacing w:after="0"/>
        <w:ind w:left="766" w:hanging="369"/>
        <w:rPr>
          <w:i/>
        </w:rPr>
      </w:pPr>
      <w:r>
        <w:rPr>
          <w:i/>
        </w:rPr>
        <w:t>Research Infrastructure Block Grants</w:t>
      </w:r>
    </w:p>
    <w:p w14:paraId="39FB7932" w14:textId="77777777" w:rsidR="00564A58" w:rsidRDefault="00564A58" w:rsidP="000F4FF4">
      <w:pPr>
        <w:pStyle w:val="ListBullet2"/>
        <w:spacing w:after="0"/>
        <w:ind w:left="766" w:hanging="369"/>
        <w:rPr>
          <w:i/>
        </w:rPr>
      </w:pPr>
      <w:r>
        <w:rPr>
          <w:i/>
        </w:rPr>
        <w:t>Research Investment Adjustment Scheme</w:t>
      </w:r>
    </w:p>
    <w:p w14:paraId="39FB7933" w14:textId="77777777" w:rsidR="00564A58" w:rsidRDefault="00564A58" w:rsidP="000F4FF4">
      <w:pPr>
        <w:pStyle w:val="ListBullet2"/>
        <w:spacing w:after="0"/>
        <w:ind w:left="766" w:hanging="369"/>
        <w:rPr>
          <w:i/>
        </w:rPr>
      </w:pPr>
      <w:r>
        <w:rPr>
          <w:i/>
        </w:rPr>
        <w:t>Joint Research Engagement Programme</w:t>
      </w:r>
    </w:p>
    <w:p w14:paraId="39FB7934" w14:textId="77777777" w:rsidR="00564A58" w:rsidRDefault="00564A58" w:rsidP="000F4FF4">
      <w:pPr>
        <w:pStyle w:val="ListBullet2"/>
        <w:spacing w:after="0"/>
        <w:ind w:left="766" w:hanging="369"/>
        <w:rPr>
          <w:i/>
        </w:rPr>
      </w:pPr>
      <w:r>
        <w:rPr>
          <w:i/>
        </w:rPr>
        <w:t>Research Training</w:t>
      </w:r>
    </w:p>
    <w:p w14:paraId="39FB7935" w14:textId="77777777" w:rsidR="00564A58" w:rsidRDefault="00564A58" w:rsidP="000F4FF4">
      <w:pPr>
        <w:pStyle w:val="ListBullet2"/>
        <w:spacing w:after="0"/>
        <w:ind w:left="766" w:hanging="369"/>
        <w:rPr>
          <w:i/>
        </w:rPr>
      </w:pPr>
      <w:r>
        <w:rPr>
          <w:i/>
        </w:rPr>
        <w:t>Australian Postgraduate Awards</w:t>
      </w:r>
    </w:p>
    <w:p w14:paraId="39FB7936" w14:textId="77777777" w:rsidR="00564A58" w:rsidRDefault="00564A58" w:rsidP="000F4FF4">
      <w:pPr>
        <w:pStyle w:val="ListBullet2"/>
        <w:spacing w:after="0"/>
        <w:ind w:left="766" w:hanging="369"/>
        <w:rPr>
          <w:i/>
        </w:rPr>
      </w:pPr>
      <w:r>
        <w:rPr>
          <w:i/>
        </w:rPr>
        <w:t xml:space="preserve">International Postgraduate Research </w:t>
      </w:r>
    </w:p>
    <w:p w14:paraId="39FB7937" w14:textId="77777777" w:rsidR="00564A58" w:rsidRDefault="00564A58" w:rsidP="000F4FF4">
      <w:pPr>
        <w:pStyle w:val="ListBullet"/>
        <w:spacing w:after="0"/>
        <w:ind w:left="369" w:hanging="369"/>
      </w:pPr>
      <w:r>
        <w:t>Programme 2.6: Research Capacity</w:t>
      </w:r>
    </w:p>
    <w:p w14:paraId="39FB7938" w14:textId="77777777" w:rsidR="00564A58" w:rsidRDefault="00564A58" w:rsidP="000F4FF4">
      <w:pPr>
        <w:pStyle w:val="ListBullet2"/>
        <w:spacing w:after="0"/>
        <w:ind w:left="766" w:hanging="369"/>
        <w:rPr>
          <w:i/>
        </w:rPr>
      </w:pPr>
      <w:r>
        <w:rPr>
          <w:i/>
        </w:rPr>
        <w:t>Collaborative Research Network Programme (2015-16 only)</w:t>
      </w:r>
    </w:p>
    <w:p w14:paraId="39FB7939" w14:textId="77777777" w:rsidR="00564A58" w:rsidRDefault="00564A58" w:rsidP="000F4FF4">
      <w:pPr>
        <w:pStyle w:val="ListBullet2"/>
        <w:spacing w:after="0"/>
        <w:ind w:left="766" w:hanging="369"/>
        <w:rPr>
          <w:i/>
        </w:rPr>
      </w:pPr>
      <w:r>
        <w:rPr>
          <w:i/>
        </w:rPr>
        <w:t>Commonwealth – ANU Strategic Relationships</w:t>
      </w:r>
    </w:p>
    <w:p w14:paraId="39FB793A" w14:textId="77777777" w:rsidR="00564A58" w:rsidRDefault="00564A58" w:rsidP="000F4FF4">
      <w:pPr>
        <w:pStyle w:val="ListBullet2"/>
        <w:spacing w:after="0"/>
        <w:ind w:left="766" w:hanging="369"/>
        <w:rPr>
          <w:i/>
        </w:rPr>
      </w:pPr>
      <w:r>
        <w:rPr>
          <w:i/>
        </w:rPr>
        <w:t>National Collaborative Research Infrastructure Strategy (out to 2016-17 only)</w:t>
      </w:r>
    </w:p>
    <w:p w14:paraId="39FB793B" w14:textId="77777777" w:rsidR="00564A58" w:rsidRDefault="00564A58" w:rsidP="000F4FF4">
      <w:pPr>
        <w:pStyle w:val="ListBullet2"/>
        <w:spacing w:after="0"/>
        <w:ind w:left="766" w:hanging="369"/>
        <w:rPr>
          <w:i/>
        </w:rPr>
      </w:pPr>
      <w:r>
        <w:rPr>
          <w:i/>
        </w:rPr>
        <w:t>Australia Consensus</w:t>
      </w:r>
    </w:p>
    <w:p w14:paraId="39FB793C" w14:textId="77777777" w:rsidR="00564A58" w:rsidRDefault="00564A58" w:rsidP="000F4FF4">
      <w:pPr>
        <w:pStyle w:val="ListBullet2"/>
        <w:spacing w:after="0"/>
        <w:ind w:left="766" w:hanging="369"/>
        <w:rPr>
          <w:i/>
        </w:rPr>
      </w:pPr>
      <w:r>
        <w:rPr>
          <w:i/>
        </w:rPr>
        <w:t>Higher Education Research Promotion Programme</w:t>
      </w:r>
    </w:p>
    <w:p w14:paraId="39FB793D" w14:textId="77777777" w:rsidR="00564A58" w:rsidRDefault="00564A58" w:rsidP="000F4FF4">
      <w:pPr>
        <w:pStyle w:val="ListBullet"/>
        <w:spacing w:after="0"/>
        <w:ind w:left="369" w:hanging="369"/>
      </w:pPr>
      <w:r>
        <w:t>Programme 2.7: International Education Support</w:t>
      </w:r>
    </w:p>
    <w:p w14:paraId="39FB793E" w14:textId="77777777" w:rsidR="00564A58" w:rsidRDefault="00564A58" w:rsidP="000F4FF4">
      <w:pPr>
        <w:pStyle w:val="ListBullet2"/>
        <w:spacing w:after="0"/>
        <w:ind w:left="766" w:hanging="369"/>
        <w:rPr>
          <w:i/>
        </w:rPr>
      </w:pPr>
      <w:r>
        <w:rPr>
          <w:i/>
        </w:rPr>
        <w:t>Overseas Student Tuition Fund</w:t>
      </w:r>
    </w:p>
    <w:p w14:paraId="39FB793F" w14:textId="77777777" w:rsidR="00564A58" w:rsidRDefault="00564A58" w:rsidP="000F4FF4">
      <w:pPr>
        <w:pStyle w:val="ListBullet2"/>
        <w:spacing w:after="0"/>
        <w:ind w:left="766" w:hanging="369"/>
        <w:rPr>
          <w:i/>
        </w:rPr>
      </w:pPr>
      <w:r>
        <w:rPr>
          <w:i/>
        </w:rPr>
        <w:t>International Education Support</w:t>
      </w:r>
    </w:p>
    <w:p w14:paraId="39FB7940" w14:textId="77777777" w:rsidR="00564A58" w:rsidRPr="002F1B07" w:rsidRDefault="00564A58" w:rsidP="002F1B07">
      <w:pPr>
        <w:spacing w:before="240" w:after="0"/>
        <w:rPr>
          <w:b/>
          <w:sz w:val="28"/>
          <w:szCs w:val="28"/>
        </w:rPr>
      </w:pPr>
      <w:r w:rsidRPr="002F1B07">
        <w:rPr>
          <w:b/>
          <w:sz w:val="28"/>
          <w:szCs w:val="28"/>
        </w:rPr>
        <w:t>Goal 3: Build skills and capability</w:t>
      </w:r>
    </w:p>
    <w:p w14:paraId="39FB7941" w14:textId="77777777" w:rsidR="00564A58" w:rsidRDefault="00564A58" w:rsidP="000F4FF4">
      <w:pPr>
        <w:pStyle w:val="ListBullet"/>
        <w:spacing w:after="0"/>
        <w:ind w:left="369" w:hanging="369"/>
        <w:rPr>
          <w:rFonts w:cstheme="minorHAnsi"/>
        </w:rPr>
      </w:pPr>
      <w:r>
        <w:rPr>
          <w:rFonts w:cstheme="minorHAnsi"/>
        </w:rPr>
        <w:t xml:space="preserve">Programme 2.8: Building </w:t>
      </w:r>
      <w:r w:rsidRPr="000F4FF4">
        <w:t>Skills</w:t>
      </w:r>
      <w:r>
        <w:rPr>
          <w:rFonts w:cstheme="minorHAnsi"/>
        </w:rPr>
        <w:t xml:space="preserve"> and Capability</w:t>
      </w:r>
    </w:p>
    <w:p w14:paraId="39FB7942" w14:textId="77777777" w:rsidR="00564A58" w:rsidRDefault="00564A58" w:rsidP="000F4FF4">
      <w:pPr>
        <w:pStyle w:val="ListBullet2"/>
        <w:spacing w:after="0"/>
        <w:ind w:left="766" w:hanging="369"/>
        <w:rPr>
          <w:i/>
        </w:rPr>
      </w:pPr>
      <w:r>
        <w:rPr>
          <w:i/>
        </w:rPr>
        <w:t>Industry Competitiveness</w:t>
      </w:r>
    </w:p>
    <w:p w14:paraId="39FB7943" w14:textId="77777777" w:rsidR="00564A58" w:rsidRDefault="00564A58" w:rsidP="000F4FF4">
      <w:pPr>
        <w:pStyle w:val="ListBullet2"/>
        <w:spacing w:after="0"/>
        <w:ind w:left="766" w:hanging="369"/>
        <w:rPr>
          <w:i/>
        </w:rPr>
      </w:pPr>
      <w:r>
        <w:rPr>
          <w:i/>
        </w:rPr>
        <w:t>Skills Development</w:t>
      </w:r>
    </w:p>
    <w:p w14:paraId="39FB7944" w14:textId="77777777" w:rsidR="00564A58" w:rsidRDefault="00564A58" w:rsidP="000F4FF4">
      <w:pPr>
        <w:pStyle w:val="ListBullet2"/>
        <w:spacing w:after="0"/>
        <w:ind w:left="766" w:hanging="369"/>
        <w:rPr>
          <w:i/>
        </w:rPr>
      </w:pPr>
      <w:r>
        <w:rPr>
          <w:i/>
        </w:rPr>
        <w:t>Access to Training</w:t>
      </w:r>
    </w:p>
    <w:p w14:paraId="39FB7945" w14:textId="77777777" w:rsidR="00564A58" w:rsidRPr="000F4FF4" w:rsidRDefault="00564A58" w:rsidP="000F4FF4">
      <w:pPr>
        <w:pStyle w:val="ListBullet2"/>
        <w:spacing w:after="0"/>
        <w:ind w:left="766" w:hanging="369"/>
        <w:rPr>
          <w:i/>
        </w:rPr>
      </w:pPr>
      <w:r>
        <w:rPr>
          <w:i/>
        </w:rPr>
        <w:t>Support for the National Training System</w:t>
      </w:r>
    </w:p>
    <w:p w14:paraId="39FB7946" w14:textId="77777777" w:rsidR="00E401E0" w:rsidRDefault="00E401E0">
      <w:pPr>
        <w:rPr>
          <w:rFonts w:ascii="Calibri" w:eastAsiaTheme="majorEastAsia" w:hAnsi="Calibri" w:cstheme="majorBidi"/>
          <w:b/>
          <w:bCs/>
        </w:rPr>
      </w:pPr>
      <w:r>
        <w:br w:type="page"/>
      </w:r>
    </w:p>
    <w:p w14:paraId="39FB7947" w14:textId="77777777" w:rsidR="00E401E0" w:rsidRDefault="00E401E0" w:rsidP="00E401E0">
      <w:pPr>
        <w:pStyle w:val="Heading1"/>
      </w:pPr>
      <w:bookmarkStart w:id="52" w:name="_Toc423963097"/>
      <w:bookmarkStart w:id="53" w:name="_Toc428520753"/>
      <w:r w:rsidRPr="003403EA">
        <w:rPr>
          <w:color w:val="593674" w:themeColor="accent2"/>
        </w:rPr>
        <w:lastRenderedPageBreak/>
        <w:t>F</w:t>
      </w:r>
      <w:r w:rsidR="002F1B07" w:rsidRPr="003403EA">
        <w:rPr>
          <w:color w:val="593674" w:themeColor="accent2"/>
        </w:rPr>
        <w:t>inancials</w:t>
      </w:r>
      <w:bookmarkEnd w:id="52"/>
      <w:bookmarkEnd w:id="53"/>
    </w:p>
    <w:p w14:paraId="39FB7948" w14:textId="77777777" w:rsidR="00E401E0" w:rsidRDefault="00E401E0" w:rsidP="00E401E0">
      <w:pPr>
        <w:spacing w:after="0"/>
        <w:rPr>
          <w:b/>
        </w:rPr>
      </w:pPr>
      <w:r>
        <w:rPr>
          <w:b/>
        </w:rPr>
        <w:t>Goal 1: Support quality early learning and schooling</w:t>
      </w:r>
    </w:p>
    <w:tbl>
      <w:tblPr>
        <w:tblpPr w:leftFromText="180" w:rightFromText="180" w:bottomFromText="200" w:vertAnchor="text"/>
        <w:tblW w:w="9464" w:type="dxa"/>
        <w:tblCellMar>
          <w:left w:w="0" w:type="dxa"/>
          <w:right w:w="0" w:type="dxa"/>
        </w:tblCellMar>
        <w:tblLook w:val="04A0" w:firstRow="1" w:lastRow="0" w:firstColumn="1" w:lastColumn="0" w:noHBand="0" w:noVBand="1"/>
        <w:tblCaption w:val="Goal 1: Support quality early learning and schooling"/>
      </w:tblPr>
      <w:tblGrid>
        <w:gridCol w:w="3794"/>
        <w:gridCol w:w="1134"/>
        <w:gridCol w:w="1134"/>
        <w:gridCol w:w="1134"/>
        <w:gridCol w:w="1134"/>
        <w:gridCol w:w="1134"/>
      </w:tblGrid>
      <w:tr w:rsidR="00E401E0" w:rsidRPr="000F4FF4" w14:paraId="39FB794F" w14:textId="77777777" w:rsidTr="00256430">
        <w:tc>
          <w:tcPr>
            <w:tcW w:w="379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49" w14:textId="77777777" w:rsidR="00E401E0" w:rsidRPr="000F4FF4" w:rsidRDefault="00E401E0">
            <w:pPr>
              <w:spacing w:after="0"/>
              <w:rPr>
                <w:rFonts w:cstheme="minorHAnsi"/>
                <w:b/>
                <w:sz w:val="20"/>
                <w:szCs w:val="20"/>
              </w:rPr>
            </w:pPr>
            <w:r w:rsidRPr="000F4FF4">
              <w:rPr>
                <w:rFonts w:cstheme="minorHAnsi"/>
                <w:b/>
                <w:bCs/>
                <w:sz w:val="20"/>
                <w:szCs w:val="20"/>
              </w:rPr>
              <w:t>Programme</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4A" w14:textId="77777777" w:rsidR="00E401E0" w:rsidRPr="000F4FF4" w:rsidRDefault="00E401E0">
            <w:pPr>
              <w:spacing w:after="0"/>
              <w:jc w:val="right"/>
              <w:rPr>
                <w:rFonts w:cstheme="minorHAnsi"/>
                <w:sz w:val="20"/>
                <w:szCs w:val="20"/>
              </w:rPr>
            </w:pPr>
            <w:r w:rsidRPr="000F4FF4">
              <w:rPr>
                <w:rFonts w:cstheme="minorHAnsi"/>
                <w:b/>
                <w:bCs/>
                <w:sz w:val="20"/>
                <w:szCs w:val="20"/>
              </w:rPr>
              <w:t>2015-16</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4B" w14:textId="77777777" w:rsidR="00E401E0" w:rsidRPr="000F4FF4" w:rsidRDefault="00E401E0">
            <w:pPr>
              <w:spacing w:after="0"/>
              <w:jc w:val="right"/>
              <w:rPr>
                <w:rFonts w:cstheme="minorHAnsi"/>
                <w:sz w:val="20"/>
                <w:szCs w:val="20"/>
              </w:rPr>
            </w:pPr>
            <w:r w:rsidRPr="000F4FF4">
              <w:rPr>
                <w:rFonts w:cstheme="minorHAnsi"/>
                <w:b/>
                <w:bCs/>
                <w:sz w:val="20"/>
                <w:szCs w:val="20"/>
              </w:rPr>
              <w:t>2016-17</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4C" w14:textId="77777777" w:rsidR="00E401E0" w:rsidRPr="000F4FF4" w:rsidRDefault="00E401E0">
            <w:pPr>
              <w:spacing w:after="0"/>
              <w:jc w:val="right"/>
              <w:rPr>
                <w:rFonts w:cstheme="minorHAnsi"/>
                <w:sz w:val="20"/>
                <w:szCs w:val="20"/>
              </w:rPr>
            </w:pPr>
            <w:r w:rsidRPr="000F4FF4">
              <w:rPr>
                <w:rFonts w:cstheme="minorHAnsi"/>
                <w:b/>
                <w:bCs/>
                <w:sz w:val="20"/>
                <w:szCs w:val="20"/>
              </w:rPr>
              <w:t>2017-18</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4D" w14:textId="77777777" w:rsidR="00E401E0" w:rsidRPr="000F4FF4" w:rsidRDefault="00E401E0">
            <w:pPr>
              <w:spacing w:after="0"/>
              <w:jc w:val="right"/>
              <w:rPr>
                <w:rFonts w:cstheme="minorHAnsi"/>
                <w:sz w:val="20"/>
                <w:szCs w:val="20"/>
              </w:rPr>
            </w:pPr>
            <w:r w:rsidRPr="000F4FF4">
              <w:rPr>
                <w:rFonts w:cstheme="minorHAnsi"/>
                <w:b/>
                <w:bCs/>
                <w:sz w:val="20"/>
                <w:szCs w:val="20"/>
              </w:rPr>
              <w:t>2018-19</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4E" w14:textId="77777777" w:rsidR="00E401E0" w:rsidRPr="000F4FF4" w:rsidRDefault="00E401E0">
            <w:pPr>
              <w:spacing w:after="0"/>
              <w:jc w:val="right"/>
              <w:rPr>
                <w:rFonts w:cstheme="minorHAnsi"/>
                <w:b/>
                <w:sz w:val="20"/>
                <w:szCs w:val="20"/>
              </w:rPr>
            </w:pPr>
            <w:r w:rsidRPr="000F4FF4">
              <w:rPr>
                <w:rFonts w:cstheme="minorHAnsi"/>
                <w:b/>
                <w:bCs/>
                <w:sz w:val="20"/>
                <w:szCs w:val="20"/>
              </w:rPr>
              <w:t>Total</w:t>
            </w:r>
            <w:r w:rsidRPr="000F4FF4">
              <w:rPr>
                <w:rFonts w:cstheme="minorHAnsi"/>
                <w:b/>
                <w:bCs/>
                <w:sz w:val="20"/>
                <w:szCs w:val="20"/>
              </w:rPr>
              <w:br/>
              <w:t>$‘000</w:t>
            </w:r>
          </w:p>
        </w:tc>
      </w:tr>
      <w:tr w:rsidR="00E401E0" w:rsidRPr="000F4FF4" w14:paraId="39FB7956" w14:textId="77777777" w:rsidTr="00256430">
        <w:trPr>
          <w:trHeight w:val="208"/>
        </w:trPr>
        <w:tc>
          <w:tcPr>
            <w:tcW w:w="3794" w:type="dxa"/>
            <w:tcBorders>
              <w:top w:val="single" w:sz="4" w:space="0" w:color="auto"/>
              <w:left w:val="nil"/>
              <w:bottom w:val="nil"/>
              <w:right w:val="nil"/>
            </w:tcBorders>
            <w:tcMar>
              <w:top w:w="0" w:type="dxa"/>
              <w:left w:w="108" w:type="dxa"/>
              <w:bottom w:w="0" w:type="dxa"/>
              <w:right w:w="108" w:type="dxa"/>
            </w:tcMar>
            <w:hideMark/>
          </w:tcPr>
          <w:p w14:paraId="39FB7950" w14:textId="77777777" w:rsidR="00E401E0" w:rsidRPr="000F4FF4" w:rsidRDefault="00E401E0">
            <w:pPr>
              <w:spacing w:after="0"/>
              <w:rPr>
                <w:rFonts w:cstheme="minorHAnsi"/>
                <w:sz w:val="20"/>
                <w:szCs w:val="20"/>
              </w:rPr>
            </w:pPr>
            <w:r w:rsidRPr="000F4FF4">
              <w:rPr>
                <w:rFonts w:cstheme="minorHAnsi"/>
                <w:sz w:val="20"/>
                <w:szCs w:val="20"/>
              </w:rPr>
              <w:t>1.1 Government Schools National Support</w:t>
            </w:r>
          </w:p>
        </w:tc>
        <w:tc>
          <w:tcPr>
            <w:tcW w:w="1134" w:type="dxa"/>
            <w:tcBorders>
              <w:top w:val="single" w:sz="4" w:space="0" w:color="auto"/>
              <w:left w:val="nil"/>
              <w:bottom w:val="nil"/>
              <w:right w:val="nil"/>
            </w:tcBorders>
            <w:shd w:val="clear" w:color="auto" w:fill="B2B2B2" w:themeFill="background1" w:themeFillTint="99"/>
            <w:tcMar>
              <w:top w:w="0" w:type="dxa"/>
              <w:left w:w="108" w:type="dxa"/>
              <w:bottom w:w="0" w:type="dxa"/>
              <w:right w:w="108" w:type="dxa"/>
            </w:tcMar>
            <w:vAlign w:val="bottom"/>
            <w:hideMark/>
          </w:tcPr>
          <w:p w14:paraId="39FB7951" w14:textId="77777777" w:rsidR="00E401E0" w:rsidRPr="000F4FF4" w:rsidRDefault="00E401E0">
            <w:pPr>
              <w:spacing w:after="0"/>
              <w:jc w:val="right"/>
              <w:rPr>
                <w:rFonts w:cstheme="minorHAnsi"/>
                <w:sz w:val="20"/>
                <w:szCs w:val="20"/>
                <w:lang w:eastAsia="en-AU"/>
              </w:rPr>
            </w:pPr>
            <w:r w:rsidRPr="000F4FF4">
              <w:rPr>
                <w:rFonts w:cstheme="minorHAnsi"/>
                <w:sz w:val="20"/>
                <w:szCs w:val="20"/>
                <w:lang w:eastAsia="en-AU"/>
              </w:rPr>
              <w:t xml:space="preserve">5,746,174 </w:t>
            </w:r>
          </w:p>
        </w:tc>
        <w:tc>
          <w:tcPr>
            <w:tcW w:w="1134" w:type="dxa"/>
            <w:tcBorders>
              <w:top w:val="single" w:sz="4" w:space="0" w:color="auto"/>
              <w:left w:val="nil"/>
              <w:bottom w:val="nil"/>
              <w:right w:val="nil"/>
            </w:tcBorders>
            <w:tcMar>
              <w:top w:w="0" w:type="dxa"/>
              <w:left w:w="108" w:type="dxa"/>
              <w:bottom w:w="0" w:type="dxa"/>
              <w:right w:w="108" w:type="dxa"/>
            </w:tcMar>
            <w:vAlign w:val="bottom"/>
            <w:hideMark/>
          </w:tcPr>
          <w:p w14:paraId="39FB7952" w14:textId="77777777" w:rsidR="00E401E0" w:rsidRPr="000F4FF4" w:rsidRDefault="00E401E0">
            <w:pPr>
              <w:spacing w:after="0"/>
              <w:jc w:val="right"/>
              <w:rPr>
                <w:rFonts w:cstheme="minorHAnsi"/>
                <w:sz w:val="20"/>
                <w:szCs w:val="20"/>
                <w:lang w:eastAsia="en-AU"/>
              </w:rPr>
            </w:pPr>
            <w:r w:rsidRPr="000F4FF4">
              <w:rPr>
                <w:rFonts w:cstheme="minorHAnsi"/>
                <w:sz w:val="20"/>
                <w:szCs w:val="20"/>
                <w:lang w:eastAsia="en-AU"/>
              </w:rPr>
              <w:t xml:space="preserve">6,358,918 </w:t>
            </w:r>
          </w:p>
        </w:tc>
        <w:tc>
          <w:tcPr>
            <w:tcW w:w="1134" w:type="dxa"/>
            <w:tcBorders>
              <w:top w:val="single" w:sz="4" w:space="0" w:color="auto"/>
              <w:left w:val="nil"/>
              <w:bottom w:val="nil"/>
              <w:right w:val="nil"/>
            </w:tcBorders>
            <w:tcMar>
              <w:top w:w="0" w:type="dxa"/>
              <w:left w:w="108" w:type="dxa"/>
              <w:bottom w:w="0" w:type="dxa"/>
              <w:right w:w="108" w:type="dxa"/>
            </w:tcMar>
            <w:vAlign w:val="bottom"/>
            <w:hideMark/>
          </w:tcPr>
          <w:p w14:paraId="39FB7953" w14:textId="77777777" w:rsidR="00E401E0" w:rsidRPr="000F4FF4" w:rsidRDefault="00E401E0">
            <w:pPr>
              <w:spacing w:after="0"/>
              <w:jc w:val="right"/>
              <w:rPr>
                <w:rFonts w:cstheme="minorHAnsi"/>
                <w:sz w:val="20"/>
                <w:szCs w:val="20"/>
                <w:lang w:eastAsia="en-AU"/>
              </w:rPr>
            </w:pPr>
            <w:r w:rsidRPr="000F4FF4">
              <w:rPr>
                <w:rFonts w:cstheme="minorHAnsi"/>
                <w:sz w:val="20"/>
                <w:szCs w:val="20"/>
                <w:lang w:eastAsia="en-AU"/>
              </w:rPr>
              <w:t xml:space="preserve">6,851,941 </w:t>
            </w:r>
          </w:p>
        </w:tc>
        <w:tc>
          <w:tcPr>
            <w:tcW w:w="1134" w:type="dxa"/>
            <w:tcBorders>
              <w:top w:val="single" w:sz="4" w:space="0" w:color="auto"/>
              <w:left w:val="nil"/>
              <w:bottom w:val="nil"/>
              <w:right w:val="nil"/>
            </w:tcBorders>
            <w:tcMar>
              <w:top w:w="0" w:type="dxa"/>
              <w:left w:w="108" w:type="dxa"/>
              <w:bottom w:w="0" w:type="dxa"/>
              <w:right w:w="108" w:type="dxa"/>
            </w:tcMar>
            <w:vAlign w:val="bottom"/>
            <w:hideMark/>
          </w:tcPr>
          <w:p w14:paraId="39FB7954" w14:textId="77777777" w:rsidR="00E401E0" w:rsidRPr="000F4FF4" w:rsidRDefault="00E401E0">
            <w:pPr>
              <w:spacing w:after="0"/>
              <w:jc w:val="right"/>
              <w:rPr>
                <w:rFonts w:cstheme="minorHAnsi"/>
                <w:sz w:val="20"/>
                <w:szCs w:val="20"/>
                <w:lang w:eastAsia="en-AU"/>
              </w:rPr>
            </w:pPr>
            <w:r w:rsidRPr="000F4FF4">
              <w:rPr>
                <w:rFonts w:cstheme="minorHAnsi"/>
                <w:sz w:val="20"/>
                <w:szCs w:val="20"/>
                <w:lang w:eastAsia="en-AU"/>
              </w:rPr>
              <w:t xml:space="preserve">7,140,104 </w:t>
            </w:r>
          </w:p>
        </w:tc>
        <w:tc>
          <w:tcPr>
            <w:tcW w:w="1134" w:type="dxa"/>
            <w:tcBorders>
              <w:top w:val="single" w:sz="4" w:space="0" w:color="auto"/>
              <w:left w:val="nil"/>
              <w:bottom w:val="nil"/>
              <w:right w:val="nil"/>
            </w:tcBorders>
            <w:tcMar>
              <w:top w:w="0" w:type="dxa"/>
              <w:left w:w="108" w:type="dxa"/>
              <w:bottom w:w="0" w:type="dxa"/>
              <w:right w:w="108" w:type="dxa"/>
            </w:tcMar>
            <w:vAlign w:val="bottom"/>
            <w:hideMark/>
          </w:tcPr>
          <w:p w14:paraId="39FB7955"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26,097,137</w:t>
            </w:r>
          </w:p>
        </w:tc>
      </w:tr>
      <w:tr w:rsidR="00E401E0" w:rsidRPr="000F4FF4" w14:paraId="39FB795D" w14:textId="77777777" w:rsidTr="00256430">
        <w:tc>
          <w:tcPr>
            <w:tcW w:w="3794" w:type="dxa"/>
            <w:tcMar>
              <w:top w:w="0" w:type="dxa"/>
              <w:left w:w="108" w:type="dxa"/>
              <w:bottom w:w="0" w:type="dxa"/>
              <w:right w:w="108" w:type="dxa"/>
            </w:tcMar>
            <w:hideMark/>
          </w:tcPr>
          <w:p w14:paraId="39FB7957" w14:textId="77777777" w:rsidR="00E401E0" w:rsidRPr="000F4FF4" w:rsidRDefault="00E401E0">
            <w:pPr>
              <w:spacing w:after="0"/>
              <w:rPr>
                <w:rFonts w:cstheme="minorHAnsi"/>
                <w:sz w:val="20"/>
                <w:szCs w:val="20"/>
              </w:rPr>
            </w:pPr>
            <w:r w:rsidRPr="000F4FF4">
              <w:rPr>
                <w:rFonts w:cstheme="minorHAnsi"/>
                <w:sz w:val="20"/>
                <w:szCs w:val="20"/>
              </w:rPr>
              <w:t>1.2 Non-Government Schools National Support</w:t>
            </w:r>
          </w:p>
        </w:tc>
        <w:tc>
          <w:tcPr>
            <w:tcW w:w="1134" w:type="dxa"/>
            <w:shd w:val="clear" w:color="auto" w:fill="B2B2B2" w:themeFill="background1" w:themeFillTint="99"/>
            <w:tcMar>
              <w:top w:w="0" w:type="dxa"/>
              <w:left w:w="108" w:type="dxa"/>
              <w:bottom w:w="0" w:type="dxa"/>
              <w:right w:w="108" w:type="dxa"/>
            </w:tcMar>
            <w:vAlign w:val="bottom"/>
            <w:hideMark/>
          </w:tcPr>
          <w:p w14:paraId="39FB7958" w14:textId="77777777" w:rsidR="00E401E0" w:rsidRPr="000F4FF4" w:rsidRDefault="00E401E0">
            <w:pPr>
              <w:spacing w:after="0"/>
              <w:jc w:val="right"/>
              <w:rPr>
                <w:rFonts w:cstheme="minorHAnsi"/>
                <w:sz w:val="20"/>
                <w:szCs w:val="20"/>
              </w:rPr>
            </w:pPr>
            <w:r w:rsidRPr="000F4FF4">
              <w:rPr>
                <w:rFonts w:cstheme="minorHAnsi"/>
                <w:sz w:val="20"/>
                <w:szCs w:val="20"/>
              </w:rPr>
              <w:t xml:space="preserve">9,996,812 </w:t>
            </w:r>
          </w:p>
        </w:tc>
        <w:tc>
          <w:tcPr>
            <w:tcW w:w="1134" w:type="dxa"/>
            <w:tcMar>
              <w:top w:w="0" w:type="dxa"/>
              <w:left w:w="108" w:type="dxa"/>
              <w:bottom w:w="0" w:type="dxa"/>
              <w:right w:w="108" w:type="dxa"/>
            </w:tcMar>
            <w:vAlign w:val="bottom"/>
            <w:hideMark/>
          </w:tcPr>
          <w:p w14:paraId="39FB7959" w14:textId="77777777" w:rsidR="00E401E0" w:rsidRPr="000F4FF4" w:rsidRDefault="00E401E0">
            <w:pPr>
              <w:spacing w:after="0"/>
              <w:jc w:val="right"/>
              <w:rPr>
                <w:rFonts w:cstheme="minorHAnsi"/>
                <w:sz w:val="20"/>
                <w:szCs w:val="20"/>
              </w:rPr>
            </w:pPr>
            <w:r w:rsidRPr="000F4FF4">
              <w:rPr>
                <w:rFonts w:cstheme="minorHAnsi"/>
                <w:sz w:val="20"/>
                <w:szCs w:val="20"/>
              </w:rPr>
              <w:t xml:space="preserve">10,652,948 </w:t>
            </w:r>
          </w:p>
        </w:tc>
        <w:tc>
          <w:tcPr>
            <w:tcW w:w="1134" w:type="dxa"/>
            <w:tcMar>
              <w:top w:w="0" w:type="dxa"/>
              <w:left w:w="108" w:type="dxa"/>
              <w:bottom w:w="0" w:type="dxa"/>
              <w:right w:w="108" w:type="dxa"/>
            </w:tcMar>
            <w:vAlign w:val="bottom"/>
            <w:hideMark/>
          </w:tcPr>
          <w:p w14:paraId="39FB795A" w14:textId="77777777" w:rsidR="00E401E0" w:rsidRPr="000F4FF4" w:rsidRDefault="00E401E0">
            <w:pPr>
              <w:spacing w:after="0"/>
              <w:jc w:val="right"/>
              <w:rPr>
                <w:rFonts w:cstheme="minorHAnsi"/>
                <w:sz w:val="20"/>
                <w:szCs w:val="20"/>
              </w:rPr>
            </w:pPr>
            <w:r w:rsidRPr="000F4FF4">
              <w:rPr>
                <w:rFonts w:cstheme="minorHAnsi"/>
                <w:sz w:val="20"/>
                <w:szCs w:val="20"/>
              </w:rPr>
              <w:t xml:space="preserve">11,178,660 </w:t>
            </w:r>
          </w:p>
        </w:tc>
        <w:tc>
          <w:tcPr>
            <w:tcW w:w="1134" w:type="dxa"/>
            <w:tcMar>
              <w:top w:w="0" w:type="dxa"/>
              <w:left w:w="108" w:type="dxa"/>
              <w:bottom w:w="0" w:type="dxa"/>
              <w:right w:w="108" w:type="dxa"/>
            </w:tcMar>
            <w:vAlign w:val="bottom"/>
            <w:hideMark/>
          </w:tcPr>
          <w:p w14:paraId="39FB795B" w14:textId="77777777" w:rsidR="00E401E0" w:rsidRPr="000F4FF4" w:rsidRDefault="00E401E0">
            <w:pPr>
              <w:spacing w:after="0"/>
              <w:jc w:val="right"/>
              <w:rPr>
                <w:rFonts w:cstheme="minorHAnsi"/>
                <w:sz w:val="20"/>
                <w:szCs w:val="20"/>
              </w:rPr>
            </w:pPr>
            <w:r w:rsidRPr="000F4FF4">
              <w:rPr>
                <w:rFonts w:cstheme="minorHAnsi"/>
                <w:sz w:val="20"/>
                <w:szCs w:val="20"/>
              </w:rPr>
              <w:t xml:space="preserve">11,619,991 </w:t>
            </w:r>
          </w:p>
        </w:tc>
        <w:tc>
          <w:tcPr>
            <w:tcW w:w="1134" w:type="dxa"/>
            <w:tcMar>
              <w:top w:w="0" w:type="dxa"/>
              <w:left w:w="108" w:type="dxa"/>
              <w:bottom w:w="0" w:type="dxa"/>
              <w:right w:w="108" w:type="dxa"/>
            </w:tcMar>
            <w:vAlign w:val="bottom"/>
            <w:hideMark/>
          </w:tcPr>
          <w:p w14:paraId="39FB795C"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43,448,411</w:t>
            </w:r>
          </w:p>
        </w:tc>
      </w:tr>
      <w:tr w:rsidR="00E401E0" w:rsidRPr="000F4FF4" w14:paraId="39FB7964" w14:textId="77777777" w:rsidTr="00256430">
        <w:tc>
          <w:tcPr>
            <w:tcW w:w="3794" w:type="dxa"/>
            <w:tcMar>
              <w:top w:w="0" w:type="dxa"/>
              <w:left w:w="108" w:type="dxa"/>
              <w:bottom w:w="0" w:type="dxa"/>
              <w:right w:w="108" w:type="dxa"/>
            </w:tcMar>
            <w:hideMark/>
          </w:tcPr>
          <w:p w14:paraId="39FB795E" w14:textId="77777777" w:rsidR="00E401E0" w:rsidRPr="000F4FF4" w:rsidRDefault="00E401E0">
            <w:pPr>
              <w:spacing w:after="0"/>
              <w:rPr>
                <w:rFonts w:cstheme="minorHAnsi"/>
                <w:sz w:val="20"/>
                <w:szCs w:val="20"/>
              </w:rPr>
            </w:pPr>
            <w:r w:rsidRPr="000F4FF4">
              <w:rPr>
                <w:rFonts w:cstheme="minorHAnsi"/>
                <w:sz w:val="20"/>
                <w:szCs w:val="20"/>
              </w:rPr>
              <w:t>1.3 Early Learning and Schools Support</w:t>
            </w:r>
          </w:p>
        </w:tc>
        <w:tc>
          <w:tcPr>
            <w:tcW w:w="1134" w:type="dxa"/>
            <w:shd w:val="clear" w:color="auto" w:fill="B2B2B2" w:themeFill="background1" w:themeFillTint="99"/>
            <w:tcMar>
              <w:top w:w="0" w:type="dxa"/>
              <w:left w:w="108" w:type="dxa"/>
              <w:bottom w:w="0" w:type="dxa"/>
              <w:right w:w="108" w:type="dxa"/>
            </w:tcMar>
            <w:vAlign w:val="bottom"/>
            <w:hideMark/>
          </w:tcPr>
          <w:p w14:paraId="39FB795F"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99,633</w:t>
            </w:r>
          </w:p>
        </w:tc>
        <w:tc>
          <w:tcPr>
            <w:tcW w:w="1134" w:type="dxa"/>
            <w:tcMar>
              <w:top w:w="0" w:type="dxa"/>
              <w:left w:w="108" w:type="dxa"/>
              <w:bottom w:w="0" w:type="dxa"/>
              <w:right w:w="108" w:type="dxa"/>
            </w:tcMar>
            <w:vAlign w:val="bottom"/>
            <w:hideMark/>
          </w:tcPr>
          <w:p w14:paraId="39FB7960"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77,676</w:t>
            </w:r>
          </w:p>
        </w:tc>
        <w:tc>
          <w:tcPr>
            <w:tcW w:w="1134" w:type="dxa"/>
            <w:tcMar>
              <w:top w:w="0" w:type="dxa"/>
              <w:left w:w="108" w:type="dxa"/>
              <w:bottom w:w="0" w:type="dxa"/>
              <w:right w:w="108" w:type="dxa"/>
            </w:tcMar>
            <w:vAlign w:val="bottom"/>
            <w:hideMark/>
          </w:tcPr>
          <w:p w14:paraId="39FB7961"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64,082</w:t>
            </w:r>
          </w:p>
        </w:tc>
        <w:tc>
          <w:tcPr>
            <w:tcW w:w="1134" w:type="dxa"/>
            <w:tcMar>
              <w:top w:w="0" w:type="dxa"/>
              <w:left w:w="108" w:type="dxa"/>
              <w:bottom w:w="0" w:type="dxa"/>
              <w:right w:w="108" w:type="dxa"/>
            </w:tcMar>
            <w:vAlign w:val="bottom"/>
            <w:hideMark/>
          </w:tcPr>
          <w:p w14:paraId="39FB7962"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58,743</w:t>
            </w:r>
          </w:p>
        </w:tc>
        <w:tc>
          <w:tcPr>
            <w:tcW w:w="1134" w:type="dxa"/>
            <w:tcMar>
              <w:top w:w="0" w:type="dxa"/>
              <w:left w:w="108" w:type="dxa"/>
              <w:bottom w:w="0" w:type="dxa"/>
              <w:right w:w="108" w:type="dxa"/>
            </w:tcMar>
            <w:vAlign w:val="bottom"/>
            <w:hideMark/>
          </w:tcPr>
          <w:p w14:paraId="39FB7963" w14:textId="77777777" w:rsidR="00E401E0" w:rsidRPr="000F4FF4" w:rsidRDefault="00E401E0">
            <w:pPr>
              <w:spacing w:after="0"/>
              <w:jc w:val="right"/>
              <w:rPr>
                <w:rFonts w:cstheme="minorHAnsi"/>
                <w:b/>
                <w:color w:val="000000"/>
                <w:sz w:val="20"/>
                <w:szCs w:val="20"/>
              </w:rPr>
            </w:pPr>
            <w:r w:rsidRPr="000F4FF4">
              <w:rPr>
                <w:rFonts w:cstheme="minorHAnsi"/>
                <w:b/>
                <w:color w:val="000000"/>
                <w:sz w:val="20"/>
                <w:szCs w:val="20"/>
              </w:rPr>
              <w:t>300,134</w:t>
            </w:r>
          </w:p>
        </w:tc>
      </w:tr>
      <w:tr w:rsidR="00E401E0" w:rsidRPr="000F4FF4" w14:paraId="39FB796B" w14:textId="77777777" w:rsidTr="00256430">
        <w:tc>
          <w:tcPr>
            <w:tcW w:w="3794" w:type="dxa"/>
            <w:tcMar>
              <w:top w:w="0" w:type="dxa"/>
              <w:left w:w="108" w:type="dxa"/>
              <w:bottom w:w="0" w:type="dxa"/>
              <w:right w:w="108" w:type="dxa"/>
            </w:tcMar>
            <w:hideMark/>
          </w:tcPr>
          <w:p w14:paraId="39FB7965" w14:textId="77777777" w:rsidR="00E401E0" w:rsidRPr="000F4FF4" w:rsidRDefault="00E401E0">
            <w:pPr>
              <w:spacing w:after="0"/>
              <w:rPr>
                <w:rFonts w:cstheme="minorHAnsi"/>
                <w:sz w:val="20"/>
                <w:szCs w:val="20"/>
              </w:rPr>
            </w:pPr>
            <w:r w:rsidRPr="000F4FF4">
              <w:rPr>
                <w:rFonts w:cstheme="minorHAnsi"/>
                <w:sz w:val="20"/>
                <w:szCs w:val="20"/>
              </w:rPr>
              <w:t>1.4 Trade Training Centres in Schools</w:t>
            </w:r>
          </w:p>
        </w:tc>
        <w:tc>
          <w:tcPr>
            <w:tcW w:w="1134" w:type="dxa"/>
            <w:shd w:val="clear" w:color="auto" w:fill="B2B2B2" w:themeFill="background1" w:themeFillTint="99"/>
            <w:tcMar>
              <w:top w:w="0" w:type="dxa"/>
              <w:left w:w="108" w:type="dxa"/>
              <w:bottom w:w="0" w:type="dxa"/>
              <w:right w:w="108" w:type="dxa"/>
            </w:tcMar>
            <w:vAlign w:val="bottom"/>
            <w:hideMark/>
          </w:tcPr>
          <w:p w14:paraId="39FB7966" w14:textId="77777777" w:rsidR="00E401E0" w:rsidRPr="000F4FF4" w:rsidRDefault="00E401E0">
            <w:pPr>
              <w:spacing w:after="0"/>
              <w:jc w:val="right"/>
              <w:rPr>
                <w:rFonts w:cstheme="minorHAnsi"/>
                <w:sz w:val="20"/>
                <w:szCs w:val="20"/>
              </w:rPr>
            </w:pPr>
            <w:r w:rsidRPr="000F4FF4">
              <w:rPr>
                <w:rFonts w:cstheme="minorHAnsi"/>
                <w:sz w:val="20"/>
                <w:szCs w:val="20"/>
              </w:rPr>
              <w:t xml:space="preserve">1,005 </w:t>
            </w:r>
          </w:p>
        </w:tc>
        <w:tc>
          <w:tcPr>
            <w:tcW w:w="1134" w:type="dxa"/>
            <w:tcMar>
              <w:top w:w="0" w:type="dxa"/>
              <w:left w:w="108" w:type="dxa"/>
              <w:bottom w:w="0" w:type="dxa"/>
              <w:right w:w="108" w:type="dxa"/>
            </w:tcMar>
            <w:vAlign w:val="bottom"/>
            <w:hideMark/>
          </w:tcPr>
          <w:p w14:paraId="39FB7967" w14:textId="77777777" w:rsidR="00E401E0" w:rsidRPr="000F4FF4" w:rsidRDefault="00E401E0">
            <w:pPr>
              <w:spacing w:after="0"/>
              <w:jc w:val="right"/>
              <w:rPr>
                <w:rFonts w:cstheme="minorHAnsi"/>
                <w:sz w:val="20"/>
                <w:szCs w:val="20"/>
              </w:rPr>
            </w:pPr>
            <w:r w:rsidRPr="000F4FF4">
              <w:rPr>
                <w:rFonts w:cstheme="minorHAnsi"/>
                <w:sz w:val="20"/>
                <w:szCs w:val="20"/>
              </w:rPr>
              <w:t xml:space="preserve">- </w:t>
            </w:r>
          </w:p>
        </w:tc>
        <w:tc>
          <w:tcPr>
            <w:tcW w:w="1134" w:type="dxa"/>
            <w:tcMar>
              <w:top w:w="0" w:type="dxa"/>
              <w:left w:w="108" w:type="dxa"/>
              <w:bottom w:w="0" w:type="dxa"/>
              <w:right w:w="108" w:type="dxa"/>
            </w:tcMar>
            <w:vAlign w:val="bottom"/>
            <w:hideMark/>
          </w:tcPr>
          <w:p w14:paraId="39FB7968" w14:textId="77777777" w:rsidR="00E401E0" w:rsidRPr="000F4FF4" w:rsidRDefault="00E401E0">
            <w:pPr>
              <w:spacing w:after="0"/>
              <w:jc w:val="right"/>
              <w:rPr>
                <w:rFonts w:cstheme="minorHAnsi"/>
                <w:sz w:val="20"/>
                <w:szCs w:val="20"/>
              </w:rPr>
            </w:pPr>
            <w:r w:rsidRPr="000F4FF4">
              <w:rPr>
                <w:rFonts w:cstheme="minorHAnsi"/>
                <w:sz w:val="20"/>
                <w:szCs w:val="20"/>
              </w:rPr>
              <w:t xml:space="preserve">- </w:t>
            </w:r>
          </w:p>
        </w:tc>
        <w:tc>
          <w:tcPr>
            <w:tcW w:w="1134" w:type="dxa"/>
            <w:tcMar>
              <w:top w:w="0" w:type="dxa"/>
              <w:left w:w="108" w:type="dxa"/>
              <w:bottom w:w="0" w:type="dxa"/>
              <w:right w:w="108" w:type="dxa"/>
            </w:tcMar>
            <w:vAlign w:val="bottom"/>
            <w:hideMark/>
          </w:tcPr>
          <w:p w14:paraId="39FB7969" w14:textId="77777777" w:rsidR="00E401E0" w:rsidRPr="000F4FF4" w:rsidRDefault="00E401E0">
            <w:pPr>
              <w:spacing w:after="0"/>
              <w:jc w:val="right"/>
              <w:rPr>
                <w:rFonts w:cstheme="minorHAnsi"/>
                <w:sz w:val="20"/>
                <w:szCs w:val="20"/>
              </w:rPr>
            </w:pPr>
            <w:r w:rsidRPr="000F4FF4">
              <w:rPr>
                <w:rFonts w:cstheme="minorHAnsi"/>
                <w:sz w:val="20"/>
                <w:szCs w:val="20"/>
              </w:rPr>
              <w:t xml:space="preserve">- </w:t>
            </w:r>
          </w:p>
        </w:tc>
        <w:tc>
          <w:tcPr>
            <w:tcW w:w="1134" w:type="dxa"/>
            <w:tcMar>
              <w:top w:w="0" w:type="dxa"/>
              <w:left w:w="108" w:type="dxa"/>
              <w:bottom w:w="0" w:type="dxa"/>
              <w:right w:w="108" w:type="dxa"/>
            </w:tcMar>
            <w:vAlign w:val="bottom"/>
            <w:hideMark/>
          </w:tcPr>
          <w:p w14:paraId="39FB796A"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1,005</w:t>
            </w:r>
          </w:p>
        </w:tc>
      </w:tr>
      <w:tr w:rsidR="00E401E0" w:rsidRPr="000F4FF4" w14:paraId="39FB7972" w14:textId="77777777" w:rsidTr="00256430">
        <w:tc>
          <w:tcPr>
            <w:tcW w:w="3794" w:type="dxa"/>
            <w:tcMar>
              <w:top w:w="0" w:type="dxa"/>
              <w:left w:w="108" w:type="dxa"/>
              <w:bottom w:w="0" w:type="dxa"/>
              <w:right w:w="108" w:type="dxa"/>
            </w:tcMar>
            <w:hideMark/>
          </w:tcPr>
          <w:p w14:paraId="39FB796C" w14:textId="77777777" w:rsidR="00E401E0" w:rsidRPr="000F4FF4" w:rsidRDefault="00E401E0">
            <w:pPr>
              <w:spacing w:after="0"/>
              <w:rPr>
                <w:rFonts w:cstheme="minorHAnsi"/>
                <w:sz w:val="20"/>
                <w:szCs w:val="20"/>
              </w:rPr>
            </w:pPr>
            <w:r w:rsidRPr="000F4FF4">
              <w:rPr>
                <w:rFonts w:cstheme="minorHAnsi"/>
                <w:sz w:val="20"/>
                <w:szCs w:val="20"/>
              </w:rPr>
              <w:t>1.5 More Support for Students with Disabilities*</w:t>
            </w:r>
          </w:p>
        </w:tc>
        <w:tc>
          <w:tcPr>
            <w:tcW w:w="1134" w:type="dxa"/>
            <w:shd w:val="clear" w:color="auto" w:fill="B2B2B2" w:themeFill="background1" w:themeFillTint="99"/>
            <w:tcMar>
              <w:top w:w="0" w:type="dxa"/>
              <w:left w:w="108" w:type="dxa"/>
              <w:bottom w:w="0" w:type="dxa"/>
              <w:right w:w="108" w:type="dxa"/>
            </w:tcMar>
            <w:vAlign w:val="bottom"/>
            <w:hideMark/>
          </w:tcPr>
          <w:p w14:paraId="39FB796D" w14:textId="77777777" w:rsidR="00E401E0" w:rsidRPr="000F4FF4" w:rsidRDefault="00E401E0">
            <w:pPr>
              <w:spacing w:after="0"/>
              <w:jc w:val="right"/>
              <w:rPr>
                <w:rFonts w:cstheme="minorHAnsi"/>
                <w:sz w:val="20"/>
                <w:szCs w:val="20"/>
              </w:rPr>
            </w:pPr>
            <w:r w:rsidRPr="000F4FF4">
              <w:rPr>
                <w:rFonts w:cstheme="minorHAnsi"/>
                <w:sz w:val="20"/>
                <w:szCs w:val="20"/>
              </w:rPr>
              <w:t xml:space="preserve">- </w:t>
            </w:r>
          </w:p>
        </w:tc>
        <w:tc>
          <w:tcPr>
            <w:tcW w:w="1134" w:type="dxa"/>
            <w:tcMar>
              <w:top w:w="0" w:type="dxa"/>
              <w:left w:w="108" w:type="dxa"/>
              <w:bottom w:w="0" w:type="dxa"/>
              <w:right w:w="108" w:type="dxa"/>
            </w:tcMar>
            <w:vAlign w:val="bottom"/>
            <w:hideMark/>
          </w:tcPr>
          <w:p w14:paraId="39FB796E" w14:textId="77777777" w:rsidR="00E401E0" w:rsidRPr="000F4FF4" w:rsidRDefault="00E401E0">
            <w:pPr>
              <w:spacing w:after="0"/>
              <w:jc w:val="right"/>
              <w:rPr>
                <w:rFonts w:cstheme="minorHAnsi"/>
                <w:sz w:val="20"/>
                <w:szCs w:val="20"/>
              </w:rPr>
            </w:pPr>
            <w:r w:rsidRPr="000F4FF4">
              <w:rPr>
                <w:rFonts w:cstheme="minorHAnsi"/>
                <w:sz w:val="20"/>
                <w:szCs w:val="20"/>
              </w:rPr>
              <w:t xml:space="preserve">- </w:t>
            </w:r>
          </w:p>
        </w:tc>
        <w:tc>
          <w:tcPr>
            <w:tcW w:w="1134" w:type="dxa"/>
            <w:tcMar>
              <w:top w:w="0" w:type="dxa"/>
              <w:left w:w="108" w:type="dxa"/>
              <w:bottom w:w="0" w:type="dxa"/>
              <w:right w:w="108" w:type="dxa"/>
            </w:tcMar>
            <w:vAlign w:val="bottom"/>
            <w:hideMark/>
          </w:tcPr>
          <w:p w14:paraId="39FB796F" w14:textId="77777777" w:rsidR="00E401E0" w:rsidRPr="000F4FF4" w:rsidRDefault="00E401E0">
            <w:pPr>
              <w:spacing w:after="0"/>
              <w:jc w:val="right"/>
              <w:rPr>
                <w:rFonts w:cstheme="minorHAnsi"/>
                <w:sz w:val="20"/>
                <w:szCs w:val="20"/>
              </w:rPr>
            </w:pPr>
            <w:r w:rsidRPr="000F4FF4">
              <w:rPr>
                <w:rFonts w:cstheme="minorHAnsi"/>
                <w:sz w:val="20"/>
                <w:szCs w:val="20"/>
              </w:rPr>
              <w:t xml:space="preserve">- </w:t>
            </w:r>
          </w:p>
        </w:tc>
        <w:tc>
          <w:tcPr>
            <w:tcW w:w="1134" w:type="dxa"/>
            <w:tcMar>
              <w:top w:w="0" w:type="dxa"/>
              <w:left w:w="108" w:type="dxa"/>
              <w:bottom w:w="0" w:type="dxa"/>
              <w:right w:w="108" w:type="dxa"/>
            </w:tcMar>
            <w:vAlign w:val="bottom"/>
            <w:hideMark/>
          </w:tcPr>
          <w:p w14:paraId="39FB7970" w14:textId="77777777" w:rsidR="00E401E0" w:rsidRPr="000F4FF4" w:rsidRDefault="00E401E0">
            <w:pPr>
              <w:spacing w:after="0"/>
              <w:jc w:val="right"/>
              <w:rPr>
                <w:rFonts w:cstheme="minorHAnsi"/>
                <w:sz w:val="20"/>
                <w:szCs w:val="20"/>
              </w:rPr>
            </w:pPr>
            <w:r w:rsidRPr="000F4FF4">
              <w:rPr>
                <w:rFonts w:cstheme="minorHAnsi"/>
                <w:sz w:val="20"/>
                <w:szCs w:val="20"/>
              </w:rPr>
              <w:t xml:space="preserve">- </w:t>
            </w:r>
          </w:p>
        </w:tc>
        <w:tc>
          <w:tcPr>
            <w:tcW w:w="1134" w:type="dxa"/>
            <w:tcMar>
              <w:top w:w="0" w:type="dxa"/>
              <w:left w:w="108" w:type="dxa"/>
              <w:bottom w:w="0" w:type="dxa"/>
              <w:right w:w="108" w:type="dxa"/>
            </w:tcMar>
            <w:vAlign w:val="bottom"/>
            <w:hideMark/>
          </w:tcPr>
          <w:p w14:paraId="39FB7971" w14:textId="77777777" w:rsidR="00E401E0" w:rsidRPr="000F4FF4" w:rsidRDefault="00E401E0">
            <w:pPr>
              <w:spacing w:after="0"/>
              <w:jc w:val="right"/>
              <w:rPr>
                <w:rFonts w:cstheme="minorHAnsi"/>
                <w:b/>
                <w:bCs/>
                <w:color w:val="000000"/>
                <w:sz w:val="20"/>
                <w:szCs w:val="20"/>
              </w:rPr>
            </w:pPr>
            <w:r w:rsidRPr="000F4FF4">
              <w:rPr>
                <w:rFonts w:cstheme="minorHAnsi"/>
                <w:b/>
                <w:sz w:val="20"/>
                <w:szCs w:val="20"/>
              </w:rPr>
              <w:t>-</w:t>
            </w:r>
          </w:p>
        </w:tc>
      </w:tr>
      <w:tr w:rsidR="00E401E0" w:rsidRPr="000F4FF4" w14:paraId="39FB7979" w14:textId="77777777" w:rsidTr="00256430">
        <w:tc>
          <w:tcPr>
            <w:tcW w:w="3794" w:type="dxa"/>
            <w:tcMar>
              <w:top w:w="0" w:type="dxa"/>
              <w:left w:w="108" w:type="dxa"/>
              <w:bottom w:w="0" w:type="dxa"/>
              <w:right w:w="108" w:type="dxa"/>
            </w:tcMar>
            <w:hideMark/>
          </w:tcPr>
          <w:p w14:paraId="39FB7973" w14:textId="77777777" w:rsidR="00E401E0" w:rsidRPr="000F4FF4" w:rsidRDefault="00E401E0">
            <w:pPr>
              <w:spacing w:after="0"/>
              <w:rPr>
                <w:rFonts w:cstheme="minorHAnsi"/>
                <w:sz w:val="20"/>
                <w:szCs w:val="20"/>
              </w:rPr>
            </w:pPr>
            <w:r w:rsidRPr="000F4FF4">
              <w:rPr>
                <w:rFonts w:cstheme="minorHAnsi"/>
                <w:sz w:val="20"/>
                <w:szCs w:val="20"/>
              </w:rPr>
              <w:t>1.6 Youth Support</w:t>
            </w:r>
          </w:p>
        </w:tc>
        <w:tc>
          <w:tcPr>
            <w:tcW w:w="1134" w:type="dxa"/>
            <w:tcBorders>
              <w:top w:val="nil"/>
              <w:left w:val="nil"/>
              <w:bottom w:val="single" w:sz="4" w:space="0" w:color="auto"/>
              <w:right w:val="nil"/>
            </w:tcBorders>
            <w:shd w:val="clear" w:color="auto" w:fill="B2B2B2" w:themeFill="background1" w:themeFillTint="99"/>
            <w:tcMar>
              <w:top w:w="0" w:type="dxa"/>
              <w:left w:w="108" w:type="dxa"/>
              <w:bottom w:w="0" w:type="dxa"/>
              <w:right w:w="108" w:type="dxa"/>
            </w:tcMar>
            <w:vAlign w:val="bottom"/>
            <w:hideMark/>
          </w:tcPr>
          <w:p w14:paraId="39FB7974" w14:textId="77777777" w:rsidR="00E401E0" w:rsidRPr="000F4FF4" w:rsidRDefault="00E401E0">
            <w:pPr>
              <w:spacing w:after="0"/>
              <w:jc w:val="right"/>
              <w:rPr>
                <w:rFonts w:cstheme="minorHAnsi"/>
                <w:sz w:val="20"/>
                <w:szCs w:val="20"/>
              </w:rPr>
            </w:pPr>
            <w:r w:rsidRPr="000F4FF4">
              <w:rPr>
                <w:rFonts w:cstheme="minorHAnsi"/>
                <w:sz w:val="20"/>
                <w:szCs w:val="20"/>
              </w:rPr>
              <w:t xml:space="preserve">774 </w:t>
            </w:r>
          </w:p>
        </w:tc>
        <w:tc>
          <w:tcPr>
            <w:tcW w:w="1134" w:type="dxa"/>
            <w:tcBorders>
              <w:top w:val="nil"/>
              <w:left w:val="nil"/>
              <w:bottom w:val="single" w:sz="4" w:space="0" w:color="auto"/>
              <w:right w:val="nil"/>
            </w:tcBorders>
            <w:tcMar>
              <w:top w:w="0" w:type="dxa"/>
              <w:left w:w="108" w:type="dxa"/>
              <w:bottom w:w="0" w:type="dxa"/>
              <w:right w:w="108" w:type="dxa"/>
            </w:tcMar>
            <w:vAlign w:val="bottom"/>
            <w:hideMark/>
          </w:tcPr>
          <w:p w14:paraId="39FB7975" w14:textId="77777777" w:rsidR="00E401E0" w:rsidRPr="000F4FF4" w:rsidRDefault="00E401E0">
            <w:pPr>
              <w:spacing w:after="0"/>
              <w:jc w:val="right"/>
              <w:rPr>
                <w:rFonts w:cstheme="minorHAnsi"/>
                <w:sz w:val="20"/>
                <w:szCs w:val="20"/>
              </w:rPr>
            </w:pPr>
            <w:r w:rsidRPr="000F4FF4">
              <w:rPr>
                <w:rFonts w:cstheme="minorHAnsi"/>
                <w:sz w:val="20"/>
                <w:szCs w:val="20"/>
              </w:rPr>
              <w:t xml:space="preserve">775 </w:t>
            </w:r>
          </w:p>
        </w:tc>
        <w:tc>
          <w:tcPr>
            <w:tcW w:w="1134" w:type="dxa"/>
            <w:tcBorders>
              <w:top w:val="nil"/>
              <w:left w:val="nil"/>
              <w:bottom w:val="single" w:sz="4" w:space="0" w:color="auto"/>
              <w:right w:val="nil"/>
            </w:tcBorders>
            <w:tcMar>
              <w:top w:w="0" w:type="dxa"/>
              <w:left w:w="108" w:type="dxa"/>
              <w:bottom w:w="0" w:type="dxa"/>
              <w:right w:w="108" w:type="dxa"/>
            </w:tcMar>
            <w:vAlign w:val="bottom"/>
            <w:hideMark/>
          </w:tcPr>
          <w:p w14:paraId="39FB7976" w14:textId="77777777" w:rsidR="00E401E0" w:rsidRPr="000F4FF4" w:rsidRDefault="00E401E0">
            <w:pPr>
              <w:spacing w:after="0"/>
              <w:jc w:val="right"/>
              <w:rPr>
                <w:rFonts w:cstheme="minorHAnsi"/>
                <w:sz w:val="20"/>
                <w:szCs w:val="20"/>
              </w:rPr>
            </w:pPr>
            <w:r w:rsidRPr="000F4FF4">
              <w:rPr>
                <w:rFonts w:cstheme="minorHAnsi"/>
                <w:sz w:val="20"/>
                <w:szCs w:val="20"/>
              </w:rPr>
              <w:t xml:space="preserve">240 </w:t>
            </w:r>
          </w:p>
        </w:tc>
        <w:tc>
          <w:tcPr>
            <w:tcW w:w="1134" w:type="dxa"/>
            <w:tcBorders>
              <w:top w:val="nil"/>
              <w:left w:val="nil"/>
              <w:bottom w:val="single" w:sz="4" w:space="0" w:color="auto"/>
              <w:right w:val="nil"/>
            </w:tcBorders>
            <w:tcMar>
              <w:top w:w="0" w:type="dxa"/>
              <w:left w:w="108" w:type="dxa"/>
              <w:bottom w:w="0" w:type="dxa"/>
              <w:right w:w="108" w:type="dxa"/>
            </w:tcMar>
            <w:vAlign w:val="bottom"/>
            <w:hideMark/>
          </w:tcPr>
          <w:p w14:paraId="39FB7977" w14:textId="77777777" w:rsidR="00E401E0" w:rsidRPr="000F4FF4" w:rsidRDefault="00E401E0">
            <w:pPr>
              <w:spacing w:after="0"/>
              <w:jc w:val="right"/>
              <w:rPr>
                <w:rFonts w:cstheme="minorHAnsi"/>
                <w:sz w:val="20"/>
                <w:szCs w:val="20"/>
              </w:rPr>
            </w:pPr>
            <w:r w:rsidRPr="000F4FF4">
              <w:rPr>
                <w:rFonts w:cstheme="minorHAnsi"/>
                <w:sz w:val="20"/>
                <w:szCs w:val="20"/>
              </w:rPr>
              <w:t xml:space="preserve">240 </w:t>
            </w:r>
          </w:p>
        </w:tc>
        <w:tc>
          <w:tcPr>
            <w:tcW w:w="1134" w:type="dxa"/>
            <w:tcBorders>
              <w:top w:val="nil"/>
              <w:left w:val="nil"/>
              <w:bottom w:val="single" w:sz="4" w:space="0" w:color="auto"/>
              <w:right w:val="nil"/>
            </w:tcBorders>
            <w:tcMar>
              <w:top w:w="0" w:type="dxa"/>
              <w:left w:w="108" w:type="dxa"/>
              <w:bottom w:w="0" w:type="dxa"/>
              <w:right w:w="108" w:type="dxa"/>
            </w:tcMar>
            <w:vAlign w:val="bottom"/>
            <w:hideMark/>
          </w:tcPr>
          <w:p w14:paraId="39FB7978"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2,029</w:t>
            </w:r>
          </w:p>
        </w:tc>
      </w:tr>
      <w:tr w:rsidR="00E401E0" w:rsidRPr="000F4FF4" w14:paraId="39FB7980" w14:textId="77777777" w:rsidTr="00256430">
        <w:tc>
          <w:tcPr>
            <w:tcW w:w="3794" w:type="dxa"/>
            <w:tcBorders>
              <w:top w:val="nil"/>
              <w:left w:val="nil"/>
              <w:bottom w:val="single" w:sz="4" w:space="0" w:color="auto"/>
              <w:right w:val="nil"/>
            </w:tcBorders>
            <w:tcMar>
              <w:top w:w="0" w:type="dxa"/>
              <w:left w:w="108" w:type="dxa"/>
              <w:bottom w:w="0" w:type="dxa"/>
              <w:right w:w="108" w:type="dxa"/>
            </w:tcMar>
            <w:hideMark/>
          </w:tcPr>
          <w:p w14:paraId="39FB797A" w14:textId="77777777" w:rsidR="00E401E0" w:rsidRPr="000F4FF4" w:rsidRDefault="00E401E0">
            <w:pPr>
              <w:spacing w:after="0"/>
              <w:rPr>
                <w:rFonts w:cstheme="minorHAnsi"/>
                <w:sz w:val="20"/>
                <w:szCs w:val="20"/>
              </w:rPr>
            </w:pPr>
            <w:r w:rsidRPr="000F4FF4">
              <w:rPr>
                <w:rFonts w:cstheme="minorHAnsi"/>
                <w:b/>
                <w:bCs/>
                <w:sz w:val="20"/>
                <w:szCs w:val="20"/>
              </w:rPr>
              <w:t>Total</w:t>
            </w:r>
          </w:p>
        </w:tc>
        <w:tc>
          <w:tcPr>
            <w:tcW w:w="1134" w:type="dxa"/>
            <w:tcBorders>
              <w:top w:val="single" w:sz="4" w:space="0" w:color="auto"/>
              <w:left w:val="nil"/>
              <w:bottom w:val="single" w:sz="4" w:space="0" w:color="auto"/>
              <w:right w:val="nil"/>
            </w:tcBorders>
            <w:shd w:val="clear" w:color="auto" w:fill="B2B2B2" w:themeFill="background1" w:themeFillTint="99"/>
            <w:tcMar>
              <w:top w:w="0" w:type="dxa"/>
              <w:left w:w="108" w:type="dxa"/>
              <w:bottom w:w="0" w:type="dxa"/>
              <w:right w:w="108" w:type="dxa"/>
            </w:tcMar>
            <w:vAlign w:val="bottom"/>
            <w:hideMark/>
          </w:tcPr>
          <w:p w14:paraId="39FB797B"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15,844,398</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7C"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17,090,317</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7D"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18,094,923</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7E"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18,819,078</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7F"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69,848,716</w:t>
            </w:r>
          </w:p>
        </w:tc>
      </w:tr>
    </w:tbl>
    <w:p w14:paraId="39FB7981" w14:textId="77777777" w:rsidR="00E401E0" w:rsidRDefault="00E401E0" w:rsidP="00E401E0">
      <w:pPr>
        <w:rPr>
          <w:sz w:val="14"/>
        </w:rPr>
      </w:pPr>
      <w:r>
        <w:rPr>
          <w:sz w:val="14"/>
        </w:rPr>
        <w:t>*   Programme 1.5 More Support for Students with Disabilities ceased at the end of the 2014-15 financial year.</w:t>
      </w:r>
    </w:p>
    <w:p w14:paraId="39FB7982" w14:textId="77777777" w:rsidR="00E401E0" w:rsidRDefault="00E401E0" w:rsidP="00E401E0">
      <w:pPr>
        <w:spacing w:after="0"/>
        <w:rPr>
          <w:b/>
        </w:rPr>
      </w:pPr>
      <w:r>
        <w:rPr>
          <w:b/>
        </w:rPr>
        <w:t>Goal 2: Excel through knowledge</w:t>
      </w:r>
    </w:p>
    <w:tbl>
      <w:tblPr>
        <w:tblpPr w:leftFromText="180" w:rightFromText="180" w:bottomFromText="200" w:vertAnchor="text"/>
        <w:tblW w:w="9464" w:type="dxa"/>
        <w:tblCellMar>
          <w:left w:w="0" w:type="dxa"/>
          <w:right w:w="0" w:type="dxa"/>
        </w:tblCellMar>
        <w:tblLook w:val="04A0" w:firstRow="1" w:lastRow="0" w:firstColumn="1" w:lastColumn="0" w:noHBand="0" w:noVBand="1"/>
        <w:tblCaption w:val="Goal 2: Excel through knowledge"/>
      </w:tblPr>
      <w:tblGrid>
        <w:gridCol w:w="3794"/>
        <w:gridCol w:w="1134"/>
        <w:gridCol w:w="1134"/>
        <w:gridCol w:w="1134"/>
        <w:gridCol w:w="1134"/>
        <w:gridCol w:w="1134"/>
      </w:tblGrid>
      <w:tr w:rsidR="00E401E0" w:rsidRPr="000F4FF4" w14:paraId="39FB7989" w14:textId="77777777" w:rsidTr="00256430">
        <w:tc>
          <w:tcPr>
            <w:tcW w:w="379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83" w14:textId="77777777" w:rsidR="00E401E0" w:rsidRPr="000F4FF4" w:rsidRDefault="00E401E0">
            <w:pPr>
              <w:spacing w:after="0"/>
              <w:rPr>
                <w:rFonts w:cstheme="minorHAnsi"/>
                <w:b/>
                <w:bCs/>
                <w:sz w:val="20"/>
                <w:szCs w:val="20"/>
              </w:rPr>
            </w:pPr>
            <w:r w:rsidRPr="000F4FF4">
              <w:rPr>
                <w:rFonts w:cstheme="minorHAnsi"/>
                <w:b/>
                <w:bCs/>
                <w:sz w:val="20"/>
                <w:szCs w:val="20"/>
              </w:rPr>
              <w:t>Programme</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84" w14:textId="77777777" w:rsidR="00E401E0" w:rsidRPr="000F4FF4" w:rsidRDefault="00E401E0">
            <w:pPr>
              <w:spacing w:after="0"/>
              <w:jc w:val="right"/>
              <w:rPr>
                <w:rFonts w:cstheme="minorHAnsi"/>
                <w:b/>
                <w:bCs/>
                <w:sz w:val="20"/>
                <w:szCs w:val="20"/>
              </w:rPr>
            </w:pPr>
            <w:r w:rsidRPr="000F4FF4">
              <w:rPr>
                <w:rFonts w:cstheme="minorHAnsi"/>
                <w:b/>
                <w:bCs/>
                <w:sz w:val="20"/>
                <w:szCs w:val="20"/>
              </w:rPr>
              <w:t>2015-16</w:t>
            </w:r>
            <w:r w:rsidRPr="000F4FF4">
              <w:rPr>
                <w:rFonts w:cstheme="minorHAnsi"/>
                <w:b/>
                <w:bCs/>
                <w:sz w:val="20"/>
                <w:szCs w:val="20"/>
              </w:rPr>
              <w:br/>
              <w:t>$‘000</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85" w14:textId="77777777" w:rsidR="00E401E0" w:rsidRPr="000F4FF4" w:rsidRDefault="00E401E0">
            <w:pPr>
              <w:spacing w:after="0"/>
              <w:jc w:val="right"/>
              <w:rPr>
                <w:rFonts w:cstheme="minorHAnsi"/>
                <w:b/>
                <w:bCs/>
                <w:sz w:val="20"/>
                <w:szCs w:val="20"/>
              </w:rPr>
            </w:pPr>
            <w:r w:rsidRPr="000F4FF4">
              <w:rPr>
                <w:rFonts w:cstheme="minorHAnsi"/>
                <w:b/>
                <w:bCs/>
                <w:sz w:val="20"/>
                <w:szCs w:val="20"/>
              </w:rPr>
              <w:t>2016-17</w:t>
            </w:r>
            <w:r w:rsidRPr="000F4FF4">
              <w:rPr>
                <w:rFonts w:cstheme="minorHAnsi"/>
                <w:b/>
                <w:bCs/>
                <w:sz w:val="20"/>
                <w:szCs w:val="20"/>
              </w:rPr>
              <w:br/>
              <w:t>$‘000</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86" w14:textId="77777777" w:rsidR="00E401E0" w:rsidRPr="000F4FF4" w:rsidRDefault="00E401E0">
            <w:pPr>
              <w:spacing w:after="0"/>
              <w:jc w:val="right"/>
              <w:rPr>
                <w:rFonts w:cstheme="minorHAnsi"/>
                <w:b/>
                <w:bCs/>
                <w:sz w:val="20"/>
                <w:szCs w:val="20"/>
              </w:rPr>
            </w:pPr>
            <w:r w:rsidRPr="000F4FF4">
              <w:rPr>
                <w:rFonts w:cstheme="minorHAnsi"/>
                <w:b/>
                <w:bCs/>
                <w:sz w:val="20"/>
                <w:szCs w:val="20"/>
              </w:rPr>
              <w:t>2017-18</w:t>
            </w:r>
            <w:r w:rsidRPr="000F4FF4">
              <w:rPr>
                <w:rFonts w:cstheme="minorHAnsi"/>
                <w:b/>
                <w:bCs/>
                <w:sz w:val="20"/>
                <w:szCs w:val="20"/>
              </w:rPr>
              <w:br/>
              <w:t>$‘000</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87" w14:textId="77777777" w:rsidR="00E401E0" w:rsidRPr="000F4FF4" w:rsidRDefault="00E401E0">
            <w:pPr>
              <w:spacing w:after="0"/>
              <w:jc w:val="right"/>
              <w:rPr>
                <w:rFonts w:cstheme="minorHAnsi"/>
                <w:b/>
                <w:bCs/>
                <w:sz w:val="20"/>
                <w:szCs w:val="20"/>
              </w:rPr>
            </w:pPr>
            <w:r w:rsidRPr="000F4FF4">
              <w:rPr>
                <w:rFonts w:cstheme="minorHAnsi"/>
                <w:b/>
                <w:bCs/>
                <w:sz w:val="20"/>
                <w:szCs w:val="20"/>
              </w:rPr>
              <w:t>2018-19</w:t>
            </w:r>
            <w:r w:rsidRPr="000F4FF4">
              <w:rPr>
                <w:rFonts w:cstheme="minorHAnsi"/>
                <w:b/>
                <w:bCs/>
                <w:sz w:val="20"/>
                <w:szCs w:val="20"/>
              </w:rPr>
              <w:br/>
              <w:t>$‘000</w:t>
            </w:r>
          </w:p>
        </w:tc>
        <w:tc>
          <w:tcPr>
            <w:tcW w:w="1134" w:type="dxa"/>
            <w:tcBorders>
              <w:top w:val="single" w:sz="4" w:space="0" w:color="auto"/>
              <w:left w:val="nil"/>
              <w:bottom w:val="single" w:sz="4" w:space="0" w:color="auto"/>
              <w:right w:val="nil"/>
            </w:tcBorders>
            <w:shd w:val="clear" w:color="auto" w:fill="522761"/>
            <w:tcMar>
              <w:top w:w="0" w:type="dxa"/>
              <w:left w:w="108" w:type="dxa"/>
              <w:bottom w:w="0" w:type="dxa"/>
              <w:right w:w="108" w:type="dxa"/>
            </w:tcMar>
            <w:hideMark/>
          </w:tcPr>
          <w:p w14:paraId="39FB7988" w14:textId="77777777" w:rsidR="00E401E0" w:rsidRPr="000F4FF4" w:rsidRDefault="00E401E0">
            <w:pPr>
              <w:spacing w:after="0"/>
              <w:jc w:val="right"/>
              <w:rPr>
                <w:rFonts w:cstheme="minorHAnsi"/>
                <w:b/>
                <w:bCs/>
                <w:sz w:val="20"/>
                <w:szCs w:val="20"/>
              </w:rPr>
            </w:pPr>
            <w:r w:rsidRPr="000F4FF4">
              <w:rPr>
                <w:rFonts w:cstheme="minorHAnsi"/>
                <w:b/>
                <w:bCs/>
                <w:sz w:val="20"/>
                <w:szCs w:val="20"/>
              </w:rPr>
              <w:t>Total</w:t>
            </w:r>
            <w:r w:rsidRPr="000F4FF4">
              <w:rPr>
                <w:rFonts w:cstheme="minorHAnsi"/>
                <w:b/>
                <w:bCs/>
                <w:sz w:val="20"/>
                <w:szCs w:val="20"/>
              </w:rPr>
              <w:br/>
              <w:t>$‘000</w:t>
            </w:r>
          </w:p>
        </w:tc>
      </w:tr>
      <w:tr w:rsidR="00E401E0" w:rsidRPr="000F4FF4" w14:paraId="39FB7990" w14:textId="77777777" w:rsidTr="00256430">
        <w:tc>
          <w:tcPr>
            <w:tcW w:w="3794" w:type="dxa"/>
            <w:tcBorders>
              <w:top w:val="single" w:sz="4" w:space="0" w:color="auto"/>
              <w:left w:val="nil"/>
              <w:bottom w:val="nil"/>
              <w:right w:val="nil"/>
            </w:tcBorders>
            <w:tcMar>
              <w:top w:w="0" w:type="dxa"/>
              <w:left w:w="108" w:type="dxa"/>
              <w:bottom w:w="0" w:type="dxa"/>
              <w:right w:w="108" w:type="dxa"/>
            </w:tcMar>
            <w:hideMark/>
          </w:tcPr>
          <w:p w14:paraId="39FB798A" w14:textId="77777777" w:rsidR="00E401E0" w:rsidRPr="000F4FF4" w:rsidRDefault="00E401E0">
            <w:pPr>
              <w:spacing w:after="0"/>
              <w:rPr>
                <w:rFonts w:cstheme="minorHAnsi"/>
                <w:sz w:val="20"/>
                <w:szCs w:val="20"/>
              </w:rPr>
            </w:pPr>
            <w:r w:rsidRPr="000F4FF4">
              <w:rPr>
                <w:rFonts w:cstheme="minorHAnsi"/>
                <w:sz w:val="20"/>
                <w:szCs w:val="20"/>
              </w:rPr>
              <w:t>2.1 Commonwealth Grant Scheme</w:t>
            </w:r>
          </w:p>
        </w:tc>
        <w:tc>
          <w:tcPr>
            <w:tcW w:w="1134" w:type="dxa"/>
            <w:tcBorders>
              <w:top w:val="single" w:sz="4" w:space="0" w:color="auto"/>
              <w:left w:val="nil"/>
              <w:bottom w:val="nil"/>
              <w:right w:val="nil"/>
            </w:tcBorders>
            <w:shd w:val="clear" w:color="auto" w:fill="B2B2B2" w:themeFill="background1" w:themeFillTint="99"/>
            <w:tcMar>
              <w:top w:w="0" w:type="dxa"/>
              <w:left w:w="108" w:type="dxa"/>
              <w:bottom w:w="0" w:type="dxa"/>
              <w:right w:w="108" w:type="dxa"/>
            </w:tcMar>
            <w:vAlign w:val="center"/>
            <w:hideMark/>
          </w:tcPr>
          <w:p w14:paraId="39FB798B"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6,652,630</w:t>
            </w:r>
          </w:p>
        </w:tc>
        <w:tc>
          <w:tcPr>
            <w:tcW w:w="1134" w:type="dxa"/>
            <w:tcBorders>
              <w:top w:val="single" w:sz="4" w:space="0" w:color="auto"/>
              <w:left w:val="nil"/>
              <w:bottom w:val="nil"/>
              <w:right w:val="nil"/>
            </w:tcBorders>
            <w:tcMar>
              <w:top w:w="0" w:type="dxa"/>
              <w:left w:w="108" w:type="dxa"/>
              <w:bottom w:w="0" w:type="dxa"/>
              <w:right w:w="108" w:type="dxa"/>
            </w:tcMar>
            <w:vAlign w:val="center"/>
            <w:hideMark/>
          </w:tcPr>
          <w:p w14:paraId="39FB798C"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6,439,337</w:t>
            </w:r>
          </w:p>
        </w:tc>
        <w:tc>
          <w:tcPr>
            <w:tcW w:w="1134" w:type="dxa"/>
            <w:tcBorders>
              <w:top w:val="single" w:sz="4" w:space="0" w:color="auto"/>
              <w:left w:val="nil"/>
              <w:bottom w:val="nil"/>
              <w:right w:val="nil"/>
            </w:tcBorders>
            <w:tcMar>
              <w:top w:w="0" w:type="dxa"/>
              <w:left w:w="108" w:type="dxa"/>
              <w:bottom w:w="0" w:type="dxa"/>
              <w:right w:w="108" w:type="dxa"/>
            </w:tcMar>
            <w:vAlign w:val="center"/>
            <w:hideMark/>
          </w:tcPr>
          <w:p w14:paraId="39FB798D"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6,528,925</w:t>
            </w:r>
          </w:p>
        </w:tc>
        <w:tc>
          <w:tcPr>
            <w:tcW w:w="1134" w:type="dxa"/>
            <w:tcBorders>
              <w:top w:val="single" w:sz="4" w:space="0" w:color="auto"/>
              <w:left w:val="nil"/>
              <w:bottom w:val="nil"/>
              <w:right w:val="nil"/>
            </w:tcBorders>
            <w:tcMar>
              <w:top w:w="0" w:type="dxa"/>
              <w:left w:w="108" w:type="dxa"/>
              <w:bottom w:w="0" w:type="dxa"/>
              <w:right w:w="108" w:type="dxa"/>
            </w:tcMar>
            <w:vAlign w:val="center"/>
            <w:hideMark/>
          </w:tcPr>
          <w:p w14:paraId="39FB798E"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6,677,054</w:t>
            </w:r>
          </w:p>
        </w:tc>
        <w:tc>
          <w:tcPr>
            <w:tcW w:w="1134" w:type="dxa"/>
            <w:tcBorders>
              <w:top w:val="single" w:sz="4" w:space="0" w:color="auto"/>
              <w:left w:val="nil"/>
              <w:bottom w:val="nil"/>
              <w:right w:val="nil"/>
            </w:tcBorders>
            <w:tcMar>
              <w:top w:w="0" w:type="dxa"/>
              <w:left w:w="108" w:type="dxa"/>
              <w:bottom w:w="0" w:type="dxa"/>
              <w:right w:w="108" w:type="dxa"/>
            </w:tcMar>
            <w:vAlign w:val="bottom"/>
            <w:hideMark/>
          </w:tcPr>
          <w:p w14:paraId="39FB798F"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26,297,946</w:t>
            </w:r>
          </w:p>
        </w:tc>
      </w:tr>
      <w:tr w:rsidR="00E401E0" w:rsidRPr="000F4FF4" w14:paraId="39FB7997" w14:textId="77777777" w:rsidTr="00256430">
        <w:tc>
          <w:tcPr>
            <w:tcW w:w="3794" w:type="dxa"/>
            <w:tcMar>
              <w:top w:w="0" w:type="dxa"/>
              <w:left w:w="108" w:type="dxa"/>
              <w:bottom w:w="0" w:type="dxa"/>
              <w:right w:w="108" w:type="dxa"/>
            </w:tcMar>
            <w:hideMark/>
          </w:tcPr>
          <w:p w14:paraId="39FB7991" w14:textId="77777777" w:rsidR="00E401E0" w:rsidRPr="000F4FF4" w:rsidRDefault="00E401E0">
            <w:pPr>
              <w:spacing w:after="0"/>
              <w:rPr>
                <w:rFonts w:cstheme="minorHAnsi"/>
                <w:sz w:val="20"/>
                <w:szCs w:val="20"/>
              </w:rPr>
            </w:pPr>
            <w:r w:rsidRPr="000F4FF4">
              <w:rPr>
                <w:rFonts w:cstheme="minorHAnsi"/>
                <w:sz w:val="20"/>
                <w:szCs w:val="20"/>
              </w:rPr>
              <w:t>2.2 Higher Education Superannuation Programme</w:t>
            </w:r>
          </w:p>
        </w:tc>
        <w:tc>
          <w:tcPr>
            <w:tcW w:w="1134" w:type="dxa"/>
            <w:shd w:val="clear" w:color="auto" w:fill="B2B2B2" w:themeFill="background1" w:themeFillTint="99"/>
            <w:tcMar>
              <w:top w:w="0" w:type="dxa"/>
              <w:left w:w="108" w:type="dxa"/>
              <w:bottom w:w="0" w:type="dxa"/>
              <w:right w:w="108" w:type="dxa"/>
            </w:tcMar>
            <w:vAlign w:val="bottom"/>
            <w:hideMark/>
          </w:tcPr>
          <w:p w14:paraId="39FB7992"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261,565</w:t>
            </w:r>
          </w:p>
        </w:tc>
        <w:tc>
          <w:tcPr>
            <w:tcW w:w="1134" w:type="dxa"/>
            <w:tcMar>
              <w:top w:w="0" w:type="dxa"/>
              <w:left w:w="108" w:type="dxa"/>
              <w:bottom w:w="0" w:type="dxa"/>
              <w:right w:w="108" w:type="dxa"/>
            </w:tcMar>
            <w:vAlign w:val="bottom"/>
            <w:hideMark/>
          </w:tcPr>
          <w:p w14:paraId="39FB7993"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258,873</w:t>
            </w:r>
          </w:p>
        </w:tc>
        <w:tc>
          <w:tcPr>
            <w:tcW w:w="1134" w:type="dxa"/>
            <w:tcMar>
              <w:top w:w="0" w:type="dxa"/>
              <w:left w:w="108" w:type="dxa"/>
              <w:bottom w:w="0" w:type="dxa"/>
              <w:right w:w="108" w:type="dxa"/>
            </w:tcMar>
            <w:vAlign w:val="bottom"/>
            <w:hideMark/>
          </w:tcPr>
          <w:p w14:paraId="39FB7994"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254,829</w:t>
            </w:r>
          </w:p>
        </w:tc>
        <w:tc>
          <w:tcPr>
            <w:tcW w:w="1134" w:type="dxa"/>
            <w:tcMar>
              <w:top w:w="0" w:type="dxa"/>
              <w:left w:w="108" w:type="dxa"/>
              <w:bottom w:w="0" w:type="dxa"/>
              <w:right w:w="108" w:type="dxa"/>
            </w:tcMar>
            <w:vAlign w:val="bottom"/>
            <w:hideMark/>
          </w:tcPr>
          <w:p w14:paraId="39FB7995"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250,274</w:t>
            </w:r>
          </w:p>
        </w:tc>
        <w:tc>
          <w:tcPr>
            <w:tcW w:w="1134" w:type="dxa"/>
            <w:tcMar>
              <w:top w:w="0" w:type="dxa"/>
              <w:left w:w="108" w:type="dxa"/>
              <w:bottom w:w="0" w:type="dxa"/>
              <w:right w:w="108" w:type="dxa"/>
            </w:tcMar>
            <w:vAlign w:val="bottom"/>
            <w:hideMark/>
          </w:tcPr>
          <w:p w14:paraId="39FB7996"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1,025,541</w:t>
            </w:r>
          </w:p>
        </w:tc>
      </w:tr>
      <w:tr w:rsidR="00E401E0" w:rsidRPr="000F4FF4" w14:paraId="39FB799E" w14:textId="77777777" w:rsidTr="00256430">
        <w:tc>
          <w:tcPr>
            <w:tcW w:w="3794" w:type="dxa"/>
            <w:tcMar>
              <w:top w:w="0" w:type="dxa"/>
              <w:left w:w="108" w:type="dxa"/>
              <w:bottom w:w="0" w:type="dxa"/>
              <w:right w:w="108" w:type="dxa"/>
            </w:tcMar>
            <w:hideMark/>
          </w:tcPr>
          <w:p w14:paraId="39FB7998" w14:textId="77777777" w:rsidR="00E401E0" w:rsidRPr="000F4FF4" w:rsidRDefault="00E401E0">
            <w:pPr>
              <w:spacing w:after="0"/>
              <w:rPr>
                <w:rFonts w:cstheme="minorHAnsi"/>
                <w:sz w:val="20"/>
                <w:szCs w:val="20"/>
              </w:rPr>
            </w:pPr>
            <w:r w:rsidRPr="000F4FF4">
              <w:rPr>
                <w:rFonts w:cstheme="minorHAnsi"/>
                <w:sz w:val="20"/>
                <w:szCs w:val="20"/>
              </w:rPr>
              <w:t>2.3 Higher Education Support</w:t>
            </w:r>
          </w:p>
        </w:tc>
        <w:tc>
          <w:tcPr>
            <w:tcW w:w="1134" w:type="dxa"/>
            <w:shd w:val="clear" w:color="auto" w:fill="B2B2B2" w:themeFill="background1" w:themeFillTint="99"/>
            <w:tcMar>
              <w:top w:w="0" w:type="dxa"/>
              <w:left w:w="108" w:type="dxa"/>
              <w:bottom w:w="0" w:type="dxa"/>
              <w:right w:w="108" w:type="dxa"/>
            </w:tcMar>
            <w:vAlign w:val="center"/>
            <w:hideMark/>
          </w:tcPr>
          <w:p w14:paraId="39FB7999"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519,487</w:t>
            </w:r>
          </w:p>
        </w:tc>
        <w:tc>
          <w:tcPr>
            <w:tcW w:w="1134" w:type="dxa"/>
            <w:tcMar>
              <w:top w:w="0" w:type="dxa"/>
              <w:left w:w="108" w:type="dxa"/>
              <w:bottom w:w="0" w:type="dxa"/>
              <w:right w:w="108" w:type="dxa"/>
            </w:tcMar>
            <w:vAlign w:val="center"/>
            <w:hideMark/>
          </w:tcPr>
          <w:p w14:paraId="39FB799A"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450,625</w:t>
            </w:r>
          </w:p>
        </w:tc>
        <w:tc>
          <w:tcPr>
            <w:tcW w:w="1134" w:type="dxa"/>
            <w:tcMar>
              <w:top w:w="0" w:type="dxa"/>
              <w:left w:w="108" w:type="dxa"/>
              <w:bottom w:w="0" w:type="dxa"/>
              <w:right w:w="108" w:type="dxa"/>
            </w:tcMar>
            <w:vAlign w:val="center"/>
            <w:hideMark/>
          </w:tcPr>
          <w:p w14:paraId="39FB799B"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435,025</w:t>
            </w:r>
          </w:p>
        </w:tc>
        <w:tc>
          <w:tcPr>
            <w:tcW w:w="1134" w:type="dxa"/>
            <w:tcMar>
              <w:top w:w="0" w:type="dxa"/>
              <w:left w:w="108" w:type="dxa"/>
              <w:bottom w:w="0" w:type="dxa"/>
              <w:right w:w="108" w:type="dxa"/>
            </w:tcMar>
            <w:vAlign w:val="center"/>
            <w:hideMark/>
          </w:tcPr>
          <w:p w14:paraId="39FB799C"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438,777</w:t>
            </w:r>
          </w:p>
        </w:tc>
        <w:tc>
          <w:tcPr>
            <w:tcW w:w="1134" w:type="dxa"/>
            <w:tcMar>
              <w:top w:w="0" w:type="dxa"/>
              <w:left w:w="108" w:type="dxa"/>
              <w:bottom w:w="0" w:type="dxa"/>
              <w:right w:w="108" w:type="dxa"/>
            </w:tcMar>
            <w:vAlign w:val="bottom"/>
            <w:hideMark/>
          </w:tcPr>
          <w:p w14:paraId="39FB799D"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1,843,914</w:t>
            </w:r>
          </w:p>
        </w:tc>
      </w:tr>
      <w:tr w:rsidR="00E401E0" w:rsidRPr="000F4FF4" w14:paraId="39FB79A5" w14:textId="77777777" w:rsidTr="00256430">
        <w:tc>
          <w:tcPr>
            <w:tcW w:w="3794" w:type="dxa"/>
            <w:tcMar>
              <w:top w:w="0" w:type="dxa"/>
              <w:left w:w="108" w:type="dxa"/>
              <w:bottom w:w="0" w:type="dxa"/>
              <w:right w:w="108" w:type="dxa"/>
            </w:tcMar>
            <w:hideMark/>
          </w:tcPr>
          <w:p w14:paraId="39FB799F" w14:textId="77777777" w:rsidR="00E401E0" w:rsidRPr="000F4FF4" w:rsidRDefault="00E401E0">
            <w:pPr>
              <w:spacing w:after="0"/>
              <w:rPr>
                <w:rFonts w:cstheme="minorHAnsi"/>
                <w:sz w:val="20"/>
                <w:szCs w:val="20"/>
              </w:rPr>
            </w:pPr>
            <w:r w:rsidRPr="000F4FF4">
              <w:rPr>
                <w:rFonts w:cstheme="minorHAnsi"/>
                <w:sz w:val="20"/>
                <w:szCs w:val="20"/>
              </w:rPr>
              <w:t>2.4 Higher Education Loan Programme</w:t>
            </w:r>
          </w:p>
        </w:tc>
        <w:tc>
          <w:tcPr>
            <w:tcW w:w="1134" w:type="dxa"/>
            <w:shd w:val="clear" w:color="auto" w:fill="B2B2B2" w:themeFill="background1" w:themeFillTint="99"/>
            <w:tcMar>
              <w:top w:w="0" w:type="dxa"/>
              <w:left w:w="108" w:type="dxa"/>
              <w:bottom w:w="0" w:type="dxa"/>
              <w:right w:w="108" w:type="dxa"/>
            </w:tcMar>
            <w:vAlign w:val="center"/>
            <w:hideMark/>
          </w:tcPr>
          <w:p w14:paraId="39FB79A0"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2,407,891</w:t>
            </w:r>
          </w:p>
        </w:tc>
        <w:tc>
          <w:tcPr>
            <w:tcW w:w="1134" w:type="dxa"/>
            <w:tcMar>
              <w:top w:w="0" w:type="dxa"/>
              <w:left w:w="108" w:type="dxa"/>
              <w:bottom w:w="0" w:type="dxa"/>
              <w:right w:w="108" w:type="dxa"/>
            </w:tcMar>
            <w:vAlign w:val="center"/>
            <w:hideMark/>
          </w:tcPr>
          <w:p w14:paraId="39FB79A1"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3,074,478</w:t>
            </w:r>
          </w:p>
        </w:tc>
        <w:tc>
          <w:tcPr>
            <w:tcW w:w="1134" w:type="dxa"/>
            <w:tcMar>
              <w:top w:w="0" w:type="dxa"/>
              <w:left w:w="108" w:type="dxa"/>
              <w:bottom w:w="0" w:type="dxa"/>
              <w:right w:w="108" w:type="dxa"/>
            </w:tcMar>
            <w:vAlign w:val="center"/>
            <w:hideMark/>
          </w:tcPr>
          <w:p w14:paraId="39FB79A2"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3,759,218</w:t>
            </w:r>
          </w:p>
        </w:tc>
        <w:tc>
          <w:tcPr>
            <w:tcW w:w="1134" w:type="dxa"/>
            <w:tcMar>
              <w:top w:w="0" w:type="dxa"/>
              <w:left w:w="108" w:type="dxa"/>
              <w:bottom w:w="0" w:type="dxa"/>
              <w:right w:w="108" w:type="dxa"/>
            </w:tcMar>
            <w:vAlign w:val="center"/>
            <w:hideMark/>
          </w:tcPr>
          <w:p w14:paraId="39FB79A3"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4,431,889</w:t>
            </w:r>
          </w:p>
        </w:tc>
        <w:tc>
          <w:tcPr>
            <w:tcW w:w="1134" w:type="dxa"/>
            <w:tcMar>
              <w:top w:w="0" w:type="dxa"/>
              <w:left w:w="108" w:type="dxa"/>
              <w:bottom w:w="0" w:type="dxa"/>
              <w:right w:w="108" w:type="dxa"/>
            </w:tcMar>
            <w:vAlign w:val="bottom"/>
            <w:hideMark/>
          </w:tcPr>
          <w:p w14:paraId="39FB79A4"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13,673,476</w:t>
            </w:r>
          </w:p>
        </w:tc>
      </w:tr>
      <w:tr w:rsidR="00E401E0" w:rsidRPr="000F4FF4" w14:paraId="39FB79AC" w14:textId="77777777" w:rsidTr="00256430">
        <w:tc>
          <w:tcPr>
            <w:tcW w:w="3794" w:type="dxa"/>
            <w:tcMar>
              <w:top w:w="0" w:type="dxa"/>
              <w:left w:w="108" w:type="dxa"/>
              <w:bottom w:w="0" w:type="dxa"/>
              <w:right w:w="108" w:type="dxa"/>
            </w:tcMar>
            <w:hideMark/>
          </w:tcPr>
          <w:p w14:paraId="39FB79A6" w14:textId="77777777" w:rsidR="00E401E0" w:rsidRPr="000F4FF4" w:rsidRDefault="00E401E0">
            <w:pPr>
              <w:spacing w:after="0"/>
              <w:rPr>
                <w:rFonts w:cstheme="minorHAnsi"/>
                <w:sz w:val="20"/>
                <w:szCs w:val="20"/>
              </w:rPr>
            </w:pPr>
            <w:r w:rsidRPr="000F4FF4">
              <w:rPr>
                <w:rFonts w:cstheme="minorHAnsi"/>
                <w:sz w:val="20"/>
                <w:szCs w:val="20"/>
              </w:rPr>
              <w:t>2.5 Investment in Higher Education Research</w:t>
            </w:r>
          </w:p>
        </w:tc>
        <w:tc>
          <w:tcPr>
            <w:tcW w:w="1134" w:type="dxa"/>
            <w:shd w:val="clear" w:color="auto" w:fill="B2B2B2" w:themeFill="background1" w:themeFillTint="99"/>
            <w:tcMar>
              <w:top w:w="0" w:type="dxa"/>
              <w:left w:w="108" w:type="dxa"/>
              <w:bottom w:w="0" w:type="dxa"/>
              <w:right w:w="108" w:type="dxa"/>
            </w:tcMar>
            <w:vAlign w:val="center"/>
            <w:hideMark/>
          </w:tcPr>
          <w:p w14:paraId="39FB79A7"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1,803,439</w:t>
            </w:r>
          </w:p>
        </w:tc>
        <w:tc>
          <w:tcPr>
            <w:tcW w:w="1134" w:type="dxa"/>
            <w:tcMar>
              <w:top w:w="0" w:type="dxa"/>
              <w:left w:w="108" w:type="dxa"/>
              <w:bottom w:w="0" w:type="dxa"/>
              <w:right w:w="108" w:type="dxa"/>
            </w:tcMar>
            <w:vAlign w:val="center"/>
            <w:hideMark/>
          </w:tcPr>
          <w:p w14:paraId="39FB79A8"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1,707,057</w:t>
            </w:r>
          </w:p>
        </w:tc>
        <w:tc>
          <w:tcPr>
            <w:tcW w:w="1134" w:type="dxa"/>
            <w:tcMar>
              <w:top w:w="0" w:type="dxa"/>
              <w:left w:w="108" w:type="dxa"/>
              <w:bottom w:w="0" w:type="dxa"/>
              <w:right w:w="108" w:type="dxa"/>
            </w:tcMar>
            <w:vAlign w:val="center"/>
            <w:hideMark/>
          </w:tcPr>
          <w:p w14:paraId="39FB79A9"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1,862,821</w:t>
            </w:r>
          </w:p>
        </w:tc>
        <w:tc>
          <w:tcPr>
            <w:tcW w:w="1134" w:type="dxa"/>
            <w:tcMar>
              <w:top w:w="0" w:type="dxa"/>
              <w:left w:w="108" w:type="dxa"/>
              <w:bottom w:w="0" w:type="dxa"/>
              <w:right w:w="108" w:type="dxa"/>
            </w:tcMar>
            <w:vAlign w:val="center"/>
            <w:hideMark/>
          </w:tcPr>
          <w:p w14:paraId="39FB79AA"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1,854,582</w:t>
            </w:r>
          </w:p>
        </w:tc>
        <w:tc>
          <w:tcPr>
            <w:tcW w:w="1134" w:type="dxa"/>
            <w:tcMar>
              <w:top w:w="0" w:type="dxa"/>
              <w:left w:w="108" w:type="dxa"/>
              <w:bottom w:w="0" w:type="dxa"/>
              <w:right w:w="108" w:type="dxa"/>
            </w:tcMar>
            <w:vAlign w:val="bottom"/>
            <w:hideMark/>
          </w:tcPr>
          <w:p w14:paraId="39FB79AB"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7,227,899</w:t>
            </w:r>
          </w:p>
        </w:tc>
      </w:tr>
      <w:tr w:rsidR="00E401E0" w:rsidRPr="000F4FF4" w14:paraId="39FB79B3" w14:textId="77777777" w:rsidTr="00256430">
        <w:tc>
          <w:tcPr>
            <w:tcW w:w="3794" w:type="dxa"/>
            <w:tcMar>
              <w:top w:w="0" w:type="dxa"/>
              <w:left w:w="108" w:type="dxa"/>
              <w:bottom w:w="0" w:type="dxa"/>
              <w:right w:w="108" w:type="dxa"/>
            </w:tcMar>
            <w:hideMark/>
          </w:tcPr>
          <w:p w14:paraId="39FB79AD" w14:textId="77777777" w:rsidR="00E401E0" w:rsidRPr="000F4FF4" w:rsidRDefault="00E401E0">
            <w:pPr>
              <w:spacing w:after="0"/>
              <w:rPr>
                <w:rFonts w:cstheme="minorHAnsi"/>
                <w:sz w:val="20"/>
                <w:szCs w:val="20"/>
              </w:rPr>
            </w:pPr>
            <w:r w:rsidRPr="000F4FF4">
              <w:rPr>
                <w:rFonts w:cstheme="minorHAnsi"/>
                <w:sz w:val="20"/>
                <w:szCs w:val="20"/>
              </w:rPr>
              <w:t>2.6 Research Capacity</w:t>
            </w:r>
          </w:p>
        </w:tc>
        <w:tc>
          <w:tcPr>
            <w:tcW w:w="1134" w:type="dxa"/>
            <w:shd w:val="clear" w:color="auto" w:fill="B2B2B2" w:themeFill="background1" w:themeFillTint="99"/>
            <w:tcMar>
              <w:top w:w="0" w:type="dxa"/>
              <w:left w:w="108" w:type="dxa"/>
              <w:bottom w:w="0" w:type="dxa"/>
              <w:right w:w="108" w:type="dxa"/>
            </w:tcMar>
            <w:vAlign w:val="center"/>
            <w:hideMark/>
          </w:tcPr>
          <w:p w14:paraId="39FB79AE"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180,501</w:t>
            </w:r>
          </w:p>
        </w:tc>
        <w:tc>
          <w:tcPr>
            <w:tcW w:w="1134" w:type="dxa"/>
            <w:tcMar>
              <w:top w:w="0" w:type="dxa"/>
              <w:left w:w="108" w:type="dxa"/>
              <w:bottom w:w="0" w:type="dxa"/>
              <w:right w:w="108" w:type="dxa"/>
            </w:tcMar>
            <w:vAlign w:val="center"/>
            <w:hideMark/>
          </w:tcPr>
          <w:p w14:paraId="39FB79AF"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166,183</w:t>
            </w:r>
          </w:p>
        </w:tc>
        <w:tc>
          <w:tcPr>
            <w:tcW w:w="1134" w:type="dxa"/>
            <w:tcMar>
              <w:top w:w="0" w:type="dxa"/>
              <w:left w:w="108" w:type="dxa"/>
              <w:bottom w:w="0" w:type="dxa"/>
              <w:right w:w="108" w:type="dxa"/>
            </w:tcMar>
            <w:vAlign w:val="center"/>
            <w:hideMark/>
          </w:tcPr>
          <w:p w14:paraId="39FB79B0"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16,345</w:t>
            </w:r>
          </w:p>
        </w:tc>
        <w:tc>
          <w:tcPr>
            <w:tcW w:w="1134" w:type="dxa"/>
            <w:tcMar>
              <w:top w:w="0" w:type="dxa"/>
              <w:left w:w="108" w:type="dxa"/>
              <w:bottom w:w="0" w:type="dxa"/>
              <w:right w:w="108" w:type="dxa"/>
            </w:tcMar>
            <w:vAlign w:val="center"/>
            <w:hideMark/>
          </w:tcPr>
          <w:p w14:paraId="39FB79B1"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15,076</w:t>
            </w:r>
          </w:p>
        </w:tc>
        <w:tc>
          <w:tcPr>
            <w:tcW w:w="1134" w:type="dxa"/>
            <w:tcMar>
              <w:top w:w="0" w:type="dxa"/>
              <w:left w:w="108" w:type="dxa"/>
              <w:bottom w:w="0" w:type="dxa"/>
              <w:right w:w="108" w:type="dxa"/>
            </w:tcMar>
            <w:vAlign w:val="bottom"/>
            <w:hideMark/>
          </w:tcPr>
          <w:p w14:paraId="39FB79B2"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378,105</w:t>
            </w:r>
          </w:p>
        </w:tc>
      </w:tr>
      <w:tr w:rsidR="00E401E0" w:rsidRPr="000F4FF4" w14:paraId="39FB79BA" w14:textId="77777777" w:rsidTr="00256430">
        <w:tc>
          <w:tcPr>
            <w:tcW w:w="3794" w:type="dxa"/>
            <w:tcMar>
              <w:top w:w="0" w:type="dxa"/>
              <w:left w:w="108" w:type="dxa"/>
              <w:bottom w:w="0" w:type="dxa"/>
              <w:right w:w="108" w:type="dxa"/>
            </w:tcMar>
            <w:hideMark/>
          </w:tcPr>
          <w:p w14:paraId="39FB79B4" w14:textId="77777777" w:rsidR="00E401E0" w:rsidRPr="000F4FF4" w:rsidRDefault="00E401E0">
            <w:pPr>
              <w:spacing w:after="0"/>
              <w:rPr>
                <w:rFonts w:cstheme="minorHAnsi"/>
                <w:sz w:val="20"/>
                <w:szCs w:val="20"/>
              </w:rPr>
            </w:pPr>
            <w:r w:rsidRPr="000F4FF4">
              <w:rPr>
                <w:rFonts w:cstheme="minorHAnsi"/>
                <w:sz w:val="20"/>
                <w:szCs w:val="20"/>
              </w:rPr>
              <w:t>2.7 International Education Support</w:t>
            </w:r>
          </w:p>
        </w:tc>
        <w:tc>
          <w:tcPr>
            <w:tcW w:w="1134" w:type="dxa"/>
            <w:tcBorders>
              <w:top w:val="nil"/>
              <w:left w:val="nil"/>
              <w:bottom w:val="single" w:sz="4" w:space="0" w:color="auto"/>
              <w:right w:val="nil"/>
            </w:tcBorders>
            <w:shd w:val="clear" w:color="auto" w:fill="B2B2B2" w:themeFill="background1" w:themeFillTint="99"/>
            <w:tcMar>
              <w:top w:w="0" w:type="dxa"/>
              <w:left w:w="108" w:type="dxa"/>
              <w:bottom w:w="0" w:type="dxa"/>
              <w:right w:w="108" w:type="dxa"/>
            </w:tcMar>
            <w:vAlign w:val="center"/>
            <w:hideMark/>
          </w:tcPr>
          <w:p w14:paraId="39FB79B5"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55,481</w:t>
            </w:r>
          </w:p>
        </w:tc>
        <w:tc>
          <w:tcPr>
            <w:tcW w:w="1134" w:type="dxa"/>
            <w:tcBorders>
              <w:top w:val="nil"/>
              <w:left w:val="nil"/>
              <w:bottom w:val="single" w:sz="4" w:space="0" w:color="auto"/>
              <w:right w:val="nil"/>
            </w:tcBorders>
            <w:tcMar>
              <w:top w:w="0" w:type="dxa"/>
              <w:left w:w="108" w:type="dxa"/>
              <w:bottom w:w="0" w:type="dxa"/>
              <w:right w:w="108" w:type="dxa"/>
            </w:tcMar>
            <w:vAlign w:val="center"/>
            <w:hideMark/>
          </w:tcPr>
          <w:p w14:paraId="39FB79B6"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54,601</w:t>
            </w:r>
          </w:p>
        </w:tc>
        <w:tc>
          <w:tcPr>
            <w:tcW w:w="1134" w:type="dxa"/>
            <w:tcBorders>
              <w:top w:val="nil"/>
              <w:left w:val="nil"/>
              <w:bottom w:val="single" w:sz="4" w:space="0" w:color="auto"/>
              <w:right w:val="nil"/>
            </w:tcBorders>
            <w:tcMar>
              <w:top w:w="0" w:type="dxa"/>
              <w:left w:w="108" w:type="dxa"/>
              <w:bottom w:w="0" w:type="dxa"/>
              <w:right w:w="108" w:type="dxa"/>
            </w:tcMar>
            <w:vAlign w:val="center"/>
            <w:hideMark/>
          </w:tcPr>
          <w:p w14:paraId="39FB79B7"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50,851</w:t>
            </w:r>
          </w:p>
        </w:tc>
        <w:tc>
          <w:tcPr>
            <w:tcW w:w="1134" w:type="dxa"/>
            <w:tcBorders>
              <w:top w:val="nil"/>
              <w:left w:val="nil"/>
              <w:bottom w:val="single" w:sz="4" w:space="0" w:color="auto"/>
              <w:right w:val="nil"/>
            </w:tcBorders>
            <w:tcMar>
              <w:top w:w="0" w:type="dxa"/>
              <w:left w:w="108" w:type="dxa"/>
              <w:bottom w:w="0" w:type="dxa"/>
              <w:right w:w="108" w:type="dxa"/>
            </w:tcMar>
            <w:vAlign w:val="center"/>
            <w:hideMark/>
          </w:tcPr>
          <w:p w14:paraId="39FB79B8"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50,855</w:t>
            </w:r>
          </w:p>
        </w:tc>
        <w:tc>
          <w:tcPr>
            <w:tcW w:w="1134" w:type="dxa"/>
            <w:tcBorders>
              <w:top w:val="nil"/>
              <w:left w:val="nil"/>
              <w:bottom w:val="single" w:sz="4" w:space="0" w:color="auto"/>
              <w:right w:val="nil"/>
            </w:tcBorders>
            <w:tcMar>
              <w:top w:w="0" w:type="dxa"/>
              <w:left w:w="108" w:type="dxa"/>
              <w:bottom w:w="0" w:type="dxa"/>
              <w:right w:w="108" w:type="dxa"/>
            </w:tcMar>
            <w:vAlign w:val="bottom"/>
            <w:hideMark/>
          </w:tcPr>
          <w:p w14:paraId="39FB79B9"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211,788</w:t>
            </w:r>
          </w:p>
        </w:tc>
      </w:tr>
      <w:tr w:rsidR="00E401E0" w:rsidRPr="000F4FF4" w14:paraId="39FB79C1" w14:textId="77777777" w:rsidTr="00256430">
        <w:tc>
          <w:tcPr>
            <w:tcW w:w="3794" w:type="dxa"/>
            <w:tcBorders>
              <w:top w:val="nil"/>
              <w:left w:val="nil"/>
              <w:bottom w:val="single" w:sz="4" w:space="0" w:color="auto"/>
              <w:right w:val="nil"/>
            </w:tcBorders>
            <w:tcMar>
              <w:top w:w="0" w:type="dxa"/>
              <w:left w:w="108" w:type="dxa"/>
              <w:bottom w:w="0" w:type="dxa"/>
              <w:right w:w="108" w:type="dxa"/>
            </w:tcMar>
            <w:hideMark/>
          </w:tcPr>
          <w:p w14:paraId="39FB79BB" w14:textId="77777777" w:rsidR="00E401E0" w:rsidRPr="000F4FF4" w:rsidRDefault="00E401E0">
            <w:pPr>
              <w:spacing w:after="0"/>
              <w:rPr>
                <w:rFonts w:cstheme="minorHAnsi"/>
                <w:sz w:val="20"/>
                <w:szCs w:val="20"/>
              </w:rPr>
            </w:pPr>
            <w:r w:rsidRPr="000F4FF4">
              <w:rPr>
                <w:rFonts w:cstheme="minorHAnsi"/>
                <w:b/>
                <w:bCs/>
                <w:sz w:val="20"/>
                <w:szCs w:val="20"/>
              </w:rPr>
              <w:t>Total</w:t>
            </w:r>
          </w:p>
        </w:tc>
        <w:tc>
          <w:tcPr>
            <w:tcW w:w="1134" w:type="dxa"/>
            <w:tcBorders>
              <w:top w:val="single" w:sz="4" w:space="0" w:color="auto"/>
              <w:left w:val="nil"/>
              <w:bottom w:val="single" w:sz="4" w:space="0" w:color="auto"/>
              <w:right w:val="nil"/>
            </w:tcBorders>
            <w:shd w:val="clear" w:color="auto" w:fill="B2B2B2" w:themeFill="background1" w:themeFillTint="99"/>
            <w:tcMar>
              <w:top w:w="0" w:type="dxa"/>
              <w:left w:w="108" w:type="dxa"/>
              <w:bottom w:w="0" w:type="dxa"/>
              <w:right w:w="108" w:type="dxa"/>
            </w:tcMar>
            <w:vAlign w:val="bottom"/>
            <w:hideMark/>
          </w:tcPr>
          <w:p w14:paraId="39FB79BC"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11,880,994</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BD"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12,151,154</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BE"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12,908,014</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BF"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13,718,507</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C0"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50,658,669</w:t>
            </w:r>
          </w:p>
        </w:tc>
      </w:tr>
    </w:tbl>
    <w:p w14:paraId="39FB79C2" w14:textId="77777777" w:rsidR="00E401E0" w:rsidRDefault="00E401E0" w:rsidP="00E401E0">
      <w:pPr>
        <w:spacing w:after="0"/>
      </w:pPr>
    </w:p>
    <w:p w14:paraId="39FB79C3" w14:textId="77777777" w:rsidR="00E401E0" w:rsidRDefault="00E401E0" w:rsidP="00E401E0">
      <w:pPr>
        <w:spacing w:after="0"/>
        <w:rPr>
          <w:b/>
        </w:rPr>
      </w:pPr>
      <w:r>
        <w:rPr>
          <w:b/>
        </w:rPr>
        <w:t>Goal 3: Build skills and capability</w:t>
      </w:r>
    </w:p>
    <w:tbl>
      <w:tblPr>
        <w:tblpPr w:leftFromText="180" w:rightFromText="180" w:bottomFromText="200" w:vertAnchor="text"/>
        <w:tblW w:w="9464" w:type="dxa"/>
        <w:tblCellMar>
          <w:left w:w="0" w:type="dxa"/>
          <w:right w:w="0" w:type="dxa"/>
        </w:tblCellMar>
        <w:tblLook w:val="04A0" w:firstRow="1" w:lastRow="0" w:firstColumn="1" w:lastColumn="0" w:noHBand="0" w:noVBand="1"/>
        <w:tblCaption w:val="Goal 3: Buils skills and capability"/>
      </w:tblPr>
      <w:tblGrid>
        <w:gridCol w:w="3794"/>
        <w:gridCol w:w="1134"/>
        <w:gridCol w:w="1134"/>
        <w:gridCol w:w="1134"/>
        <w:gridCol w:w="1134"/>
        <w:gridCol w:w="1134"/>
      </w:tblGrid>
      <w:tr w:rsidR="00E401E0" w:rsidRPr="000F4FF4" w14:paraId="39FB79CA" w14:textId="77777777" w:rsidTr="00256430">
        <w:tc>
          <w:tcPr>
            <w:tcW w:w="379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C4" w14:textId="77777777" w:rsidR="00E401E0" w:rsidRPr="000F4FF4" w:rsidRDefault="00E401E0">
            <w:pPr>
              <w:spacing w:after="0"/>
              <w:rPr>
                <w:rFonts w:cstheme="minorHAnsi"/>
                <w:b/>
                <w:sz w:val="20"/>
                <w:szCs w:val="20"/>
              </w:rPr>
            </w:pPr>
            <w:r w:rsidRPr="000F4FF4">
              <w:rPr>
                <w:rFonts w:cstheme="minorHAnsi"/>
                <w:b/>
                <w:bCs/>
                <w:sz w:val="20"/>
                <w:szCs w:val="20"/>
              </w:rPr>
              <w:t>Programme</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C5" w14:textId="77777777" w:rsidR="00E401E0" w:rsidRPr="000F4FF4" w:rsidRDefault="00E401E0">
            <w:pPr>
              <w:spacing w:after="0"/>
              <w:jc w:val="right"/>
              <w:rPr>
                <w:rFonts w:cstheme="minorHAnsi"/>
                <w:sz w:val="20"/>
                <w:szCs w:val="20"/>
              </w:rPr>
            </w:pPr>
            <w:r w:rsidRPr="000F4FF4">
              <w:rPr>
                <w:rFonts w:cstheme="minorHAnsi"/>
                <w:b/>
                <w:bCs/>
                <w:sz w:val="20"/>
                <w:szCs w:val="20"/>
              </w:rPr>
              <w:t>2015-16</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C6" w14:textId="77777777" w:rsidR="00E401E0" w:rsidRPr="000F4FF4" w:rsidRDefault="00E401E0">
            <w:pPr>
              <w:spacing w:after="0"/>
              <w:jc w:val="right"/>
              <w:rPr>
                <w:rFonts w:cstheme="minorHAnsi"/>
                <w:sz w:val="20"/>
                <w:szCs w:val="20"/>
              </w:rPr>
            </w:pPr>
            <w:r w:rsidRPr="000F4FF4">
              <w:rPr>
                <w:rFonts w:cstheme="minorHAnsi"/>
                <w:b/>
                <w:bCs/>
                <w:sz w:val="20"/>
                <w:szCs w:val="20"/>
              </w:rPr>
              <w:t>2016-17</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C7" w14:textId="77777777" w:rsidR="00E401E0" w:rsidRPr="000F4FF4" w:rsidRDefault="00E401E0">
            <w:pPr>
              <w:spacing w:after="0"/>
              <w:jc w:val="right"/>
              <w:rPr>
                <w:rFonts w:cstheme="minorHAnsi"/>
                <w:sz w:val="20"/>
                <w:szCs w:val="20"/>
              </w:rPr>
            </w:pPr>
            <w:r w:rsidRPr="000F4FF4">
              <w:rPr>
                <w:rFonts w:cstheme="minorHAnsi"/>
                <w:b/>
                <w:bCs/>
                <w:sz w:val="20"/>
                <w:szCs w:val="20"/>
              </w:rPr>
              <w:t>2017-18</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C8" w14:textId="77777777" w:rsidR="00E401E0" w:rsidRPr="000F4FF4" w:rsidRDefault="00E401E0">
            <w:pPr>
              <w:spacing w:after="0"/>
              <w:jc w:val="right"/>
              <w:rPr>
                <w:rFonts w:cstheme="minorHAnsi"/>
                <w:sz w:val="20"/>
                <w:szCs w:val="20"/>
              </w:rPr>
            </w:pPr>
            <w:r w:rsidRPr="000F4FF4">
              <w:rPr>
                <w:rFonts w:cstheme="minorHAnsi"/>
                <w:b/>
                <w:bCs/>
                <w:sz w:val="20"/>
                <w:szCs w:val="20"/>
              </w:rPr>
              <w:t>2018-19</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C9" w14:textId="77777777" w:rsidR="00E401E0" w:rsidRPr="000F4FF4" w:rsidRDefault="00E401E0">
            <w:pPr>
              <w:spacing w:after="0"/>
              <w:jc w:val="right"/>
              <w:rPr>
                <w:rFonts w:cstheme="minorHAnsi"/>
                <w:b/>
                <w:sz w:val="20"/>
                <w:szCs w:val="20"/>
              </w:rPr>
            </w:pPr>
            <w:r w:rsidRPr="000F4FF4">
              <w:rPr>
                <w:rFonts w:cstheme="minorHAnsi"/>
                <w:b/>
                <w:bCs/>
                <w:sz w:val="20"/>
                <w:szCs w:val="20"/>
              </w:rPr>
              <w:t>Total</w:t>
            </w:r>
            <w:r w:rsidRPr="000F4FF4">
              <w:rPr>
                <w:rFonts w:cstheme="minorHAnsi"/>
                <w:b/>
                <w:bCs/>
                <w:sz w:val="20"/>
                <w:szCs w:val="20"/>
              </w:rPr>
              <w:br/>
              <w:t>$‘000</w:t>
            </w:r>
          </w:p>
        </w:tc>
      </w:tr>
      <w:tr w:rsidR="00E401E0" w:rsidRPr="000F4FF4" w14:paraId="39FB79D1" w14:textId="77777777" w:rsidTr="00256430">
        <w:tc>
          <w:tcPr>
            <w:tcW w:w="3794" w:type="dxa"/>
            <w:tcBorders>
              <w:top w:val="single" w:sz="4" w:space="0" w:color="auto"/>
              <w:left w:val="nil"/>
              <w:bottom w:val="nil"/>
              <w:right w:val="nil"/>
            </w:tcBorders>
            <w:tcMar>
              <w:top w:w="0" w:type="dxa"/>
              <w:left w:w="108" w:type="dxa"/>
              <w:bottom w:w="0" w:type="dxa"/>
              <w:right w:w="108" w:type="dxa"/>
            </w:tcMar>
            <w:hideMark/>
          </w:tcPr>
          <w:p w14:paraId="39FB79CB" w14:textId="77777777" w:rsidR="00E401E0" w:rsidRPr="000F4FF4" w:rsidRDefault="00E401E0">
            <w:pPr>
              <w:spacing w:after="0"/>
              <w:rPr>
                <w:rFonts w:cstheme="minorHAnsi"/>
                <w:sz w:val="20"/>
                <w:szCs w:val="20"/>
              </w:rPr>
            </w:pPr>
            <w:r w:rsidRPr="000F4FF4">
              <w:rPr>
                <w:rFonts w:cstheme="minorHAnsi"/>
                <w:sz w:val="20"/>
                <w:szCs w:val="20"/>
              </w:rPr>
              <w:t>2.8 Building Skills and Capability</w:t>
            </w:r>
          </w:p>
        </w:tc>
        <w:tc>
          <w:tcPr>
            <w:tcW w:w="1134" w:type="dxa"/>
            <w:tcBorders>
              <w:top w:val="single" w:sz="4" w:space="0" w:color="auto"/>
              <w:left w:val="nil"/>
              <w:bottom w:val="single" w:sz="4" w:space="0" w:color="auto"/>
              <w:right w:val="nil"/>
            </w:tcBorders>
            <w:shd w:val="clear" w:color="auto" w:fill="B2B2B2" w:themeFill="background1" w:themeFillTint="99"/>
            <w:tcMar>
              <w:top w:w="0" w:type="dxa"/>
              <w:left w:w="108" w:type="dxa"/>
              <w:bottom w:w="0" w:type="dxa"/>
              <w:right w:w="108" w:type="dxa"/>
            </w:tcMar>
            <w:vAlign w:val="center"/>
            <w:hideMark/>
          </w:tcPr>
          <w:p w14:paraId="39FB79CC"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1,508,664</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center"/>
            <w:hideMark/>
          </w:tcPr>
          <w:p w14:paraId="39FB79CD"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1,462,019</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center"/>
            <w:hideMark/>
          </w:tcPr>
          <w:p w14:paraId="39FB79CE"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1,503,912</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center"/>
            <w:hideMark/>
          </w:tcPr>
          <w:p w14:paraId="39FB79CF"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1,531,961</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D0"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6,006,556</w:t>
            </w:r>
          </w:p>
        </w:tc>
      </w:tr>
      <w:tr w:rsidR="00E401E0" w:rsidRPr="000F4FF4" w14:paraId="39FB79D8" w14:textId="77777777" w:rsidTr="00256430">
        <w:tc>
          <w:tcPr>
            <w:tcW w:w="3794" w:type="dxa"/>
            <w:tcBorders>
              <w:top w:val="nil"/>
              <w:left w:val="nil"/>
              <w:bottom w:val="single" w:sz="4" w:space="0" w:color="auto"/>
              <w:right w:val="nil"/>
            </w:tcBorders>
            <w:tcMar>
              <w:top w:w="0" w:type="dxa"/>
              <w:left w:w="108" w:type="dxa"/>
              <w:bottom w:w="0" w:type="dxa"/>
              <w:right w:w="108" w:type="dxa"/>
            </w:tcMar>
            <w:hideMark/>
          </w:tcPr>
          <w:p w14:paraId="39FB79D2" w14:textId="77777777" w:rsidR="00E401E0" w:rsidRPr="000F4FF4" w:rsidRDefault="00E401E0">
            <w:pPr>
              <w:spacing w:after="0"/>
              <w:rPr>
                <w:rFonts w:cstheme="minorHAnsi"/>
                <w:sz w:val="20"/>
                <w:szCs w:val="20"/>
              </w:rPr>
            </w:pPr>
            <w:r w:rsidRPr="000F4FF4">
              <w:rPr>
                <w:rFonts w:cstheme="minorHAnsi"/>
                <w:b/>
                <w:bCs/>
                <w:sz w:val="20"/>
                <w:szCs w:val="20"/>
              </w:rPr>
              <w:t>Total</w:t>
            </w:r>
          </w:p>
        </w:tc>
        <w:tc>
          <w:tcPr>
            <w:tcW w:w="1134" w:type="dxa"/>
            <w:tcBorders>
              <w:top w:val="single" w:sz="4" w:space="0" w:color="auto"/>
              <w:left w:val="nil"/>
              <w:bottom w:val="single" w:sz="4" w:space="0" w:color="auto"/>
              <w:right w:val="nil"/>
            </w:tcBorders>
            <w:shd w:val="clear" w:color="auto" w:fill="B2B2B2" w:themeFill="background1" w:themeFillTint="99"/>
            <w:tcMar>
              <w:top w:w="0" w:type="dxa"/>
              <w:left w:w="108" w:type="dxa"/>
              <w:bottom w:w="0" w:type="dxa"/>
              <w:right w:w="108" w:type="dxa"/>
            </w:tcMar>
            <w:vAlign w:val="center"/>
            <w:hideMark/>
          </w:tcPr>
          <w:p w14:paraId="39FB79D3"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1,508,664</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center"/>
            <w:hideMark/>
          </w:tcPr>
          <w:p w14:paraId="39FB79D4"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1,462,019</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center"/>
            <w:hideMark/>
          </w:tcPr>
          <w:p w14:paraId="39FB79D5"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1,503,912</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center"/>
            <w:hideMark/>
          </w:tcPr>
          <w:p w14:paraId="39FB79D6"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1,531,961</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D7"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6,006,556</w:t>
            </w:r>
          </w:p>
        </w:tc>
      </w:tr>
    </w:tbl>
    <w:p w14:paraId="39FB79D9" w14:textId="77777777" w:rsidR="00E401E0" w:rsidRDefault="00E401E0" w:rsidP="00E401E0">
      <w:pPr>
        <w:spacing w:after="0"/>
      </w:pPr>
    </w:p>
    <w:p w14:paraId="39FB79DA" w14:textId="77777777" w:rsidR="00E401E0" w:rsidRDefault="00E401E0" w:rsidP="00E401E0">
      <w:pPr>
        <w:spacing w:after="0"/>
        <w:rPr>
          <w:b/>
        </w:rPr>
      </w:pPr>
      <w:r>
        <w:rPr>
          <w:b/>
        </w:rPr>
        <w:t>Goal 4: Enable business areas</w:t>
      </w:r>
    </w:p>
    <w:tbl>
      <w:tblPr>
        <w:tblpPr w:leftFromText="180" w:rightFromText="180" w:bottomFromText="200" w:vertAnchor="text"/>
        <w:tblW w:w="9464" w:type="dxa"/>
        <w:tblCellMar>
          <w:left w:w="0" w:type="dxa"/>
          <w:right w:w="0" w:type="dxa"/>
        </w:tblCellMar>
        <w:tblLook w:val="04A0" w:firstRow="1" w:lastRow="0" w:firstColumn="1" w:lastColumn="0" w:noHBand="0" w:noVBand="1"/>
        <w:tblCaption w:val="Goal 4: Enable business areas"/>
      </w:tblPr>
      <w:tblGrid>
        <w:gridCol w:w="3794"/>
        <w:gridCol w:w="1134"/>
        <w:gridCol w:w="1134"/>
        <w:gridCol w:w="1134"/>
        <w:gridCol w:w="1134"/>
        <w:gridCol w:w="1134"/>
      </w:tblGrid>
      <w:tr w:rsidR="00E401E0" w:rsidRPr="000F4FF4" w14:paraId="39FB79E1" w14:textId="77777777" w:rsidTr="00256430">
        <w:tc>
          <w:tcPr>
            <w:tcW w:w="379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DB" w14:textId="77777777" w:rsidR="00E401E0" w:rsidRPr="000F4FF4" w:rsidRDefault="00E401E0">
            <w:pPr>
              <w:spacing w:after="0"/>
              <w:rPr>
                <w:rFonts w:cstheme="minorHAnsi"/>
                <w:b/>
                <w:sz w:val="20"/>
                <w:szCs w:val="20"/>
              </w:rPr>
            </w:pPr>
            <w:r w:rsidRPr="000F4FF4">
              <w:rPr>
                <w:rFonts w:cstheme="minorHAnsi"/>
                <w:b/>
                <w:bCs/>
                <w:sz w:val="20"/>
                <w:szCs w:val="20"/>
              </w:rPr>
              <w:t>Programme</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DC" w14:textId="77777777" w:rsidR="00E401E0" w:rsidRPr="000F4FF4" w:rsidRDefault="00E401E0">
            <w:pPr>
              <w:spacing w:after="0"/>
              <w:jc w:val="right"/>
              <w:rPr>
                <w:rFonts w:cstheme="minorHAnsi"/>
                <w:sz w:val="20"/>
                <w:szCs w:val="20"/>
              </w:rPr>
            </w:pPr>
            <w:r w:rsidRPr="000F4FF4">
              <w:rPr>
                <w:rFonts w:cstheme="minorHAnsi"/>
                <w:b/>
                <w:bCs/>
                <w:sz w:val="20"/>
                <w:szCs w:val="20"/>
              </w:rPr>
              <w:t>2015-16</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DD" w14:textId="77777777" w:rsidR="00E401E0" w:rsidRPr="000F4FF4" w:rsidRDefault="00E401E0">
            <w:pPr>
              <w:spacing w:after="0"/>
              <w:jc w:val="right"/>
              <w:rPr>
                <w:rFonts w:cstheme="minorHAnsi"/>
                <w:sz w:val="20"/>
                <w:szCs w:val="20"/>
              </w:rPr>
            </w:pPr>
            <w:r w:rsidRPr="000F4FF4">
              <w:rPr>
                <w:rFonts w:cstheme="minorHAnsi"/>
                <w:b/>
                <w:bCs/>
                <w:sz w:val="20"/>
                <w:szCs w:val="20"/>
              </w:rPr>
              <w:t>2016-17</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DE" w14:textId="77777777" w:rsidR="00E401E0" w:rsidRPr="000F4FF4" w:rsidRDefault="00E401E0">
            <w:pPr>
              <w:spacing w:after="0"/>
              <w:jc w:val="right"/>
              <w:rPr>
                <w:rFonts w:cstheme="minorHAnsi"/>
                <w:sz w:val="20"/>
                <w:szCs w:val="20"/>
              </w:rPr>
            </w:pPr>
            <w:r w:rsidRPr="000F4FF4">
              <w:rPr>
                <w:rFonts w:cstheme="minorHAnsi"/>
                <w:b/>
                <w:bCs/>
                <w:sz w:val="20"/>
                <w:szCs w:val="20"/>
              </w:rPr>
              <w:t>2017-18</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DF" w14:textId="77777777" w:rsidR="00E401E0" w:rsidRPr="000F4FF4" w:rsidRDefault="00E401E0">
            <w:pPr>
              <w:spacing w:after="0"/>
              <w:jc w:val="right"/>
              <w:rPr>
                <w:rFonts w:cstheme="minorHAnsi"/>
                <w:sz w:val="20"/>
                <w:szCs w:val="20"/>
              </w:rPr>
            </w:pPr>
            <w:r w:rsidRPr="000F4FF4">
              <w:rPr>
                <w:rFonts w:cstheme="minorHAnsi"/>
                <w:b/>
                <w:bCs/>
                <w:sz w:val="20"/>
                <w:szCs w:val="20"/>
              </w:rPr>
              <w:t>2018-19</w:t>
            </w:r>
            <w:r w:rsidRPr="000F4FF4">
              <w:rPr>
                <w:rFonts w:cstheme="minorHAnsi"/>
                <w:bCs/>
                <w:sz w:val="20"/>
                <w:szCs w:val="20"/>
              </w:rPr>
              <w:br/>
              <w:t>$‘000</w:t>
            </w:r>
          </w:p>
        </w:tc>
        <w:tc>
          <w:tcPr>
            <w:tcW w:w="1134" w:type="dxa"/>
            <w:tcBorders>
              <w:top w:val="single" w:sz="4" w:space="0" w:color="auto"/>
              <w:left w:val="nil"/>
              <w:bottom w:val="single" w:sz="4" w:space="0" w:color="auto"/>
              <w:right w:val="nil"/>
            </w:tcBorders>
            <w:shd w:val="clear" w:color="auto" w:fill="522762"/>
            <w:tcMar>
              <w:top w:w="0" w:type="dxa"/>
              <w:left w:w="108" w:type="dxa"/>
              <w:bottom w:w="0" w:type="dxa"/>
              <w:right w:w="108" w:type="dxa"/>
            </w:tcMar>
            <w:hideMark/>
          </w:tcPr>
          <w:p w14:paraId="39FB79E0" w14:textId="77777777" w:rsidR="00E401E0" w:rsidRPr="000F4FF4" w:rsidRDefault="00E401E0">
            <w:pPr>
              <w:spacing w:after="0"/>
              <w:jc w:val="right"/>
              <w:rPr>
                <w:rFonts w:cstheme="minorHAnsi"/>
                <w:b/>
                <w:sz w:val="20"/>
                <w:szCs w:val="20"/>
              </w:rPr>
            </w:pPr>
            <w:r w:rsidRPr="000F4FF4">
              <w:rPr>
                <w:rFonts w:cstheme="minorHAnsi"/>
                <w:b/>
                <w:bCs/>
                <w:sz w:val="20"/>
                <w:szCs w:val="20"/>
              </w:rPr>
              <w:t>Total</w:t>
            </w:r>
            <w:r w:rsidRPr="000F4FF4">
              <w:rPr>
                <w:rFonts w:cstheme="minorHAnsi"/>
                <w:b/>
                <w:bCs/>
                <w:sz w:val="20"/>
                <w:szCs w:val="20"/>
              </w:rPr>
              <w:br/>
              <w:t>$‘000</w:t>
            </w:r>
          </w:p>
        </w:tc>
      </w:tr>
      <w:tr w:rsidR="00E401E0" w:rsidRPr="000F4FF4" w14:paraId="39FB79E8" w14:textId="77777777" w:rsidTr="00256430">
        <w:tc>
          <w:tcPr>
            <w:tcW w:w="3794" w:type="dxa"/>
            <w:tcBorders>
              <w:top w:val="single" w:sz="4" w:space="0" w:color="auto"/>
              <w:left w:val="nil"/>
              <w:bottom w:val="nil"/>
              <w:right w:val="nil"/>
            </w:tcBorders>
            <w:tcMar>
              <w:top w:w="0" w:type="dxa"/>
              <w:left w:w="108" w:type="dxa"/>
              <w:bottom w:w="0" w:type="dxa"/>
              <w:right w:w="108" w:type="dxa"/>
            </w:tcMar>
            <w:hideMark/>
          </w:tcPr>
          <w:p w14:paraId="39FB79E2" w14:textId="77777777" w:rsidR="00E401E0" w:rsidRPr="000F4FF4" w:rsidRDefault="00E401E0">
            <w:pPr>
              <w:spacing w:after="0"/>
              <w:rPr>
                <w:rFonts w:cstheme="minorHAnsi"/>
                <w:sz w:val="20"/>
                <w:szCs w:val="20"/>
              </w:rPr>
            </w:pPr>
            <w:r w:rsidRPr="000F4FF4">
              <w:rPr>
                <w:rFonts w:cstheme="minorHAnsi"/>
                <w:sz w:val="20"/>
                <w:szCs w:val="20"/>
              </w:rPr>
              <w:t>Departmental</w:t>
            </w:r>
          </w:p>
        </w:tc>
        <w:tc>
          <w:tcPr>
            <w:tcW w:w="1134" w:type="dxa"/>
            <w:tcBorders>
              <w:top w:val="single" w:sz="4" w:space="0" w:color="auto"/>
              <w:left w:val="nil"/>
              <w:bottom w:val="nil"/>
              <w:right w:val="nil"/>
            </w:tcBorders>
            <w:shd w:val="clear" w:color="auto" w:fill="B2B2B2" w:themeFill="background1" w:themeFillTint="99"/>
            <w:tcMar>
              <w:top w:w="0" w:type="dxa"/>
              <w:left w:w="108" w:type="dxa"/>
              <w:bottom w:w="0" w:type="dxa"/>
              <w:right w:w="108" w:type="dxa"/>
            </w:tcMar>
            <w:vAlign w:val="center"/>
            <w:hideMark/>
          </w:tcPr>
          <w:p w14:paraId="39FB79E3"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255,206</w:t>
            </w:r>
          </w:p>
        </w:tc>
        <w:tc>
          <w:tcPr>
            <w:tcW w:w="1134" w:type="dxa"/>
            <w:tcBorders>
              <w:top w:val="single" w:sz="4" w:space="0" w:color="auto"/>
              <w:left w:val="nil"/>
              <w:bottom w:val="nil"/>
              <w:right w:val="nil"/>
            </w:tcBorders>
            <w:tcMar>
              <w:top w:w="0" w:type="dxa"/>
              <w:left w:w="108" w:type="dxa"/>
              <w:bottom w:w="0" w:type="dxa"/>
              <w:right w:w="108" w:type="dxa"/>
            </w:tcMar>
            <w:vAlign w:val="center"/>
            <w:hideMark/>
          </w:tcPr>
          <w:p w14:paraId="39FB79E4"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248,203</w:t>
            </w:r>
          </w:p>
        </w:tc>
        <w:tc>
          <w:tcPr>
            <w:tcW w:w="1134" w:type="dxa"/>
            <w:tcBorders>
              <w:top w:val="single" w:sz="4" w:space="0" w:color="auto"/>
              <w:left w:val="nil"/>
              <w:bottom w:val="nil"/>
              <w:right w:val="nil"/>
            </w:tcBorders>
            <w:tcMar>
              <w:top w:w="0" w:type="dxa"/>
              <w:left w:w="108" w:type="dxa"/>
              <w:bottom w:w="0" w:type="dxa"/>
              <w:right w:w="108" w:type="dxa"/>
            </w:tcMar>
            <w:vAlign w:val="center"/>
            <w:hideMark/>
          </w:tcPr>
          <w:p w14:paraId="39FB79E5"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247,373</w:t>
            </w:r>
          </w:p>
        </w:tc>
        <w:tc>
          <w:tcPr>
            <w:tcW w:w="1134" w:type="dxa"/>
            <w:tcBorders>
              <w:top w:val="single" w:sz="4" w:space="0" w:color="auto"/>
              <w:left w:val="nil"/>
              <w:bottom w:val="nil"/>
              <w:right w:val="nil"/>
            </w:tcBorders>
            <w:tcMar>
              <w:top w:w="0" w:type="dxa"/>
              <w:left w:w="108" w:type="dxa"/>
              <w:bottom w:w="0" w:type="dxa"/>
              <w:right w:w="108" w:type="dxa"/>
            </w:tcMar>
            <w:vAlign w:val="center"/>
            <w:hideMark/>
          </w:tcPr>
          <w:p w14:paraId="39FB79E6"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249,645</w:t>
            </w:r>
          </w:p>
        </w:tc>
        <w:tc>
          <w:tcPr>
            <w:tcW w:w="1134" w:type="dxa"/>
            <w:tcBorders>
              <w:top w:val="single" w:sz="4" w:space="0" w:color="auto"/>
              <w:left w:val="nil"/>
              <w:bottom w:val="nil"/>
              <w:right w:val="nil"/>
            </w:tcBorders>
            <w:tcMar>
              <w:top w:w="0" w:type="dxa"/>
              <w:left w:w="108" w:type="dxa"/>
              <w:bottom w:w="0" w:type="dxa"/>
              <w:right w:w="108" w:type="dxa"/>
            </w:tcMar>
            <w:vAlign w:val="bottom"/>
            <w:hideMark/>
          </w:tcPr>
          <w:p w14:paraId="39FB79E7"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1,000,432</w:t>
            </w:r>
          </w:p>
        </w:tc>
      </w:tr>
      <w:tr w:rsidR="00E401E0" w:rsidRPr="000F4FF4" w14:paraId="39FB79EF" w14:textId="77777777" w:rsidTr="00256430">
        <w:tc>
          <w:tcPr>
            <w:tcW w:w="3794" w:type="dxa"/>
            <w:tcMar>
              <w:top w:w="0" w:type="dxa"/>
              <w:left w:w="108" w:type="dxa"/>
              <w:bottom w:w="0" w:type="dxa"/>
              <w:right w:w="108" w:type="dxa"/>
            </w:tcMar>
            <w:hideMark/>
          </w:tcPr>
          <w:p w14:paraId="39FB79E9" w14:textId="77777777" w:rsidR="00E401E0" w:rsidRPr="000F4FF4" w:rsidRDefault="00E401E0">
            <w:pPr>
              <w:spacing w:after="0"/>
              <w:rPr>
                <w:rFonts w:cstheme="minorHAnsi"/>
                <w:sz w:val="20"/>
                <w:szCs w:val="20"/>
              </w:rPr>
            </w:pPr>
            <w:r w:rsidRPr="000F4FF4">
              <w:rPr>
                <w:rFonts w:cstheme="minorHAnsi"/>
                <w:sz w:val="20"/>
                <w:szCs w:val="20"/>
              </w:rPr>
              <w:t>Capital</w:t>
            </w:r>
          </w:p>
        </w:tc>
        <w:tc>
          <w:tcPr>
            <w:tcW w:w="1134" w:type="dxa"/>
            <w:tcBorders>
              <w:top w:val="nil"/>
              <w:left w:val="nil"/>
              <w:bottom w:val="single" w:sz="4" w:space="0" w:color="auto"/>
              <w:right w:val="nil"/>
            </w:tcBorders>
            <w:shd w:val="clear" w:color="auto" w:fill="B2B2B2" w:themeFill="background1" w:themeFillTint="99"/>
            <w:tcMar>
              <w:top w:w="0" w:type="dxa"/>
              <w:left w:w="108" w:type="dxa"/>
              <w:bottom w:w="0" w:type="dxa"/>
              <w:right w:w="108" w:type="dxa"/>
            </w:tcMar>
            <w:vAlign w:val="center"/>
            <w:hideMark/>
          </w:tcPr>
          <w:p w14:paraId="39FB79EA"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33,216</w:t>
            </w:r>
          </w:p>
        </w:tc>
        <w:tc>
          <w:tcPr>
            <w:tcW w:w="1134" w:type="dxa"/>
            <w:tcBorders>
              <w:top w:val="nil"/>
              <w:left w:val="nil"/>
              <w:bottom w:val="single" w:sz="4" w:space="0" w:color="auto"/>
              <w:right w:val="nil"/>
            </w:tcBorders>
            <w:tcMar>
              <w:top w:w="0" w:type="dxa"/>
              <w:left w:w="108" w:type="dxa"/>
              <w:bottom w:w="0" w:type="dxa"/>
              <w:right w:w="108" w:type="dxa"/>
            </w:tcMar>
            <w:vAlign w:val="center"/>
            <w:hideMark/>
          </w:tcPr>
          <w:p w14:paraId="39FB79EB"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23,355</w:t>
            </w:r>
          </w:p>
        </w:tc>
        <w:tc>
          <w:tcPr>
            <w:tcW w:w="1134" w:type="dxa"/>
            <w:tcBorders>
              <w:top w:val="nil"/>
              <w:left w:val="nil"/>
              <w:bottom w:val="single" w:sz="4" w:space="0" w:color="auto"/>
              <w:right w:val="nil"/>
            </w:tcBorders>
            <w:tcMar>
              <w:top w:w="0" w:type="dxa"/>
              <w:left w:w="108" w:type="dxa"/>
              <w:bottom w:w="0" w:type="dxa"/>
              <w:right w:w="108" w:type="dxa"/>
            </w:tcMar>
            <w:vAlign w:val="center"/>
            <w:hideMark/>
          </w:tcPr>
          <w:p w14:paraId="39FB79EC"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23,309</w:t>
            </w:r>
          </w:p>
        </w:tc>
        <w:tc>
          <w:tcPr>
            <w:tcW w:w="1134" w:type="dxa"/>
            <w:tcBorders>
              <w:top w:val="nil"/>
              <w:left w:val="nil"/>
              <w:bottom w:val="single" w:sz="4" w:space="0" w:color="auto"/>
              <w:right w:val="nil"/>
            </w:tcBorders>
            <w:tcMar>
              <w:top w:w="0" w:type="dxa"/>
              <w:left w:w="108" w:type="dxa"/>
              <w:bottom w:w="0" w:type="dxa"/>
              <w:right w:w="108" w:type="dxa"/>
            </w:tcMar>
            <w:vAlign w:val="center"/>
            <w:hideMark/>
          </w:tcPr>
          <w:p w14:paraId="39FB79ED" w14:textId="77777777" w:rsidR="00E401E0" w:rsidRPr="000F4FF4" w:rsidRDefault="00E401E0">
            <w:pPr>
              <w:spacing w:after="0"/>
              <w:jc w:val="right"/>
              <w:rPr>
                <w:rFonts w:cstheme="minorHAnsi"/>
                <w:color w:val="000000"/>
                <w:sz w:val="20"/>
                <w:szCs w:val="20"/>
              </w:rPr>
            </w:pPr>
            <w:r w:rsidRPr="000F4FF4">
              <w:rPr>
                <w:rFonts w:cstheme="minorHAnsi"/>
                <w:color w:val="000000"/>
                <w:sz w:val="20"/>
                <w:szCs w:val="20"/>
              </w:rPr>
              <w:t>22,523</w:t>
            </w:r>
          </w:p>
        </w:tc>
        <w:tc>
          <w:tcPr>
            <w:tcW w:w="1134" w:type="dxa"/>
            <w:tcBorders>
              <w:top w:val="nil"/>
              <w:left w:val="nil"/>
              <w:bottom w:val="single" w:sz="4" w:space="0" w:color="auto"/>
              <w:right w:val="nil"/>
            </w:tcBorders>
            <w:tcMar>
              <w:top w:w="0" w:type="dxa"/>
              <w:left w:w="108" w:type="dxa"/>
              <w:bottom w:w="0" w:type="dxa"/>
              <w:right w:w="108" w:type="dxa"/>
            </w:tcMar>
            <w:vAlign w:val="bottom"/>
            <w:hideMark/>
          </w:tcPr>
          <w:p w14:paraId="39FB79EE"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102,403</w:t>
            </w:r>
          </w:p>
        </w:tc>
      </w:tr>
      <w:tr w:rsidR="00E401E0" w:rsidRPr="000F4FF4" w14:paraId="39FB79F6" w14:textId="77777777" w:rsidTr="00256430">
        <w:tc>
          <w:tcPr>
            <w:tcW w:w="3794" w:type="dxa"/>
            <w:tcBorders>
              <w:top w:val="nil"/>
              <w:left w:val="nil"/>
              <w:bottom w:val="single" w:sz="4" w:space="0" w:color="auto"/>
              <w:right w:val="nil"/>
            </w:tcBorders>
            <w:tcMar>
              <w:top w:w="0" w:type="dxa"/>
              <w:left w:w="108" w:type="dxa"/>
              <w:bottom w:w="0" w:type="dxa"/>
              <w:right w:w="108" w:type="dxa"/>
            </w:tcMar>
            <w:hideMark/>
          </w:tcPr>
          <w:p w14:paraId="39FB79F0" w14:textId="77777777" w:rsidR="00E401E0" w:rsidRPr="000F4FF4" w:rsidRDefault="00E401E0">
            <w:pPr>
              <w:spacing w:after="0"/>
              <w:rPr>
                <w:rFonts w:cstheme="minorHAnsi"/>
                <w:b/>
                <w:sz w:val="20"/>
                <w:szCs w:val="20"/>
              </w:rPr>
            </w:pPr>
            <w:r w:rsidRPr="000F4FF4">
              <w:rPr>
                <w:rFonts w:cstheme="minorHAnsi"/>
                <w:b/>
                <w:sz w:val="20"/>
                <w:szCs w:val="20"/>
              </w:rPr>
              <w:t>Total</w:t>
            </w:r>
          </w:p>
        </w:tc>
        <w:tc>
          <w:tcPr>
            <w:tcW w:w="1134" w:type="dxa"/>
            <w:tcBorders>
              <w:top w:val="single" w:sz="4" w:space="0" w:color="auto"/>
              <w:left w:val="nil"/>
              <w:bottom w:val="single" w:sz="4" w:space="0" w:color="auto"/>
              <w:right w:val="nil"/>
            </w:tcBorders>
            <w:shd w:val="clear" w:color="auto" w:fill="B2B2B2" w:themeFill="background1" w:themeFillTint="99"/>
            <w:tcMar>
              <w:top w:w="0" w:type="dxa"/>
              <w:left w:w="108" w:type="dxa"/>
              <w:bottom w:w="0" w:type="dxa"/>
              <w:right w:w="108" w:type="dxa"/>
            </w:tcMar>
            <w:vAlign w:val="bottom"/>
            <w:hideMark/>
          </w:tcPr>
          <w:p w14:paraId="39FB79F1"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288,422</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F2"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271,558</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F3"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270,682</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F4"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272,168</w:t>
            </w:r>
          </w:p>
        </w:tc>
        <w:tc>
          <w:tcPr>
            <w:tcW w:w="1134" w:type="dxa"/>
            <w:tcBorders>
              <w:top w:val="single" w:sz="4" w:space="0" w:color="auto"/>
              <w:left w:val="nil"/>
              <w:bottom w:val="single" w:sz="4" w:space="0" w:color="auto"/>
              <w:right w:val="nil"/>
            </w:tcBorders>
            <w:tcMar>
              <w:top w:w="0" w:type="dxa"/>
              <w:left w:w="108" w:type="dxa"/>
              <w:bottom w:w="0" w:type="dxa"/>
              <w:right w:w="108" w:type="dxa"/>
            </w:tcMar>
            <w:vAlign w:val="bottom"/>
            <w:hideMark/>
          </w:tcPr>
          <w:p w14:paraId="39FB79F5" w14:textId="77777777" w:rsidR="00E401E0" w:rsidRPr="000F4FF4" w:rsidRDefault="00E401E0">
            <w:pPr>
              <w:spacing w:after="0"/>
              <w:jc w:val="right"/>
              <w:rPr>
                <w:rFonts w:cstheme="minorHAnsi"/>
                <w:b/>
                <w:bCs/>
                <w:color w:val="000000"/>
                <w:sz w:val="20"/>
                <w:szCs w:val="20"/>
              </w:rPr>
            </w:pPr>
            <w:r w:rsidRPr="000F4FF4">
              <w:rPr>
                <w:rFonts w:cstheme="minorHAnsi"/>
                <w:b/>
                <w:bCs/>
                <w:color w:val="000000"/>
                <w:sz w:val="20"/>
                <w:szCs w:val="20"/>
              </w:rPr>
              <w:t>1,102,835</w:t>
            </w:r>
          </w:p>
        </w:tc>
      </w:tr>
    </w:tbl>
    <w:p w14:paraId="39FB79F7" w14:textId="77777777" w:rsidR="00E401E0" w:rsidRDefault="00E401E0" w:rsidP="00E401E0">
      <w:pPr>
        <w:spacing w:after="0"/>
      </w:pPr>
    </w:p>
    <w:p w14:paraId="39FB79F8" w14:textId="77777777" w:rsidR="00CE127B" w:rsidRDefault="00876AC0" w:rsidP="000B04BE">
      <w:pPr>
        <w:rPr>
          <w:bCs/>
          <w:i/>
        </w:rPr>
      </w:pPr>
      <w:r w:rsidRPr="002B32E1">
        <w:rPr>
          <w:bCs/>
        </w:rPr>
        <w:t>Source</w:t>
      </w:r>
      <w:r w:rsidR="00612D45" w:rsidRPr="002B32E1">
        <w:rPr>
          <w:bCs/>
        </w:rPr>
        <w:t xml:space="preserve">: </w:t>
      </w:r>
      <w:r w:rsidR="008B1DBE" w:rsidRPr="002B32E1">
        <w:rPr>
          <w:bCs/>
          <w:i/>
        </w:rPr>
        <w:t>Portfolio Budget Statements 2015-16 Education and Training Portfolio</w:t>
      </w:r>
    </w:p>
    <w:p w14:paraId="39FB79F9" w14:textId="77777777" w:rsidR="00CE127B" w:rsidRDefault="00CE127B" w:rsidP="000B04BE">
      <w:pPr>
        <w:rPr>
          <w:bCs/>
        </w:rPr>
        <w:sectPr w:rsidR="00CE127B" w:rsidSect="003242B9">
          <w:headerReference w:type="default" r:id="rId30"/>
          <w:footerReference w:type="default" r:id="rId31"/>
          <w:type w:val="continuous"/>
          <w:pgSz w:w="11906" w:h="16838"/>
          <w:pgMar w:top="1985" w:right="1440" w:bottom="1440" w:left="1440" w:header="708" w:footer="1011" w:gutter="0"/>
          <w:cols w:space="708"/>
          <w:docGrid w:linePitch="360"/>
        </w:sectPr>
      </w:pPr>
    </w:p>
    <w:p w14:paraId="39FB79FA" w14:textId="77777777" w:rsidR="00C10C19" w:rsidRPr="003403EA" w:rsidRDefault="00182363" w:rsidP="003403EA">
      <w:pPr>
        <w:jc w:val="right"/>
        <w:rPr>
          <w:bCs/>
          <w:sz w:val="36"/>
          <w:szCs w:val="36"/>
        </w:rPr>
      </w:pPr>
      <w:r>
        <w:rPr>
          <w:noProof/>
          <w:color w:val="593674" w:themeColor="accent2"/>
          <w:sz w:val="36"/>
          <w:szCs w:val="36"/>
        </w:rPr>
        <w:lastRenderedPageBreak/>
        <w:pict w14:anchorId="39FB7A24">
          <v:shape id="_x0000_s1034" type="#_x0000_t75" alt="Decorative image" style="position:absolute;left:0;text-align:left;margin-left:0;margin-top:-105.95pt;width:602.15pt;height:853.35pt;z-index:-251655168;mso-position-horizontal:center;mso-position-horizontal-relative:text;mso-position-vertical:absolute;mso-position-vertical-relative:text">
            <v:imagedata r:id="rId32" o:title="ED15-0015 Corporate Plan 2015-19_Proof_high res-Back Cover"/>
          </v:shape>
        </w:pict>
      </w:r>
    </w:p>
    <w:p w14:paraId="39FB79FB" w14:textId="77777777" w:rsidR="003403EA" w:rsidRDefault="003403EA" w:rsidP="003403EA">
      <w:pPr>
        <w:spacing w:after="0"/>
        <w:jc w:val="right"/>
        <w:rPr>
          <w:bCs/>
          <w:color w:val="593674" w:themeColor="accent2"/>
          <w:sz w:val="36"/>
          <w:szCs w:val="36"/>
        </w:rPr>
      </w:pPr>
    </w:p>
    <w:p w14:paraId="39FB79FC" w14:textId="77777777" w:rsidR="003403EA" w:rsidRDefault="003403EA" w:rsidP="003403EA">
      <w:pPr>
        <w:spacing w:after="0"/>
        <w:jc w:val="right"/>
        <w:rPr>
          <w:bCs/>
          <w:color w:val="593674" w:themeColor="accent2"/>
          <w:sz w:val="36"/>
          <w:szCs w:val="36"/>
        </w:rPr>
      </w:pPr>
    </w:p>
    <w:p w14:paraId="39FB79FD" w14:textId="77777777" w:rsidR="003403EA" w:rsidRDefault="003403EA" w:rsidP="003403EA">
      <w:pPr>
        <w:spacing w:after="0"/>
        <w:jc w:val="right"/>
        <w:rPr>
          <w:bCs/>
          <w:color w:val="593674" w:themeColor="accent2"/>
          <w:sz w:val="36"/>
          <w:szCs w:val="36"/>
        </w:rPr>
      </w:pPr>
    </w:p>
    <w:p w14:paraId="39FB79FE" w14:textId="77777777" w:rsidR="003403EA" w:rsidRDefault="003403EA" w:rsidP="003403EA">
      <w:pPr>
        <w:spacing w:after="0"/>
        <w:jc w:val="right"/>
        <w:rPr>
          <w:bCs/>
          <w:color w:val="593674" w:themeColor="accent2"/>
          <w:sz w:val="36"/>
          <w:szCs w:val="36"/>
        </w:rPr>
      </w:pPr>
    </w:p>
    <w:p w14:paraId="39FB79FF" w14:textId="77777777" w:rsidR="003403EA" w:rsidRDefault="003403EA" w:rsidP="003403EA">
      <w:pPr>
        <w:spacing w:after="0"/>
        <w:jc w:val="right"/>
        <w:rPr>
          <w:bCs/>
          <w:color w:val="593674" w:themeColor="accent2"/>
          <w:sz w:val="36"/>
          <w:szCs w:val="36"/>
        </w:rPr>
      </w:pPr>
    </w:p>
    <w:p w14:paraId="39FB7A00" w14:textId="77777777" w:rsidR="003403EA" w:rsidRDefault="003403EA" w:rsidP="003403EA">
      <w:pPr>
        <w:spacing w:after="0"/>
        <w:jc w:val="right"/>
        <w:rPr>
          <w:bCs/>
          <w:color w:val="593674" w:themeColor="accent2"/>
          <w:sz w:val="36"/>
          <w:szCs w:val="36"/>
        </w:rPr>
      </w:pPr>
    </w:p>
    <w:p w14:paraId="39FB7A01" w14:textId="77777777" w:rsidR="003403EA" w:rsidRDefault="003403EA" w:rsidP="003403EA">
      <w:pPr>
        <w:spacing w:after="0"/>
        <w:jc w:val="right"/>
        <w:rPr>
          <w:bCs/>
          <w:color w:val="593674" w:themeColor="accent2"/>
          <w:sz w:val="36"/>
          <w:szCs w:val="36"/>
        </w:rPr>
      </w:pPr>
    </w:p>
    <w:p w14:paraId="39FB7A02" w14:textId="77777777" w:rsidR="003403EA" w:rsidRDefault="003403EA" w:rsidP="003403EA">
      <w:pPr>
        <w:spacing w:after="0"/>
        <w:jc w:val="right"/>
        <w:rPr>
          <w:bCs/>
          <w:color w:val="593674" w:themeColor="accent2"/>
          <w:sz w:val="36"/>
          <w:szCs w:val="36"/>
        </w:rPr>
      </w:pPr>
    </w:p>
    <w:p w14:paraId="39FB7A03" w14:textId="77777777" w:rsidR="003403EA" w:rsidRDefault="003403EA" w:rsidP="003403EA">
      <w:pPr>
        <w:spacing w:after="0"/>
        <w:jc w:val="right"/>
        <w:rPr>
          <w:bCs/>
          <w:color w:val="593674" w:themeColor="accent2"/>
          <w:sz w:val="36"/>
          <w:szCs w:val="36"/>
        </w:rPr>
      </w:pPr>
    </w:p>
    <w:p w14:paraId="39FB7A04" w14:textId="77777777" w:rsidR="003403EA" w:rsidRDefault="003403EA" w:rsidP="003403EA">
      <w:pPr>
        <w:spacing w:after="0"/>
        <w:jc w:val="right"/>
        <w:rPr>
          <w:bCs/>
          <w:color w:val="593674" w:themeColor="accent2"/>
          <w:sz w:val="36"/>
          <w:szCs w:val="36"/>
        </w:rPr>
      </w:pPr>
    </w:p>
    <w:p w14:paraId="39FB7A05" w14:textId="77777777" w:rsidR="003403EA" w:rsidRDefault="003403EA" w:rsidP="003403EA">
      <w:pPr>
        <w:spacing w:after="0"/>
        <w:jc w:val="right"/>
        <w:rPr>
          <w:bCs/>
          <w:color w:val="593674" w:themeColor="accent2"/>
          <w:sz w:val="36"/>
          <w:szCs w:val="36"/>
        </w:rPr>
      </w:pPr>
    </w:p>
    <w:p w14:paraId="39FB7A06" w14:textId="77777777" w:rsidR="003403EA" w:rsidRDefault="003403EA" w:rsidP="003403EA">
      <w:pPr>
        <w:spacing w:after="0"/>
        <w:jc w:val="right"/>
        <w:rPr>
          <w:bCs/>
          <w:color w:val="593674" w:themeColor="accent2"/>
          <w:sz w:val="36"/>
          <w:szCs w:val="36"/>
        </w:rPr>
      </w:pPr>
    </w:p>
    <w:p w14:paraId="39FB7A07" w14:textId="77777777" w:rsidR="003403EA" w:rsidRDefault="003403EA" w:rsidP="003403EA">
      <w:pPr>
        <w:spacing w:after="0"/>
        <w:jc w:val="right"/>
        <w:rPr>
          <w:bCs/>
          <w:color w:val="593674" w:themeColor="accent2"/>
          <w:sz w:val="36"/>
          <w:szCs w:val="36"/>
        </w:rPr>
      </w:pPr>
    </w:p>
    <w:p w14:paraId="39FB7A08" w14:textId="77777777" w:rsidR="003403EA" w:rsidRDefault="003403EA" w:rsidP="003403EA">
      <w:pPr>
        <w:spacing w:after="0"/>
        <w:jc w:val="right"/>
        <w:rPr>
          <w:bCs/>
          <w:color w:val="593674" w:themeColor="accent2"/>
          <w:sz w:val="36"/>
          <w:szCs w:val="36"/>
        </w:rPr>
      </w:pPr>
    </w:p>
    <w:p w14:paraId="39FB7A09" w14:textId="77777777" w:rsidR="003403EA" w:rsidRDefault="003403EA" w:rsidP="003403EA">
      <w:pPr>
        <w:spacing w:after="0"/>
        <w:jc w:val="right"/>
        <w:rPr>
          <w:bCs/>
          <w:color w:val="593674" w:themeColor="accent2"/>
          <w:sz w:val="36"/>
          <w:szCs w:val="36"/>
        </w:rPr>
      </w:pPr>
    </w:p>
    <w:p w14:paraId="39FB7A0A" w14:textId="77777777" w:rsidR="003403EA" w:rsidRDefault="003403EA" w:rsidP="003403EA">
      <w:pPr>
        <w:spacing w:after="0"/>
        <w:jc w:val="right"/>
        <w:rPr>
          <w:bCs/>
          <w:color w:val="593674" w:themeColor="accent2"/>
          <w:sz w:val="36"/>
          <w:szCs w:val="36"/>
        </w:rPr>
      </w:pPr>
    </w:p>
    <w:p w14:paraId="39FB7A0B" w14:textId="77777777" w:rsidR="003403EA" w:rsidRDefault="003403EA" w:rsidP="003403EA">
      <w:pPr>
        <w:spacing w:after="0"/>
        <w:jc w:val="right"/>
        <w:rPr>
          <w:bCs/>
          <w:color w:val="593674" w:themeColor="accent2"/>
          <w:sz w:val="36"/>
          <w:szCs w:val="36"/>
        </w:rPr>
      </w:pPr>
    </w:p>
    <w:p w14:paraId="39FB7A0C" w14:textId="77777777" w:rsidR="003403EA" w:rsidRDefault="003403EA" w:rsidP="003403EA">
      <w:pPr>
        <w:spacing w:after="0"/>
        <w:jc w:val="right"/>
        <w:rPr>
          <w:bCs/>
          <w:color w:val="593674" w:themeColor="accent2"/>
          <w:sz w:val="36"/>
          <w:szCs w:val="36"/>
        </w:rPr>
      </w:pPr>
    </w:p>
    <w:p w14:paraId="39FB7A0D" w14:textId="77777777" w:rsidR="003403EA" w:rsidRDefault="003403EA" w:rsidP="003403EA">
      <w:pPr>
        <w:spacing w:after="0"/>
        <w:jc w:val="right"/>
        <w:rPr>
          <w:bCs/>
          <w:color w:val="593674" w:themeColor="accent2"/>
          <w:sz w:val="36"/>
          <w:szCs w:val="36"/>
        </w:rPr>
      </w:pPr>
    </w:p>
    <w:p w14:paraId="39FB7A0E" w14:textId="77777777" w:rsidR="003403EA" w:rsidRDefault="003403EA" w:rsidP="003403EA">
      <w:pPr>
        <w:spacing w:after="0"/>
        <w:jc w:val="right"/>
        <w:rPr>
          <w:bCs/>
          <w:color w:val="593674" w:themeColor="accent2"/>
          <w:sz w:val="36"/>
          <w:szCs w:val="36"/>
        </w:rPr>
      </w:pPr>
    </w:p>
    <w:p w14:paraId="39FB7A0F" w14:textId="77777777" w:rsidR="003403EA" w:rsidRPr="003403EA" w:rsidRDefault="003403EA" w:rsidP="003403EA">
      <w:pPr>
        <w:spacing w:after="0"/>
        <w:jc w:val="right"/>
        <w:rPr>
          <w:b/>
          <w:bCs/>
          <w:color w:val="593674" w:themeColor="accent2"/>
          <w:sz w:val="36"/>
          <w:szCs w:val="36"/>
        </w:rPr>
      </w:pPr>
      <w:r w:rsidRPr="003403EA">
        <w:rPr>
          <w:b/>
          <w:bCs/>
          <w:color w:val="593674" w:themeColor="accent2"/>
          <w:sz w:val="36"/>
          <w:szCs w:val="36"/>
        </w:rPr>
        <w:t>Contacts</w:t>
      </w:r>
    </w:p>
    <w:p w14:paraId="39FB7A10" w14:textId="77777777" w:rsidR="003403EA" w:rsidRDefault="003403EA" w:rsidP="003403EA">
      <w:pPr>
        <w:spacing w:after="0"/>
        <w:jc w:val="right"/>
        <w:rPr>
          <w:bCs/>
        </w:rPr>
      </w:pPr>
      <w:r w:rsidRPr="003403EA">
        <w:rPr>
          <w:bCs/>
        </w:rPr>
        <w:t>PlanPerform@education.gov.au</w:t>
      </w:r>
    </w:p>
    <w:p w14:paraId="39FB7A11" w14:textId="77777777" w:rsidR="003403EA" w:rsidRDefault="003403EA" w:rsidP="003403EA">
      <w:pPr>
        <w:spacing w:after="120"/>
        <w:jc w:val="right"/>
        <w:rPr>
          <w:bCs/>
        </w:rPr>
      </w:pPr>
      <w:r w:rsidRPr="003403EA">
        <w:rPr>
          <w:bCs/>
        </w:rPr>
        <w:t>www.education.gov.au</w:t>
      </w:r>
    </w:p>
    <w:p w14:paraId="39FB7A12" w14:textId="77777777" w:rsidR="003403EA" w:rsidRDefault="003403EA" w:rsidP="003403EA">
      <w:pPr>
        <w:spacing w:after="0"/>
        <w:jc w:val="right"/>
        <w:rPr>
          <w:bCs/>
        </w:rPr>
      </w:pPr>
      <w:r w:rsidRPr="003403EA">
        <w:rPr>
          <w:bCs/>
        </w:rPr>
        <w:t>National</w:t>
      </w:r>
      <w:r>
        <w:rPr>
          <w:bCs/>
        </w:rPr>
        <w:t xml:space="preserve"> Office Address:</w:t>
      </w:r>
    </w:p>
    <w:p w14:paraId="39FB7A13" w14:textId="77777777" w:rsidR="003403EA" w:rsidRDefault="003403EA" w:rsidP="003403EA">
      <w:pPr>
        <w:spacing w:after="0"/>
        <w:jc w:val="right"/>
        <w:rPr>
          <w:bCs/>
        </w:rPr>
      </w:pPr>
      <w:r>
        <w:rPr>
          <w:bCs/>
        </w:rPr>
        <w:t>50 Marcus Clarke Street</w:t>
      </w:r>
    </w:p>
    <w:p w14:paraId="39FB7A14" w14:textId="77777777" w:rsidR="003403EA" w:rsidRPr="002B32E1" w:rsidRDefault="003403EA" w:rsidP="003403EA">
      <w:pPr>
        <w:spacing w:after="0"/>
        <w:jc w:val="right"/>
        <w:rPr>
          <w:bCs/>
        </w:rPr>
      </w:pPr>
      <w:r>
        <w:rPr>
          <w:bCs/>
        </w:rPr>
        <w:t>Canberra City Australia 2600</w:t>
      </w:r>
    </w:p>
    <w:sectPr w:rsidR="003403EA" w:rsidRPr="002B32E1" w:rsidSect="00CE127B">
      <w:headerReference w:type="default" r:id="rId33"/>
      <w:footerReference w:type="default" r:id="rId34"/>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B7A27" w14:textId="77777777" w:rsidR="00981A4D" w:rsidRDefault="00981A4D" w:rsidP="00130923">
      <w:pPr>
        <w:spacing w:after="0" w:line="240" w:lineRule="auto"/>
      </w:pPr>
      <w:r>
        <w:separator/>
      </w:r>
    </w:p>
  </w:endnote>
  <w:endnote w:type="continuationSeparator" w:id="0">
    <w:p w14:paraId="39FB7A28" w14:textId="77777777" w:rsidR="00981A4D" w:rsidRDefault="00981A4D"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B7A2A" w14:textId="77777777" w:rsidR="00981A4D" w:rsidRDefault="00981A4D"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B7A2C" w14:textId="77777777" w:rsidR="00981A4D" w:rsidRDefault="00182363"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981A4D">
          <w:fldChar w:fldCharType="begin"/>
        </w:r>
        <w:r w:rsidR="00981A4D">
          <w:instrText xml:space="preserve"> PAGE   \* MERGEFORMAT </w:instrText>
        </w:r>
        <w:r w:rsidR="00981A4D">
          <w:fldChar w:fldCharType="separate"/>
        </w:r>
        <w:r>
          <w:rPr>
            <w:noProof/>
          </w:rPr>
          <w:t>24</w:t>
        </w:r>
        <w:r w:rsidR="00981A4D">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B7A2E" w14:textId="77777777" w:rsidR="00CE127B" w:rsidRDefault="00CE127B" w:rsidP="00A73406">
    <w:pPr>
      <w:pStyle w:val="Footer"/>
      <w:tabs>
        <w:tab w:val="clear" w:pos="9026"/>
        <w:tab w:val="right" w:pos="8647"/>
      </w:tabs>
      <w:ind w:firstLine="7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B7A25" w14:textId="77777777" w:rsidR="00981A4D" w:rsidRDefault="00981A4D" w:rsidP="00130923">
      <w:pPr>
        <w:spacing w:after="0" w:line="240" w:lineRule="auto"/>
      </w:pPr>
      <w:r>
        <w:separator/>
      </w:r>
    </w:p>
  </w:footnote>
  <w:footnote w:type="continuationSeparator" w:id="0">
    <w:p w14:paraId="39FB7A26" w14:textId="77777777" w:rsidR="00981A4D" w:rsidRDefault="00981A4D"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B7A29" w14:textId="77777777" w:rsidR="00981A4D" w:rsidRDefault="00981A4D"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B7A2B" w14:textId="77777777" w:rsidR="00981A4D" w:rsidRDefault="00981A4D" w:rsidP="00560CA0">
    <w:pPr>
      <w:pStyle w:val="Header"/>
      <w:jc w:val="right"/>
    </w:pPr>
    <w:r>
      <w:t>Department of Education and Training – Corporate Plan 2015-19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B7A2D" w14:textId="77777777" w:rsidR="00CE127B" w:rsidRPr="00CE127B" w:rsidRDefault="00CE127B" w:rsidP="00CE12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nsid w:val="422E22D5"/>
    <w:multiLevelType w:val="hybridMultilevel"/>
    <w:tmpl w:val="642AFC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6A9A57B3"/>
    <w:multiLevelType w:val="hybridMultilevel"/>
    <w:tmpl w:val="9A1EE9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74B774DF"/>
    <w:multiLevelType w:val="hybridMultilevel"/>
    <w:tmpl w:val="9A1EE9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8C7D3C"/>
    <w:rsid w:val="00002721"/>
    <w:rsid w:val="000051C3"/>
    <w:rsid w:val="00007E0C"/>
    <w:rsid w:val="00024E24"/>
    <w:rsid w:val="00034EAA"/>
    <w:rsid w:val="0008065D"/>
    <w:rsid w:val="00081714"/>
    <w:rsid w:val="000861A6"/>
    <w:rsid w:val="000B04BE"/>
    <w:rsid w:val="000D7FD3"/>
    <w:rsid w:val="000E3260"/>
    <w:rsid w:val="000E7E7B"/>
    <w:rsid w:val="000F3BA2"/>
    <w:rsid w:val="000F4FF4"/>
    <w:rsid w:val="001175BF"/>
    <w:rsid w:val="00127034"/>
    <w:rsid w:val="00130923"/>
    <w:rsid w:val="001414F3"/>
    <w:rsid w:val="00143FCD"/>
    <w:rsid w:val="00182363"/>
    <w:rsid w:val="001B6467"/>
    <w:rsid w:val="001E7C7E"/>
    <w:rsid w:val="00223EB1"/>
    <w:rsid w:val="00236917"/>
    <w:rsid w:val="00243D6B"/>
    <w:rsid w:val="00251BCE"/>
    <w:rsid w:val="00256430"/>
    <w:rsid w:val="002A3DE3"/>
    <w:rsid w:val="002B06E6"/>
    <w:rsid w:val="002B32E1"/>
    <w:rsid w:val="002C3AA1"/>
    <w:rsid w:val="002D271F"/>
    <w:rsid w:val="002D6386"/>
    <w:rsid w:val="002D7B64"/>
    <w:rsid w:val="002F1999"/>
    <w:rsid w:val="002F1B07"/>
    <w:rsid w:val="003009B1"/>
    <w:rsid w:val="00302FA5"/>
    <w:rsid w:val="00303893"/>
    <w:rsid w:val="00305B35"/>
    <w:rsid w:val="00313676"/>
    <w:rsid w:val="003155A7"/>
    <w:rsid w:val="003155CC"/>
    <w:rsid w:val="003166C5"/>
    <w:rsid w:val="003179E5"/>
    <w:rsid w:val="003242B9"/>
    <w:rsid w:val="003403EA"/>
    <w:rsid w:val="003501DC"/>
    <w:rsid w:val="003810D8"/>
    <w:rsid w:val="00383514"/>
    <w:rsid w:val="00387DFE"/>
    <w:rsid w:val="003979FC"/>
    <w:rsid w:val="003C63A2"/>
    <w:rsid w:val="003D67FC"/>
    <w:rsid w:val="00406E5A"/>
    <w:rsid w:val="00424377"/>
    <w:rsid w:val="00455B34"/>
    <w:rsid w:val="00476D9F"/>
    <w:rsid w:val="00481F02"/>
    <w:rsid w:val="004856F7"/>
    <w:rsid w:val="0048762C"/>
    <w:rsid w:val="0049612C"/>
    <w:rsid w:val="004A13FF"/>
    <w:rsid w:val="004B1B7D"/>
    <w:rsid w:val="004B256F"/>
    <w:rsid w:val="004B6581"/>
    <w:rsid w:val="004D79ED"/>
    <w:rsid w:val="004F6F63"/>
    <w:rsid w:val="005113B6"/>
    <w:rsid w:val="00522E0C"/>
    <w:rsid w:val="00531817"/>
    <w:rsid w:val="005343E8"/>
    <w:rsid w:val="00551104"/>
    <w:rsid w:val="00560CA0"/>
    <w:rsid w:val="005624F3"/>
    <w:rsid w:val="00564A58"/>
    <w:rsid w:val="00577331"/>
    <w:rsid w:val="005811EF"/>
    <w:rsid w:val="005A24E4"/>
    <w:rsid w:val="005B0878"/>
    <w:rsid w:val="005C15C0"/>
    <w:rsid w:val="005D6DCD"/>
    <w:rsid w:val="00610654"/>
    <w:rsid w:val="00612D45"/>
    <w:rsid w:val="0062101D"/>
    <w:rsid w:val="006318B9"/>
    <w:rsid w:val="00635920"/>
    <w:rsid w:val="00640D64"/>
    <w:rsid w:val="0067026C"/>
    <w:rsid w:val="0068490D"/>
    <w:rsid w:val="00686F67"/>
    <w:rsid w:val="006C30B9"/>
    <w:rsid w:val="006D0E8E"/>
    <w:rsid w:val="006D72D3"/>
    <w:rsid w:val="006E2D49"/>
    <w:rsid w:val="007212D9"/>
    <w:rsid w:val="007468FC"/>
    <w:rsid w:val="0077043C"/>
    <w:rsid w:val="00792CA3"/>
    <w:rsid w:val="007A699F"/>
    <w:rsid w:val="007B2FDD"/>
    <w:rsid w:val="007C002D"/>
    <w:rsid w:val="007D58FB"/>
    <w:rsid w:val="00800762"/>
    <w:rsid w:val="00827EBA"/>
    <w:rsid w:val="0083468A"/>
    <w:rsid w:val="00842D43"/>
    <w:rsid w:val="0085425E"/>
    <w:rsid w:val="00856D1C"/>
    <w:rsid w:val="00876AC0"/>
    <w:rsid w:val="00882ABC"/>
    <w:rsid w:val="008A49D8"/>
    <w:rsid w:val="008A5299"/>
    <w:rsid w:val="008B1DBE"/>
    <w:rsid w:val="008C7D3C"/>
    <w:rsid w:val="008D0D98"/>
    <w:rsid w:val="008E7785"/>
    <w:rsid w:val="008F11AA"/>
    <w:rsid w:val="00903408"/>
    <w:rsid w:val="009116EA"/>
    <w:rsid w:val="009250E3"/>
    <w:rsid w:val="00933671"/>
    <w:rsid w:val="0093768E"/>
    <w:rsid w:val="00947B68"/>
    <w:rsid w:val="009542FF"/>
    <w:rsid w:val="00972BF7"/>
    <w:rsid w:val="00972DD5"/>
    <w:rsid w:val="00981A4D"/>
    <w:rsid w:val="00984879"/>
    <w:rsid w:val="00985632"/>
    <w:rsid w:val="009868F5"/>
    <w:rsid w:val="00991B63"/>
    <w:rsid w:val="009B2428"/>
    <w:rsid w:val="009B5CB7"/>
    <w:rsid w:val="009D185C"/>
    <w:rsid w:val="009E2E1A"/>
    <w:rsid w:val="00A01F6E"/>
    <w:rsid w:val="00A31242"/>
    <w:rsid w:val="00A41F5D"/>
    <w:rsid w:val="00A475CB"/>
    <w:rsid w:val="00A52530"/>
    <w:rsid w:val="00A52667"/>
    <w:rsid w:val="00A551BF"/>
    <w:rsid w:val="00A70524"/>
    <w:rsid w:val="00A73406"/>
    <w:rsid w:val="00A76398"/>
    <w:rsid w:val="00AB1761"/>
    <w:rsid w:val="00AC65DA"/>
    <w:rsid w:val="00AD09E4"/>
    <w:rsid w:val="00AE1127"/>
    <w:rsid w:val="00AF1737"/>
    <w:rsid w:val="00AF55E2"/>
    <w:rsid w:val="00B2722A"/>
    <w:rsid w:val="00B40FEB"/>
    <w:rsid w:val="00B53FDE"/>
    <w:rsid w:val="00B54A39"/>
    <w:rsid w:val="00B618BA"/>
    <w:rsid w:val="00B92809"/>
    <w:rsid w:val="00B95EA0"/>
    <w:rsid w:val="00BA282D"/>
    <w:rsid w:val="00BA4D57"/>
    <w:rsid w:val="00BB6260"/>
    <w:rsid w:val="00BF39E7"/>
    <w:rsid w:val="00C05E74"/>
    <w:rsid w:val="00C10C19"/>
    <w:rsid w:val="00C143B8"/>
    <w:rsid w:val="00C17D02"/>
    <w:rsid w:val="00C33A80"/>
    <w:rsid w:val="00C5649C"/>
    <w:rsid w:val="00C729FA"/>
    <w:rsid w:val="00C75486"/>
    <w:rsid w:val="00C81924"/>
    <w:rsid w:val="00C8202C"/>
    <w:rsid w:val="00C83847"/>
    <w:rsid w:val="00C847A2"/>
    <w:rsid w:val="00C92A5B"/>
    <w:rsid w:val="00CA46EC"/>
    <w:rsid w:val="00CE127B"/>
    <w:rsid w:val="00CE60A0"/>
    <w:rsid w:val="00CF4528"/>
    <w:rsid w:val="00CF6BEC"/>
    <w:rsid w:val="00D05B29"/>
    <w:rsid w:val="00D1394D"/>
    <w:rsid w:val="00D47740"/>
    <w:rsid w:val="00D812B9"/>
    <w:rsid w:val="00D903FD"/>
    <w:rsid w:val="00D94BC5"/>
    <w:rsid w:val="00D96C08"/>
    <w:rsid w:val="00DA4A3C"/>
    <w:rsid w:val="00DC3052"/>
    <w:rsid w:val="00DE15A0"/>
    <w:rsid w:val="00DF46C4"/>
    <w:rsid w:val="00DF4CA3"/>
    <w:rsid w:val="00E30F1E"/>
    <w:rsid w:val="00E35B9A"/>
    <w:rsid w:val="00E401E0"/>
    <w:rsid w:val="00E44B58"/>
    <w:rsid w:val="00E463AC"/>
    <w:rsid w:val="00E52909"/>
    <w:rsid w:val="00E92D4B"/>
    <w:rsid w:val="00EC78E7"/>
    <w:rsid w:val="00ED43D2"/>
    <w:rsid w:val="00EE35B6"/>
    <w:rsid w:val="00EE3B8C"/>
    <w:rsid w:val="00EF4A38"/>
    <w:rsid w:val="00EF5845"/>
    <w:rsid w:val="00F11B8F"/>
    <w:rsid w:val="00F30918"/>
    <w:rsid w:val="00F47193"/>
    <w:rsid w:val="00F62117"/>
    <w:rsid w:val="00F74011"/>
    <w:rsid w:val="00F80CFC"/>
    <w:rsid w:val="00FB1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B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NFP GP Bulleted List,List Paragraph1,Recommendation,List Paragraph11,L,bullet point list,List Paragraph - bullets,Bullet point,Dot point 1.5 line spacing,DDM Gen Text,List Paragraph Number,Content descriptions,Bullet Point,Bullet points"/>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contextualSpacing/>
    </w:pPr>
  </w:style>
  <w:style w:type="paragraph" w:styleId="ListBullet2">
    <w:name w:val="List Bullet 2"/>
    <w:basedOn w:val="Normal"/>
    <w:uiPriority w:val="99"/>
    <w:unhideWhenUsed/>
    <w:rsid w:val="00CA46EC"/>
    <w:pPr>
      <w:numPr>
        <w:ilvl w:val="1"/>
        <w:numId w:val="2"/>
      </w:numPr>
      <w:spacing w:after="120"/>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customStyle="1" w:styleId="ListParagraphChar">
    <w:name w:val="List Paragraph Char"/>
    <w:aliases w:val="NFP GP Bulleted List Char,List Paragraph1 Char,Recommendation Char,List Paragraph11 Char,L Char,bullet point list Char,List Paragraph - bullets Char,Bullet point Char,Dot point 1.5 line spacing Char,DDM Gen Text Char"/>
    <w:basedOn w:val="DefaultParagraphFont"/>
    <w:link w:val="ListParagraph"/>
    <w:uiPriority w:val="34"/>
    <w:locked/>
    <w:rsid w:val="00AB1761"/>
  </w:style>
  <w:style w:type="paragraph" w:styleId="TOC8">
    <w:name w:val="toc 8"/>
    <w:basedOn w:val="Normal"/>
    <w:next w:val="Normal"/>
    <w:autoRedefine/>
    <w:uiPriority w:val="39"/>
    <w:unhideWhenUsed/>
    <w:rsid w:val="00424377"/>
    <w:pPr>
      <w:spacing w:after="100"/>
      <w:ind w:left="1540"/>
    </w:pPr>
    <w:rPr>
      <w:lang w:eastAsia="en-AU"/>
    </w:rPr>
  </w:style>
  <w:style w:type="character" w:styleId="FollowedHyperlink">
    <w:name w:val="FollowedHyperlink"/>
    <w:basedOn w:val="DefaultParagraphFont"/>
    <w:uiPriority w:val="99"/>
    <w:semiHidden/>
    <w:unhideWhenUsed/>
    <w:rsid w:val="003403EA"/>
    <w:rPr>
      <w:color w:val="00000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NFP GP Bulleted List,List Paragraph1,Recommendation,List Paragraph11,L,bullet point list,List Paragraph - bullets,Bullet point,Dot point 1.5 line spacing,DDM Gen Text,List Paragraph Number,Content descriptions,Bullet Point,Bullet points"/>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contextualSpacing/>
    </w:pPr>
  </w:style>
  <w:style w:type="paragraph" w:styleId="ListBullet2">
    <w:name w:val="List Bullet 2"/>
    <w:basedOn w:val="Normal"/>
    <w:uiPriority w:val="99"/>
    <w:unhideWhenUsed/>
    <w:rsid w:val="00CA46EC"/>
    <w:pPr>
      <w:numPr>
        <w:ilvl w:val="1"/>
        <w:numId w:val="2"/>
      </w:numPr>
      <w:spacing w:after="120"/>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character" w:customStyle="1" w:styleId="ListParagraphChar">
    <w:name w:val="List Paragraph Char"/>
    <w:aliases w:val="NFP GP Bulleted List Char,List Paragraph1 Char,Recommendation Char,List Paragraph11 Char,L Char,bullet point list Char,List Paragraph - bullets Char,Bullet point Char,Dot point 1.5 line spacing Char,DDM Gen Text Char"/>
    <w:basedOn w:val="DefaultParagraphFont"/>
    <w:link w:val="ListParagraph"/>
    <w:uiPriority w:val="34"/>
    <w:locked/>
    <w:rsid w:val="00AB1761"/>
  </w:style>
  <w:style w:type="paragraph" w:styleId="TOC8">
    <w:name w:val="toc 8"/>
    <w:basedOn w:val="Normal"/>
    <w:next w:val="Normal"/>
    <w:autoRedefine/>
    <w:uiPriority w:val="39"/>
    <w:unhideWhenUsed/>
    <w:rsid w:val="00424377"/>
    <w:pPr>
      <w:spacing w:after="100"/>
      <w:ind w:left="1540"/>
    </w:pPr>
    <w:rPr>
      <w:lang w:eastAsia="en-AU"/>
    </w:rPr>
  </w:style>
  <w:style w:type="character" w:styleId="FollowedHyperlink">
    <w:name w:val="FollowedHyperlink"/>
    <w:basedOn w:val="DefaultParagraphFont"/>
    <w:uiPriority w:val="99"/>
    <w:semiHidden/>
    <w:unhideWhenUsed/>
    <w:rsid w:val="003403EA"/>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9469">
      <w:bodyDiv w:val="1"/>
      <w:marLeft w:val="0"/>
      <w:marRight w:val="0"/>
      <w:marTop w:val="0"/>
      <w:marBottom w:val="0"/>
      <w:divBdr>
        <w:top w:val="none" w:sz="0" w:space="0" w:color="auto"/>
        <w:left w:val="none" w:sz="0" w:space="0" w:color="auto"/>
        <w:bottom w:val="none" w:sz="0" w:space="0" w:color="auto"/>
        <w:right w:val="none" w:sz="0" w:space="0" w:color="auto"/>
      </w:divBdr>
    </w:div>
    <w:div w:id="58793466">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91458793">
      <w:bodyDiv w:val="1"/>
      <w:marLeft w:val="0"/>
      <w:marRight w:val="0"/>
      <w:marTop w:val="0"/>
      <w:marBottom w:val="0"/>
      <w:divBdr>
        <w:top w:val="none" w:sz="0" w:space="0" w:color="auto"/>
        <w:left w:val="none" w:sz="0" w:space="0" w:color="auto"/>
        <w:bottom w:val="none" w:sz="0" w:space="0" w:color="auto"/>
        <w:right w:val="none" w:sz="0" w:space="0" w:color="auto"/>
      </w:divBdr>
    </w:div>
    <w:div w:id="194075814">
      <w:bodyDiv w:val="1"/>
      <w:marLeft w:val="0"/>
      <w:marRight w:val="0"/>
      <w:marTop w:val="0"/>
      <w:marBottom w:val="0"/>
      <w:divBdr>
        <w:top w:val="none" w:sz="0" w:space="0" w:color="auto"/>
        <w:left w:val="none" w:sz="0" w:space="0" w:color="auto"/>
        <w:bottom w:val="none" w:sz="0" w:space="0" w:color="auto"/>
        <w:right w:val="none" w:sz="0" w:space="0" w:color="auto"/>
      </w:divBdr>
    </w:div>
    <w:div w:id="336083275">
      <w:bodyDiv w:val="1"/>
      <w:marLeft w:val="0"/>
      <w:marRight w:val="0"/>
      <w:marTop w:val="0"/>
      <w:marBottom w:val="0"/>
      <w:divBdr>
        <w:top w:val="none" w:sz="0" w:space="0" w:color="auto"/>
        <w:left w:val="none" w:sz="0" w:space="0" w:color="auto"/>
        <w:bottom w:val="none" w:sz="0" w:space="0" w:color="auto"/>
        <w:right w:val="none" w:sz="0" w:space="0" w:color="auto"/>
      </w:divBdr>
    </w:div>
    <w:div w:id="378482638">
      <w:bodyDiv w:val="1"/>
      <w:marLeft w:val="0"/>
      <w:marRight w:val="0"/>
      <w:marTop w:val="0"/>
      <w:marBottom w:val="0"/>
      <w:divBdr>
        <w:top w:val="none" w:sz="0" w:space="0" w:color="auto"/>
        <w:left w:val="none" w:sz="0" w:space="0" w:color="auto"/>
        <w:bottom w:val="none" w:sz="0" w:space="0" w:color="auto"/>
        <w:right w:val="none" w:sz="0" w:space="0" w:color="auto"/>
      </w:divBdr>
    </w:div>
    <w:div w:id="579488232">
      <w:bodyDiv w:val="1"/>
      <w:marLeft w:val="0"/>
      <w:marRight w:val="0"/>
      <w:marTop w:val="0"/>
      <w:marBottom w:val="0"/>
      <w:divBdr>
        <w:top w:val="none" w:sz="0" w:space="0" w:color="auto"/>
        <w:left w:val="none" w:sz="0" w:space="0" w:color="auto"/>
        <w:bottom w:val="none" w:sz="0" w:space="0" w:color="auto"/>
        <w:right w:val="none" w:sz="0" w:space="0" w:color="auto"/>
      </w:divBdr>
    </w:div>
    <w:div w:id="588537079">
      <w:bodyDiv w:val="1"/>
      <w:marLeft w:val="0"/>
      <w:marRight w:val="0"/>
      <w:marTop w:val="0"/>
      <w:marBottom w:val="0"/>
      <w:divBdr>
        <w:top w:val="none" w:sz="0" w:space="0" w:color="auto"/>
        <w:left w:val="none" w:sz="0" w:space="0" w:color="auto"/>
        <w:bottom w:val="none" w:sz="0" w:space="0" w:color="auto"/>
        <w:right w:val="none" w:sz="0" w:space="0" w:color="auto"/>
      </w:divBdr>
    </w:div>
    <w:div w:id="686635133">
      <w:bodyDiv w:val="1"/>
      <w:marLeft w:val="0"/>
      <w:marRight w:val="0"/>
      <w:marTop w:val="0"/>
      <w:marBottom w:val="0"/>
      <w:divBdr>
        <w:top w:val="none" w:sz="0" w:space="0" w:color="auto"/>
        <w:left w:val="none" w:sz="0" w:space="0" w:color="auto"/>
        <w:bottom w:val="none" w:sz="0" w:space="0" w:color="auto"/>
        <w:right w:val="none" w:sz="0" w:space="0" w:color="auto"/>
      </w:divBdr>
    </w:div>
    <w:div w:id="1092166140">
      <w:bodyDiv w:val="1"/>
      <w:marLeft w:val="0"/>
      <w:marRight w:val="0"/>
      <w:marTop w:val="0"/>
      <w:marBottom w:val="0"/>
      <w:divBdr>
        <w:top w:val="none" w:sz="0" w:space="0" w:color="auto"/>
        <w:left w:val="none" w:sz="0" w:space="0" w:color="auto"/>
        <w:bottom w:val="none" w:sz="0" w:space="0" w:color="auto"/>
        <w:right w:val="none" w:sz="0" w:space="0" w:color="auto"/>
      </w:divBdr>
    </w:div>
    <w:div w:id="1314527741">
      <w:bodyDiv w:val="1"/>
      <w:marLeft w:val="0"/>
      <w:marRight w:val="0"/>
      <w:marTop w:val="0"/>
      <w:marBottom w:val="0"/>
      <w:divBdr>
        <w:top w:val="none" w:sz="0" w:space="0" w:color="auto"/>
        <w:left w:val="none" w:sz="0" w:space="0" w:color="auto"/>
        <w:bottom w:val="none" w:sz="0" w:space="0" w:color="auto"/>
        <w:right w:val="none" w:sz="0" w:space="0" w:color="auto"/>
      </w:divBdr>
    </w:div>
    <w:div w:id="1388072925">
      <w:bodyDiv w:val="1"/>
      <w:marLeft w:val="0"/>
      <w:marRight w:val="0"/>
      <w:marTop w:val="0"/>
      <w:marBottom w:val="0"/>
      <w:divBdr>
        <w:top w:val="none" w:sz="0" w:space="0" w:color="auto"/>
        <w:left w:val="none" w:sz="0" w:space="0" w:color="auto"/>
        <w:bottom w:val="none" w:sz="0" w:space="0" w:color="auto"/>
        <w:right w:val="none" w:sz="0" w:space="0" w:color="auto"/>
      </w:divBdr>
    </w:div>
    <w:div w:id="1428038988">
      <w:bodyDiv w:val="1"/>
      <w:marLeft w:val="0"/>
      <w:marRight w:val="0"/>
      <w:marTop w:val="0"/>
      <w:marBottom w:val="0"/>
      <w:divBdr>
        <w:top w:val="none" w:sz="0" w:space="0" w:color="auto"/>
        <w:left w:val="none" w:sz="0" w:space="0" w:color="auto"/>
        <w:bottom w:val="none" w:sz="0" w:space="0" w:color="auto"/>
        <w:right w:val="none" w:sz="0" w:space="0" w:color="auto"/>
      </w:divBdr>
    </w:div>
    <w:div w:id="1824853059">
      <w:bodyDiv w:val="1"/>
      <w:marLeft w:val="0"/>
      <w:marRight w:val="0"/>
      <w:marTop w:val="0"/>
      <w:marBottom w:val="0"/>
      <w:divBdr>
        <w:top w:val="none" w:sz="0" w:space="0" w:color="auto"/>
        <w:left w:val="none" w:sz="0" w:space="0" w:color="auto"/>
        <w:bottom w:val="none" w:sz="0" w:space="0" w:color="auto"/>
        <w:right w:val="none" w:sz="0" w:space="0" w:color="auto"/>
      </w:divBdr>
    </w:div>
    <w:div w:id="195200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yperlink" Target="http://creativecommons.org/licenses/by/3.0/au/" TargetMode="External"/><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cid:image001.png@01CC5B5E.C6C84990" TargetMode="External"/><Relationship Id="rId25" Type="http://schemas.openxmlformats.org/officeDocument/2006/relationships/image" Target="media/image8.jpe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7.jpeg"/><Relationship Id="rId32"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apsc.gov.au/aps-employment-policy-and-advice/aps-values-and-code-of-conduct" TargetMode="External"/><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creativecommons.org/licenses/by/3.0/au/legalcode"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header" Target="header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c0169cb3ec059734b3996919675665a8">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e239c91d44a4bcdb4eb0fe645f6a7a08"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and 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533CA-015D-4C1D-AEC3-1A6A2CB09D9B}">
  <ds:schemaRefs>
    <ds:schemaRef ds:uri="http://schemas.microsoft.com/sharepoint/v3/contenttype/forms"/>
  </ds:schemaRefs>
</ds:datastoreItem>
</file>

<file path=customXml/itemProps2.xml><?xml version="1.0" encoding="utf-8"?>
<ds:datastoreItem xmlns:ds="http://schemas.openxmlformats.org/officeDocument/2006/customXml" ds:itemID="{CCC04838-1018-44CC-87B2-98BDA425C137}">
  <ds:schemaRefs>
    <ds:schemaRef ds:uri="http://schemas.microsoft.com/office/2006/documentManagement/types"/>
    <ds:schemaRef ds:uri="http://purl.org/dc/dcmitype/"/>
    <ds:schemaRef ds:uri="http://schemas.microsoft.com/office/infopath/2007/PartnerControls"/>
    <ds:schemaRef ds:uri="http://purl.org/dc/terms/"/>
    <ds:schemaRef ds:uri="http://purl.org/dc/elements/1.1/"/>
    <ds:schemaRef ds:uri="http://www.w3.org/XML/1998/namespace"/>
    <ds:schemaRef ds:uri="c5a0bbd5-585e-4472-9791-5df67fe41a90"/>
    <ds:schemaRef ds:uri="http://schemas.openxmlformats.org/package/2006/metadata/core-propertie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F15DB34F-C981-4EED-9190-5F7FDBF9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CDA82B-B263-430B-8CA6-D06F684B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9561DE5D.dotm</Template>
  <TotalTime>0</TotalTime>
  <Pages>32</Pages>
  <Words>6996</Words>
  <Characters>39883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2015-09-17T22:10:00Z</dcterms:created>
  <dcterms:modified xsi:type="dcterms:W3CDTF">2015-09-17T22:10:00Z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1900</vt:r8>
  </property>
</Properties>
</file>