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10CEF" w14:textId="2212EF90" w:rsidR="00984FB8" w:rsidRPr="00C90260" w:rsidRDefault="00EA26C8" w:rsidP="00C90260">
      <w:r>
        <w:rPr>
          <w:noProof/>
        </w:rPr>
        <w:drawing>
          <wp:anchor distT="0" distB="0" distL="114300" distR="114300" simplePos="0" relativeHeight="251658752" behindDoc="1" locked="0" layoutInCell="1" allowOverlap="1" wp14:anchorId="63885BF4" wp14:editId="15CC3053">
            <wp:simplePos x="0" y="0"/>
            <wp:positionH relativeFrom="column">
              <wp:posOffset>-791845</wp:posOffset>
            </wp:positionH>
            <wp:positionV relativeFrom="page">
              <wp:posOffset>-17145</wp:posOffset>
            </wp:positionV>
            <wp:extent cx="7672705" cy="2450465"/>
            <wp:effectExtent l="0" t="0" r="4445" b="0"/>
            <wp:wrapNone/>
            <wp:docPr id="4" name="Picture 4" descr="Background pattern, 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 rectangle&#10;&#10;Description automatically generated with medium confidence"/>
                    <pic:cNvPicPr/>
                  </pic:nvPicPr>
                  <pic:blipFill>
                    <a:blip r:embed="rId8"/>
                    <a:stretch>
                      <a:fillRect/>
                    </a:stretch>
                  </pic:blipFill>
                  <pic:spPr>
                    <a:xfrm>
                      <a:off x="0" y="0"/>
                      <a:ext cx="7672705" cy="2450465"/>
                    </a:xfrm>
                    <a:prstGeom prst="rect">
                      <a:avLst/>
                    </a:prstGeom>
                  </pic:spPr>
                </pic:pic>
              </a:graphicData>
            </a:graphic>
            <wp14:sizeRelH relativeFrom="page">
              <wp14:pctWidth>0</wp14:pctWidth>
            </wp14:sizeRelH>
            <wp14:sizeRelV relativeFrom="page">
              <wp14:pctHeight>0</wp14:pctHeight>
            </wp14:sizeRelV>
          </wp:anchor>
        </w:drawing>
      </w:r>
      <w:r w:rsidR="00984FB8">
        <w:rPr>
          <w:noProof/>
        </w:rPr>
        <w:drawing>
          <wp:inline distT="0" distB="0" distL="0" distR="0" wp14:anchorId="360793E7" wp14:editId="4B7D347D">
            <wp:extent cx="2383155" cy="727075"/>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9">
                      <a:extLst>
                        <a:ext uri="{96DAC541-7B7A-43D3-8B79-37D633B846F1}">
                          <asvg:svgBlip xmlns:asvg="http://schemas.microsoft.com/office/drawing/2016/SVG/main" r:embed="rId10"/>
                        </a:ext>
                      </a:extLst>
                    </a:blip>
                    <a:stretch>
                      <a:fillRect/>
                    </a:stretch>
                  </pic:blipFill>
                  <pic:spPr>
                    <a:xfrm>
                      <a:off x="0" y="0"/>
                      <a:ext cx="2383155" cy="727075"/>
                    </a:xfrm>
                    <a:prstGeom prst="rect">
                      <a:avLst/>
                    </a:prstGeom>
                  </pic:spPr>
                </pic:pic>
              </a:graphicData>
            </a:graphic>
          </wp:inline>
        </w:drawing>
      </w:r>
    </w:p>
    <w:p w14:paraId="13A5D479" w14:textId="1727C7C8" w:rsidR="00C85E46" w:rsidRDefault="00C85E46" w:rsidP="00C85E46">
      <w:pPr>
        <w:pStyle w:val="Title"/>
        <w:spacing w:line="240" w:lineRule="auto"/>
        <w:ind w:left="1276"/>
        <w:rPr>
          <w:noProof/>
          <w:color w:val="404246"/>
          <w:lang w:eastAsia="en-AU"/>
        </w:rPr>
      </w:pPr>
      <w:r>
        <w:rPr>
          <w:noProof/>
          <w:color w:val="404246"/>
          <w:lang w:eastAsia="en-AU"/>
        </w:rPr>
        <w:t>Place-based approaches:</w:t>
      </w:r>
      <w:r w:rsidR="00DB1708">
        <w:rPr>
          <w:noProof/>
          <w:color w:val="404246"/>
          <w:lang w:eastAsia="en-AU"/>
        </w:rPr>
        <w:t xml:space="preserve"> </w:t>
      </w:r>
      <w:r w:rsidR="00AD51C7">
        <w:rPr>
          <w:noProof/>
          <w:color w:val="404246"/>
          <w:lang w:eastAsia="en-AU"/>
        </w:rPr>
        <w:t>U</w:t>
      </w:r>
      <w:r w:rsidR="00DB1708">
        <w:rPr>
          <w:noProof/>
          <w:color w:val="404246"/>
          <w:lang w:eastAsia="en-AU"/>
        </w:rPr>
        <w:t>nderstanding the elemen</w:t>
      </w:r>
      <w:r w:rsidR="00201157">
        <w:rPr>
          <w:noProof/>
          <w:color w:val="404246"/>
          <w:lang w:eastAsia="en-AU"/>
        </w:rPr>
        <w:t>t</w:t>
      </w:r>
      <w:r w:rsidR="00DB1708">
        <w:rPr>
          <w:noProof/>
          <w:color w:val="404246"/>
          <w:lang w:eastAsia="en-AU"/>
        </w:rPr>
        <w:t>s of success to help inform future policy design</w:t>
      </w:r>
    </w:p>
    <w:p w14:paraId="3AE10938" w14:textId="77777777" w:rsidR="00C85E46" w:rsidRPr="00C85E46" w:rsidRDefault="00C85E46" w:rsidP="00C85E46">
      <w:pPr>
        <w:rPr>
          <w:lang w:eastAsia="en-AU"/>
        </w:rPr>
      </w:pPr>
    </w:p>
    <w:p w14:paraId="76CB6362" w14:textId="407942DB" w:rsidR="00DB1708" w:rsidRPr="00DB1708" w:rsidRDefault="00DB1708" w:rsidP="00DB1708">
      <w:pPr>
        <w:pStyle w:val="Subtitle"/>
        <w:spacing w:before="240"/>
        <w:ind w:left="1276"/>
        <w:rPr>
          <w:noProof/>
          <w:lang w:eastAsia="en-AU"/>
        </w:rPr>
      </w:pPr>
      <w:r>
        <w:rPr>
          <w:noProof/>
          <w:lang w:eastAsia="en-AU"/>
        </w:rPr>
        <w:t>DEWR Local Jobs Stakeholder Consultation Summary of findings</w:t>
      </w:r>
    </w:p>
    <w:p w14:paraId="15277A78" w14:textId="77777777" w:rsidR="00930CDA" w:rsidRPr="0095636C" w:rsidRDefault="00930CDA" w:rsidP="0095636C">
      <w:r>
        <w:rPr>
          <w:noProof/>
          <w:lang w:eastAsia="en-AU"/>
        </w:rPr>
        <w:br w:type="page"/>
      </w:r>
    </w:p>
    <w:p w14:paraId="26921407" w14:textId="77777777" w:rsidR="002B1CE5" w:rsidRDefault="002B1CE5" w:rsidP="002B1CE5">
      <w:pPr>
        <w:pStyle w:val="Title"/>
      </w:pPr>
      <w:r>
        <w:lastRenderedPageBreak/>
        <w:t>Title</w:t>
      </w:r>
    </w:p>
    <w:p w14:paraId="576CF41C" w14:textId="3090CD60" w:rsidR="00053554" w:rsidRDefault="00053554" w:rsidP="00725177">
      <w:pPr>
        <w:tabs>
          <w:tab w:val="left" w:pos="5856"/>
        </w:tabs>
        <w:spacing w:before="8040"/>
        <w:contextualSpacing/>
        <w:rPr>
          <w:noProof/>
        </w:rPr>
      </w:pPr>
      <w:bookmarkStart w:id="0" w:name="_Toc30065222"/>
    </w:p>
    <w:p w14:paraId="792D541A" w14:textId="77777777" w:rsidR="0073637A" w:rsidRDefault="0073637A" w:rsidP="00725177">
      <w:pPr>
        <w:tabs>
          <w:tab w:val="left" w:pos="5856"/>
        </w:tabs>
        <w:spacing w:before="8040"/>
        <w:contextualSpacing/>
        <w:rPr>
          <w:noProof/>
        </w:rPr>
      </w:pPr>
    </w:p>
    <w:p w14:paraId="2926F83F" w14:textId="77777777" w:rsidR="0073637A" w:rsidRDefault="0073637A" w:rsidP="00725177">
      <w:pPr>
        <w:tabs>
          <w:tab w:val="left" w:pos="5856"/>
        </w:tabs>
        <w:spacing w:before="8040"/>
        <w:contextualSpacing/>
        <w:rPr>
          <w:noProof/>
        </w:rPr>
      </w:pPr>
    </w:p>
    <w:p w14:paraId="5A8D122B" w14:textId="77777777" w:rsidR="0073637A" w:rsidRDefault="0073637A" w:rsidP="00725177">
      <w:pPr>
        <w:tabs>
          <w:tab w:val="left" w:pos="5856"/>
        </w:tabs>
        <w:spacing w:before="8040"/>
        <w:contextualSpacing/>
        <w:rPr>
          <w:noProof/>
        </w:rPr>
      </w:pPr>
    </w:p>
    <w:p w14:paraId="3A60284F" w14:textId="77777777" w:rsidR="0073637A" w:rsidRPr="003C539C" w:rsidRDefault="0073637A" w:rsidP="00725177">
      <w:pPr>
        <w:tabs>
          <w:tab w:val="left" w:pos="5856"/>
        </w:tabs>
        <w:spacing w:before="8040"/>
        <w:contextualSpacing/>
      </w:pPr>
    </w:p>
    <w:p w14:paraId="09DDBE8D" w14:textId="77777777" w:rsidR="00053554" w:rsidRPr="00155022" w:rsidRDefault="00053554" w:rsidP="00053554">
      <w:r w:rsidRPr="00155022">
        <w:t>With the exception of the Commonwealth Coat of Arms, the Department’s logo, any material protected by a trade mark and where otherwise noted all material presented in this document is</w:t>
      </w:r>
      <w:r>
        <w:t> </w:t>
      </w:r>
      <w:r w:rsidRPr="00155022">
        <w:t xml:space="preserve">provided under a </w:t>
      </w:r>
      <w:hyperlink r:id="rId11" w:history="1">
        <w:r w:rsidRPr="00155022">
          <w:rPr>
            <w:rStyle w:val="Hyperlink"/>
          </w:rPr>
          <w:t>Creative Commons Attribution 4.0 International</w:t>
        </w:r>
      </w:hyperlink>
      <w:r w:rsidRPr="00155022">
        <w:t xml:space="preserve"> (https://creativecommons.org/licenses/by/4.0/) licence.</w:t>
      </w:r>
    </w:p>
    <w:p w14:paraId="1AE3DBAD" w14:textId="77777777" w:rsidR="00053554" w:rsidRPr="00155022" w:rsidRDefault="00053554" w:rsidP="00053554">
      <w:r w:rsidRPr="00155022">
        <w:t xml:space="preserve">The details of the relevant licence conditions are available on the Creative Commons website (accessible using the links provided) as is the full legal code for the </w:t>
      </w:r>
      <w:hyperlink r:id="rId12" w:history="1">
        <w:r w:rsidRPr="00155022">
          <w:rPr>
            <w:rStyle w:val="Hyperlink"/>
          </w:rPr>
          <w:t>CC BY 4.0 International</w:t>
        </w:r>
      </w:hyperlink>
      <w:r w:rsidRPr="00155022">
        <w:t xml:space="preserve"> (https://creativecommons.org/licenses/by/4.0/legalcode)</w:t>
      </w:r>
    </w:p>
    <w:p w14:paraId="1ACFAA15" w14:textId="61DEC077" w:rsidR="00EA67FC" w:rsidRDefault="00053554" w:rsidP="00053554">
      <w:r w:rsidRPr="003C539C">
        <w:t xml:space="preserve">The document must be attributed as the </w:t>
      </w:r>
      <w:r w:rsidR="0033710D" w:rsidRPr="00201157">
        <w:t>Placed-based approaches: understanding the elemen</w:t>
      </w:r>
      <w:r w:rsidR="0033710D">
        <w:t>t</w:t>
      </w:r>
      <w:r w:rsidR="0033710D" w:rsidRPr="00201157">
        <w:t>s of success to help inform future policy</w:t>
      </w:r>
      <w:r w:rsidRPr="003C539C">
        <w:t>.</w:t>
      </w:r>
      <w:r w:rsidR="00EA67FC">
        <w:br w:type="page"/>
      </w:r>
    </w:p>
    <w:p w14:paraId="2BBCB76E" w14:textId="77777777" w:rsidR="007855CC" w:rsidRDefault="007855CC" w:rsidP="007855CC">
      <w:pPr>
        <w:sectPr w:rsidR="007855CC" w:rsidSect="00EA67FC">
          <w:footerReference w:type="default" r:id="rId13"/>
          <w:type w:val="continuous"/>
          <w:pgSz w:w="11906" w:h="16838"/>
          <w:pgMar w:top="1418" w:right="1440" w:bottom="1560" w:left="1276" w:header="708" w:footer="708" w:gutter="0"/>
          <w:cols w:space="708"/>
          <w:titlePg/>
          <w:docGrid w:linePitch="360"/>
        </w:sectPr>
      </w:pPr>
    </w:p>
    <w:sdt>
      <w:sdtPr>
        <w:rPr>
          <w:rFonts w:asciiTheme="minorHAnsi" w:eastAsiaTheme="minorEastAsia" w:hAnsiTheme="minorHAnsi" w:cstheme="minorBidi"/>
          <w:b w:val="0"/>
          <w:bCs/>
          <w:color w:val="000000" w:themeColor="text1"/>
          <w:sz w:val="22"/>
          <w:szCs w:val="22"/>
        </w:rPr>
        <w:id w:val="-139263470"/>
        <w:docPartObj>
          <w:docPartGallery w:val="Table of Contents"/>
          <w:docPartUnique/>
        </w:docPartObj>
      </w:sdtPr>
      <w:sdtEndPr>
        <w:rPr>
          <w:rFonts w:eastAsiaTheme="minorHAnsi"/>
          <w:bCs w:val="0"/>
          <w:color w:val="auto"/>
        </w:rPr>
      </w:sdtEndPr>
      <w:sdtContent>
        <w:p w14:paraId="01D5BB99" w14:textId="77777777" w:rsidR="007855CC" w:rsidRPr="003C539C" w:rsidRDefault="007855CC" w:rsidP="007855CC">
          <w:pPr>
            <w:pStyle w:val="TOCHeading"/>
          </w:pPr>
          <w:r w:rsidRPr="00D84395">
            <w:t>Contents</w:t>
          </w:r>
        </w:p>
        <w:p w14:paraId="701108E8" w14:textId="218D214D" w:rsidR="00C50497" w:rsidRDefault="0095636C">
          <w:pPr>
            <w:pStyle w:val="TOC1"/>
            <w:tabs>
              <w:tab w:val="right" w:leader="dot" w:pos="9060"/>
            </w:tabs>
            <w:rPr>
              <w:rFonts w:eastAsiaTheme="minorEastAsia"/>
              <w:b w:val="0"/>
              <w:noProof/>
              <w:kern w:val="2"/>
              <w:lang w:eastAsia="en-AU"/>
              <w14:ligatures w14:val="standardContextual"/>
            </w:rPr>
          </w:pPr>
          <w:r>
            <w:rPr>
              <w:rFonts w:ascii="Calibri" w:eastAsiaTheme="majorEastAsia" w:hAnsi="Calibri" w:cstheme="majorBidi"/>
              <w:b w:val="0"/>
              <w:color w:val="343741"/>
              <w:sz w:val="32"/>
              <w:szCs w:val="32"/>
            </w:rPr>
            <w:fldChar w:fldCharType="begin"/>
          </w:r>
          <w:r>
            <w:rPr>
              <w:rFonts w:ascii="Calibri" w:eastAsiaTheme="majorEastAsia" w:hAnsi="Calibri" w:cstheme="majorBidi"/>
              <w:b w:val="0"/>
              <w:color w:val="343741"/>
              <w:sz w:val="32"/>
              <w:szCs w:val="32"/>
            </w:rPr>
            <w:instrText xml:space="preserve"> TOC \o "1-3" \h \z \u </w:instrText>
          </w:r>
          <w:r>
            <w:rPr>
              <w:rFonts w:ascii="Calibri" w:eastAsiaTheme="majorEastAsia" w:hAnsi="Calibri" w:cstheme="majorBidi"/>
              <w:b w:val="0"/>
              <w:color w:val="343741"/>
              <w:sz w:val="32"/>
              <w:szCs w:val="32"/>
            </w:rPr>
            <w:fldChar w:fldCharType="separate"/>
          </w:r>
          <w:hyperlink w:anchor="_Toc157755338" w:history="1">
            <w:r w:rsidR="00C50497" w:rsidRPr="00A37E86">
              <w:rPr>
                <w:rStyle w:val="Hyperlink"/>
                <w:rFonts w:asciiTheme="majorHAnsi" w:hAnsiTheme="majorHAnsi"/>
                <w:noProof/>
                <w:lang w:val="en-GB"/>
              </w:rPr>
              <w:t>Purpose of consultations</w:t>
            </w:r>
            <w:r w:rsidR="00C50497">
              <w:rPr>
                <w:noProof/>
                <w:webHidden/>
              </w:rPr>
              <w:tab/>
            </w:r>
            <w:r w:rsidR="00C50497">
              <w:rPr>
                <w:noProof/>
                <w:webHidden/>
              </w:rPr>
              <w:fldChar w:fldCharType="begin"/>
            </w:r>
            <w:r w:rsidR="00C50497">
              <w:rPr>
                <w:noProof/>
                <w:webHidden/>
              </w:rPr>
              <w:instrText xml:space="preserve"> PAGEREF _Toc157755338 \h </w:instrText>
            </w:r>
            <w:r w:rsidR="00C50497">
              <w:rPr>
                <w:noProof/>
                <w:webHidden/>
              </w:rPr>
            </w:r>
            <w:r w:rsidR="00C50497">
              <w:rPr>
                <w:noProof/>
                <w:webHidden/>
              </w:rPr>
              <w:fldChar w:fldCharType="separate"/>
            </w:r>
            <w:r w:rsidR="00755832">
              <w:rPr>
                <w:noProof/>
                <w:webHidden/>
              </w:rPr>
              <w:t>4</w:t>
            </w:r>
            <w:r w:rsidR="00C50497">
              <w:rPr>
                <w:noProof/>
                <w:webHidden/>
              </w:rPr>
              <w:fldChar w:fldCharType="end"/>
            </w:r>
          </w:hyperlink>
        </w:p>
        <w:p w14:paraId="588F9F5F" w14:textId="3CFB23B2" w:rsidR="00C50497" w:rsidRDefault="00B368E8">
          <w:pPr>
            <w:pStyle w:val="TOC2"/>
            <w:tabs>
              <w:tab w:val="right" w:leader="dot" w:pos="9060"/>
            </w:tabs>
            <w:rPr>
              <w:rFonts w:eastAsiaTheme="minorEastAsia"/>
              <w:noProof/>
              <w:kern w:val="2"/>
              <w:lang w:eastAsia="en-AU"/>
              <w14:ligatures w14:val="standardContextual"/>
            </w:rPr>
          </w:pPr>
          <w:hyperlink w:anchor="_Toc157755339" w:history="1">
            <w:r w:rsidR="00C50497" w:rsidRPr="00A37E86">
              <w:rPr>
                <w:rStyle w:val="Hyperlink"/>
                <w:rFonts w:asciiTheme="majorHAnsi" w:hAnsiTheme="majorHAnsi"/>
                <w:noProof/>
                <w:lang w:val="en-GB"/>
              </w:rPr>
              <w:t>Process</w:t>
            </w:r>
            <w:r w:rsidR="00C50497">
              <w:rPr>
                <w:noProof/>
                <w:webHidden/>
              </w:rPr>
              <w:tab/>
            </w:r>
            <w:r w:rsidR="00C50497">
              <w:rPr>
                <w:noProof/>
                <w:webHidden/>
              </w:rPr>
              <w:fldChar w:fldCharType="begin"/>
            </w:r>
            <w:r w:rsidR="00C50497">
              <w:rPr>
                <w:noProof/>
                <w:webHidden/>
              </w:rPr>
              <w:instrText xml:space="preserve"> PAGEREF _Toc157755339 \h </w:instrText>
            </w:r>
            <w:r w:rsidR="00C50497">
              <w:rPr>
                <w:noProof/>
                <w:webHidden/>
              </w:rPr>
            </w:r>
            <w:r w:rsidR="00C50497">
              <w:rPr>
                <w:noProof/>
                <w:webHidden/>
              </w:rPr>
              <w:fldChar w:fldCharType="separate"/>
            </w:r>
            <w:r w:rsidR="00755832">
              <w:rPr>
                <w:noProof/>
                <w:webHidden/>
              </w:rPr>
              <w:t>4</w:t>
            </w:r>
            <w:r w:rsidR="00C50497">
              <w:rPr>
                <w:noProof/>
                <w:webHidden/>
              </w:rPr>
              <w:fldChar w:fldCharType="end"/>
            </w:r>
          </w:hyperlink>
        </w:p>
        <w:p w14:paraId="18E1D95A" w14:textId="3B06CAD3" w:rsidR="00C50497" w:rsidRDefault="00B368E8">
          <w:pPr>
            <w:pStyle w:val="TOC1"/>
            <w:tabs>
              <w:tab w:val="right" w:leader="dot" w:pos="9060"/>
            </w:tabs>
            <w:rPr>
              <w:rFonts w:eastAsiaTheme="minorEastAsia"/>
              <w:b w:val="0"/>
              <w:noProof/>
              <w:kern w:val="2"/>
              <w:lang w:eastAsia="en-AU"/>
              <w14:ligatures w14:val="standardContextual"/>
            </w:rPr>
          </w:pPr>
          <w:hyperlink w:anchor="_Toc157755340" w:history="1">
            <w:r w:rsidR="00C50497" w:rsidRPr="00A37E86">
              <w:rPr>
                <w:rStyle w:val="Hyperlink"/>
                <w:rFonts w:asciiTheme="majorHAnsi" w:hAnsiTheme="majorHAnsi"/>
                <w:noProof/>
                <w:lang w:val="en-GB"/>
              </w:rPr>
              <w:t>Key Findings</w:t>
            </w:r>
            <w:r w:rsidR="00C50497">
              <w:rPr>
                <w:noProof/>
                <w:webHidden/>
              </w:rPr>
              <w:tab/>
            </w:r>
            <w:r w:rsidR="00C50497">
              <w:rPr>
                <w:noProof/>
                <w:webHidden/>
              </w:rPr>
              <w:fldChar w:fldCharType="begin"/>
            </w:r>
            <w:r w:rsidR="00C50497">
              <w:rPr>
                <w:noProof/>
                <w:webHidden/>
              </w:rPr>
              <w:instrText xml:space="preserve"> PAGEREF _Toc157755340 \h </w:instrText>
            </w:r>
            <w:r w:rsidR="00C50497">
              <w:rPr>
                <w:noProof/>
                <w:webHidden/>
              </w:rPr>
            </w:r>
            <w:r w:rsidR="00C50497">
              <w:rPr>
                <w:noProof/>
                <w:webHidden/>
              </w:rPr>
              <w:fldChar w:fldCharType="separate"/>
            </w:r>
            <w:r w:rsidR="00755832">
              <w:rPr>
                <w:noProof/>
                <w:webHidden/>
              </w:rPr>
              <w:t>4</w:t>
            </w:r>
            <w:r w:rsidR="00C50497">
              <w:rPr>
                <w:noProof/>
                <w:webHidden/>
              </w:rPr>
              <w:fldChar w:fldCharType="end"/>
            </w:r>
          </w:hyperlink>
        </w:p>
        <w:p w14:paraId="2B5C235E" w14:textId="23911C57" w:rsidR="00C50497" w:rsidRDefault="00B368E8">
          <w:pPr>
            <w:pStyle w:val="TOC2"/>
            <w:tabs>
              <w:tab w:val="right" w:leader="dot" w:pos="9060"/>
            </w:tabs>
            <w:rPr>
              <w:rFonts w:eastAsiaTheme="minorEastAsia"/>
              <w:noProof/>
              <w:kern w:val="2"/>
              <w:lang w:eastAsia="en-AU"/>
              <w14:ligatures w14:val="standardContextual"/>
            </w:rPr>
          </w:pPr>
          <w:hyperlink w:anchor="_Toc157755341" w:history="1">
            <w:r w:rsidR="00C50497" w:rsidRPr="00A37E86">
              <w:rPr>
                <w:rStyle w:val="Hyperlink"/>
                <w:rFonts w:asciiTheme="majorHAnsi" w:hAnsiTheme="majorHAnsi"/>
                <w:noProof/>
                <w:lang w:val="en-GB"/>
              </w:rPr>
              <w:t>Critical elements for success</w:t>
            </w:r>
            <w:r w:rsidR="00C50497">
              <w:rPr>
                <w:noProof/>
                <w:webHidden/>
              </w:rPr>
              <w:tab/>
            </w:r>
            <w:r w:rsidR="00C50497">
              <w:rPr>
                <w:noProof/>
                <w:webHidden/>
              </w:rPr>
              <w:fldChar w:fldCharType="begin"/>
            </w:r>
            <w:r w:rsidR="00C50497">
              <w:rPr>
                <w:noProof/>
                <w:webHidden/>
              </w:rPr>
              <w:instrText xml:space="preserve"> PAGEREF _Toc157755341 \h </w:instrText>
            </w:r>
            <w:r w:rsidR="00C50497">
              <w:rPr>
                <w:noProof/>
                <w:webHidden/>
              </w:rPr>
            </w:r>
            <w:r w:rsidR="00C50497">
              <w:rPr>
                <w:noProof/>
                <w:webHidden/>
              </w:rPr>
              <w:fldChar w:fldCharType="separate"/>
            </w:r>
            <w:r w:rsidR="00755832">
              <w:rPr>
                <w:noProof/>
                <w:webHidden/>
              </w:rPr>
              <w:t>4</w:t>
            </w:r>
            <w:r w:rsidR="00C50497">
              <w:rPr>
                <w:noProof/>
                <w:webHidden/>
              </w:rPr>
              <w:fldChar w:fldCharType="end"/>
            </w:r>
          </w:hyperlink>
        </w:p>
        <w:p w14:paraId="08C5A68B" w14:textId="38157C2C" w:rsidR="00C50497" w:rsidRDefault="00B368E8">
          <w:pPr>
            <w:pStyle w:val="TOC3"/>
            <w:tabs>
              <w:tab w:val="right" w:leader="dot" w:pos="9060"/>
            </w:tabs>
            <w:rPr>
              <w:rFonts w:eastAsiaTheme="minorEastAsia"/>
              <w:noProof/>
              <w:kern w:val="2"/>
              <w:lang w:eastAsia="en-AU"/>
              <w14:ligatures w14:val="standardContextual"/>
            </w:rPr>
          </w:pPr>
          <w:hyperlink w:anchor="_Toc157755342" w:history="1">
            <w:r w:rsidR="00C50497" w:rsidRPr="00A37E86">
              <w:rPr>
                <w:rStyle w:val="Hyperlink"/>
                <w:rFonts w:asciiTheme="majorHAnsi" w:hAnsiTheme="majorHAnsi"/>
                <w:noProof/>
                <w:lang w:val="en-GB"/>
              </w:rPr>
              <w:t>Community voice is valued</w:t>
            </w:r>
            <w:r w:rsidR="00C50497">
              <w:rPr>
                <w:noProof/>
                <w:webHidden/>
              </w:rPr>
              <w:tab/>
            </w:r>
            <w:r w:rsidR="00C50497">
              <w:rPr>
                <w:noProof/>
                <w:webHidden/>
              </w:rPr>
              <w:fldChar w:fldCharType="begin"/>
            </w:r>
            <w:r w:rsidR="00C50497">
              <w:rPr>
                <w:noProof/>
                <w:webHidden/>
              </w:rPr>
              <w:instrText xml:space="preserve"> PAGEREF _Toc157755342 \h </w:instrText>
            </w:r>
            <w:r w:rsidR="00C50497">
              <w:rPr>
                <w:noProof/>
                <w:webHidden/>
              </w:rPr>
            </w:r>
            <w:r w:rsidR="00C50497">
              <w:rPr>
                <w:noProof/>
                <w:webHidden/>
              </w:rPr>
              <w:fldChar w:fldCharType="separate"/>
            </w:r>
            <w:r w:rsidR="00755832">
              <w:rPr>
                <w:noProof/>
                <w:webHidden/>
              </w:rPr>
              <w:t>4</w:t>
            </w:r>
            <w:r w:rsidR="00C50497">
              <w:rPr>
                <w:noProof/>
                <w:webHidden/>
              </w:rPr>
              <w:fldChar w:fldCharType="end"/>
            </w:r>
          </w:hyperlink>
        </w:p>
        <w:p w14:paraId="2192CA5C" w14:textId="3CBD8137" w:rsidR="00C50497" w:rsidRDefault="00B368E8">
          <w:pPr>
            <w:pStyle w:val="TOC3"/>
            <w:tabs>
              <w:tab w:val="right" w:leader="dot" w:pos="9060"/>
            </w:tabs>
            <w:rPr>
              <w:rFonts w:eastAsiaTheme="minorEastAsia"/>
              <w:noProof/>
              <w:kern w:val="2"/>
              <w:lang w:eastAsia="en-AU"/>
              <w14:ligatures w14:val="standardContextual"/>
            </w:rPr>
          </w:pPr>
          <w:hyperlink w:anchor="_Toc157755343" w:history="1">
            <w:r w:rsidR="00C50497" w:rsidRPr="00A37E86">
              <w:rPr>
                <w:rStyle w:val="Hyperlink"/>
                <w:rFonts w:asciiTheme="majorHAnsi" w:hAnsiTheme="majorHAnsi"/>
                <w:noProof/>
                <w:lang w:val="en-GB"/>
              </w:rPr>
              <w:t>Purpose</w:t>
            </w:r>
            <w:r w:rsidR="00C50497">
              <w:rPr>
                <w:noProof/>
                <w:webHidden/>
              </w:rPr>
              <w:tab/>
            </w:r>
            <w:r w:rsidR="00C50497">
              <w:rPr>
                <w:noProof/>
                <w:webHidden/>
              </w:rPr>
              <w:fldChar w:fldCharType="begin"/>
            </w:r>
            <w:r w:rsidR="00C50497">
              <w:rPr>
                <w:noProof/>
                <w:webHidden/>
              </w:rPr>
              <w:instrText xml:space="preserve"> PAGEREF _Toc157755343 \h </w:instrText>
            </w:r>
            <w:r w:rsidR="00C50497">
              <w:rPr>
                <w:noProof/>
                <w:webHidden/>
              </w:rPr>
            </w:r>
            <w:r w:rsidR="00C50497">
              <w:rPr>
                <w:noProof/>
                <w:webHidden/>
              </w:rPr>
              <w:fldChar w:fldCharType="separate"/>
            </w:r>
            <w:r w:rsidR="00755832">
              <w:rPr>
                <w:noProof/>
                <w:webHidden/>
              </w:rPr>
              <w:t>5</w:t>
            </w:r>
            <w:r w:rsidR="00C50497">
              <w:rPr>
                <w:noProof/>
                <w:webHidden/>
              </w:rPr>
              <w:fldChar w:fldCharType="end"/>
            </w:r>
          </w:hyperlink>
        </w:p>
        <w:p w14:paraId="1769F72D" w14:textId="68A36C5A" w:rsidR="00C50497" w:rsidRDefault="00B368E8">
          <w:pPr>
            <w:pStyle w:val="TOC3"/>
            <w:tabs>
              <w:tab w:val="right" w:leader="dot" w:pos="9060"/>
            </w:tabs>
            <w:rPr>
              <w:rFonts w:eastAsiaTheme="minorEastAsia"/>
              <w:noProof/>
              <w:kern w:val="2"/>
              <w:lang w:eastAsia="en-AU"/>
              <w14:ligatures w14:val="standardContextual"/>
            </w:rPr>
          </w:pPr>
          <w:hyperlink w:anchor="_Toc157755344" w:history="1">
            <w:r w:rsidR="00C50497" w:rsidRPr="00A37E86">
              <w:rPr>
                <w:rStyle w:val="Hyperlink"/>
                <w:rFonts w:asciiTheme="majorHAnsi" w:hAnsiTheme="majorHAnsi"/>
                <w:noProof/>
                <w:lang w:val="en-GB"/>
              </w:rPr>
              <w:t>Flexibility</w:t>
            </w:r>
            <w:r w:rsidR="00C50497">
              <w:rPr>
                <w:noProof/>
                <w:webHidden/>
              </w:rPr>
              <w:tab/>
            </w:r>
            <w:r w:rsidR="00C50497">
              <w:rPr>
                <w:noProof/>
                <w:webHidden/>
              </w:rPr>
              <w:fldChar w:fldCharType="begin"/>
            </w:r>
            <w:r w:rsidR="00C50497">
              <w:rPr>
                <w:noProof/>
                <w:webHidden/>
              </w:rPr>
              <w:instrText xml:space="preserve"> PAGEREF _Toc157755344 \h </w:instrText>
            </w:r>
            <w:r w:rsidR="00C50497">
              <w:rPr>
                <w:noProof/>
                <w:webHidden/>
              </w:rPr>
            </w:r>
            <w:r w:rsidR="00C50497">
              <w:rPr>
                <w:noProof/>
                <w:webHidden/>
              </w:rPr>
              <w:fldChar w:fldCharType="separate"/>
            </w:r>
            <w:r w:rsidR="00755832">
              <w:rPr>
                <w:noProof/>
                <w:webHidden/>
              </w:rPr>
              <w:t>5</w:t>
            </w:r>
            <w:r w:rsidR="00C50497">
              <w:rPr>
                <w:noProof/>
                <w:webHidden/>
              </w:rPr>
              <w:fldChar w:fldCharType="end"/>
            </w:r>
          </w:hyperlink>
        </w:p>
        <w:p w14:paraId="573C4553" w14:textId="40D8740D" w:rsidR="00C50497" w:rsidRDefault="00B368E8">
          <w:pPr>
            <w:pStyle w:val="TOC3"/>
            <w:tabs>
              <w:tab w:val="right" w:leader="dot" w:pos="9060"/>
            </w:tabs>
            <w:rPr>
              <w:rFonts w:eastAsiaTheme="minorEastAsia"/>
              <w:noProof/>
              <w:kern w:val="2"/>
              <w:lang w:eastAsia="en-AU"/>
              <w14:ligatures w14:val="standardContextual"/>
            </w:rPr>
          </w:pPr>
          <w:hyperlink w:anchor="_Toc157755345" w:history="1">
            <w:r w:rsidR="00C50497" w:rsidRPr="00A37E86">
              <w:rPr>
                <w:rStyle w:val="Hyperlink"/>
                <w:rFonts w:asciiTheme="majorHAnsi" w:hAnsiTheme="majorHAnsi"/>
                <w:noProof/>
                <w:lang w:val="en-GB"/>
              </w:rPr>
              <w:t>Role for existing resources and structures</w:t>
            </w:r>
            <w:r w:rsidR="00C50497">
              <w:rPr>
                <w:noProof/>
                <w:webHidden/>
              </w:rPr>
              <w:tab/>
            </w:r>
            <w:r w:rsidR="00C50497">
              <w:rPr>
                <w:noProof/>
                <w:webHidden/>
              </w:rPr>
              <w:fldChar w:fldCharType="begin"/>
            </w:r>
            <w:r w:rsidR="00C50497">
              <w:rPr>
                <w:noProof/>
                <w:webHidden/>
              </w:rPr>
              <w:instrText xml:space="preserve"> PAGEREF _Toc157755345 \h </w:instrText>
            </w:r>
            <w:r w:rsidR="00C50497">
              <w:rPr>
                <w:noProof/>
                <w:webHidden/>
              </w:rPr>
            </w:r>
            <w:r w:rsidR="00C50497">
              <w:rPr>
                <w:noProof/>
                <w:webHidden/>
              </w:rPr>
              <w:fldChar w:fldCharType="separate"/>
            </w:r>
            <w:r w:rsidR="00755832">
              <w:rPr>
                <w:noProof/>
                <w:webHidden/>
              </w:rPr>
              <w:t>5</w:t>
            </w:r>
            <w:r w:rsidR="00C50497">
              <w:rPr>
                <w:noProof/>
                <w:webHidden/>
              </w:rPr>
              <w:fldChar w:fldCharType="end"/>
            </w:r>
          </w:hyperlink>
        </w:p>
        <w:p w14:paraId="3E3C6209" w14:textId="668F6867" w:rsidR="00C50497" w:rsidRDefault="00B368E8">
          <w:pPr>
            <w:pStyle w:val="TOC3"/>
            <w:tabs>
              <w:tab w:val="right" w:leader="dot" w:pos="9060"/>
            </w:tabs>
            <w:rPr>
              <w:rFonts w:eastAsiaTheme="minorEastAsia"/>
              <w:noProof/>
              <w:kern w:val="2"/>
              <w:lang w:eastAsia="en-AU"/>
              <w14:ligatures w14:val="standardContextual"/>
            </w:rPr>
          </w:pPr>
          <w:hyperlink w:anchor="_Toc157755346" w:history="1">
            <w:r w:rsidR="00C50497" w:rsidRPr="00A37E86">
              <w:rPr>
                <w:rStyle w:val="Hyperlink"/>
                <w:rFonts w:asciiTheme="majorHAnsi" w:hAnsiTheme="majorHAnsi"/>
                <w:noProof/>
                <w:lang w:val="en-GB"/>
              </w:rPr>
              <w:t>Socialisation and establishment take time</w:t>
            </w:r>
            <w:r w:rsidR="00C50497">
              <w:rPr>
                <w:noProof/>
                <w:webHidden/>
              </w:rPr>
              <w:tab/>
            </w:r>
            <w:r w:rsidR="00C50497">
              <w:rPr>
                <w:noProof/>
                <w:webHidden/>
              </w:rPr>
              <w:fldChar w:fldCharType="begin"/>
            </w:r>
            <w:r w:rsidR="00C50497">
              <w:rPr>
                <w:noProof/>
                <w:webHidden/>
              </w:rPr>
              <w:instrText xml:space="preserve"> PAGEREF _Toc157755346 \h </w:instrText>
            </w:r>
            <w:r w:rsidR="00C50497">
              <w:rPr>
                <w:noProof/>
                <w:webHidden/>
              </w:rPr>
            </w:r>
            <w:r w:rsidR="00C50497">
              <w:rPr>
                <w:noProof/>
                <w:webHidden/>
              </w:rPr>
              <w:fldChar w:fldCharType="separate"/>
            </w:r>
            <w:r w:rsidR="00755832">
              <w:rPr>
                <w:noProof/>
                <w:webHidden/>
              </w:rPr>
              <w:t>5</w:t>
            </w:r>
            <w:r w:rsidR="00C50497">
              <w:rPr>
                <w:noProof/>
                <w:webHidden/>
              </w:rPr>
              <w:fldChar w:fldCharType="end"/>
            </w:r>
          </w:hyperlink>
        </w:p>
        <w:p w14:paraId="2D89C7CA" w14:textId="29A753B4" w:rsidR="00C50497" w:rsidRDefault="00B368E8">
          <w:pPr>
            <w:pStyle w:val="TOC3"/>
            <w:tabs>
              <w:tab w:val="right" w:leader="dot" w:pos="9060"/>
            </w:tabs>
            <w:rPr>
              <w:rFonts w:eastAsiaTheme="minorEastAsia"/>
              <w:noProof/>
              <w:kern w:val="2"/>
              <w:lang w:eastAsia="en-AU"/>
              <w14:ligatures w14:val="standardContextual"/>
            </w:rPr>
          </w:pPr>
          <w:hyperlink w:anchor="_Toc157755347" w:history="1">
            <w:r w:rsidR="00C50497" w:rsidRPr="00A37E86">
              <w:rPr>
                <w:rStyle w:val="Hyperlink"/>
                <w:rFonts w:asciiTheme="majorHAnsi" w:hAnsiTheme="majorHAnsi"/>
                <w:noProof/>
                <w:lang w:val="en-GB"/>
              </w:rPr>
              <w:t>Feedback and accountability</w:t>
            </w:r>
            <w:r w:rsidR="00C50497">
              <w:rPr>
                <w:noProof/>
                <w:webHidden/>
              </w:rPr>
              <w:tab/>
            </w:r>
            <w:r w:rsidR="00C50497">
              <w:rPr>
                <w:noProof/>
                <w:webHidden/>
              </w:rPr>
              <w:fldChar w:fldCharType="begin"/>
            </w:r>
            <w:r w:rsidR="00C50497">
              <w:rPr>
                <w:noProof/>
                <w:webHidden/>
              </w:rPr>
              <w:instrText xml:space="preserve"> PAGEREF _Toc157755347 \h </w:instrText>
            </w:r>
            <w:r w:rsidR="00C50497">
              <w:rPr>
                <w:noProof/>
                <w:webHidden/>
              </w:rPr>
            </w:r>
            <w:r w:rsidR="00C50497">
              <w:rPr>
                <w:noProof/>
                <w:webHidden/>
              </w:rPr>
              <w:fldChar w:fldCharType="separate"/>
            </w:r>
            <w:r w:rsidR="00755832">
              <w:rPr>
                <w:noProof/>
                <w:webHidden/>
              </w:rPr>
              <w:t>5</w:t>
            </w:r>
            <w:r w:rsidR="00C50497">
              <w:rPr>
                <w:noProof/>
                <w:webHidden/>
              </w:rPr>
              <w:fldChar w:fldCharType="end"/>
            </w:r>
          </w:hyperlink>
        </w:p>
        <w:p w14:paraId="19C26607" w14:textId="0B7DDB7F" w:rsidR="00C50497" w:rsidRDefault="00B368E8">
          <w:pPr>
            <w:pStyle w:val="TOC2"/>
            <w:tabs>
              <w:tab w:val="right" w:leader="dot" w:pos="9060"/>
            </w:tabs>
            <w:rPr>
              <w:rFonts w:eastAsiaTheme="minorEastAsia"/>
              <w:noProof/>
              <w:kern w:val="2"/>
              <w:lang w:eastAsia="en-AU"/>
              <w14:ligatures w14:val="standardContextual"/>
            </w:rPr>
          </w:pPr>
          <w:hyperlink w:anchor="_Toc157755348" w:history="1">
            <w:r w:rsidR="00C50497" w:rsidRPr="00A37E86">
              <w:rPr>
                <w:rStyle w:val="Hyperlink"/>
                <w:rFonts w:asciiTheme="majorHAnsi" w:hAnsiTheme="majorHAnsi"/>
                <w:noProof/>
                <w:lang w:val="en-GB"/>
              </w:rPr>
              <w:t>Delivering elements</w:t>
            </w:r>
            <w:r w:rsidR="00C50497">
              <w:rPr>
                <w:noProof/>
                <w:webHidden/>
              </w:rPr>
              <w:tab/>
            </w:r>
            <w:r w:rsidR="00C50497">
              <w:rPr>
                <w:noProof/>
                <w:webHidden/>
              </w:rPr>
              <w:fldChar w:fldCharType="begin"/>
            </w:r>
            <w:r w:rsidR="00C50497">
              <w:rPr>
                <w:noProof/>
                <w:webHidden/>
              </w:rPr>
              <w:instrText xml:space="preserve"> PAGEREF _Toc157755348 \h </w:instrText>
            </w:r>
            <w:r w:rsidR="00C50497">
              <w:rPr>
                <w:noProof/>
                <w:webHidden/>
              </w:rPr>
            </w:r>
            <w:r w:rsidR="00C50497">
              <w:rPr>
                <w:noProof/>
                <w:webHidden/>
              </w:rPr>
              <w:fldChar w:fldCharType="separate"/>
            </w:r>
            <w:r w:rsidR="00755832">
              <w:rPr>
                <w:noProof/>
                <w:webHidden/>
              </w:rPr>
              <w:t>5</w:t>
            </w:r>
            <w:r w:rsidR="00C50497">
              <w:rPr>
                <w:noProof/>
                <w:webHidden/>
              </w:rPr>
              <w:fldChar w:fldCharType="end"/>
            </w:r>
          </w:hyperlink>
        </w:p>
        <w:p w14:paraId="51D0E59F" w14:textId="02B64626" w:rsidR="00C50497" w:rsidRDefault="00B368E8">
          <w:pPr>
            <w:pStyle w:val="TOC3"/>
            <w:tabs>
              <w:tab w:val="right" w:leader="dot" w:pos="9060"/>
            </w:tabs>
            <w:rPr>
              <w:rFonts w:eastAsiaTheme="minorEastAsia"/>
              <w:noProof/>
              <w:kern w:val="2"/>
              <w:lang w:eastAsia="en-AU"/>
              <w14:ligatures w14:val="standardContextual"/>
            </w:rPr>
          </w:pPr>
          <w:hyperlink w:anchor="_Toc157755349" w:history="1">
            <w:r w:rsidR="00C50497" w:rsidRPr="00A37E86">
              <w:rPr>
                <w:rStyle w:val="Hyperlink"/>
                <w:rFonts w:asciiTheme="majorHAnsi" w:hAnsiTheme="majorHAnsi"/>
                <w:noProof/>
                <w:lang w:val="en-GB"/>
              </w:rPr>
              <w:t>Governance</w:t>
            </w:r>
            <w:r w:rsidR="00C50497">
              <w:rPr>
                <w:noProof/>
                <w:webHidden/>
              </w:rPr>
              <w:tab/>
            </w:r>
            <w:r w:rsidR="00C50497">
              <w:rPr>
                <w:noProof/>
                <w:webHidden/>
              </w:rPr>
              <w:fldChar w:fldCharType="begin"/>
            </w:r>
            <w:r w:rsidR="00C50497">
              <w:rPr>
                <w:noProof/>
                <w:webHidden/>
              </w:rPr>
              <w:instrText xml:space="preserve"> PAGEREF _Toc157755349 \h </w:instrText>
            </w:r>
            <w:r w:rsidR="00C50497">
              <w:rPr>
                <w:noProof/>
                <w:webHidden/>
              </w:rPr>
            </w:r>
            <w:r w:rsidR="00C50497">
              <w:rPr>
                <w:noProof/>
                <w:webHidden/>
              </w:rPr>
              <w:fldChar w:fldCharType="separate"/>
            </w:r>
            <w:r w:rsidR="00755832">
              <w:rPr>
                <w:noProof/>
                <w:webHidden/>
              </w:rPr>
              <w:t>6</w:t>
            </w:r>
            <w:r w:rsidR="00C50497">
              <w:rPr>
                <w:noProof/>
                <w:webHidden/>
              </w:rPr>
              <w:fldChar w:fldCharType="end"/>
            </w:r>
          </w:hyperlink>
        </w:p>
        <w:p w14:paraId="5605DEC0" w14:textId="180B08C8" w:rsidR="00C50497" w:rsidRDefault="00B368E8">
          <w:pPr>
            <w:pStyle w:val="TOC3"/>
            <w:tabs>
              <w:tab w:val="right" w:leader="dot" w:pos="9060"/>
            </w:tabs>
            <w:rPr>
              <w:rFonts w:eastAsiaTheme="minorEastAsia"/>
              <w:noProof/>
              <w:kern w:val="2"/>
              <w:lang w:eastAsia="en-AU"/>
              <w14:ligatures w14:val="standardContextual"/>
            </w:rPr>
          </w:pPr>
          <w:hyperlink w:anchor="_Toc157755350" w:history="1">
            <w:r w:rsidR="00C50497" w:rsidRPr="00A37E86">
              <w:rPr>
                <w:rStyle w:val="Hyperlink"/>
                <w:rFonts w:asciiTheme="majorHAnsi" w:hAnsiTheme="majorHAnsi"/>
                <w:noProof/>
                <w:lang w:val="en-GB"/>
              </w:rPr>
              <w:t>Backbone organisations</w:t>
            </w:r>
            <w:r w:rsidR="00C50497">
              <w:rPr>
                <w:noProof/>
                <w:webHidden/>
              </w:rPr>
              <w:tab/>
            </w:r>
            <w:r w:rsidR="00C50497">
              <w:rPr>
                <w:noProof/>
                <w:webHidden/>
              </w:rPr>
              <w:fldChar w:fldCharType="begin"/>
            </w:r>
            <w:r w:rsidR="00C50497">
              <w:rPr>
                <w:noProof/>
                <w:webHidden/>
              </w:rPr>
              <w:instrText xml:space="preserve"> PAGEREF _Toc157755350 \h </w:instrText>
            </w:r>
            <w:r w:rsidR="00C50497">
              <w:rPr>
                <w:noProof/>
                <w:webHidden/>
              </w:rPr>
            </w:r>
            <w:r w:rsidR="00C50497">
              <w:rPr>
                <w:noProof/>
                <w:webHidden/>
              </w:rPr>
              <w:fldChar w:fldCharType="separate"/>
            </w:r>
            <w:r w:rsidR="00755832">
              <w:rPr>
                <w:noProof/>
                <w:webHidden/>
              </w:rPr>
              <w:t>6</w:t>
            </w:r>
            <w:r w:rsidR="00C50497">
              <w:rPr>
                <w:noProof/>
                <w:webHidden/>
              </w:rPr>
              <w:fldChar w:fldCharType="end"/>
            </w:r>
          </w:hyperlink>
        </w:p>
        <w:p w14:paraId="3A3F4B5C" w14:textId="4FB6AAFA" w:rsidR="00C50497" w:rsidRDefault="00B368E8">
          <w:pPr>
            <w:pStyle w:val="TOC3"/>
            <w:tabs>
              <w:tab w:val="right" w:leader="dot" w:pos="9060"/>
            </w:tabs>
            <w:rPr>
              <w:rFonts w:eastAsiaTheme="minorEastAsia"/>
              <w:noProof/>
              <w:kern w:val="2"/>
              <w:lang w:eastAsia="en-AU"/>
              <w14:ligatures w14:val="standardContextual"/>
            </w:rPr>
          </w:pPr>
          <w:hyperlink w:anchor="_Toc157755351" w:history="1">
            <w:r w:rsidR="00C50497" w:rsidRPr="00A37E86">
              <w:rPr>
                <w:rStyle w:val="Hyperlink"/>
                <w:rFonts w:asciiTheme="majorHAnsi" w:hAnsiTheme="majorHAnsi"/>
                <w:noProof/>
                <w:lang w:val="en-GB"/>
              </w:rPr>
              <w:t>Role of government</w:t>
            </w:r>
            <w:r w:rsidR="00C50497">
              <w:rPr>
                <w:noProof/>
                <w:webHidden/>
              </w:rPr>
              <w:tab/>
            </w:r>
            <w:r w:rsidR="00C50497">
              <w:rPr>
                <w:noProof/>
                <w:webHidden/>
              </w:rPr>
              <w:fldChar w:fldCharType="begin"/>
            </w:r>
            <w:r w:rsidR="00C50497">
              <w:rPr>
                <w:noProof/>
                <w:webHidden/>
              </w:rPr>
              <w:instrText xml:space="preserve"> PAGEREF _Toc157755351 \h </w:instrText>
            </w:r>
            <w:r w:rsidR="00C50497">
              <w:rPr>
                <w:noProof/>
                <w:webHidden/>
              </w:rPr>
            </w:r>
            <w:r w:rsidR="00C50497">
              <w:rPr>
                <w:noProof/>
                <w:webHidden/>
              </w:rPr>
              <w:fldChar w:fldCharType="separate"/>
            </w:r>
            <w:r w:rsidR="00755832">
              <w:rPr>
                <w:noProof/>
                <w:webHidden/>
              </w:rPr>
              <w:t>6</w:t>
            </w:r>
            <w:r w:rsidR="00C50497">
              <w:rPr>
                <w:noProof/>
                <w:webHidden/>
              </w:rPr>
              <w:fldChar w:fldCharType="end"/>
            </w:r>
          </w:hyperlink>
        </w:p>
        <w:p w14:paraId="293AD992" w14:textId="3B887716" w:rsidR="00C50497" w:rsidRDefault="00B368E8">
          <w:pPr>
            <w:pStyle w:val="TOC3"/>
            <w:tabs>
              <w:tab w:val="right" w:leader="dot" w:pos="9060"/>
            </w:tabs>
            <w:rPr>
              <w:rFonts w:eastAsiaTheme="minorEastAsia"/>
              <w:noProof/>
              <w:kern w:val="2"/>
              <w:lang w:eastAsia="en-AU"/>
              <w14:ligatures w14:val="standardContextual"/>
            </w:rPr>
          </w:pPr>
          <w:hyperlink w:anchor="_Toc157755352" w:history="1">
            <w:r w:rsidR="00C50497" w:rsidRPr="00A37E86">
              <w:rPr>
                <w:rStyle w:val="Hyperlink"/>
                <w:rFonts w:asciiTheme="majorHAnsi" w:hAnsiTheme="majorHAnsi"/>
                <w:noProof/>
                <w:lang w:val="en-GB"/>
              </w:rPr>
              <w:t>Funding and procurement</w:t>
            </w:r>
            <w:r w:rsidR="00C50497">
              <w:rPr>
                <w:noProof/>
                <w:webHidden/>
              </w:rPr>
              <w:tab/>
            </w:r>
            <w:r w:rsidR="00C50497">
              <w:rPr>
                <w:noProof/>
                <w:webHidden/>
              </w:rPr>
              <w:fldChar w:fldCharType="begin"/>
            </w:r>
            <w:r w:rsidR="00C50497">
              <w:rPr>
                <w:noProof/>
                <w:webHidden/>
              </w:rPr>
              <w:instrText xml:space="preserve"> PAGEREF _Toc157755352 \h </w:instrText>
            </w:r>
            <w:r w:rsidR="00C50497">
              <w:rPr>
                <w:noProof/>
                <w:webHidden/>
              </w:rPr>
            </w:r>
            <w:r w:rsidR="00C50497">
              <w:rPr>
                <w:noProof/>
                <w:webHidden/>
              </w:rPr>
              <w:fldChar w:fldCharType="separate"/>
            </w:r>
            <w:r w:rsidR="00755832">
              <w:rPr>
                <w:noProof/>
                <w:webHidden/>
              </w:rPr>
              <w:t>7</w:t>
            </w:r>
            <w:r w:rsidR="00C50497">
              <w:rPr>
                <w:noProof/>
                <w:webHidden/>
              </w:rPr>
              <w:fldChar w:fldCharType="end"/>
            </w:r>
          </w:hyperlink>
        </w:p>
        <w:p w14:paraId="51B98503" w14:textId="1A833455" w:rsidR="00C50497" w:rsidRDefault="00B368E8">
          <w:pPr>
            <w:pStyle w:val="TOC3"/>
            <w:tabs>
              <w:tab w:val="right" w:leader="dot" w:pos="9060"/>
            </w:tabs>
            <w:rPr>
              <w:rFonts w:eastAsiaTheme="minorEastAsia"/>
              <w:noProof/>
              <w:kern w:val="2"/>
              <w:lang w:eastAsia="en-AU"/>
              <w14:ligatures w14:val="standardContextual"/>
            </w:rPr>
          </w:pPr>
          <w:hyperlink w:anchor="_Toc157755353" w:history="1">
            <w:r w:rsidR="00C50497" w:rsidRPr="00A37E86">
              <w:rPr>
                <w:rStyle w:val="Hyperlink"/>
                <w:rFonts w:asciiTheme="majorHAnsi" w:hAnsiTheme="majorHAnsi"/>
                <w:noProof/>
                <w:lang w:val="en-GB"/>
              </w:rPr>
              <w:t>Evaluation and measuring success</w:t>
            </w:r>
            <w:r w:rsidR="00C50497">
              <w:rPr>
                <w:noProof/>
                <w:webHidden/>
              </w:rPr>
              <w:tab/>
            </w:r>
            <w:r w:rsidR="00C50497">
              <w:rPr>
                <w:noProof/>
                <w:webHidden/>
              </w:rPr>
              <w:fldChar w:fldCharType="begin"/>
            </w:r>
            <w:r w:rsidR="00C50497">
              <w:rPr>
                <w:noProof/>
                <w:webHidden/>
              </w:rPr>
              <w:instrText xml:space="preserve"> PAGEREF _Toc157755353 \h </w:instrText>
            </w:r>
            <w:r w:rsidR="00C50497">
              <w:rPr>
                <w:noProof/>
                <w:webHidden/>
              </w:rPr>
            </w:r>
            <w:r w:rsidR="00C50497">
              <w:rPr>
                <w:noProof/>
                <w:webHidden/>
              </w:rPr>
              <w:fldChar w:fldCharType="separate"/>
            </w:r>
            <w:r w:rsidR="00755832">
              <w:rPr>
                <w:noProof/>
                <w:webHidden/>
              </w:rPr>
              <w:t>7</w:t>
            </w:r>
            <w:r w:rsidR="00C50497">
              <w:rPr>
                <w:noProof/>
                <w:webHidden/>
              </w:rPr>
              <w:fldChar w:fldCharType="end"/>
            </w:r>
          </w:hyperlink>
        </w:p>
        <w:p w14:paraId="0EAD83CE" w14:textId="5530AF29" w:rsidR="007855CC" w:rsidRPr="0095636C" w:rsidRDefault="0095636C" w:rsidP="0095636C">
          <w:r>
            <w:rPr>
              <w:rFonts w:ascii="Calibri" w:eastAsiaTheme="majorEastAsia" w:hAnsi="Calibri" w:cstheme="majorBidi"/>
              <w:b/>
              <w:color w:val="343741"/>
              <w:sz w:val="32"/>
              <w:szCs w:val="32"/>
            </w:rPr>
            <w:fldChar w:fldCharType="end"/>
          </w:r>
        </w:p>
      </w:sdtContent>
    </w:sdt>
    <w:p w14:paraId="57E6810E" w14:textId="72F92236" w:rsidR="00AE488A" w:rsidRDefault="007855CC" w:rsidP="003165F1">
      <w:pPr>
        <w:pStyle w:val="Heading1"/>
      </w:pPr>
      <w:r>
        <w:br w:type="page"/>
      </w:r>
    </w:p>
    <w:p w14:paraId="24DB4BFB" w14:textId="77777777" w:rsidR="00D31AFC" w:rsidRPr="00AC11E6" w:rsidRDefault="00D31AFC" w:rsidP="00AC11E6">
      <w:pPr>
        <w:pStyle w:val="Heading1"/>
        <w:spacing w:line="259" w:lineRule="auto"/>
        <w:rPr>
          <w:rFonts w:asciiTheme="majorHAnsi" w:hAnsiTheme="majorHAnsi"/>
          <w:b w:val="0"/>
          <w:color w:val="00212F" w:themeColor="accent1" w:themeShade="BF"/>
          <w:lang w:val="en-GB"/>
        </w:rPr>
      </w:pPr>
      <w:bookmarkStart w:id="1" w:name="_Toc157755338"/>
      <w:bookmarkEnd w:id="0"/>
      <w:r w:rsidRPr="00AC11E6">
        <w:rPr>
          <w:rFonts w:asciiTheme="majorHAnsi" w:hAnsiTheme="majorHAnsi"/>
          <w:b w:val="0"/>
          <w:color w:val="00212F" w:themeColor="accent1" w:themeShade="BF"/>
          <w:lang w:val="en-GB"/>
        </w:rPr>
        <w:lastRenderedPageBreak/>
        <w:t>Purpose of consultations</w:t>
      </w:r>
      <w:bookmarkEnd w:id="1"/>
    </w:p>
    <w:p w14:paraId="0BFEB3A1" w14:textId="77777777" w:rsidR="00D31AFC" w:rsidRPr="00D31AFC" w:rsidRDefault="00D31AFC" w:rsidP="00D31AFC">
      <w:pPr>
        <w:spacing w:before="120" w:after="160" w:line="259" w:lineRule="auto"/>
        <w:rPr>
          <w:rFonts w:ascii="Calibri" w:eastAsia="Calibri" w:hAnsi="Calibri" w:cs="Calibri"/>
          <w:color w:val="000000"/>
          <w:shd w:val="clear" w:color="auto" w:fill="FFFFFF"/>
          <w:lang w:val="en-GB"/>
        </w:rPr>
      </w:pPr>
      <w:r w:rsidRPr="00D31AFC">
        <w:rPr>
          <w:rFonts w:ascii="Calibri" w:eastAsia="Calibri" w:hAnsi="Calibri" w:cs="Calibri"/>
          <w:color w:val="000000"/>
          <w:shd w:val="clear" w:color="auto" w:fill="FFFFFF"/>
          <w:lang w:val="en-GB"/>
        </w:rPr>
        <w:t xml:space="preserve">This initial consultation aimed to identify </w:t>
      </w:r>
      <w:r w:rsidRPr="00D31AFC">
        <w:rPr>
          <w:rFonts w:ascii="Calibri" w:eastAsia="Calibri" w:hAnsi="Calibri" w:cs="Calibri"/>
          <w:b/>
          <w:bCs/>
          <w:color w:val="000000"/>
          <w:shd w:val="clear" w:color="auto" w:fill="FFFFFF"/>
          <w:lang w:val="en-GB"/>
        </w:rPr>
        <w:t>successful elements</w:t>
      </w:r>
      <w:r w:rsidRPr="00D31AFC">
        <w:rPr>
          <w:rFonts w:ascii="Calibri" w:eastAsia="Calibri" w:hAnsi="Calibri" w:cs="Calibri"/>
          <w:color w:val="000000"/>
          <w:shd w:val="clear" w:color="auto" w:fill="FFFFFF"/>
          <w:lang w:val="en-GB"/>
        </w:rPr>
        <w:t xml:space="preserve"> of existing place-based services and further our understanding of the </w:t>
      </w:r>
      <w:r w:rsidRPr="00D31AFC">
        <w:rPr>
          <w:rFonts w:ascii="Calibri" w:eastAsia="Calibri" w:hAnsi="Calibri" w:cs="Calibri"/>
          <w:b/>
          <w:bCs/>
          <w:color w:val="000000"/>
          <w:shd w:val="clear" w:color="auto" w:fill="FFFFFF"/>
          <w:lang w:val="en-GB"/>
        </w:rPr>
        <w:t>different ways these elements</w:t>
      </w:r>
      <w:r w:rsidRPr="00D31AFC">
        <w:rPr>
          <w:rFonts w:ascii="Calibri" w:eastAsia="Calibri" w:hAnsi="Calibri" w:cs="Calibri"/>
          <w:color w:val="000000"/>
          <w:shd w:val="clear" w:color="auto" w:fill="FFFFFF"/>
          <w:lang w:val="en-GB"/>
        </w:rPr>
        <w:t xml:space="preserve"> can be delivered. This will help identify and ensure that best practice place-based policy design principles are embedded in any further reform of the Local Jobs Program and more generally in employment services. </w:t>
      </w:r>
    </w:p>
    <w:p w14:paraId="453DD9FD" w14:textId="77777777" w:rsidR="00D31AFC" w:rsidRPr="00D31AFC" w:rsidRDefault="00D31AFC" w:rsidP="00B43268">
      <w:pPr>
        <w:pStyle w:val="Heading2"/>
        <w:spacing w:before="40" w:line="259" w:lineRule="auto"/>
        <w:rPr>
          <w:rStyle w:val="normaltextrun"/>
          <w:rFonts w:asciiTheme="majorHAnsi" w:hAnsiTheme="majorHAnsi"/>
          <w:b w:val="0"/>
          <w:color w:val="00212F" w:themeColor="accent1" w:themeShade="BF"/>
          <w:lang w:val="en-GB"/>
        </w:rPr>
      </w:pPr>
      <w:bookmarkStart w:id="2" w:name="_Toc157755339"/>
      <w:r w:rsidRPr="00D31AFC">
        <w:rPr>
          <w:rStyle w:val="normaltextrun"/>
          <w:rFonts w:asciiTheme="majorHAnsi" w:hAnsiTheme="majorHAnsi"/>
          <w:b w:val="0"/>
          <w:color w:val="00212F" w:themeColor="accent1" w:themeShade="BF"/>
          <w:lang w:val="en-GB"/>
        </w:rPr>
        <w:t>Process</w:t>
      </w:r>
      <w:bookmarkEnd w:id="2"/>
      <w:r w:rsidRPr="00D31AFC">
        <w:rPr>
          <w:rStyle w:val="normaltextrun"/>
          <w:rFonts w:asciiTheme="majorHAnsi" w:hAnsiTheme="majorHAnsi"/>
          <w:b w:val="0"/>
          <w:color w:val="00212F" w:themeColor="accent1" w:themeShade="BF"/>
          <w:lang w:val="en-GB"/>
        </w:rPr>
        <w:t xml:space="preserve"> </w:t>
      </w:r>
    </w:p>
    <w:p w14:paraId="70E0A915" w14:textId="77777777" w:rsidR="00D31AFC" w:rsidRPr="00D31AFC" w:rsidRDefault="00D31AFC" w:rsidP="00D31AFC">
      <w:pPr>
        <w:spacing w:after="160" w:line="259" w:lineRule="auto"/>
        <w:rPr>
          <w:rFonts w:ascii="Calibri" w:eastAsia="Calibri" w:hAnsi="Calibri" w:cs="Times New Roman"/>
          <w:lang w:val="en-GB"/>
        </w:rPr>
      </w:pPr>
      <w:r w:rsidRPr="00D31AFC">
        <w:rPr>
          <w:rFonts w:ascii="Calibri" w:eastAsia="Calibri" w:hAnsi="Calibri" w:cs="Times New Roman"/>
          <w:lang w:val="en-GB"/>
        </w:rPr>
        <w:t>In the last quarter of 2023, the department held bilateral discussions and structured workshops with a wide variety of stakeholders. Stakeholders included:</w:t>
      </w:r>
    </w:p>
    <w:p w14:paraId="75C3733A" w14:textId="77777777" w:rsidR="00D31AFC" w:rsidRPr="00D31AFC" w:rsidRDefault="00D31AFC" w:rsidP="00D31AFC">
      <w:pPr>
        <w:numPr>
          <w:ilvl w:val="0"/>
          <w:numId w:val="15"/>
        </w:numPr>
        <w:spacing w:after="160" w:line="259" w:lineRule="auto"/>
        <w:contextualSpacing/>
        <w:rPr>
          <w:rFonts w:ascii="Calibri" w:eastAsia="Calibri" w:hAnsi="Calibri" w:cs="Calibri"/>
          <w:color w:val="000000"/>
          <w:lang w:val="en-GB"/>
        </w:rPr>
      </w:pPr>
      <w:r w:rsidRPr="00D31AFC">
        <w:rPr>
          <w:rFonts w:ascii="Calibri" w:eastAsia="Calibri" w:hAnsi="Calibri" w:cs="Calibri"/>
          <w:color w:val="000000"/>
          <w:lang w:val="en-GB"/>
        </w:rPr>
        <w:t>organisations currently involved in or delivering place-based programs (not restricted to employment programs).</w:t>
      </w:r>
    </w:p>
    <w:p w14:paraId="662867C9" w14:textId="77777777" w:rsidR="00D31AFC" w:rsidRPr="00D31AFC" w:rsidRDefault="00D31AFC" w:rsidP="00D31AFC">
      <w:pPr>
        <w:numPr>
          <w:ilvl w:val="0"/>
          <w:numId w:val="15"/>
        </w:numPr>
        <w:spacing w:after="160" w:line="259" w:lineRule="auto"/>
        <w:contextualSpacing/>
        <w:rPr>
          <w:rFonts w:ascii="Calibri" w:eastAsia="Calibri" w:hAnsi="Calibri" w:cs="Calibri"/>
          <w:color w:val="000000"/>
          <w:lang w:val="en-GB"/>
        </w:rPr>
      </w:pPr>
      <w:r w:rsidRPr="00D31AFC">
        <w:rPr>
          <w:rFonts w:ascii="Calibri" w:eastAsia="Calibri" w:hAnsi="Calibri" w:cs="Calibri"/>
          <w:color w:val="000000"/>
          <w:lang w:val="en-GB"/>
        </w:rPr>
        <w:t xml:space="preserve">organisations with a research or academic interest in place-based program, community capacity building and governance structures. </w:t>
      </w:r>
    </w:p>
    <w:p w14:paraId="372283A1" w14:textId="77777777" w:rsidR="00D31AFC" w:rsidRPr="00D31AFC" w:rsidRDefault="00D31AFC" w:rsidP="00D31AFC">
      <w:pPr>
        <w:numPr>
          <w:ilvl w:val="0"/>
          <w:numId w:val="15"/>
        </w:numPr>
        <w:spacing w:after="160" w:line="259" w:lineRule="auto"/>
        <w:contextualSpacing/>
        <w:rPr>
          <w:rFonts w:ascii="Calibri" w:eastAsia="Calibri" w:hAnsi="Calibri" w:cs="Times New Roman"/>
          <w:lang w:val="en-GB"/>
        </w:rPr>
      </w:pPr>
      <w:r w:rsidRPr="00D31AFC">
        <w:rPr>
          <w:rFonts w:ascii="Calibri" w:eastAsia="Calibri" w:hAnsi="Calibri" w:cs="Calibri"/>
          <w:color w:val="000000"/>
          <w:lang w:val="en-GB"/>
        </w:rPr>
        <w:t>business and industry representatives.</w:t>
      </w:r>
    </w:p>
    <w:p w14:paraId="422089C2" w14:textId="77777777" w:rsidR="00D31AFC" w:rsidRPr="0094330B" w:rsidRDefault="00D31AFC" w:rsidP="00D31AFC">
      <w:pPr>
        <w:numPr>
          <w:ilvl w:val="0"/>
          <w:numId w:val="15"/>
        </w:numPr>
        <w:spacing w:after="160" w:line="259" w:lineRule="auto"/>
        <w:contextualSpacing/>
        <w:rPr>
          <w:rFonts w:ascii="Calibri" w:eastAsia="Calibri" w:hAnsi="Calibri" w:cs="Times New Roman"/>
          <w:lang w:val="en-GB"/>
        </w:rPr>
      </w:pPr>
      <w:r w:rsidRPr="00D31AFC">
        <w:rPr>
          <w:rFonts w:ascii="Calibri" w:eastAsia="Calibri" w:hAnsi="Calibri" w:cs="Calibri"/>
          <w:color w:val="000000"/>
          <w:lang w:val="en-GB"/>
        </w:rPr>
        <w:t>state and local government representatives.</w:t>
      </w:r>
    </w:p>
    <w:p w14:paraId="7FABB823" w14:textId="77777777" w:rsidR="0094330B" w:rsidRPr="00D31AFC" w:rsidRDefault="0094330B" w:rsidP="0094330B">
      <w:pPr>
        <w:spacing w:after="160" w:line="259" w:lineRule="auto"/>
        <w:ind w:left="720"/>
        <w:contextualSpacing/>
        <w:rPr>
          <w:rFonts w:ascii="Calibri" w:eastAsia="Calibri" w:hAnsi="Calibri" w:cs="Times New Roman"/>
          <w:lang w:val="en-GB"/>
        </w:rPr>
      </w:pPr>
    </w:p>
    <w:p w14:paraId="7551C23F" w14:textId="45D07ECA" w:rsidR="00D31AFC" w:rsidRPr="00D31AFC" w:rsidRDefault="00D31AFC" w:rsidP="00D31AFC">
      <w:pPr>
        <w:spacing w:after="160" w:line="259" w:lineRule="auto"/>
        <w:rPr>
          <w:rFonts w:ascii="Calibri" w:eastAsia="Calibri" w:hAnsi="Calibri" w:cs="Times New Roman"/>
          <w:lang w:val="en-GB"/>
        </w:rPr>
      </w:pPr>
      <w:r w:rsidRPr="00D31AFC">
        <w:rPr>
          <w:rFonts w:ascii="Calibri" w:eastAsia="Calibri" w:hAnsi="Calibri" w:cs="Times New Roman"/>
          <w:lang w:val="en-GB"/>
        </w:rPr>
        <w:t xml:space="preserve">Four workshops, delivered in collaboration with the </w:t>
      </w:r>
      <w:r w:rsidR="002641F6">
        <w:t>Nexus Centre Foundation Partner</w:t>
      </w:r>
      <w:r w:rsidR="00E00172">
        <w:t>,</w:t>
      </w:r>
      <w:r w:rsidR="00894AA7">
        <w:t xml:space="preserve"> </w:t>
      </w:r>
      <w:r w:rsidRPr="00D31AFC">
        <w:rPr>
          <w:rFonts w:ascii="Calibri" w:eastAsia="Calibri" w:hAnsi="Calibri" w:cs="Times New Roman"/>
          <w:lang w:val="en-GB"/>
        </w:rPr>
        <w:t xml:space="preserve">were held in Brisbane, Sydney, Melbourne and Perth. Participants in the workshop were provided with a primer document ahead of time to facilitate these workshops. The primer can be found at </w:t>
      </w:r>
      <w:r w:rsidRPr="00D31AFC">
        <w:rPr>
          <w:rFonts w:ascii="Calibri" w:eastAsia="Calibri" w:hAnsi="Calibri" w:cs="Times New Roman"/>
          <w:u w:val="single"/>
          <w:lang w:val="en-GB"/>
        </w:rPr>
        <w:t>Attachment A</w:t>
      </w:r>
      <w:r w:rsidRPr="00D31AFC">
        <w:rPr>
          <w:rFonts w:ascii="Calibri" w:eastAsia="Calibri" w:hAnsi="Calibri" w:cs="Times New Roman"/>
          <w:lang w:val="en-GB"/>
        </w:rPr>
        <w:t xml:space="preserve">. </w:t>
      </w:r>
    </w:p>
    <w:p w14:paraId="5C95E4DE" w14:textId="77777777" w:rsidR="00D31AFC" w:rsidRPr="00D31AFC" w:rsidRDefault="00D31AFC" w:rsidP="00D31AFC">
      <w:pPr>
        <w:spacing w:after="160" w:line="259" w:lineRule="auto"/>
        <w:rPr>
          <w:rFonts w:ascii="Calibri" w:eastAsia="Calibri" w:hAnsi="Calibri" w:cs="Times New Roman"/>
          <w:lang w:val="en-GB"/>
        </w:rPr>
      </w:pPr>
      <w:r w:rsidRPr="00D31AFC">
        <w:rPr>
          <w:rFonts w:ascii="Calibri" w:eastAsia="Calibri" w:hAnsi="Calibri" w:cs="Times New Roman"/>
          <w:lang w:val="en-GB"/>
        </w:rPr>
        <w:t xml:space="preserve">During these workshops it was evident that it would be beneficial to hold specific workshop/s on how to measure the impact and undertake evaluations of place-based programs. This will see further consultations occur in 2024. Additional consultation is also planned for industry and business stakeholders. </w:t>
      </w:r>
    </w:p>
    <w:p w14:paraId="7D7A0DC2" w14:textId="77777777" w:rsidR="00D31AFC" w:rsidRPr="004C3719" w:rsidRDefault="00D31AFC" w:rsidP="004C3719">
      <w:pPr>
        <w:pStyle w:val="Heading1"/>
        <w:spacing w:line="259" w:lineRule="auto"/>
        <w:rPr>
          <w:rFonts w:asciiTheme="majorHAnsi" w:hAnsiTheme="majorHAnsi"/>
          <w:b w:val="0"/>
          <w:color w:val="00212F" w:themeColor="accent1" w:themeShade="BF"/>
          <w:lang w:val="en-GB"/>
        </w:rPr>
      </w:pPr>
      <w:bookmarkStart w:id="3" w:name="_Toc157755340"/>
      <w:r w:rsidRPr="004C3719">
        <w:rPr>
          <w:rFonts w:asciiTheme="majorHAnsi" w:hAnsiTheme="majorHAnsi"/>
          <w:b w:val="0"/>
          <w:color w:val="00212F" w:themeColor="accent1" w:themeShade="BF"/>
          <w:lang w:val="en-GB"/>
        </w:rPr>
        <w:t>Key Findings</w:t>
      </w:r>
      <w:bookmarkEnd w:id="3"/>
    </w:p>
    <w:p w14:paraId="4E6EC802" w14:textId="77777777" w:rsidR="00D31AFC" w:rsidRPr="00D31AFC" w:rsidRDefault="00D31AFC" w:rsidP="00D31AFC">
      <w:pPr>
        <w:spacing w:after="160" w:line="259" w:lineRule="auto"/>
        <w:rPr>
          <w:rFonts w:ascii="Calibri" w:eastAsia="Calibri" w:hAnsi="Calibri" w:cs="Times New Roman"/>
          <w:lang w:val="en-GB"/>
        </w:rPr>
      </w:pPr>
      <w:r w:rsidRPr="00D31AFC">
        <w:rPr>
          <w:rFonts w:ascii="Calibri" w:eastAsia="Calibri" w:hAnsi="Calibri" w:cs="Calibri"/>
          <w:color w:val="000000"/>
          <w:shd w:val="clear" w:color="auto" w:fill="FFFFFF"/>
          <w:lang w:val="en-GB"/>
        </w:rPr>
        <w:t>Place-based approaches are already operating across Australia in many communities and tackling a broad range of issues. Stakeholders were generous in offering their views and experiences in how they saw place-based approaches bringing people within communities together to address often complex issues.</w:t>
      </w:r>
    </w:p>
    <w:p w14:paraId="0AFBCA60" w14:textId="77777777" w:rsidR="00D31AFC" w:rsidRPr="00D31AFC" w:rsidRDefault="00D31AFC" w:rsidP="00B43268">
      <w:pPr>
        <w:pStyle w:val="Heading2"/>
        <w:spacing w:before="40" w:line="259" w:lineRule="auto"/>
        <w:rPr>
          <w:rStyle w:val="normaltextrun"/>
          <w:rFonts w:asciiTheme="majorHAnsi" w:hAnsiTheme="majorHAnsi"/>
          <w:b w:val="0"/>
          <w:color w:val="00212F" w:themeColor="accent1" w:themeShade="BF"/>
          <w:sz w:val="26"/>
          <w:u w:val="single"/>
          <w:lang w:val="en-GB"/>
        </w:rPr>
      </w:pPr>
      <w:bookmarkStart w:id="4" w:name="_Toc157755341"/>
      <w:r w:rsidRPr="00D31AFC">
        <w:rPr>
          <w:rStyle w:val="normaltextrun"/>
          <w:rFonts w:asciiTheme="majorHAnsi" w:hAnsiTheme="majorHAnsi"/>
          <w:b w:val="0"/>
          <w:color w:val="00212F" w:themeColor="accent1" w:themeShade="BF"/>
          <w:sz w:val="26"/>
          <w:u w:val="single"/>
          <w:lang w:val="en-GB"/>
        </w:rPr>
        <w:t>Critical elements for success</w:t>
      </w:r>
      <w:bookmarkEnd w:id="4"/>
    </w:p>
    <w:p w14:paraId="788F6996" w14:textId="77777777" w:rsidR="00D31AFC" w:rsidRPr="00D31AFC" w:rsidRDefault="00D31AFC" w:rsidP="00D31AFC">
      <w:pPr>
        <w:spacing w:before="120" w:after="160" w:line="259" w:lineRule="auto"/>
        <w:rPr>
          <w:rFonts w:ascii="Calibri" w:eastAsia="Calibri" w:hAnsi="Calibri" w:cs="Calibri"/>
          <w:color w:val="000000"/>
          <w:shd w:val="clear" w:color="auto" w:fill="FFFFFF"/>
          <w:lang w:val="en-GB"/>
        </w:rPr>
      </w:pPr>
      <w:r w:rsidRPr="00D31AFC">
        <w:rPr>
          <w:rFonts w:ascii="Calibri" w:eastAsia="Calibri" w:hAnsi="Calibri" w:cs="Calibri"/>
          <w:color w:val="000000"/>
          <w:shd w:val="clear" w:color="auto" w:fill="FFFFFF"/>
          <w:lang w:val="en-GB"/>
        </w:rPr>
        <w:t>Stakeholders identified a number of critical elements they had found when designing and implementing place-based initiatives. They noted that there was a degree of interdependence between these elements. It was clear that the uniqueness of a community (strengths, assets, challenges, and goals) and engaging openly and credibly with people were vital to build a strong foundation for success.</w:t>
      </w:r>
    </w:p>
    <w:p w14:paraId="30D29FD8" w14:textId="77777777" w:rsidR="00D31AFC" w:rsidRPr="00D31AFC" w:rsidRDefault="00D31AFC" w:rsidP="00D31AFC">
      <w:pPr>
        <w:spacing w:before="120" w:after="160" w:line="259" w:lineRule="auto"/>
        <w:rPr>
          <w:rFonts w:ascii="Calibri" w:eastAsia="Calibri" w:hAnsi="Calibri" w:cs="Calibri"/>
          <w:color w:val="000000"/>
          <w:shd w:val="clear" w:color="auto" w:fill="FFFFFF"/>
          <w:lang w:val="en-GB"/>
        </w:rPr>
      </w:pPr>
      <w:r w:rsidRPr="00D31AFC">
        <w:rPr>
          <w:rFonts w:ascii="Calibri" w:eastAsia="Calibri" w:hAnsi="Calibri" w:cs="Calibri"/>
          <w:color w:val="000000"/>
          <w:shd w:val="clear" w:color="auto" w:fill="FFFFFF"/>
          <w:lang w:val="en-GB"/>
        </w:rPr>
        <w:t>The elements that were consistently noted are summarised below.</w:t>
      </w:r>
    </w:p>
    <w:p w14:paraId="1B4B0128" w14:textId="77777777" w:rsidR="00D31AFC" w:rsidRPr="00D31AFC" w:rsidRDefault="00D31AFC" w:rsidP="00D31AFC">
      <w:pPr>
        <w:spacing w:before="120" w:after="160" w:line="259" w:lineRule="auto"/>
        <w:rPr>
          <w:rStyle w:val="Heading3Char"/>
          <w:rFonts w:asciiTheme="majorHAnsi" w:hAnsiTheme="majorHAnsi"/>
          <w:color w:val="00161F" w:themeColor="accent1" w:themeShade="7F"/>
          <w:sz w:val="24"/>
          <w:lang w:val="en-GB"/>
        </w:rPr>
      </w:pPr>
      <w:bookmarkStart w:id="5" w:name="_Toc157755342"/>
      <w:r w:rsidRPr="00D31AFC">
        <w:rPr>
          <w:rStyle w:val="Heading3Char"/>
          <w:rFonts w:asciiTheme="majorHAnsi" w:hAnsiTheme="majorHAnsi"/>
          <w:color w:val="00161F" w:themeColor="accent1" w:themeShade="7F"/>
          <w:sz w:val="24"/>
          <w:lang w:val="en-GB"/>
        </w:rPr>
        <w:t>Community voice is valued</w:t>
      </w:r>
      <w:bookmarkEnd w:id="5"/>
    </w:p>
    <w:p w14:paraId="27780D49" w14:textId="3C0C69E8" w:rsidR="00D31AFC" w:rsidRPr="00D31AFC" w:rsidRDefault="00D31AFC" w:rsidP="00D31AFC">
      <w:pPr>
        <w:spacing w:before="120" w:after="160" w:line="259" w:lineRule="auto"/>
        <w:rPr>
          <w:rFonts w:ascii="Calibri" w:eastAsia="Calibri" w:hAnsi="Calibri" w:cs="Calibri"/>
          <w:color w:val="000000"/>
          <w:shd w:val="clear" w:color="auto" w:fill="FFFFFF"/>
        </w:rPr>
      </w:pPr>
      <w:r w:rsidRPr="00D31AFC">
        <w:rPr>
          <w:rFonts w:ascii="Calibri" w:eastAsia="Calibri" w:hAnsi="Calibri" w:cs="Times New Roman"/>
          <w:lang w:val="en-GB"/>
        </w:rPr>
        <w:t xml:space="preserve">Stakeholders agreed on the importance of valuing community voice and its role in framing issues, responding to community needs and ensuring representation in decision making. A community voice includes a choice on what, why and when programs are introduced into a community rather than retrofitting an initiative to community. It includes the right for a community to decline to have a program occur if they feel the time is not right, the community is not ready, an initiative is duplicative and/or does not address the goals of a community. An ongoing partnership with the </w:t>
      </w:r>
      <w:r w:rsidRPr="00D31AFC">
        <w:rPr>
          <w:rFonts w:ascii="Calibri" w:eastAsia="Calibri" w:hAnsi="Calibri" w:cs="Times New Roman"/>
          <w:lang w:val="en-GB"/>
        </w:rPr>
        <w:lastRenderedPageBreak/>
        <w:t>community is needed through the design, implementation, and ongoing delivery of the initiative. Working with local leaders and influencers, and engaging community as active partners builds trust and belief that the community voice was being valued</w:t>
      </w:r>
      <w:r w:rsidR="00D219D2" w:rsidRPr="00D31AFC">
        <w:rPr>
          <w:rFonts w:ascii="Calibri" w:eastAsia="Calibri" w:hAnsi="Calibri" w:cs="Times New Roman"/>
          <w:lang w:val="en-GB"/>
        </w:rPr>
        <w:t xml:space="preserve">. </w:t>
      </w:r>
      <w:r w:rsidRPr="00D31AFC">
        <w:rPr>
          <w:rFonts w:ascii="Calibri" w:eastAsia="Calibri" w:hAnsi="Calibri" w:cs="Calibri"/>
          <w:color w:val="000000"/>
          <w:shd w:val="clear" w:color="auto" w:fill="FFFFFF"/>
          <w:lang w:val="en-GB"/>
        </w:rPr>
        <w:t>This is a common thread through current research findings on place-based approaches.</w:t>
      </w:r>
    </w:p>
    <w:p w14:paraId="43A2745F" w14:textId="77777777" w:rsidR="00D31AFC" w:rsidRPr="00D31AFC" w:rsidRDefault="00D31AFC" w:rsidP="00D31AFC">
      <w:pPr>
        <w:spacing w:before="120" w:after="160" w:line="259" w:lineRule="auto"/>
        <w:rPr>
          <w:rStyle w:val="Heading3Char"/>
          <w:rFonts w:asciiTheme="majorHAnsi" w:hAnsiTheme="majorHAnsi"/>
          <w:color w:val="00161F" w:themeColor="accent1" w:themeShade="7F"/>
          <w:sz w:val="24"/>
          <w:lang w:val="en-GB"/>
        </w:rPr>
      </w:pPr>
      <w:bookmarkStart w:id="6" w:name="_Toc157755343"/>
      <w:r w:rsidRPr="00D31AFC">
        <w:rPr>
          <w:rStyle w:val="Heading3Char"/>
          <w:rFonts w:asciiTheme="majorHAnsi" w:hAnsiTheme="majorHAnsi"/>
          <w:color w:val="00161F" w:themeColor="accent1" w:themeShade="7F"/>
          <w:sz w:val="24"/>
          <w:lang w:val="en-GB"/>
        </w:rPr>
        <w:t>Purpose</w:t>
      </w:r>
      <w:bookmarkEnd w:id="6"/>
      <w:r w:rsidRPr="00D31AFC">
        <w:rPr>
          <w:rStyle w:val="Heading3Char"/>
          <w:rFonts w:asciiTheme="majorHAnsi" w:hAnsiTheme="majorHAnsi"/>
          <w:color w:val="00161F" w:themeColor="accent1" w:themeShade="7F"/>
          <w:sz w:val="24"/>
          <w:lang w:val="en-GB"/>
        </w:rPr>
        <w:t xml:space="preserve"> </w:t>
      </w:r>
    </w:p>
    <w:p w14:paraId="4A574BF5" w14:textId="77777777" w:rsidR="00D31AFC" w:rsidRPr="00D31AFC" w:rsidRDefault="00D31AFC" w:rsidP="00D31AFC">
      <w:pPr>
        <w:spacing w:before="120" w:after="160" w:line="259" w:lineRule="auto"/>
        <w:rPr>
          <w:rFonts w:ascii="Calibri" w:eastAsia="Calibri" w:hAnsi="Calibri" w:cs="Calibri"/>
          <w:color w:val="000000"/>
          <w:shd w:val="clear" w:color="auto" w:fill="FFFFFF"/>
        </w:rPr>
      </w:pPr>
      <w:r w:rsidRPr="00D31AFC">
        <w:rPr>
          <w:rFonts w:ascii="Calibri" w:eastAsia="Calibri" w:hAnsi="Calibri" w:cs="Calibri"/>
          <w:color w:val="000000"/>
          <w:shd w:val="clear" w:color="auto" w:fill="FFFFFF"/>
        </w:rPr>
        <w:t xml:space="preserve">A place-based approach needs a clear purpose and a </w:t>
      </w:r>
      <w:r w:rsidRPr="00D31AFC">
        <w:rPr>
          <w:rFonts w:ascii="Calibri" w:eastAsia="Calibri" w:hAnsi="Calibri" w:cs="Calibri"/>
          <w:b/>
          <w:bCs/>
          <w:color w:val="000000"/>
          <w:shd w:val="clear" w:color="auto" w:fill="FFFFFF"/>
        </w:rPr>
        <w:t>shared ambition for the community</w:t>
      </w:r>
      <w:r w:rsidRPr="00D31AFC">
        <w:rPr>
          <w:rFonts w:ascii="Calibri" w:eastAsia="Calibri" w:hAnsi="Calibri" w:cs="Calibri"/>
          <w:color w:val="000000"/>
          <w:shd w:val="clear" w:color="auto" w:fill="FFFFFF"/>
        </w:rPr>
        <w:t xml:space="preserve">.  Stakeholders stressed that this supported the ability to focus often scarce resources and minimised duplication of services.  A clear purpose also helps manage community expectations and works to maintain trust and shared understanding. </w:t>
      </w:r>
    </w:p>
    <w:p w14:paraId="1209E1FB" w14:textId="77777777" w:rsidR="00D31AFC" w:rsidRPr="00D31AFC" w:rsidRDefault="00D31AFC" w:rsidP="00D31AFC">
      <w:pPr>
        <w:spacing w:before="120" w:after="160" w:line="259" w:lineRule="auto"/>
        <w:rPr>
          <w:rStyle w:val="Heading3Char"/>
          <w:rFonts w:asciiTheme="majorHAnsi" w:hAnsiTheme="majorHAnsi"/>
          <w:color w:val="00161F" w:themeColor="accent1" w:themeShade="7F"/>
          <w:sz w:val="24"/>
          <w:lang w:val="en-GB"/>
        </w:rPr>
      </w:pPr>
      <w:bookmarkStart w:id="7" w:name="_Toc157755344"/>
      <w:r w:rsidRPr="00D31AFC">
        <w:rPr>
          <w:rStyle w:val="Heading3Char"/>
          <w:rFonts w:asciiTheme="majorHAnsi" w:hAnsiTheme="majorHAnsi"/>
          <w:color w:val="00161F" w:themeColor="accent1" w:themeShade="7F"/>
          <w:sz w:val="24"/>
          <w:lang w:val="en-GB"/>
        </w:rPr>
        <w:t>Flexibility</w:t>
      </w:r>
      <w:bookmarkEnd w:id="7"/>
    </w:p>
    <w:p w14:paraId="202F03D9" w14:textId="77777777" w:rsidR="00D31AFC" w:rsidRPr="00D31AFC" w:rsidRDefault="00D31AFC" w:rsidP="00D31AFC">
      <w:pPr>
        <w:spacing w:before="120" w:after="160" w:line="259" w:lineRule="auto"/>
        <w:rPr>
          <w:rFonts w:ascii="Calibri" w:eastAsia="Calibri" w:hAnsi="Calibri" w:cs="Calibri"/>
          <w:color w:val="000000"/>
          <w:shd w:val="clear" w:color="auto" w:fill="FFFFFF"/>
        </w:rPr>
      </w:pPr>
      <w:r w:rsidRPr="00D31AFC">
        <w:rPr>
          <w:rFonts w:ascii="Calibri" w:eastAsia="Calibri" w:hAnsi="Calibri" w:cs="Calibri"/>
          <w:color w:val="000000"/>
          <w:shd w:val="clear" w:color="auto" w:fill="FFFFFF"/>
        </w:rPr>
        <w:t xml:space="preserve">It is important to avoid pre-packaged solutions and ensure there is flexibility to allow an initiative to be able to be directly relevant and responsive to the needs of a place. Flexibility in the design and implementation allows initiatives to adapt if shared outcomes are not being achieved. Flexibility also adds to a program’s ability to be seen as listening to community, building the social capital between participants and those delivering programs. </w:t>
      </w:r>
    </w:p>
    <w:p w14:paraId="46B34F02" w14:textId="77777777" w:rsidR="00D31AFC" w:rsidRPr="00D31AFC" w:rsidRDefault="00D31AFC" w:rsidP="00D31AFC">
      <w:pPr>
        <w:spacing w:before="120" w:after="160" w:line="259" w:lineRule="auto"/>
        <w:rPr>
          <w:rStyle w:val="Heading3Char"/>
          <w:rFonts w:asciiTheme="majorHAnsi" w:hAnsiTheme="majorHAnsi"/>
          <w:color w:val="00161F" w:themeColor="accent1" w:themeShade="7F"/>
          <w:sz w:val="24"/>
          <w:lang w:val="en-GB"/>
        </w:rPr>
      </w:pPr>
      <w:bookmarkStart w:id="8" w:name="_Toc157755345"/>
      <w:r w:rsidRPr="00D31AFC">
        <w:rPr>
          <w:rStyle w:val="Heading3Char"/>
          <w:rFonts w:asciiTheme="majorHAnsi" w:hAnsiTheme="majorHAnsi"/>
          <w:color w:val="00161F" w:themeColor="accent1" w:themeShade="7F"/>
          <w:sz w:val="24"/>
          <w:lang w:val="en-GB"/>
        </w:rPr>
        <w:t>Role for existing resources and structures</w:t>
      </w:r>
      <w:bookmarkEnd w:id="8"/>
      <w:r w:rsidRPr="00D31AFC">
        <w:rPr>
          <w:rStyle w:val="Heading3Char"/>
          <w:rFonts w:asciiTheme="majorHAnsi" w:hAnsiTheme="majorHAnsi"/>
          <w:color w:val="00161F" w:themeColor="accent1" w:themeShade="7F"/>
          <w:sz w:val="24"/>
          <w:lang w:val="en-GB"/>
        </w:rPr>
        <w:t xml:space="preserve"> </w:t>
      </w:r>
    </w:p>
    <w:p w14:paraId="67EADBE3" w14:textId="77777777" w:rsidR="00D31AFC" w:rsidRPr="00D31AFC" w:rsidRDefault="00D31AFC" w:rsidP="00D31AFC">
      <w:pPr>
        <w:spacing w:before="120" w:after="160" w:line="259" w:lineRule="auto"/>
        <w:rPr>
          <w:rFonts w:ascii="Calibri" w:eastAsia="Calibri" w:hAnsi="Calibri" w:cs="Calibri"/>
          <w:color w:val="000000"/>
          <w:shd w:val="clear" w:color="auto" w:fill="FFFFFF"/>
        </w:rPr>
      </w:pPr>
      <w:r w:rsidRPr="00D31AFC">
        <w:rPr>
          <w:rFonts w:ascii="Calibri" w:eastAsia="Calibri" w:hAnsi="Calibri" w:cs="Calibri"/>
          <w:color w:val="000000"/>
          <w:shd w:val="clear" w:color="auto" w:fill="FFFFFF"/>
        </w:rPr>
        <w:t>It is important to map and consider existing structures or groups. Stakeholders advocate using</w:t>
      </w:r>
      <w:r w:rsidRPr="00D31AFC">
        <w:rPr>
          <w:rFonts w:ascii="Calibri" w:eastAsia="Calibri" w:hAnsi="Calibri" w:cs="Times New Roman"/>
          <w:lang w:val="en-GB"/>
        </w:rPr>
        <w:t xml:space="preserve"> local intelligence to identify existing networks, resources, and social capital that can be used to guide both program development and implementation. </w:t>
      </w:r>
      <w:r w:rsidRPr="00D31AFC">
        <w:rPr>
          <w:rFonts w:ascii="Calibri" w:eastAsia="Calibri" w:hAnsi="Calibri" w:cs="Calibri"/>
          <w:color w:val="000000"/>
          <w:shd w:val="clear" w:color="auto" w:fill="FFFFFF"/>
        </w:rPr>
        <w:t xml:space="preserve"> This also allows for respectful consideration and use, where appropriate, of community groups or governance structures. Using existing structures can be seen as </w:t>
      </w:r>
      <w:r w:rsidRPr="00D31AFC">
        <w:rPr>
          <w:rFonts w:ascii="Calibri" w:eastAsia="Calibri" w:hAnsi="Calibri" w:cs="Times New Roman"/>
          <w:b/>
          <w:bCs/>
          <w:lang w:val="en-GB"/>
        </w:rPr>
        <w:t>meeting the community on their terms</w:t>
      </w:r>
      <w:r w:rsidRPr="00D31AFC">
        <w:rPr>
          <w:rFonts w:ascii="Calibri" w:eastAsia="Calibri" w:hAnsi="Calibri" w:cs="Times New Roman"/>
          <w:lang w:val="en-GB"/>
        </w:rPr>
        <w:t xml:space="preserve"> and with respect to existing investments. It was acknowledged that existing structures are not always appropriate and a decision to not use a structure is sometimes equally important. This can reflect the differences in capability that exist across communities.</w:t>
      </w:r>
    </w:p>
    <w:p w14:paraId="38027D57" w14:textId="77777777" w:rsidR="00D31AFC" w:rsidRPr="00D31AFC" w:rsidRDefault="00D31AFC" w:rsidP="00D31AFC">
      <w:pPr>
        <w:spacing w:before="120" w:after="160" w:line="259" w:lineRule="auto"/>
        <w:rPr>
          <w:rStyle w:val="Heading3Char"/>
          <w:rFonts w:asciiTheme="majorHAnsi" w:hAnsiTheme="majorHAnsi"/>
          <w:color w:val="00161F" w:themeColor="accent1" w:themeShade="7F"/>
          <w:sz w:val="24"/>
          <w:lang w:val="en-GB"/>
        </w:rPr>
      </w:pPr>
      <w:bookmarkStart w:id="9" w:name="_Toc157755346"/>
      <w:r w:rsidRPr="00D31AFC">
        <w:rPr>
          <w:rStyle w:val="Heading3Char"/>
          <w:rFonts w:asciiTheme="majorHAnsi" w:hAnsiTheme="majorHAnsi"/>
          <w:color w:val="00161F" w:themeColor="accent1" w:themeShade="7F"/>
          <w:sz w:val="24"/>
          <w:lang w:val="en-GB"/>
        </w:rPr>
        <w:t>Socialisation and establishment take time</w:t>
      </w:r>
      <w:bookmarkEnd w:id="9"/>
      <w:r w:rsidRPr="00D31AFC">
        <w:rPr>
          <w:rStyle w:val="Heading3Char"/>
          <w:rFonts w:asciiTheme="majorHAnsi" w:hAnsiTheme="majorHAnsi"/>
          <w:color w:val="00161F" w:themeColor="accent1" w:themeShade="7F"/>
          <w:sz w:val="24"/>
          <w:lang w:val="en-GB"/>
        </w:rPr>
        <w:t xml:space="preserve"> </w:t>
      </w:r>
    </w:p>
    <w:p w14:paraId="528F3F55" w14:textId="77777777" w:rsidR="00D31AFC" w:rsidRPr="00D31AFC" w:rsidRDefault="00D31AFC" w:rsidP="00D31AFC">
      <w:pPr>
        <w:spacing w:before="120" w:after="160" w:line="259" w:lineRule="auto"/>
        <w:rPr>
          <w:rFonts w:ascii="Calibri" w:eastAsia="Calibri" w:hAnsi="Calibri" w:cs="Calibri"/>
          <w:color w:val="000000"/>
          <w:shd w:val="clear" w:color="auto" w:fill="FFFFFF"/>
        </w:rPr>
      </w:pPr>
      <w:r w:rsidRPr="00D31AFC">
        <w:rPr>
          <w:rFonts w:ascii="Calibri" w:eastAsia="Calibri" w:hAnsi="Calibri" w:cs="Calibri"/>
          <w:color w:val="000000"/>
          <w:shd w:val="clear" w:color="auto" w:fill="FFFFFF"/>
        </w:rPr>
        <w:t xml:space="preserve">Stakeholders were universally clear in the </w:t>
      </w:r>
      <w:r w:rsidRPr="00D31AFC">
        <w:rPr>
          <w:rFonts w:ascii="Calibri" w:eastAsia="Calibri" w:hAnsi="Calibri" w:cs="Calibri"/>
          <w:b/>
          <w:bCs/>
          <w:color w:val="000000"/>
          <w:shd w:val="clear" w:color="auto" w:fill="FFFFFF"/>
        </w:rPr>
        <w:t>time investment</w:t>
      </w:r>
      <w:r w:rsidRPr="00D31AFC">
        <w:rPr>
          <w:rFonts w:ascii="Calibri" w:eastAsia="Calibri" w:hAnsi="Calibri" w:cs="Calibri"/>
          <w:color w:val="000000"/>
          <w:shd w:val="clear" w:color="auto" w:fill="FFFFFF"/>
        </w:rPr>
        <w:t xml:space="preserve"> required to establish a successful place-based service. The need to embed the concept of a program, the time to build relationships and linkages across the community and start to earn trust were fundamental requirements. This means that initial uptake or delivery of outcomes may be slow. This phase however was seen as pivotal to building the ability to work with the community, understand the operating ‘ecosystem’ and to enable collaboration with and to leverage other programs. </w:t>
      </w:r>
    </w:p>
    <w:p w14:paraId="5C7D79B7" w14:textId="77777777" w:rsidR="00D31AFC" w:rsidRPr="00D31AFC" w:rsidRDefault="00D31AFC" w:rsidP="00D31AFC">
      <w:pPr>
        <w:spacing w:before="120" w:after="160" w:line="259" w:lineRule="auto"/>
        <w:rPr>
          <w:rStyle w:val="Heading3Char"/>
          <w:rFonts w:asciiTheme="majorHAnsi" w:hAnsiTheme="majorHAnsi"/>
          <w:color w:val="00161F" w:themeColor="accent1" w:themeShade="7F"/>
          <w:sz w:val="24"/>
          <w:lang w:val="en-GB"/>
        </w:rPr>
      </w:pPr>
      <w:bookmarkStart w:id="10" w:name="_Toc157755347"/>
      <w:r w:rsidRPr="00D31AFC">
        <w:rPr>
          <w:rStyle w:val="Heading3Char"/>
          <w:rFonts w:asciiTheme="majorHAnsi" w:hAnsiTheme="majorHAnsi"/>
          <w:color w:val="00161F" w:themeColor="accent1" w:themeShade="7F"/>
          <w:sz w:val="24"/>
          <w:lang w:val="en-GB"/>
        </w:rPr>
        <w:t>Feedback and accountability</w:t>
      </w:r>
      <w:bookmarkEnd w:id="10"/>
    </w:p>
    <w:p w14:paraId="54B35984" w14:textId="77777777" w:rsidR="00D31AFC" w:rsidRPr="00D31AFC" w:rsidRDefault="00D31AFC" w:rsidP="00D31AFC">
      <w:pPr>
        <w:spacing w:before="120" w:after="160" w:line="259" w:lineRule="auto"/>
        <w:rPr>
          <w:rFonts w:ascii="Calibri" w:eastAsia="Calibri" w:hAnsi="Calibri" w:cs="Calibri"/>
          <w:color w:val="000000"/>
          <w:shd w:val="clear" w:color="auto" w:fill="FFFFFF"/>
        </w:rPr>
      </w:pPr>
      <w:r w:rsidRPr="00D31AFC">
        <w:rPr>
          <w:rFonts w:ascii="Calibri" w:eastAsia="Calibri" w:hAnsi="Calibri" w:cs="Calibri"/>
          <w:color w:val="000000"/>
          <w:shd w:val="clear" w:color="auto" w:fill="FFFFFF"/>
        </w:rPr>
        <w:t xml:space="preserve">Appropriate governance structures allow the community to continue to have a voice and hold a program to account. It is important that the governance structure provides a conduit for the sharing of ideas and issues and escalating ideas to where action is possible. Stakeholders noted that reporting lines differed considerably depending on the program and source of authority and funding. </w:t>
      </w:r>
      <w:r w:rsidRPr="00D31AFC">
        <w:rPr>
          <w:rFonts w:ascii="Calibri" w:eastAsia="Calibri" w:hAnsi="Calibri" w:cs="Calibri"/>
          <w:b/>
          <w:bCs/>
          <w:color w:val="000000"/>
          <w:shd w:val="clear" w:color="auto" w:fill="FFFFFF"/>
        </w:rPr>
        <w:t>An open and transparent approach</w:t>
      </w:r>
      <w:r w:rsidRPr="00D31AFC">
        <w:rPr>
          <w:rFonts w:ascii="Calibri" w:eastAsia="Calibri" w:hAnsi="Calibri" w:cs="Calibri"/>
          <w:color w:val="000000"/>
          <w:shd w:val="clear" w:color="auto" w:fill="FFFFFF"/>
        </w:rPr>
        <w:t xml:space="preserve"> to community engagement through governance models was vital to ensure accountability to the community. </w:t>
      </w:r>
    </w:p>
    <w:p w14:paraId="7F7DF657" w14:textId="77777777" w:rsidR="00D31AFC" w:rsidRPr="00D31AFC" w:rsidRDefault="00D31AFC" w:rsidP="00B43268">
      <w:pPr>
        <w:pStyle w:val="Heading2"/>
        <w:spacing w:before="40" w:line="259" w:lineRule="auto"/>
        <w:rPr>
          <w:rStyle w:val="normaltextrun"/>
          <w:rFonts w:asciiTheme="majorHAnsi" w:hAnsiTheme="majorHAnsi"/>
          <w:b w:val="0"/>
          <w:color w:val="00212F" w:themeColor="accent1" w:themeShade="BF"/>
          <w:sz w:val="26"/>
          <w:u w:val="single"/>
          <w:lang w:val="en-GB"/>
        </w:rPr>
      </w:pPr>
      <w:bookmarkStart w:id="11" w:name="_Toc157755348"/>
      <w:r w:rsidRPr="00D31AFC">
        <w:rPr>
          <w:rStyle w:val="normaltextrun"/>
          <w:rFonts w:asciiTheme="majorHAnsi" w:hAnsiTheme="majorHAnsi"/>
          <w:b w:val="0"/>
          <w:color w:val="00212F" w:themeColor="accent1" w:themeShade="BF"/>
          <w:sz w:val="26"/>
          <w:u w:val="single"/>
          <w:lang w:val="en-GB"/>
        </w:rPr>
        <w:t>Delivering elements</w:t>
      </w:r>
      <w:bookmarkEnd w:id="11"/>
    </w:p>
    <w:p w14:paraId="1E605C32" w14:textId="77777777" w:rsidR="00D31AFC" w:rsidRPr="00D31AFC" w:rsidRDefault="00D31AFC" w:rsidP="00D31AFC">
      <w:pPr>
        <w:spacing w:after="160" w:line="259" w:lineRule="auto"/>
        <w:rPr>
          <w:rFonts w:ascii="Calibri" w:eastAsia="Calibri" w:hAnsi="Calibri" w:cs="Times New Roman"/>
          <w:lang w:val="en-GB"/>
        </w:rPr>
      </w:pPr>
      <w:r w:rsidRPr="00D31AFC">
        <w:rPr>
          <w:rFonts w:ascii="Calibri" w:eastAsia="Calibri" w:hAnsi="Calibri" w:cs="Times New Roman"/>
          <w:lang w:val="en-GB"/>
        </w:rPr>
        <w:t xml:space="preserve">The richness of experience shared by stakeholders highlighted that there was </w:t>
      </w:r>
      <w:r w:rsidRPr="00D31AFC">
        <w:rPr>
          <w:rFonts w:ascii="Calibri" w:eastAsia="Calibri" w:hAnsi="Calibri" w:cs="Times New Roman"/>
          <w:b/>
          <w:bCs/>
          <w:lang w:val="en-GB"/>
        </w:rPr>
        <w:t>no singular way</w:t>
      </w:r>
      <w:r w:rsidRPr="00D31AFC">
        <w:rPr>
          <w:rFonts w:ascii="Calibri" w:eastAsia="Calibri" w:hAnsi="Calibri" w:cs="Times New Roman"/>
          <w:lang w:val="en-GB"/>
        </w:rPr>
        <w:t xml:space="preserve"> in which a place-based program should be delivered. Provided that the elements were captured and </w:t>
      </w:r>
      <w:r w:rsidRPr="00D31AFC">
        <w:rPr>
          <w:rFonts w:ascii="Calibri" w:eastAsia="Calibri" w:hAnsi="Calibri" w:cs="Times New Roman"/>
          <w:lang w:val="en-GB"/>
        </w:rPr>
        <w:lastRenderedPageBreak/>
        <w:t xml:space="preserve">supported, there was agreement that both government and non-government stakeholders have the potential to lead and deliver place-based services. </w:t>
      </w:r>
    </w:p>
    <w:p w14:paraId="71BDB5EA" w14:textId="77777777" w:rsidR="00D31AFC" w:rsidRPr="00D31AFC" w:rsidRDefault="00D31AFC" w:rsidP="00D31AFC">
      <w:pPr>
        <w:spacing w:after="160" w:line="259" w:lineRule="auto"/>
        <w:rPr>
          <w:rFonts w:ascii="Calibri" w:eastAsia="Calibri" w:hAnsi="Calibri" w:cs="Times New Roman"/>
          <w:lang w:val="en-GB"/>
        </w:rPr>
      </w:pPr>
      <w:r w:rsidRPr="00D31AFC">
        <w:rPr>
          <w:rFonts w:ascii="Calibri" w:eastAsia="Calibri" w:hAnsi="Calibri" w:cs="Times New Roman"/>
          <w:lang w:val="en-GB"/>
        </w:rPr>
        <w:t>Specific issues that were discussed included:</w:t>
      </w:r>
    </w:p>
    <w:p w14:paraId="15F8C45A" w14:textId="77777777" w:rsidR="00D31AFC" w:rsidRPr="00D31AFC" w:rsidRDefault="00D31AFC" w:rsidP="00362A84">
      <w:pPr>
        <w:spacing w:before="120" w:after="160" w:line="259" w:lineRule="auto"/>
        <w:rPr>
          <w:rStyle w:val="Heading3Char"/>
          <w:rFonts w:asciiTheme="majorHAnsi" w:hAnsiTheme="majorHAnsi"/>
          <w:color w:val="00161F" w:themeColor="accent1" w:themeShade="7F"/>
          <w:sz w:val="24"/>
          <w:lang w:val="en-GB"/>
        </w:rPr>
      </w:pPr>
      <w:bookmarkStart w:id="12" w:name="_Toc157755349"/>
      <w:r w:rsidRPr="00D31AFC">
        <w:rPr>
          <w:rStyle w:val="Heading3Char"/>
          <w:rFonts w:asciiTheme="majorHAnsi" w:hAnsiTheme="majorHAnsi"/>
          <w:color w:val="00161F" w:themeColor="accent1" w:themeShade="7F"/>
          <w:sz w:val="24"/>
          <w:lang w:val="en-GB"/>
        </w:rPr>
        <w:t>Governance</w:t>
      </w:r>
      <w:bookmarkEnd w:id="12"/>
      <w:r w:rsidRPr="00D31AFC">
        <w:rPr>
          <w:rStyle w:val="Heading3Char"/>
          <w:rFonts w:asciiTheme="majorHAnsi" w:hAnsiTheme="majorHAnsi"/>
          <w:color w:val="00161F" w:themeColor="accent1" w:themeShade="7F"/>
          <w:sz w:val="24"/>
          <w:lang w:val="en-GB"/>
        </w:rPr>
        <w:t xml:space="preserve"> </w:t>
      </w:r>
    </w:p>
    <w:p w14:paraId="03916B5E" w14:textId="77777777" w:rsidR="00D31AFC" w:rsidRPr="00D31AFC" w:rsidRDefault="00D31AFC" w:rsidP="00D31AFC">
      <w:pPr>
        <w:spacing w:after="160" w:line="259" w:lineRule="auto"/>
        <w:rPr>
          <w:rFonts w:ascii="Calibri" w:eastAsia="Calibri" w:hAnsi="Calibri" w:cs="Times New Roman"/>
          <w:lang w:val="en-GB"/>
        </w:rPr>
      </w:pPr>
      <w:r w:rsidRPr="00D31AFC">
        <w:rPr>
          <w:rFonts w:ascii="Calibri" w:eastAsia="Calibri" w:hAnsi="Calibri" w:cs="Times New Roman"/>
          <w:lang w:val="en-GB"/>
        </w:rPr>
        <w:t xml:space="preserve">A clear and well documented governance structure was considered critical to deliver the elements of community voice, purpose and accountability. Transparent governance structures also encouraged continued community engagement and helped to minimise risks. Good governance enables the community to be able to participate in, influence and where appropriate share program decision-making responsibilities. Governance that included an agreed mechanism to connect into levels of government on a regular basis to share issues and ideas and drive further action, was seen as being particularly useful. </w:t>
      </w:r>
    </w:p>
    <w:p w14:paraId="7CD0B13D" w14:textId="77777777" w:rsidR="00D31AFC" w:rsidRPr="00D31AFC" w:rsidRDefault="00D31AFC" w:rsidP="00D31AFC">
      <w:pPr>
        <w:spacing w:after="160" w:line="259" w:lineRule="auto"/>
        <w:rPr>
          <w:rFonts w:ascii="Calibri" w:eastAsia="Calibri" w:hAnsi="Calibri" w:cs="Times New Roman"/>
          <w:lang w:val="en-GB"/>
        </w:rPr>
      </w:pPr>
      <w:r w:rsidRPr="00D31AFC">
        <w:rPr>
          <w:rFonts w:ascii="Calibri" w:eastAsia="Calibri" w:hAnsi="Calibri" w:cs="Times New Roman"/>
          <w:lang w:val="en-GB"/>
        </w:rPr>
        <w:t xml:space="preserve">Clear and well-developed governance had a direct correlation with the degree of localised decision making that stakeholders felt comfortable to endorse. There was recognition that good governance evolves and requires investment in building capability of people, government, and community. </w:t>
      </w:r>
    </w:p>
    <w:p w14:paraId="6D2C64EC" w14:textId="77777777" w:rsidR="00D31AFC" w:rsidRPr="00D31AFC" w:rsidRDefault="00D31AFC" w:rsidP="00362A84">
      <w:pPr>
        <w:spacing w:before="120" w:after="160" w:line="259" w:lineRule="auto"/>
        <w:rPr>
          <w:rStyle w:val="Heading3Char"/>
          <w:rFonts w:asciiTheme="majorHAnsi" w:hAnsiTheme="majorHAnsi"/>
          <w:color w:val="00161F" w:themeColor="accent1" w:themeShade="7F"/>
          <w:sz w:val="24"/>
          <w:lang w:val="en-GB"/>
        </w:rPr>
      </w:pPr>
      <w:bookmarkStart w:id="13" w:name="_Toc157755350"/>
      <w:r w:rsidRPr="00D31AFC">
        <w:rPr>
          <w:rStyle w:val="Heading3Char"/>
          <w:rFonts w:asciiTheme="majorHAnsi" w:hAnsiTheme="majorHAnsi"/>
          <w:color w:val="00161F" w:themeColor="accent1" w:themeShade="7F"/>
          <w:sz w:val="24"/>
          <w:lang w:val="en-GB"/>
        </w:rPr>
        <w:t>Backbone organisations</w:t>
      </w:r>
      <w:bookmarkEnd w:id="13"/>
    </w:p>
    <w:p w14:paraId="5B28A400" w14:textId="77777777" w:rsidR="00D31AFC" w:rsidRPr="00D31AFC" w:rsidRDefault="00D31AFC" w:rsidP="00D31AFC">
      <w:pPr>
        <w:spacing w:after="160" w:line="259" w:lineRule="auto"/>
        <w:rPr>
          <w:rFonts w:ascii="Calibri" w:eastAsia="Calibri" w:hAnsi="Calibri" w:cs="Times New Roman"/>
          <w:lang w:val="en-GB"/>
        </w:rPr>
      </w:pPr>
      <w:r w:rsidRPr="00D31AFC">
        <w:rPr>
          <w:rFonts w:ascii="Calibri" w:eastAsia="Calibri" w:hAnsi="Calibri" w:cs="Times New Roman"/>
          <w:lang w:val="en-GB"/>
        </w:rPr>
        <w:t xml:space="preserve">There was a lack of consensus on whether backbone structures improved delivery and outcomes of place-based approaches. Stakeholders noted many programs operate without these and that there may not always be a need. The degree of maturity and longevity of a program was a factor that was reported to reduce the need for a backbone support organisation. It was noted that there may be a benefit from these structures at the start of a program to coordinate and communicate learnings amongst participants and also with funders. </w:t>
      </w:r>
    </w:p>
    <w:p w14:paraId="41286DFD" w14:textId="77777777" w:rsidR="00D31AFC" w:rsidRPr="00D31AFC" w:rsidRDefault="00D31AFC" w:rsidP="00D31AFC">
      <w:pPr>
        <w:spacing w:after="160" w:line="259" w:lineRule="auto"/>
        <w:rPr>
          <w:rFonts w:ascii="Calibri" w:eastAsia="Calibri" w:hAnsi="Calibri" w:cs="Times New Roman"/>
          <w:lang w:val="en-GB"/>
        </w:rPr>
      </w:pPr>
      <w:r w:rsidRPr="00D31AFC">
        <w:rPr>
          <w:rFonts w:ascii="Calibri" w:eastAsia="Calibri" w:hAnsi="Calibri" w:cs="Times New Roman"/>
          <w:lang w:val="en-GB"/>
        </w:rPr>
        <w:t xml:space="preserve">Stakeholders viewed that backbone services can be delivered by both government and non-government agencies, provided there was sufficient </w:t>
      </w:r>
      <w:r w:rsidRPr="00D31AFC">
        <w:rPr>
          <w:rFonts w:ascii="Calibri" w:eastAsia="Calibri" w:hAnsi="Calibri" w:cs="Times New Roman"/>
          <w:b/>
          <w:bCs/>
          <w:lang w:val="en-GB"/>
        </w:rPr>
        <w:t>trust</w:t>
      </w:r>
      <w:r w:rsidRPr="00D31AFC">
        <w:rPr>
          <w:rFonts w:ascii="Calibri" w:eastAsia="Calibri" w:hAnsi="Calibri" w:cs="Times New Roman"/>
          <w:lang w:val="en-GB"/>
        </w:rPr>
        <w:t xml:space="preserve"> established within a community. Encouraging and leveraging knowledge and experience between programs was a positive outcome, however some viewed this as occurring in the absence of a backbone organisation. Stakeholders noted that understanding the offering from a backbone service would be important to uptake. Some expressed concerns that backbone structures may be seen as ‘bureaucratic structures’ that were focused on enforcing ways of operating and engaging that could inadvertently stifle local flexibility and generate time and resource imposts that did not deliver value. </w:t>
      </w:r>
    </w:p>
    <w:p w14:paraId="47106285" w14:textId="77777777" w:rsidR="00D31AFC" w:rsidRPr="00D31AFC" w:rsidRDefault="00D31AFC" w:rsidP="00362A84">
      <w:pPr>
        <w:spacing w:before="120" w:after="160" w:line="259" w:lineRule="auto"/>
        <w:rPr>
          <w:rStyle w:val="Heading3Char"/>
          <w:rFonts w:asciiTheme="majorHAnsi" w:hAnsiTheme="majorHAnsi"/>
          <w:color w:val="00161F" w:themeColor="accent1" w:themeShade="7F"/>
          <w:sz w:val="24"/>
          <w:lang w:val="en-GB"/>
        </w:rPr>
      </w:pPr>
      <w:bookmarkStart w:id="14" w:name="_Toc157755351"/>
      <w:r w:rsidRPr="00D31AFC">
        <w:rPr>
          <w:rStyle w:val="Heading3Char"/>
          <w:rFonts w:asciiTheme="majorHAnsi" w:hAnsiTheme="majorHAnsi"/>
          <w:color w:val="00161F" w:themeColor="accent1" w:themeShade="7F"/>
          <w:sz w:val="24"/>
          <w:lang w:val="en-GB"/>
        </w:rPr>
        <w:t>Role of government</w:t>
      </w:r>
      <w:bookmarkEnd w:id="14"/>
      <w:r w:rsidRPr="00D31AFC">
        <w:rPr>
          <w:rStyle w:val="Heading3Char"/>
          <w:rFonts w:asciiTheme="majorHAnsi" w:hAnsiTheme="majorHAnsi"/>
          <w:color w:val="00161F" w:themeColor="accent1" w:themeShade="7F"/>
          <w:sz w:val="24"/>
          <w:lang w:val="en-GB"/>
        </w:rPr>
        <w:t xml:space="preserve"> </w:t>
      </w:r>
    </w:p>
    <w:p w14:paraId="5AA05976" w14:textId="77777777" w:rsidR="00D31AFC" w:rsidRPr="00D31AFC" w:rsidRDefault="00D31AFC" w:rsidP="00D31AFC">
      <w:pPr>
        <w:spacing w:after="160" w:line="259" w:lineRule="auto"/>
        <w:rPr>
          <w:rFonts w:ascii="Calibri" w:eastAsia="Calibri" w:hAnsi="Calibri" w:cs="Times New Roman"/>
          <w:lang w:val="en-GB"/>
        </w:rPr>
      </w:pPr>
      <w:r w:rsidRPr="00D31AFC">
        <w:rPr>
          <w:rFonts w:ascii="Calibri" w:eastAsia="Calibri" w:hAnsi="Calibri" w:cs="Times New Roman"/>
          <w:lang w:val="en-GB"/>
        </w:rPr>
        <w:t xml:space="preserve">Government – which included all levels of government – was considered too often to be slow to respond, rigid in their approach and failing to genuinely listen to community needs. Most stakeholders agreed that these perceptions can be changed. Change required concerted effort, time, and more deliberate engagement. There were noted concerns that community may not trust government and that partnering with a delivery organisation to earn trust and be invited into region can be powerful in early advocacy of an initiative. </w:t>
      </w:r>
    </w:p>
    <w:p w14:paraId="5494F934" w14:textId="77777777" w:rsidR="00D31AFC" w:rsidRPr="00D31AFC" w:rsidRDefault="00D31AFC" w:rsidP="00D31AFC">
      <w:pPr>
        <w:spacing w:after="160" w:line="259" w:lineRule="auto"/>
        <w:rPr>
          <w:rFonts w:ascii="Calibri" w:eastAsia="Calibri" w:hAnsi="Calibri" w:cs="Times New Roman"/>
          <w:lang w:val="en-GB"/>
        </w:rPr>
      </w:pPr>
      <w:r w:rsidRPr="00D31AFC">
        <w:rPr>
          <w:rFonts w:ascii="Calibri" w:eastAsia="Calibri" w:hAnsi="Calibri" w:cs="Times New Roman"/>
          <w:lang w:val="en-GB"/>
        </w:rPr>
        <w:t xml:space="preserve">Government does have a powerful role to play in coordinating activities and resources across and within levels of government. Thes support to </w:t>
      </w:r>
      <w:r w:rsidRPr="00D31AFC">
        <w:rPr>
          <w:rFonts w:ascii="Calibri" w:eastAsia="Calibri" w:hAnsi="Calibri" w:cs="Times New Roman"/>
          <w:b/>
          <w:bCs/>
          <w:lang w:val="en-GB"/>
        </w:rPr>
        <w:t>integrate service delivery</w:t>
      </w:r>
      <w:r w:rsidRPr="00D31AFC">
        <w:rPr>
          <w:rFonts w:ascii="Calibri" w:eastAsia="Calibri" w:hAnsi="Calibri" w:cs="Times New Roman"/>
          <w:lang w:val="en-GB"/>
        </w:rPr>
        <w:t xml:space="preserve"> within a place-based approach is a unique role that government can play. Stakeholders were clear that governments need to facilitate their own internal networking and breaking down of silos before asking community to change.</w:t>
      </w:r>
    </w:p>
    <w:p w14:paraId="72292AF6" w14:textId="77777777" w:rsidR="00D31AFC" w:rsidRPr="00D31AFC" w:rsidRDefault="00D31AFC" w:rsidP="00362A84">
      <w:pPr>
        <w:spacing w:before="120" w:after="160" w:line="259" w:lineRule="auto"/>
        <w:rPr>
          <w:rStyle w:val="Heading3Char"/>
          <w:rFonts w:asciiTheme="majorHAnsi" w:hAnsiTheme="majorHAnsi"/>
          <w:color w:val="00161F" w:themeColor="accent1" w:themeShade="7F"/>
          <w:sz w:val="24"/>
          <w:lang w:val="en-GB"/>
        </w:rPr>
      </w:pPr>
      <w:bookmarkStart w:id="15" w:name="_Toc157755352"/>
      <w:r w:rsidRPr="00D31AFC">
        <w:rPr>
          <w:rStyle w:val="Heading3Char"/>
          <w:rFonts w:asciiTheme="majorHAnsi" w:hAnsiTheme="majorHAnsi"/>
          <w:color w:val="00161F" w:themeColor="accent1" w:themeShade="7F"/>
          <w:sz w:val="24"/>
          <w:lang w:val="en-GB"/>
        </w:rPr>
        <w:lastRenderedPageBreak/>
        <w:t>Funding and procurement</w:t>
      </w:r>
      <w:bookmarkEnd w:id="15"/>
    </w:p>
    <w:p w14:paraId="30620EDD" w14:textId="77777777" w:rsidR="00D31AFC" w:rsidRPr="00D31AFC" w:rsidRDefault="00D31AFC" w:rsidP="00D31AFC">
      <w:pPr>
        <w:spacing w:after="160" w:line="259" w:lineRule="auto"/>
        <w:rPr>
          <w:rFonts w:ascii="Calibri" w:eastAsia="Calibri" w:hAnsi="Calibri" w:cs="Times New Roman"/>
          <w:lang w:val="en-GB"/>
        </w:rPr>
      </w:pPr>
      <w:r w:rsidRPr="00D31AFC">
        <w:rPr>
          <w:rFonts w:ascii="Calibri" w:eastAsia="Calibri" w:hAnsi="Calibri" w:cs="Times New Roman"/>
          <w:lang w:val="en-GB"/>
        </w:rPr>
        <w:t xml:space="preserve">Stakeholders had a </w:t>
      </w:r>
      <w:r w:rsidRPr="00D31AFC">
        <w:rPr>
          <w:rFonts w:ascii="Calibri" w:eastAsia="Calibri" w:hAnsi="Calibri" w:cs="Times New Roman"/>
          <w:b/>
          <w:bCs/>
          <w:lang w:val="en-GB"/>
        </w:rPr>
        <w:t>variety of funding and procurement experiences</w:t>
      </w:r>
      <w:r w:rsidRPr="00D31AFC">
        <w:rPr>
          <w:rFonts w:ascii="Calibri" w:eastAsia="Calibri" w:hAnsi="Calibri" w:cs="Times New Roman"/>
          <w:lang w:val="en-GB"/>
        </w:rPr>
        <w:t xml:space="preserve"> depending on the program they were involved in. For those where government funding and procurement was utilised rigidity and short termism were raised as issues. Short funding cycles and the artificial drivers that contracts could create were seen to inhibit the ability to deliver place-based community led programs. Stakeholders raised that a lack of funding certainty meant programs were not seen as enduring and could not adapt as community needs changed, thus inhibiting building sustainable change over time. Some stakeholders noted that they chose to not engage with government funding as the costs, risks and long lead times were not aligned with their delivery model. Some stakeholders mentioned that funding consistency underpins trust and credibility of government. </w:t>
      </w:r>
    </w:p>
    <w:p w14:paraId="3CE0F28D" w14:textId="303F71A5" w:rsidR="00D31AFC" w:rsidRPr="00D31AFC" w:rsidRDefault="00D31AFC" w:rsidP="00362A84">
      <w:pPr>
        <w:spacing w:before="120" w:after="160" w:line="259" w:lineRule="auto"/>
        <w:rPr>
          <w:rStyle w:val="Heading3Char"/>
          <w:rFonts w:asciiTheme="majorHAnsi" w:hAnsiTheme="majorHAnsi"/>
          <w:color w:val="00161F" w:themeColor="accent1" w:themeShade="7F"/>
          <w:sz w:val="24"/>
          <w:lang w:val="en-GB"/>
        </w:rPr>
      </w:pPr>
      <w:bookmarkStart w:id="16" w:name="_Toc157755353"/>
      <w:r w:rsidRPr="00D31AFC">
        <w:rPr>
          <w:rStyle w:val="Heading3Char"/>
          <w:rFonts w:asciiTheme="majorHAnsi" w:hAnsiTheme="majorHAnsi"/>
          <w:color w:val="00161F" w:themeColor="accent1" w:themeShade="7F"/>
          <w:sz w:val="24"/>
          <w:lang w:val="en-GB"/>
        </w:rPr>
        <w:t>Evaluation and measuring success</w:t>
      </w:r>
      <w:bookmarkEnd w:id="16"/>
      <w:r w:rsidR="00362A84">
        <w:rPr>
          <w:rStyle w:val="Heading3Char"/>
          <w:rFonts w:asciiTheme="majorHAnsi" w:hAnsiTheme="majorHAnsi"/>
          <w:color w:val="00161F" w:themeColor="accent1" w:themeShade="7F"/>
          <w:sz w:val="24"/>
          <w:lang w:val="en-GB"/>
        </w:rPr>
        <w:t xml:space="preserve"> </w:t>
      </w:r>
    </w:p>
    <w:p w14:paraId="1CC5E2E4" w14:textId="77777777" w:rsidR="00D31AFC" w:rsidRPr="00D31AFC" w:rsidRDefault="00D31AFC" w:rsidP="00D31AFC">
      <w:pPr>
        <w:spacing w:after="160" w:line="259" w:lineRule="auto"/>
        <w:rPr>
          <w:rFonts w:ascii="Calibri" w:eastAsia="Calibri" w:hAnsi="Calibri" w:cs="Times New Roman"/>
          <w:lang w:val="en-GB"/>
        </w:rPr>
      </w:pPr>
      <w:r w:rsidRPr="00D31AFC">
        <w:rPr>
          <w:rFonts w:ascii="Calibri" w:eastAsia="Calibri" w:hAnsi="Calibri" w:cs="Times New Roman"/>
          <w:lang w:val="en-GB"/>
        </w:rPr>
        <w:t xml:space="preserve">All workshops agreed that it would be beneficial to have separate dedicated sessions on how to measure success. There was consensus that measuring impact and </w:t>
      </w:r>
      <w:r w:rsidRPr="00D31AFC">
        <w:rPr>
          <w:rFonts w:ascii="Calibri" w:eastAsia="Calibri" w:hAnsi="Calibri" w:cs="Times New Roman"/>
          <w:b/>
          <w:bCs/>
          <w:lang w:val="en-GB"/>
        </w:rPr>
        <w:t>evaluation was critical</w:t>
      </w:r>
      <w:r w:rsidRPr="00D31AFC">
        <w:rPr>
          <w:rFonts w:ascii="Calibri" w:eastAsia="Calibri" w:hAnsi="Calibri" w:cs="Times New Roman"/>
          <w:lang w:val="en-GB"/>
        </w:rPr>
        <w:t xml:space="preserve"> but that current approaches did not always successfully or accurately measure impact. This will be further explored and options for improving place-based evaluation will be pursued during further consultations in 2024.</w:t>
      </w:r>
    </w:p>
    <w:p w14:paraId="31A63E98" w14:textId="77777777" w:rsidR="007855CC" w:rsidRPr="0095636C" w:rsidRDefault="007855CC" w:rsidP="0095636C"/>
    <w:sectPr w:rsidR="007855CC" w:rsidRPr="0095636C" w:rsidSect="00BE737E">
      <w:headerReference w:type="default" r:id="rId14"/>
      <w:footerReference w:type="default" r:id="rId15"/>
      <w:type w:val="continuous"/>
      <w:pgSz w:w="11906" w:h="16838"/>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1007F" w14:textId="77777777" w:rsidR="0044791B" w:rsidRDefault="0044791B" w:rsidP="0051352E">
      <w:pPr>
        <w:spacing w:after="0" w:line="240" w:lineRule="auto"/>
      </w:pPr>
      <w:r>
        <w:separator/>
      </w:r>
    </w:p>
  </w:endnote>
  <w:endnote w:type="continuationSeparator" w:id="0">
    <w:p w14:paraId="494B12F1" w14:textId="77777777" w:rsidR="0044791B" w:rsidRDefault="0044791B"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6638" w14:textId="77777777" w:rsidR="00EA67FC" w:rsidRDefault="00EA67FC">
    <w:pPr>
      <w:pStyle w:val="Footer"/>
      <w:jc w:val="right"/>
    </w:pPr>
  </w:p>
  <w:p w14:paraId="69B8631C" w14:textId="77777777" w:rsidR="00EA67FC" w:rsidRDefault="00EA6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D923" w14:textId="289A8484" w:rsidR="00EA67FC" w:rsidRDefault="00201157">
    <w:pPr>
      <w:pStyle w:val="Footer"/>
      <w:jc w:val="right"/>
    </w:pPr>
    <w:r w:rsidRPr="00C73177">
      <w:rPr>
        <w:sz w:val="18"/>
        <w:szCs w:val="18"/>
      </w:rPr>
      <w:t>Placed-based approaches: understanding the elements of success to help inform future policy design</w:t>
    </w:r>
    <w:r w:rsidR="00C73177">
      <w:rPr>
        <w:sz w:val="18"/>
        <w:szCs w:val="18"/>
      </w:rPr>
      <w:t xml:space="preserve">  </w:t>
    </w:r>
    <w:r w:rsidR="00EA67FC" w:rsidRPr="00C73177">
      <w:rPr>
        <w:sz w:val="18"/>
        <w:szCs w:val="18"/>
      </w:rPr>
      <w:t xml:space="preserve">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5620B9A1" w14:textId="3B696ECA" w:rsidR="00EA67FC" w:rsidRDefault="00BE737E">
    <w:pPr>
      <w:pStyle w:val="Footer"/>
    </w:pPr>
    <w:r>
      <w:rPr>
        <w:noProof/>
      </w:rPr>
      <mc:AlternateContent>
        <mc:Choice Requires="wps">
          <w:drawing>
            <wp:anchor distT="0" distB="0" distL="114300" distR="114300" simplePos="0" relativeHeight="251659264" behindDoc="0" locked="0" layoutInCell="1" allowOverlap="1" wp14:anchorId="04F7627B" wp14:editId="242DB177">
              <wp:simplePos x="0" y="0"/>
              <wp:positionH relativeFrom="page">
                <wp:posOffset>0</wp:posOffset>
              </wp:positionH>
              <wp:positionV relativeFrom="paragraph">
                <wp:posOffset>251509</wp:posOffset>
              </wp:positionV>
              <wp:extent cx="7559675" cy="197485"/>
              <wp:effectExtent l="0" t="0" r="0" b="571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EA766" id="Rectangle 1" o:spid="_x0000_s1026" alt="&quot;&quot;" style="position:absolute;margin-left:0;margin-top:19.8pt;width:595.25pt;height:1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C9A64" w14:textId="77777777" w:rsidR="0044791B" w:rsidRDefault="0044791B" w:rsidP="0051352E">
      <w:pPr>
        <w:spacing w:after="0" w:line="240" w:lineRule="auto"/>
      </w:pPr>
      <w:r>
        <w:separator/>
      </w:r>
    </w:p>
  </w:footnote>
  <w:footnote w:type="continuationSeparator" w:id="0">
    <w:p w14:paraId="201468B5" w14:textId="77777777" w:rsidR="0044791B" w:rsidRDefault="0044791B"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A351" w14:textId="44804D73" w:rsidR="00EA67FC" w:rsidRDefault="00EA6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5F226E2"/>
    <w:multiLevelType w:val="hybridMultilevel"/>
    <w:tmpl w:val="DC72839E"/>
    <w:lvl w:ilvl="0" w:tplc="0D5A8EA6">
      <w:start w:val="1"/>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0096470">
    <w:abstractNumId w:val="9"/>
  </w:num>
  <w:num w:numId="2" w16cid:durableId="1647465914">
    <w:abstractNumId w:val="7"/>
  </w:num>
  <w:num w:numId="3" w16cid:durableId="1515999598">
    <w:abstractNumId w:val="6"/>
  </w:num>
  <w:num w:numId="4" w16cid:durableId="1710911546">
    <w:abstractNumId w:val="5"/>
  </w:num>
  <w:num w:numId="5" w16cid:durableId="1105229916">
    <w:abstractNumId w:val="4"/>
  </w:num>
  <w:num w:numId="6" w16cid:durableId="217056741">
    <w:abstractNumId w:val="8"/>
  </w:num>
  <w:num w:numId="7" w16cid:durableId="12417967">
    <w:abstractNumId w:val="3"/>
  </w:num>
  <w:num w:numId="8" w16cid:durableId="1390764340">
    <w:abstractNumId w:val="2"/>
  </w:num>
  <w:num w:numId="9" w16cid:durableId="231473955">
    <w:abstractNumId w:val="1"/>
  </w:num>
  <w:num w:numId="10" w16cid:durableId="1738477065">
    <w:abstractNumId w:val="0"/>
  </w:num>
  <w:num w:numId="11" w16cid:durableId="1618096227">
    <w:abstractNumId w:val="10"/>
  </w:num>
  <w:num w:numId="12" w16cid:durableId="1593397953">
    <w:abstractNumId w:val="12"/>
  </w:num>
  <w:num w:numId="13" w16cid:durableId="1732926391">
    <w:abstractNumId w:val="13"/>
  </w:num>
  <w:num w:numId="14" w16cid:durableId="7378208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94408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03A34"/>
    <w:rsid w:val="00052BBC"/>
    <w:rsid w:val="00053447"/>
    <w:rsid w:val="00053554"/>
    <w:rsid w:val="000700DE"/>
    <w:rsid w:val="00071E79"/>
    <w:rsid w:val="0007729B"/>
    <w:rsid w:val="00097D7E"/>
    <w:rsid w:val="000A453D"/>
    <w:rsid w:val="000D3761"/>
    <w:rsid w:val="000E1D83"/>
    <w:rsid w:val="000E3D80"/>
    <w:rsid w:val="000F360A"/>
    <w:rsid w:val="00157F35"/>
    <w:rsid w:val="00165F63"/>
    <w:rsid w:val="00201157"/>
    <w:rsid w:val="00217EAB"/>
    <w:rsid w:val="0022498C"/>
    <w:rsid w:val="002641F6"/>
    <w:rsid w:val="002724D0"/>
    <w:rsid w:val="002B1CE5"/>
    <w:rsid w:val="002F4DB3"/>
    <w:rsid w:val="00305BA4"/>
    <w:rsid w:val="00311EC2"/>
    <w:rsid w:val="003165F1"/>
    <w:rsid w:val="0033710D"/>
    <w:rsid w:val="00337D19"/>
    <w:rsid w:val="00350FFA"/>
    <w:rsid w:val="00362A84"/>
    <w:rsid w:val="00382F07"/>
    <w:rsid w:val="0044791B"/>
    <w:rsid w:val="00453C04"/>
    <w:rsid w:val="00497764"/>
    <w:rsid w:val="004C3719"/>
    <w:rsid w:val="00506914"/>
    <w:rsid w:val="0051352E"/>
    <w:rsid w:val="00517DA7"/>
    <w:rsid w:val="00520A33"/>
    <w:rsid w:val="005242E0"/>
    <w:rsid w:val="005267F1"/>
    <w:rsid w:val="00527749"/>
    <w:rsid w:val="00527AE4"/>
    <w:rsid w:val="0058535E"/>
    <w:rsid w:val="00630DDF"/>
    <w:rsid w:val="006E5D6E"/>
    <w:rsid w:val="00721B03"/>
    <w:rsid w:val="00725177"/>
    <w:rsid w:val="0073637A"/>
    <w:rsid w:val="00755832"/>
    <w:rsid w:val="007855CC"/>
    <w:rsid w:val="007B1ABA"/>
    <w:rsid w:val="007B74C5"/>
    <w:rsid w:val="007E7835"/>
    <w:rsid w:val="00825EEB"/>
    <w:rsid w:val="00841AF2"/>
    <w:rsid w:val="008507C1"/>
    <w:rsid w:val="00850B4E"/>
    <w:rsid w:val="00861934"/>
    <w:rsid w:val="00894AA7"/>
    <w:rsid w:val="008A1B9A"/>
    <w:rsid w:val="008C712E"/>
    <w:rsid w:val="008D60B7"/>
    <w:rsid w:val="008E2854"/>
    <w:rsid w:val="008F0AC9"/>
    <w:rsid w:val="00930CDA"/>
    <w:rsid w:val="0093473D"/>
    <w:rsid w:val="0094330B"/>
    <w:rsid w:val="0095636C"/>
    <w:rsid w:val="00972F57"/>
    <w:rsid w:val="00984FB8"/>
    <w:rsid w:val="00995280"/>
    <w:rsid w:val="00A13E0F"/>
    <w:rsid w:val="00A22849"/>
    <w:rsid w:val="00A24E6E"/>
    <w:rsid w:val="00A43694"/>
    <w:rsid w:val="00A56FC7"/>
    <w:rsid w:val="00A72575"/>
    <w:rsid w:val="00A74071"/>
    <w:rsid w:val="00AA124A"/>
    <w:rsid w:val="00AA2A96"/>
    <w:rsid w:val="00AC0C27"/>
    <w:rsid w:val="00AC11E6"/>
    <w:rsid w:val="00AD51C7"/>
    <w:rsid w:val="00AE488A"/>
    <w:rsid w:val="00AE5A50"/>
    <w:rsid w:val="00B100CC"/>
    <w:rsid w:val="00B14B2B"/>
    <w:rsid w:val="00B368E8"/>
    <w:rsid w:val="00B43268"/>
    <w:rsid w:val="00B6689D"/>
    <w:rsid w:val="00B72368"/>
    <w:rsid w:val="00BE737E"/>
    <w:rsid w:val="00C0503C"/>
    <w:rsid w:val="00C50497"/>
    <w:rsid w:val="00C54D58"/>
    <w:rsid w:val="00C573E1"/>
    <w:rsid w:val="00C73177"/>
    <w:rsid w:val="00C85E46"/>
    <w:rsid w:val="00C90260"/>
    <w:rsid w:val="00C95DF6"/>
    <w:rsid w:val="00CE65AC"/>
    <w:rsid w:val="00D219D2"/>
    <w:rsid w:val="00D31AFC"/>
    <w:rsid w:val="00D92D82"/>
    <w:rsid w:val="00DA1B7B"/>
    <w:rsid w:val="00DB1708"/>
    <w:rsid w:val="00DB79DF"/>
    <w:rsid w:val="00DE1F90"/>
    <w:rsid w:val="00DE4697"/>
    <w:rsid w:val="00DF153F"/>
    <w:rsid w:val="00E00172"/>
    <w:rsid w:val="00E01B3B"/>
    <w:rsid w:val="00E57A93"/>
    <w:rsid w:val="00E866AC"/>
    <w:rsid w:val="00EA26C8"/>
    <w:rsid w:val="00EA32F7"/>
    <w:rsid w:val="00EA67FC"/>
    <w:rsid w:val="00EA7C05"/>
    <w:rsid w:val="00EC3468"/>
    <w:rsid w:val="00ED3309"/>
    <w:rsid w:val="00EE509E"/>
    <w:rsid w:val="00F15993"/>
    <w:rsid w:val="00F230CD"/>
    <w:rsid w:val="00F51C18"/>
    <w:rsid w:val="00FA31E2"/>
    <w:rsid w:val="00FF4E67"/>
    <w:rsid w:val="00FF5B70"/>
    <w:rsid w:val="00FF5BB9"/>
    <w:rsid w:val="00FF61B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A77013"/>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7E"/>
    <w:pPr>
      <w:spacing w:after="200" w:line="276" w:lineRule="auto"/>
    </w:pPr>
  </w:style>
  <w:style w:type="paragraph" w:styleId="Heading1">
    <w:name w:val="heading 1"/>
    <w:basedOn w:val="Normal"/>
    <w:next w:val="Normal"/>
    <w:link w:val="Heading1Char"/>
    <w:uiPriority w:val="9"/>
    <w:qFormat/>
    <w:rsid w:val="00337D19"/>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337D19"/>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337D19"/>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90260"/>
    <w:pPr>
      <w:spacing w:before="324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C90260"/>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305BA4"/>
    <w:pPr>
      <w:numPr>
        <w:ilvl w:val="1"/>
      </w:numPr>
      <w:spacing w:after="0"/>
    </w:pPr>
    <w:rPr>
      <w:rFonts w:ascii="Calibri" w:eastAsiaTheme="minorEastAsia" w:hAnsi="Calibri"/>
      <w:color w:val="789B4A"/>
      <w:spacing w:val="15"/>
      <w:sz w:val="40"/>
    </w:rPr>
  </w:style>
  <w:style w:type="character" w:customStyle="1" w:styleId="SubtitleChar">
    <w:name w:val="Subtitle Char"/>
    <w:basedOn w:val="DefaultParagraphFont"/>
    <w:link w:val="Subtitle"/>
    <w:uiPriority w:val="8"/>
    <w:rsid w:val="00305BA4"/>
    <w:rPr>
      <w:rFonts w:ascii="Calibri" w:eastAsiaTheme="minorEastAsia" w:hAnsi="Calibri"/>
      <w:color w:val="789B4A"/>
      <w:spacing w:val="15"/>
      <w:sz w:val="40"/>
    </w:rPr>
  </w:style>
  <w:style w:type="character" w:customStyle="1" w:styleId="Heading1Char">
    <w:name w:val="Heading 1 Char"/>
    <w:basedOn w:val="DefaultParagraphFont"/>
    <w:link w:val="Heading1"/>
    <w:uiPriority w:val="9"/>
    <w:rsid w:val="00337D19"/>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337D19"/>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337D19"/>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305BA4"/>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aliases w:val="List Bullet Cab,CAB - List Bullet,Recommendation,List Paragraph1,Bulleted Para,NFP GP Bulleted List,bullet point list,Bulletr List Paragraph,FooterText,L,List Paragraph11,List Paragraph2,List Paragraph21,Listeafsnit1,Paragraphe de liste1"/>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1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character" w:customStyle="1" w:styleId="normaltextrun">
    <w:name w:val="normaltextrun"/>
    <w:basedOn w:val="DefaultParagraphFont"/>
    <w:rsid w:val="00AE488A"/>
  </w:style>
  <w:style w:type="paragraph" w:styleId="Revision">
    <w:name w:val="Revision"/>
    <w:hidden/>
    <w:uiPriority w:val="99"/>
    <w:semiHidden/>
    <w:rsid w:val="002641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ativecommons.org/licenses/by/4.0/legalco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1923</Words>
  <Characters>11233</Characters>
  <Application>Microsoft Office Word</Application>
  <DocSecurity>0</DocSecurity>
  <Lines>204</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Place-based approaches: Understanding the elements of success to help inform future policy design</dc:title>
  <dc:subject/>
  <dc:creator/>
  <cp:keywords/>
  <dc:description/>
  <cp:lastModifiedBy/>
  <cp:revision>1</cp:revision>
  <dcterms:created xsi:type="dcterms:W3CDTF">2024-02-12T00:22:00Z</dcterms:created>
  <dcterms:modified xsi:type="dcterms:W3CDTF">2024-02-12T00:23:00Z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2024-02-12T00:22:49Z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685b2a5e-c53b-48cc-8dc1-0f13a6c3121b</vt:lpwstr>
  </property>
  <property fmtid="{D5CDD505-2E9C-101B-9397-08002B2CF9AE}" pid="8" name="MSIP_Label_79d889eb-932f-4752-8739-64d25806ef64_ContentBits">
    <vt:lpwstr>0</vt:lpwstr>
  </property>
</Properties>
</file>