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2532D631" w:rsidR="00067075" w:rsidRDefault="003A2EFF" w:rsidP="00E14881"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122E94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0F588AB5" w14:textId="77777777" w:rsidR="00D04CC6" w:rsidRDefault="00D04CC6" w:rsidP="00D04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  <w:b/>
          <w:bCs/>
          <w:color w:val="404245"/>
          <w:sz w:val="60"/>
          <w:szCs w:val="60"/>
        </w:rPr>
      </w:pPr>
    </w:p>
    <w:p w14:paraId="6E95D2F8" w14:textId="1182CA83" w:rsidR="00D04CC6" w:rsidRPr="00AD39C3" w:rsidRDefault="00D04CC6" w:rsidP="17188ABA">
      <w:pPr>
        <w:pStyle w:val="paragraph"/>
        <w:spacing w:before="0" w:beforeAutospacing="0" w:after="0" w:afterAutospacing="0"/>
        <w:textAlignment w:val="baseline"/>
        <w:rPr>
          <w:rFonts w:ascii="Aptos Display" w:eastAsia="Aptos Display" w:hAnsi="Aptos Display" w:cs="Aptos Display"/>
          <w:b/>
          <w:bCs/>
          <w:color w:val="404246"/>
          <w:sz w:val="48"/>
          <w:szCs w:val="48"/>
        </w:rPr>
      </w:pPr>
      <w:r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 xml:space="preserve">International education and managed growth arrangements for 2026 – </w:t>
      </w:r>
      <w:r w:rsidR="00AD39C3"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p</w:t>
      </w:r>
      <w:r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 xml:space="preserve">ilot </w:t>
      </w:r>
      <w:r w:rsidR="00AD39C3"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t</w:t>
      </w:r>
      <w:r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 xml:space="preserve">raining </w:t>
      </w:r>
      <w:r w:rsidR="00AD39C3"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c</w:t>
      </w:r>
      <w:r w:rsidRPr="17188ABA">
        <w:rPr>
          <w:rStyle w:val="normaltextrun"/>
          <w:rFonts w:ascii="Aptos Display" w:eastAsia="Aptos Display" w:hAnsi="Aptos Display" w:cs="Aptos Display"/>
          <w:b/>
          <w:bCs/>
          <w:color w:val="404245"/>
          <w:sz w:val="48"/>
          <w:szCs w:val="48"/>
        </w:rPr>
        <w:t>ourses</w:t>
      </w:r>
    </w:p>
    <w:p w14:paraId="04CB56DA" w14:textId="77777777" w:rsidR="00D04CC6" w:rsidRDefault="00D04CC6" w:rsidP="008F1F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1BE887" w14:textId="77777777" w:rsidR="00F8371E" w:rsidRPr="00B74F30" w:rsidRDefault="00D04CC6" w:rsidP="17188ABA">
      <w:pPr>
        <w:pStyle w:val="paragraph"/>
        <w:spacing w:before="0" w:beforeAutospacing="0" w:after="200" w:afterAutospacing="0" w:line="276" w:lineRule="auto"/>
        <w:textAlignment w:val="baseline"/>
        <w:rPr>
          <w:rStyle w:val="normaltextrun"/>
          <w:rFonts w:ascii="Aptos Display" w:eastAsia="Aptos Display" w:hAnsi="Aptos Display" w:cs="Aptos Display"/>
          <w:sz w:val="22"/>
          <w:szCs w:val="22"/>
        </w:rPr>
      </w:pPr>
      <w:r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The Australian Government remains committed to a high quality, resilient international education sector with modest growth over time. A managed growth approach has been effective in returning student numbers to a more sustainable level in 2025 and the Government has now determined arrangements for 2026, including for </w:t>
      </w:r>
      <w:r w:rsidR="00F8371E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providers delivering eligible pilot training courses</w:t>
      </w:r>
      <w:r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. </w:t>
      </w:r>
    </w:p>
    <w:p w14:paraId="4DBCA667" w14:textId="46FB0484" w:rsidR="00E55924" w:rsidRPr="00B74F30" w:rsidRDefault="00E55924" w:rsidP="615F8931">
      <w:pPr>
        <w:pStyle w:val="paragraph"/>
        <w:spacing w:before="0" w:beforeAutospacing="0" w:after="200" w:afterAutospacing="0" w:line="276" w:lineRule="auto"/>
        <w:textAlignment w:val="baseline"/>
        <w:rPr>
          <w:rStyle w:val="eop"/>
          <w:rFonts w:ascii="Aptos Display" w:eastAsia="Aptos Display" w:hAnsi="Aptos Display" w:cs="Aptos Display"/>
          <w:color w:val="000000"/>
          <w:sz w:val="22"/>
          <w:szCs w:val="22"/>
        </w:rPr>
      </w:pPr>
      <w:r w:rsidRPr="615F8931">
        <w:rPr>
          <w:rStyle w:val="normaltextrun"/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More information about the </w:t>
      </w:r>
      <w:hyperlink r:id="rId13">
        <w:r w:rsidR="759AD4E5" w:rsidRPr="615F8931">
          <w:rPr>
            <w:rStyle w:val="Hyperlink"/>
            <w:rFonts w:ascii="Aptos Display" w:eastAsia="Aptos Display" w:hAnsi="Aptos Display" w:cs="Aptos Display"/>
            <w:sz w:val="22"/>
            <w:szCs w:val="22"/>
          </w:rPr>
          <w:t xml:space="preserve">Government's managed growth arrangements </w:t>
        </w:r>
        <w:r w:rsidRPr="615F8931">
          <w:rPr>
            <w:rStyle w:val="Hyperlink"/>
            <w:rFonts w:ascii="Aptos Display" w:eastAsia="Aptos Display" w:hAnsi="Aptos Display" w:cs="Aptos Display"/>
            <w:sz w:val="22"/>
            <w:szCs w:val="22"/>
          </w:rPr>
          <w:t xml:space="preserve">for </w:t>
        </w:r>
        <w:r w:rsidR="4A536422" w:rsidRPr="615F8931">
          <w:rPr>
            <w:rStyle w:val="Hyperlink"/>
            <w:rFonts w:ascii="Aptos Display" w:eastAsia="Aptos Display" w:hAnsi="Aptos Display" w:cs="Aptos Display"/>
            <w:sz w:val="22"/>
            <w:szCs w:val="22"/>
          </w:rPr>
          <w:t>2026</w:t>
        </w:r>
      </w:hyperlink>
      <w:r w:rsidRPr="615F8931">
        <w:rPr>
          <w:rStyle w:val="normaltextrun"/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 is published by the Department of Education.  </w:t>
      </w:r>
      <w:r w:rsidRPr="615F8931">
        <w:rPr>
          <w:rStyle w:val="eop"/>
          <w:rFonts w:ascii="Aptos Display" w:eastAsia="Aptos Display" w:hAnsi="Aptos Display" w:cs="Aptos Display"/>
          <w:color w:val="000000" w:themeColor="text1"/>
          <w:sz w:val="22"/>
          <w:szCs w:val="22"/>
        </w:rPr>
        <w:t> </w:t>
      </w:r>
    </w:p>
    <w:p w14:paraId="594899BA" w14:textId="77777777" w:rsidR="00E55924" w:rsidRPr="00B74F30" w:rsidRDefault="00E55924" w:rsidP="17188ABA">
      <w:pPr>
        <w:pStyle w:val="paragraph"/>
        <w:spacing w:before="0" w:beforeAutospacing="0" w:after="200" w:afterAutospacing="0" w:line="276" w:lineRule="auto"/>
        <w:textAlignment w:val="baseline"/>
        <w:rPr>
          <w:rFonts w:ascii="Aptos Display" w:eastAsia="Aptos Display" w:hAnsi="Aptos Display" w:cs="Aptos Display"/>
          <w:sz w:val="18"/>
          <w:szCs w:val="18"/>
        </w:rPr>
      </w:pPr>
      <w:hyperlink r:id="rId14">
        <w:r w:rsidRPr="17188ABA">
          <w:rPr>
            <w:rStyle w:val="normaltextrun"/>
            <w:rFonts w:ascii="Aptos Display" w:eastAsia="Aptos Display" w:hAnsi="Aptos Display" w:cs="Aptos Display"/>
            <w:color w:val="287DB2"/>
            <w:sz w:val="22"/>
            <w:szCs w:val="22"/>
            <w:u w:val="single"/>
          </w:rPr>
          <w:t>Allocations for all VET providers for 2026</w:t>
        </w:r>
      </w:hyperlink>
      <w:r w:rsidRPr="17188ABA">
        <w:rPr>
          <w:rStyle w:val="normaltextrun"/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 were published on 4 August 2025 (and continue to be available in PRISMS) and provider progress against allocations will continue to inform prioritisation for offshore student visa processing.</w:t>
      </w:r>
      <w:r w:rsidRPr="17188ABA">
        <w:rPr>
          <w:rStyle w:val="eop"/>
          <w:rFonts w:ascii="Aptos Display" w:eastAsia="Aptos Display" w:hAnsi="Aptos Display" w:cs="Aptos Display"/>
          <w:color w:val="000000" w:themeColor="text1"/>
          <w:sz w:val="22"/>
          <w:szCs w:val="22"/>
        </w:rPr>
        <w:t> </w:t>
      </w:r>
    </w:p>
    <w:p w14:paraId="2C8B1ED6" w14:textId="68CEB72A" w:rsidR="00F8371E" w:rsidRPr="00B74F30" w:rsidRDefault="00F77EE2" w:rsidP="17188ABA">
      <w:pPr>
        <w:pStyle w:val="paragraph"/>
        <w:spacing w:before="0" w:beforeAutospacing="0" w:after="200" w:afterAutospacing="0" w:line="276" w:lineRule="auto"/>
        <w:textAlignment w:val="baseline"/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</w:pPr>
      <w:r w:rsidRPr="17188ABA"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  <w:t>2026 arrangements for e</w:t>
      </w:r>
      <w:r w:rsidR="00F8371E" w:rsidRPr="17188ABA">
        <w:rPr>
          <w:rStyle w:val="eop"/>
          <w:rFonts w:ascii="Aptos Display" w:eastAsia="Aptos Display" w:hAnsi="Aptos Display" w:cs="Aptos Display"/>
          <w:b/>
          <w:bCs/>
          <w:i/>
          <w:iCs/>
          <w:sz w:val="22"/>
          <w:szCs w:val="22"/>
        </w:rPr>
        <w:t xml:space="preserve">ligible pilot training courses </w:t>
      </w:r>
    </w:p>
    <w:p w14:paraId="334B038D" w14:textId="229C1846" w:rsidR="00AD39C3" w:rsidRPr="00B74F30" w:rsidRDefault="63C9FB32" w:rsidP="07E83D87">
      <w:pPr>
        <w:pStyle w:val="paragraph"/>
        <w:spacing w:before="0" w:beforeAutospacing="0" w:after="200" w:afterAutospacing="0" w:line="276" w:lineRule="auto"/>
        <w:textAlignment w:val="baseline"/>
        <w:rPr>
          <w:rFonts w:ascii="Aptos Display" w:eastAsia="Aptos Display" w:hAnsi="Aptos Display" w:cs="Aptos Display"/>
          <w:sz w:val="22"/>
          <w:szCs w:val="22"/>
        </w:rPr>
      </w:pPr>
      <w:r w:rsidRPr="07E83D87">
        <w:rPr>
          <w:rStyle w:val="eop"/>
          <w:rFonts w:ascii="Aptos Display" w:eastAsia="Aptos Display" w:hAnsi="Aptos Display" w:cs="Aptos Display"/>
          <w:sz w:val="22"/>
          <w:szCs w:val="22"/>
        </w:rPr>
        <w:t>Offshore v</w:t>
      </w:r>
      <w:r w:rsidR="00F8371E" w:rsidRPr="07E83D87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isa applications for students enrolled in eligible pilot training courses will continue to receive </w:t>
      </w:r>
      <w:r w:rsidR="00AD39C3" w:rsidRPr="07E83D87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ongoing </w:t>
      </w:r>
      <w:r w:rsidR="00F8371E" w:rsidRPr="07E83D87">
        <w:rPr>
          <w:rStyle w:val="eop"/>
          <w:rFonts w:ascii="Aptos Display" w:eastAsia="Aptos Display" w:hAnsi="Aptos Display" w:cs="Aptos Display"/>
          <w:sz w:val="22"/>
          <w:szCs w:val="22"/>
        </w:rPr>
        <w:t xml:space="preserve">Priority 1 processing. </w:t>
      </w:r>
      <w:r w:rsidR="00AD39C3" w:rsidRPr="07E83D87">
        <w:rPr>
          <w:rFonts w:ascii="Aptos Display" w:eastAsia="Aptos Display" w:hAnsi="Aptos Display" w:cs="Aptos Display"/>
          <w:sz w:val="22"/>
          <w:szCs w:val="22"/>
        </w:rPr>
        <w:t>This supports aviation providers and helps preserve the significant strategic benefits of pilot training to the Australian national interest. </w:t>
      </w:r>
    </w:p>
    <w:p w14:paraId="5D962CD2" w14:textId="1E52DBCA" w:rsidR="00F8371E" w:rsidRPr="00B74F30" w:rsidRDefault="00F8371E" w:rsidP="17188ABA">
      <w:pPr>
        <w:pStyle w:val="paragraph"/>
        <w:spacing w:before="0" w:beforeAutospacing="0" w:after="120" w:afterAutospacing="0" w:line="276" w:lineRule="auto"/>
        <w:textAlignment w:val="baseline"/>
        <w:rPr>
          <w:rFonts w:ascii="Aptos Display" w:eastAsia="Aptos Display" w:hAnsi="Aptos Display" w:cs="Aptos Display"/>
          <w:sz w:val="22"/>
          <w:szCs w:val="22"/>
        </w:rPr>
      </w:pPr>
      <w:r w:rsidRPr="17188ABA">
        <w:rPr>
          <w:rFonts w:ascii="Aptos Display" w:eastAsia="Aptos Display" w:hAnsi="Aptos Display" w:cs="Aptos Display"/>
          <w:sz w:val="22"/>
          <w:szCs w:val="22"/>
        </w:rPr>
        <w:t xml:space="preserve">Eligible pilot training courses are the: </w:t>
      </w:r>
    </w:p>
    <w:p w14:paraId="65426102" w14:textId="77777777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17188ABA">
        <w:rPr>
          <w:rFonts w:eastAsia="Aptos Display" w:cs="Aptos Display"/>
        </w:rPr>
        <w:t>Diploma of Aviation (Commercial Pilot Licence – Aeroplane)</w:t>
      </w:r>
    </w:p>
    <w:p w14:paraId="3E907912" w14:textId="595C01A1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615F8931">
        <w:rPr>
          <w:rFonts w:eastAsia="Aptos Display" w:cs="Aptos Display"/>
        </w:rPr>
        <w:t>Diploma of Aviation (Commercial Pilot Licence – Helicopter)</w:t>
      </w:r>
    </w:p>
    <w:p w14:paraId="47817E3B" w14:textId="77777777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17188ABA">
        <w:rPr>
          <w:rFonts w:eastAsia="Aptos Display" w:cs="Aptos Display"/>
        </w:rPr>
        <w:t>Diploma of Aviation (Instrument Rating)</w:t>
      </w:r>
    </w:p>
    <w:p w14:paraId="4DD47D57" w14:textId="77777777" w:rsidR="00F8371E" w:rsidRPr="00B74F30" w:rsidRDefault="00F8371E" w:rsidP="17188ABA">
      <w:pPr>
        <w:pStyle w:val="ListParagraph"/>
        <w:numPr>
          <w:ilvl w:val="0"/>
          <w:numId w:val="6"/>
        </w:numPr>
        <w:spacing w:after="120" w:line="276" w:lineRule="auto"/>
        <w:rPr>
          <w:rFonts w:eastAsia="Aptos Display" w:cs="Aptos Display"/>
        </w:rPr>
      </w:pPr>
      <w:r w:rsidRPr="17188ABA">
        <w:rPr>
          <w:rFonts w:eastAsia="Aptos Display" w:cs="Aptos Display"/>
        </w:rPr>
        <w:t>Diploma of Aviation (Flight Instructor)</w:t>
      </w:r>
    </w:p>
    <w:p w14:paraId="72B3A208" w14:textId="39B77347" w:rsidR="00AD39C3" w:rsidRPr="00B74F30" w:rsidRDefault="0FB0EFE0" w:rsidP="6D9B14A2">
      <w:pPr>
        <w:pStyle w:val="paragraph"/>
        <w:spacing w:before="0" w:beforeAutospacing="0" w:after="200" w:afterAutospacing="0" w:line="276" w:lineRule="auto"/>
        <w:textAlignment w:val="baseline"/>
        <w:rPr>
          <w:rStyle w:val="normaltextrun"/>
          <w:rFonts w:ascii="Aptos Display" w:eastAsia="Aptos Display" w:hAnsi="Aptos Display" w:cs="Aptos Display"/>
          <w:sz w:val="22"/>
          <w:szCs w:val="22"/>
        </w:rPr>
      </w:pPr>
      <w:r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Offshore v</w:t>
      </w:r>
      <w:r w:rsidR="4D7AA7D8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isa applications from students enrolled in these courses will always be given Priority 1 processing status by Department of Home Affairs decision makers, regardless of whether a VET provider has reached or exceeded its prioritisation threshold</w:t>
      </w:r>
      <w:r w:rsidR="6BA51A96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 and regardless of the prioritisation category displayed on the Summary Tab</w:t>
      </w:r>
      <w:r w:rsidR="00F77EE2" w:rsidRPr="6D9B14A2">
        <w:rPr>
          <w:rStyle w:val="FootnoteReference"/>
          <w:rFonts w:ascii="Aptos Display" w:eastAsia="Aptos Display" w:hAnsi="Aptos Display" w:cs="Aptos Display"/>
          <w:sz w:val="16"/>
          <w:szCs w:val="16"/>
        </w:rPr>
        <w:footnoteReference w:id="2"/>
      </w:r>
      <w:r w:rsidR="6BA51A96" w:rsidRPr="6D9B14A2">
        <w:rPr>
          <w:rStyle w:val="normaltextrun"/>
          <w:rFonts w:ascii="Aptos Display" w:eastAsia="Aptos Display" w:hAnsi="Aptos Display" w:cs="Aptos Display"/>
          <w:sz w:val="16"/>
          <w:szCs w:val="16"/>
        </w:rPr>
        <w:t xml:space="preserve"> </w:t>
      </w:r>
      <w:r w:rsidR="6BA51A96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of a provider’s New Overseas Student Commencement (NOSC) Report</w:t>
      </w:r>
      <w:r w:rsidR="65B43385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>,</w:t>
      </w:r>
      <w:r w:rsidR="6BA51A96" w:rsidRPr="17188ABA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 when downloaded in PRISMS. </w:t>
      </w:r>
    </w:p>
    <w:p w14:paraId="1985AB7E" w14:textId="5303BA5C" w:rsidR="00AD39C3" w:rsidRPr="000A509C" w:rsidRDefault="00AD39C3" w:rsidP="07E83D87">
      <w:pPr>
        <w:pStyle w:val="paragraph"/>
        <w:spacing w:before="0" w:beforeAutospacing="0" w:after="200" w:afterAutospacing="0" w:line="276" w:lineRule="auto"/>
        <w:textAlignment w:val="baseline"/>
        <w:rPr>
          <w:rFonts w:ascii="Aptos Display" w:eastAsia="Aptos Display" w:hAnsi="Aptos Display" w:cs="Aptos Display"/>
          <w:sz w:val="22"/>
          <w:szCs w:val="22"/>
        </w:rPr>
      </w:pPr>
      <w:r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Department of Home Affairs decision makers will never apply a lower processing priority to </w:t>
      </w:r>
      <w:r w:rsidR="25D68CEA"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offshore </w:t>
      </w:r>
      <w:r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visa applications from VET students enrolled in eligible pilot training courses. </w:t>
      </w:r>
    </w:p>
    <w:p w14:paraId="295EAA47" w14:textId="405211DF" w:rsidR="00AD39C3" w:rsidRPr="000A509C" w:rsidRDefault="00AD39C3" w:rsidP="07E83D87">
      <w:pPr>
        <w:pStyle w:val="paragraph"/>
        <w:spacing w:before="0" w:beforeAutospacing="0" w:after="200" w:afterAutospacing="0" w:line="276" w:lineRule="auto"/>
        <w:textAlignment w:val="baseline"/>
        <w:rPr>
          <w:rStyle w:val="eop"/>
          <w:rFonts w:ascii="Aptos Display" w:eastAsia="Aptos Display" w:hAnsi="Aptos Display" w:cs="Aptos Display"/>
          <w:sz w:val="22"/>
          <w:szCs w:val="22"/>
        </w:rPr>
      </w:pPr>
      <w:r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lastRenderedPageBreak/>
        <w:t xml:space="preserve">VET providers delivering eligible pilot training courses are not required to do anything </w:t>
      </w:r>
      <w:proofErr w:type="gramStart"/>
      <w:r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>in order for</w:t>
      </w:r>
      <w:proofErr w:type="gramEnd"/>
      <w:r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 continuous Priority 1 processing to apply. These courses have already been identified in Department of Home Affairs systems so that Priority 1 processing status will automatically apply to all </w:t>
      </w:r>
      <w:r w:rsidR="6D3B0532"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 xml:space="preserve">offshore </w:t>
      </w:r>
      <w:r w:rsidRPr="07E83D87">
        <w:rPr>
          <w:rStyle w:val="normaltextrun"/>
          <w:rFonts w:ascii="Aptos Display" w:eastAsia="Aptos Display" w:hAnsi="Aptos Display" w:cs="Aptos Display"/>
          <w:sz w:val="22"/>
          <w:szCs w:val="22"/>
        </w:rPr>
        <w:t>visa applications from students enrolled in these courses.  </w:t>
      </w:r>
    </w:p>
    <w:p w14:paraId="289CF460" w14:textId="6CF918B1" w:rsidR="00875CF8" w:rsidRDefault="65B43385" w:rsidP="6D9B14A2">
      <w:pPr>
        <w:rPr>
          <w:rFonts w:eastAsia="Aptos Display" w:cs="Aptos Display"/>
        </w:rPr>
      </w:pPr>
      <w:r w:rsidRPr="6D9B14A2">
        <w:rPr>
          <w:rStyle w:val="eop"/>
          <w:rFonts w:eastAsia="Aptos Display" w:cs="Aptos Display"/>
          <w:lang w:eastAsia="en-AU"/>
        </w:rPr>
        <w:t xml:space="preserve">For VET providers delivering </w:t>
      </w:r>
      <w:r w:rsidR="2956EF51" w:rsidRPr="6D9B14A2">
        <w:rPr>
          <w:rStyle w:val="eop"/>
          <w:rFonts w:eastAsia="Aptos Display" w:cs="Aptos Display"/>
          <w:lang w:eastAsia="en-AU"/>
        </w:rPr>
        <w:t xml:space="preserve">eligible pilot training courses as well as other VET courses (which may include other aviation industry courses), </w:t>
      </w:r>
      <w:r w:rsidR="55799BAF" w:rsidRPr="6D9B14A2">
        <w:rPr>
          <w:rStyle w:val="eop"/>
          <w:rFonts w:eastAsia="Aptos Display" w:cs="Aptos Display"/>
          <w:lang w:eastAsia="en-AU"/>
        </w:rPr>
        <w:t xml:space="preserve">offshore </w:t>
      </w:r>
      <w:r w:rsidR="2956EF51" w:rsidRPr="6D9B14A2">
        <w:rPr>
          <w:rStyle w:val="eop"/>
          <w:rFonts w:eastAsia="Aptos Display" w:cs="Aptos Display"/>
          <w:lang w:eastAsia="en-AU"/>
        </w:rPr>
        <w:t>v</w:t>
      </w:r>
      <w:r w:rsidR="6BA51A96" w:rsidRPr="6D9B14A2">
        <w:rPr>
          <w:rStyle w:val="eop"/>
          <w:rFonts w:eastAsia="Aptos Display" w:cs="Aptos Display"/>
          <w:lang w:eastAsia="en-AU"/>
        </w:rPr>
        <w:t xml:space="preserve">isa applications from students enrolled in </w:t>
      </w:r>
      <w:r w:rsidR="2956EF51" w:rsidRPr="6D9B14A2">
        <w:rPr>
          <w:rStyle w:val="eop"/>
          <w:rFonts w:eastAsia="Aptos Display" w:cs="Aptos Display"/>
          <w:lang w:eastAsia="en-AU"/>
        </w:rPr>
        <w:t xml:space="preserve">those </w:t>
      </w:r>
      <w:r w:rsidR="6BA51A96" w:rsidRPr="6D9B14A2">
        <w:rPr>
          <w:rStyle w:val="eop"/>
          <w:rFonts w:eastAsia="Aptos Display" w:cs="Aptos Display"/>
          <w:lang w:eastAsia="en-AU"/>
        </w:rPr>
        <w:t xml:space="preserve">courses </w:t>
      </w:r>
      <w:r w:rsidR="2956EF51" w:rsidRPr="6D9B14A2">
        <w:rPr>
          <w:rStyle w:val="eop"/>
          <w:rFonts w:eastAsia="Aptos Display" w:cs="Aptos Display"/>
          <w:lang w:eastAsia="en-AU"/>
        </w:rPr>
        <w:t xml:space="preserve">which are not eligible pilot training courses </w:t>
      </w:r>
      <w:r w:rsidR="6BA51A96" w:rsidRPr="6D9B14A2">
        <w:rPr>
          <w:rStyle w:val="eop"/>
          <w:rFonts w:eastAsia="Aptos Display" w:cs="Aptos Display"/>
          <w:lang w:eastAsia="en-AU"/>
        </w:rPr>
        <w:t xml:space="preserve">will be processed subject to a VET provider’s prioritisation threshold. </w:t>
      </w:r>
      <w:r w:rsidR="2956EF51" w:rsidRPr="6D9B14A2">
        <w:rPr>
          <w:rStyle w:val="eop"/>
          <w:rFonts w:eastAsia="Aptos Display" w:cs="Aptos Display"/>
          <w:lang w:eastAsia="en-AU"/>
        </w:rPr>
        <w:t>Information regarding the application of</w:t>
      </w:r>
      <w:r w:rsidR="6910790E" w:rsidRPr="6D9B14A2">
        <w:rPr>
          <w:rStyle w:val="eop"/>
          <w:rFonts w:eastAsia="Aptos Display" w:cs="Aptos Display"/>
          <w:lang w:eastAsia="en-AU"/>
        </w:rPr>
        <w:t xml:space="preserve"> </w:t>
      </w:r>
      <w:r w:rsidR="2956EF51" w:rsidRPr="6D9B14A2">
        <w:rPr>
          <w:rStyle w:val="eop"/>
          <w:rFonts w:eastAsia="Aptos Display" w:cs="Aptos Display"/>
          <w:lang w:eastAsia="en-AU"/>
        </w:rPr>
        <w:t xml:space="preserve">prioritisation thresholds for student visa processing generally is available </w:t>
      </w:r>
      <w:r w:rsidR="6910790E" w:rsidRPr="6D9B14A2">
        <w:rPr>
          <w:rStyle w:val="eop"/>
          <w:rFonts w:eastAsia="Aptos Display" w:cs="Aptos Display"/>
          <w:lang w:eastAsia="en-AU"/>
        </w:rPr>
        <w:t>here:</w:t>
      </w:r>
      <w:r w:rsidR="2956EF51" w:rsidRPr="6D9B14A2">
        <w:rPr>
          <w:rFonts w:eastAsia="Aptos Display" w:cs="Aptos Display"/>
        </w:rPr>
        <w:t xml:space="preserve"> </w:t>
      </w:r>
      <w:hyperlink r:id="rId15">
        <w:r w:rsidR="6790CE0F" w:rsidRPr="6D9B14A2">
          <w:rPr>
            <w:rStyle w:val="Hyperlink"/>
            <w:rFonts w:eastAsia="Aptos Display" w:cs="Aptos Display"/>
          </w:rPr>
          <w:t>Student visa processing priorities.</w:t>
        </w:r>
      </w:hyperlink>
    </w:p>
    <w:p w14:paraId="34DD13A5" w14:textId="50675E64" w:rsidR="00FF5D69" w:rsidRPr="00B74F30" w:rsidRDefault="00AD39C3" w:rsidP="17188ABA">
      <w:pPr>
        <w:rPr>
          <w:rFonts w:eastAsia="Aptos Display" w:cs="Aptos Display"/>
        </w:rPr>
      </w:pPr>
      <w:r w:rsidRPr="17188ABA">
        <w:rPr>
          <w:rFonts w:eastAsia="Aptos Display" w:cs="Aptos Display"/>
        </w:rPr>
        <w:t xml:space="preserve">Questions about the prioritisation of student visa application processing for students enrolled </w:t>
      </w:r>
      <w:r w:rsidR="2BE4D46D" w:rsidRPr="17188ABA">
        <w:rPr>
          <w:rFonts w:eastAsia="Aptos Display" w:cs="Aptos Display"/>
        </w:rPr>
        <w:t>in an eligible pilot training course</w:t>
      </w:r>
      <w:r w:rsidRPr="17188ABA">
        <w:rPr>
          <w:rFonts w:eastAsia="Aptos Display" w:cs="Aptos Display"/>
        </w:rPr>
        <w:t xml:space="preserve"> can be directed to </w:t>
      </w:r>
      <w:hyperlink r:id="rId16">
        <w:r w:rsidRPr="17188ABA">
          <w:rPr>
            <w:rFonts w:eastAsia="Aptos Display" w:cs="Aptos Display"/>
          </w:rPr>
          <w:t>managedgrowth@dewr.gov.au</w:t>
        </w:r>
      </w:hyperlink>
      <w:r w:rsidRPr="17188ABA">
        <w:rPr>
          <w:rFonts w:eastAsia="Aptos Display" w:cs="Aptos Display"/>
        </w:rPr>
        <w:t>.  </w:t>
      </w:r>
    </w:p>
    <w:p w14:paraId="499DADDA" w14:textId="3C8C00DC" w:rsidR="785C4519" w:rsidRPr="00AD39C3" w:rsidRDefault="785C4519" w:rsidP="17188ABA">
      <w:pPr>
        <w:spacing w:beforeLines="160" w:before="384" w:afterLines="160" w:after="384"/>
        <w:rPr>
          <w:rFonts w:eastAsia="Aptos Display" w:cs="Aptos Display"/>
        </w:rPr>
      </w:pPr>
    </w:p>
    <w:sectPr w:rsidR="785C4519" w:rsidRPr="00AD39C3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6FE6" w14:textId="77777777" w:rsidR="00593E29" w:rsidRDefault="00593E29" w:rsidP="0051352E">
      <w:pPr>
        <w:spacing w:after="0" w:line="240" w:lineRule="auto"/>
      </w:pPr>
      <w:r>
        <w:separator/>
      </w:r>
    </w:p>
  </w:endnote>
  <w:endnote w:type="continuationSeparator" w:id="0">
    <w:p w14:paraId="1BDF8D7B" w14:textId="77777777" w:rsidR="00593E29" w:rsidRDefault="00593E29" w:rsidP="0051352E">
      <w:pPr>
        <w:spacing w:after="0" w:line="240" w:lineRule="auto"/>
      </w:pPr>
      <w:r>
        <w:continuationSeparator/>
      </w:r>
    </w:p>
  </w:endnote>
  <w:endnote w:type="continuationNotice" w:id="1">
    <w:p w14:paraId="39C44F40" w14:textId="77777777" w:rsidR="00593E29" w:rsidRDefault="00593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31F09DE4"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68BA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1E645FC0"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EAD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61BB" w14:textId="77777777" w:rsidR="00593E29" w:rsidRDefault="00593E29" w:rsidP="0051352E">
      <w:pPr>
        <w:spacing w:after="0" w:line="240" w:lineRule="auto"/>
      </w:pPr>
      <w:r>
        <w:separator/>
      </w:r>
    </w:p>
  </w:footnote>
  <w:footnote w:type="continuationSeparator" w:id="0">
    <w:p w14:paraId="6C8AE3A6" w14:textId="77777777" w:rsidR="00593E29" w:rsidRDefault="00593E29" w:rsidP="0051352E">
      <w:pPr>
        <w:spacing w:after="0" w:line="240" w:lineRule="auto"/>
      </w:pPr>
      <w:r>
        <w:continuationSeparator/>
      </w:r>
    </w:p>
  </w:footnote>
  <w:footnote w:type="continuationNotice" w:id="1">
    <w:p w14:paraId="370AE4DF" w14:textId="77777777" w:rsidR="00593E29" w:rsidRDefault="00593E29">
      <w:pPr>
        <w:spacing w:after="0" w:line="240" w:lineRule="auto"/>
      </w:pPr>
    </w:p>
  </w:footnote>
  <w:footnote w:id="2">
    <w:p w14:paraId="46687EB0" w14:textId="7BCBA55A" w:rsidR="00F77EE2" w:rsidRDefault="00F77E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</w:rPr>
        <w:t>The Summary Tab provides information on indicative allocations and NOSCs. It also displays a provider’s ‘Prioritisation Percentage’ and ‘Offshore Visa Processing Prioritisation Category’.</w:t>
      </w:r>
      <w:r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05C"/>
    <w:multiLevelType w:val="multilevel"/>
    <w:tmpl w:val="C3A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A5E29"/>
    <w:multiLevelType w:val="multilevel"/>
    <w:tmpl w:val="4E906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2B33EC"/>
    <w:multiLevelType w:val="multilevel"/>
    <w:tmpl w:val="430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C0083"/>
    <w:multiLevelType w:val="multilevel"/>
    <w:tmpl w:val="9F0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E345D"/>
    <w:multiLevelType w:val="multilevel"/>
    <w:tmpl w:val="217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9F7B46"/>
    <w:multiLevelType w:val="multilevel"/>
    <w:tmpl w:val="1F0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802BB"/>
    <w:multiLevelType w:val="multilevel"/>
    <w:tmpl w:val="EAB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97FE1"/>
    <w:multiLevelType w:val="multilevel"/>
    <w:tmpl w:val="80C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D35182"/>
    <w:multiLevelType w:val="multilevel"/>
    <w:tmpl w:val="6E0A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607D4B"/>
    <w:multiLevelType w:val="multilevel"/>
    <w:tmpl w:val="CE1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125F11"/>
    <w:multiLevelType w:val="multilevel"/>
    <w:tmpl w:val="CFF8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B709DE"/>
    <w:multiLevelType w:val="multilevel"/>
    <w:tmpl w:val="6DE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92505"/>
    <w:multiLevelType w:val="multilevel"/>
    <w:tmpl w:val="B27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E14EC"/>
    <w:multiLevelType w:val="multilevel"/>
    <w:tmpl w:val="BBC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12B3C"/>
    <w:multiLevelType w:val="multilevel"/>
    <w:tmpl w:val="AFC2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CC13D9"/>
    <w:multiLevelType w:val="multilevel"/>
    <w:tmpl w:val="60C283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E494F51"/>
    <w:multiLevelType w:val="multilevel"/>
    <w:tmpl w:val="1AC2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9282A"/>
    <w:multiLevelType w:val="multilevel"/>
    <w:tmpl w:val="F52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0961A4"/>
    <w:multiLevelType w:val="multilevel"/>
    <w:tmpl w:val="5778F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2E41CF8"/>
    <w:multiLevelType w:val="hybridMultilevel"/>
    <w:tmpl w:val="39305B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839B0"/>
    <w:multiLevelType w:val="hybridMultilevel"/>
    <w:tmpl w:val="5BC85EE0"/>
    <w:lvl w:ilvl="0" w:tplc="10E8E3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976E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A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6B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C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85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4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E7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D0B9E"/>
    <w:multiLevelType w:val="multilevel"/>
    <w:tmpl w:val="DB22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FD08C2"/>
    <w:multiLevelType w:val="multilevel"/>
    <w:tmpl w:val="4DA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3E57C3"/>
    <w:multiLevelType w:val="multilevel"/>
    <w:tmpl w:val="4E406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79298385">
    <w:abstractNumId w:val="24"/>
  </w:num>
  <w:num w:numId="2" w16cid:durableId="118181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928808">
    <w:abstractNumId w:val="11"/>
  </w:num>
  <w:num w:numId="4" w16cid:durableId="1166021225">
    <w:abstractNumId w:val="14"/>
  </w:num>
  <w:num w:numId="5" w16cid:durableId="1814981661">
    <w:abstractNumId w:val="5"/>
  </w:num>
  <w:num w:numId="6" w16cid:durableId="68580455">
    <w:abstractNumId w:val="23"/>
  </w:num>
  <w:num w:numId="7" w16cid:durableId="62221490">
    <w:abstractNumId w:val="3"/>
  </w:num>
  <w:num w:numId="8" w16cid:durableId="981811058">
    <w:abstractNumId w:val="10"/>
  </w:num>
  <w:num w:numId="9" w16cid:durableId="402726774">
    <w:abstractNumId w:val="26"/>
  </w:num>
  <w:num w:numId="10" w16cid:durableId="773750555">
    <w:abstractNumId w:val="4"/>
  </w:num>
  <w:num w:numId="11" w16cid:durableId="1946577452">
    <w:abstractNumId w:val="0"/>
  </w:num>
  <w:num w:numId="12" w16cid:durableId="1628315080">
    <w:abstractNumId w:val="12"/>
  </w:num>
  <w:num w:numId="13" w16cid:durableId="1824810789">
    <w:abstractNumId w:val="25"/>
  </w:num>
  <w:num w:numId="14" w16cid:durableId="1677733009">
    <w:abstractNumId w:val="15"/>
  </w:num>
  <w:num w:numId="15" w16cid:durableId="1920555975">
    <w:abstractNumId w:val="9"/>
  </w:num>
  <w:num w:numId="16" w16cid:durableId="2121410094">
    <w:abstractNumId w:val="27"/>
  </w:num>
  <w:num w:numId="17" w16cid:durableId="279337600">
    <w:abstractNumId w:val="22"/>
  </w:num>
  <w:num w:numId="18" w16cid:durableId="677780280">
    <w:abstractNumId w:val="1"/>
  </w:num>
  <w:num w:numId="19" w16cid:durableId="383020887">
    <w:abstractNumId w:val="19"/>
  </w:num>
  <w:num w:numId="20" w16cid:durableId="1170635860">
    <w:abstractNumId w:val="6"/>
  </w:num>
  <w:num w:numId="21" w16cid:durableId="298346418">
    <w:abstractNumId w:val="16"/>
  </w:num>
  <w:num w:numId="22" w16cid:durableId="1491869786">
    <w:abstractNumId w:val="18"/>
  </w:num>
  <w:num w:numId="23" w16cid:durableId="343171065">
    <w:abstractNumId w:val="2"/>
  </w:num>
  <w:num w:numId="24" w16cid:durableId="1847935297">
    <w:abstractNumId w:val="20"/>
  </w:num>
  <w:num w:numId="25" w16cid:durableId="353195544">
    <w:abstractNumId w:val="17"/>
  </w:num>
  <w:num w:numId="26" w16cid:durableId="419907458">
    <w:abstractNumId w:val="13"/>
  </w:num>
  <w:num w:numId="27" w16cid:durableId="1746872561">
    <w:abstractNumId w:val="21"/>
  </w:num>
  <w:num w:numId="28" w16cid:durableId="180265251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C22"/>
    <w:rsid w:val="00007A19"/>
    <w:rsid w:val="00007C60"/>
    <w:rsid w:val="00010D8C"/>
    <w:rsid w:val="00011D3E"/>
    <w:rsid w:val="00021EFA"/>
    <w:rsid w:val="00024C24"/>
    <w:rsid w:val="00024D94"/>
    <w:rsid w:val="00032A58"/>
    <w:rsid w:val="000341FC"/>
    <w:rsid w:val="0003722C"/>
    <w:rsid w:val="00052BBC"/>
    <w:rsid w:val="000577B7"/>
    <w:rsid w:val="000622A7"/>
    <w:rsid w:val="00067075"/>
    <w:rsid w:val="000700E8"/>
    <w:rsid w:val="00073151"/>
    <w:rsid w:val="00073211"/>
    <w:rsid w:val="000756A2"/>
    <w:rsid w:val="0008421F"/>
    <w:rsid w:val="00085EBA"/>
    <w:rsid w:val="000A453D"/>
    <w:rsid w:val="000A509C"/>
    <w:rsid w:val="000C62EC"/>
    <w:rsid w:val="000D235C"/>
    <w:rsid w:val="000E191E"/>
    <w:rsid w:val="000E2259"/>
    <w:rsid w:val="000F19F5"/>
    <w:rsid w:val="000F6A54"/>
    <w:rsid w:val="000F6CA5"/>
    <w:rsid w:val="001055FB"/>
    <w:rsid w:val="00111085"/>
    <w:rsid w:val="00122E94"/>
    <w:rsid w:val="00140A92"/>
    <w:rsid w:val="001436AF"/>
    <w:rsid w:val="00146AEC"/>
    <w:rsid w:val="0014735B"/>
    <w:rsid w:val="00150979"/>
    <w:rsid w:val="001514B3"/>
    <w:rsid w:val="00157F35"/>
    <w:rsid w:val="0016095A"/>
    <w:rsid w:val="00164694"/>
    <w:rsid w:val="0017155D"/>
    <w:rsid w:val="0017213F"/>
    <w:rsid w:val="001743F3"/>
    <w:rsid w:val="001765F4"/>
    <w:rsid w:val="00194E29"/>
    <w:rsid w:val="001A2D3B"/>
    <w:rsid w:val="001A553A"/>
    <w:rsid w:val="001A5BF1"/>
    <w:rsid w:val="001B4E4D"/>
    <w:rsid w:val="001B4F46"/>
    <w:rsid w:val="001E0534"/>
    <w:rsid w:val="0021152B"/>
    <w:rsid w:val="00211650"/>
    <w:rsid w:val="00217E78"/>
    <w:rsid w:val="00217EAB"/>
    <w:rsid w:val="00223BBC"/>
    <w:rsid w:val="0022498C"/>
    <w:rsid w:val="0022626C"/>
    <w:rsid w:val="00245552"/>
    <w:rsid w:val="00262AE0"/>
    <w:rsid w:val="002724D0"/>
    <w:rsid w:val="0027309B"/>
    <w:rsid w:val="00283D94"/>
    <w:rsid w:val="002A6356"/>
    <w:rsid w:val="002A6D33"/>
    <w:rsid w:val="002A7840"/>
    <w:rsid w:val="002B1CE5"/>
    <w:rsid w:val="002B48AA"/>
    <w:rsid w:val="002B4963"/>
    <w:rsid w:val="002C5B6B"/>
    <w:rsid w:val="002F12D4"/>
    <w:rsid w:val="002F2AA5"/>
    <w:rsid w:val="002F4DB3"/>
    <w:rsid w:val="00301271"/>
    <w:rsid w:val="00303492"/>
    <w:rsid w:val="00307F60"/>
    <w:rsid w:val="00307FEF"/>
    <w:rsid w:val="00311D4F"/>
    <w:rsid w:val="00316450"/>
    <w:rsid w:val="00317F29"/>
    <w:rsid w:val="00320910"/>
    <w:rsid w:val="003212D8"/>
    <w:rsid w:val="003242BA"/>
    <w:rsid w:val="00327F44"/>
    <w:rsid w:val="00333352"/>
    <w:rsid w:val="00350FFA"/>
    <w:rsid w:val="0035260D"/>
    <w:rsid w:val="003619FF"/>
    <w:rsid w:val="00364786"/>
    <w:rsid w:val="003648D2"/>
    <w:rsid w:val="00366AEC"/>
    <w:rsid w:val="00372B04"/>
    <w:rsid w:val="00377839"/>
    <w:rsid w:val="00382BD9"/>
    <w:rsid w:val="00382F07"/>
    <w:rsid w:val="00386EF4"/>
    <w:rsid w:val="003A2EFF"/>
    <w:rsid w:val="003B03D7"/>
    <w:rsid w:val="003B08C6"/>
    <w:rsid w:val="003B295E"/>
    <w:rsid w:val="003B447E"/>
    <w:rsid w:val="003B6063"/>
    <w:rsid w:val="003D13FC"/>
    <w:rsid w:val="003D6A0E"/>
    <w:rsid w:val="00402610"/>
    <w:rsid w:val="00414677"/>
    <w:rsid w:val="00423510"/>
    <w:rsid w:val="00427388"/>
    <w:rsid w:val="004277E7"/>
    <w:rsid w:val="004320A1"/>
    <w:rsid w:val="00440866"/>
    <w:rsid w:val="00441420"/>
    <w:rsid w:val="00444F56"/>
    <w:rsid w:val="00453C04"/>
    <w:rsid w:val="00455CF7"/>
    <w:rsid w:val="00465DF4"/>
    <w:rsid w:val="00471951"/>
    <w:rsid w:val="0047403F"/>
    <w:rsid w:val="004856B2"/>
    <w:rsid w:val="004939CA"/>
    <w:rsid w:val="00495658"/>
    <w:rsid w:val="00497764"/>
    <w:rsid w:val="004B6F71"/>
    <w:rsid w:val="004C7BD2"/>
    <w:rsid w:val="004E7805"/>
    <w:rsid w:val="004F5491"/>
    <w:rsid w:val="004F7974"/>
    <w:rsid w:val="0051352E"/>
    <w:rsid w:val="00517DA7"/>
    <w:rsid w:val="00520A33"/>
    <w:rsid w:val="005213CF"/>
    <w:rsid w:val="00527AE4"/>
    <w:rsid w:val="00546B6D"/>
    <w:rsid w:val="0055156D"/>
    <w:rsid w:val="00551B5D"/>
    <w:rsid w:val="0055569D"/>
    <w:rsid w:val="005610B0"/>
    <w:rsid w:val="00573E3E"/>
    <w:rsid w:val="00582232"/>
    <w:rsid w:val="00593E29"/>
    <w:rsid w:val="00594F48"/>
    <w:rsid w:val="00596A88"/>
    <w:rsid w:val="005B2754"/>
    <w:rsid w:val="005D7CE7"/>
    <w:rsid w:val="005E35F9"/>
    <w:rsid w:val="00601F52"/>
    <w:rsid w:val="006033E7"/>
    <w:rsid w:val="00607901"/>
    <w:rsid w:val="00610A38"/>
    <w:rsid w:val="00615B61"/>
    <w:rsid w:val="006162E3"/>
    <w:rsid w:val="006178B8"/>
    <w:rsid w:val="00630DDF"/>
    <w:rsid w:val="00631391"/>
    <w:rsid w:val="0063741A"/>
    <w:rsid w:val="0064019E"/>
    <w:rsid w:val="00646F8B"/>
    <w:rsid w:val="00655E18"/>
    <w:rsid w:val="00656250"/>
    <w:rsid w:val="0065773A"/>
    <w:rsid w:val="00662A42"/>
    <w:rsid w:val="006630C9"/>
    <w:rsid w:val="00666251"/>
    <w:rsid w:val="00667FB6"/>
    <w:rsid w:val="006737B0"/>
    <w:rsid w:val="0067392A"/>
    <w:rsid w:val="00673E4C"/>
    <w:rsid w:val="006A7A9B"/>
    <w:rsid w:val="006B0B39"/>
    <w:rsid w:val="006C2C1E"/>
    <w:rsid w:val="006D154E"/>
    <w:rsid w:val="006D5358"/>
    <w:rsid w:val="006D6EEA"/>
    <w:rsid w:val="006E5D6E"/>
    <w:rsid w:val="00704585"/>
    <w:rsid w:val="0070717B"/>
    <w:rsid w:val="007157A8"/>
    <w:rsid w:val="00721465"/>
    <w:rsid w:val="00721B03"/>
    <w:rsid w:val="00723B70"/>
    <w:rsid w:val="00726D8D"/>
    <w:rsid w:val="0072748A"/>
    <w:rsid w:val="00730CE8"/>
    <w:rsid w:val="0073273D"/>
    <w:rsid w:val="00735787"/>
    <w:rsid w:val="00746420"/>
    <w:rsid w:val="007570DC"/>
    <w:rsid w:val="00765F08"/>
    <w:rsid w:val="0076732A"/>
    <w:rsid w:val="00782A61"/>
    <w:rsid w:val="00782B0F"/>
    <w:rsid w:val="00784CAC"/>
    <w:rsid w:val="00786D2B"/>
    <w:rsid w:val="007941E5"/>
    <w:rsid w:val="007B1ABA"/>
    <w:rsid w:val="007B74C5"/>
    <w:rsid w:val="007D6619"/>
    <w:rsid w:val="007E1AE9"/>
    <w:rsid w:val="007E3185"/>
    <w:rsid w:val="007E5AE3"/>
    <w:rsid w:val="00803BF3"/>
    <w:rsid w:val="00816A19"/>
    <w:rsid w:val="008200DD"/>
    <w:rsid w:val="0082662C"/>
    <w:rsid w:val="008273E6"/>
    <w:rsid w:val="00837214"/>
    <w:rsid w:val="00842C50"/>
    <w:rsid w:val="008507C1"/>
    <w:rsid w:val="0085415F"/>
    <w:rsid w:val="008559C0"/>
    <w:rsid w:val="00861934"/>
    <w:rsid w:val="0086796D"/>
    <w:rsid w:val="0087379D"/>
    <w:rsid w:val="00875CF8"/>
    <w:rsid w:val="0087779E"/>
    <w:rsid w:val="00892658"/>
    <w:rsid w:val="008B00B6"/>
    <w:rsid w:val="008B518E"/>
    <w:rsid w:val="008B796D"/>
    <w:rsid w:val="008D1EAF"/>
    <w:rsid w:val="008D2FAD"/>
    <w:rsid w:val="008E0971"/>
    <w:rsid w:val="008E22BA"/>
    <w:rsid w:val="008E2672"/>
    <w:rsid w:val="008E7AFA"/>
    <w:rsid w:val="008F0AC9"/>
    <w:rsid w:val="008F1F88"/>
    <w:rsid w:val="008F4352"/>
    <w:rsid w:val="008F6907"/>
    <w:rsid w:val="00900F7F"/>
    <w:rsid w:val="00907049"/>
    <w:rsid w:val="00911465"/>
    <w:rsid w:val="0091595D"/>
    <w:rsid w:val="00924F06"/>
    <w:rsid w:val="00933A29"/>
    <w:rsid w:val="00933EBD"/>
    <w:rsid w:val="00934249"/>
    <w:rsid w:val="0093473D"/>
    <w:rsid w:val="00944ECC"/>
    <w:rsid w:val="00946613"/>
    <w:rsid w:val="00946EA2"/>
    <w:rsid w:val="00957BB5"/>
    <w:rsid w:val="0097032B"/>
    <w:rsid w:val="00972F57"/>
    <w:rsid w:val="00986207"/>
    <w:rsid w:val="00995280"/>
    <w:rsid w:val="009B389F"/>
    <w:rsid w:val="009C2572"/>
    <w:rsid w:val="009DD045"/>
    <w:rsid w:val="009E481A"/>
    <w:rsid w:val="009E5B9B"/>
    <w:rsid w:val="009E7AC8"/>
    <w:rsid w:val="009F4555"/>
    <w:rsid w:val="009F5118"/>
    <w:rsid w:val="00A14B02"/>
    <w:rsid w:val="00A24E6E"/>
    <w:rsid w:val="00A33E0A"/>
    <w:rsid w:val="00A36711"/>
    <w:rsid w:val="00A43694"/>
    <w:rsid w:val="00A454C9"/>
    <w:rsid w:val="00A56003"/>
    <w:rsid w:val="00A564B2"/>
    <w:rsid w:val="00A56FC7"/>
    <w:rsid w:val="00A57C68"/>
    <w:rsid w:val="00A65930"/>
    <w:rsid w:val="00A65DC6"/>
    <w:rsid w:val="00A668BF"/>
    <w:rsid w:val="00A71A48"/>
    <w:rsid w:val="00A72575"/>
    <w:rsid w:val="00A74071"/>
    <w:rsid w:val="00A754E4"/>
    <w:rsid w:val="00AA124A"/>
    <w:rsid w:val="00AA2A96"/>
    <w:rsid w:val="00AB1708"/>
    <w:rsid w:val="00AB2665"/>
    <w:rsid w:val="00AD39C3"/>
    <w:rsid w:val="00AD6251"/>
    <w:rsid w:val="00AE04D4"/>
    <w:rsid w:val="00AE3A95"/>
    <w:rsid w:val="00AE59F4"/>
    <w:rsid w:val="00B013E2"/>
    <w:rsid w:val="00B06E20"/>
    <w:rsid w:val="00B100CC"/>
    <w:rsid w:val="00B238AF"/>
    <w:rsid w:val="00B25BD2"/>
    <w:rsid w:val="00B332AF"/>
    <w:rsid w:val="00B456C5"/>
    <w:rsid w:val="00B654CA"/>
    <w:rsid w:val="00B6689D"/>
    <w:rsid w:val="00B66B5F"/>
    <w:rsid w:val="00B72368"/>
    <w:rsid w:val="00B74F30"/>
    <w:rsid w:val="00B815E2"/>
    <w:rsid w:val="00B857E1"/>
    <w:rsid w:val="00BA04E1"/>
    <w:rsid w:val="00BC747C"/>
    <w:rsid w:val="00BD3A61"/>
    <w:rsid w:val="00BD41EB"/>
    <w:rsid w:val="00BD627B"/>
    <w:rsid w:val="00BE4C3C"/>
    <w:rsid w:val="00BF1A79"/>
    <w:rsid w:val="00BF6A91"/>
    <w:rsid w:val="00C107E0"/>
    <w:rsid w:val="00C12179"/>
    <w:rsid w:val="00C26F94"/>
    <w:rsid w:val="00C32940"/>
    <w:rsid w:val="00C4228D"/>
    <w:rsid w:val="00C469D8"/>
    <w:rsid w:val="00C500EF"/>
    <w:rsid w:val="00C54D58"/>
    <w:rsid w:val="00C573E1"/>
    <w:rsid w:val="00C60222"/>
    <w:rsid w:val="00C61ED2"/>
    <w:rsid w:val="00C64473"/>
    <w:rsid w:val="00C73166"/>
    <w:rsid w:val="00C736D3"/>
    <w:rsid w:val="00C749AA"/>
    <w:rsid w:val="00C93CC8"/>
    <w:rsid w:val="00C95DF6"/>
    <w:rsid w:val="00CA317C"/>
    <w:rsid w:val="00CA7F1E"/>
    <w:rsid w:val="00CB7D50"/>
    <w:rsid w:val="00CC3894"/>
    <w:rsid w:val="00CC3BA4"/>
    <w:rsid w:val="00CF4455"/>
    <w:rsid w:val="00D018E9"/>
    <w:rsid w:val="00D04CC6"/>
    <w:rsid w:val="00D05BD9"/>
    <w:rsid w:val="00D364C0"/>
    <w:rsid w:val="00D40E1A"/>
    <w:rsid w:val="00D4439C"/>
    <w:rsid w:val="00D46901"/>
    <w:rsid w:val="00D50205"/>
    <w:rsid w:val="00D522B6"/>
    <w:rsid w:val="00D529D6"/>
    <w:rsid w:val="00D550A6"/>
    <w:rsid w:val="00D56D5E"/>
    <w:rsid w:val="00D572B7"/>
    <w:rsid w:val="00D74400"/>
    <w:rsid w:val="00D93BB0"/>
    <w:rsid w:val="00DA0A06"/>
    <w:rsid w:val="00DA1B7B"/>
    <w:rsid w:val="00DB5515"/>
    <w:rsid w:val="00DB6840"/>
    <w:rsid w:val="00DB79DF"/>
    <w:rsid w:val="00DC4C49"/>
    <w:rsid w:val="00DC603E"/>
    <w:rsid w:val="00DD08E8"/>
    <w:rsid w:val="00DD620E"/>
    <w:rsid w:val="00DE0402"/>
    <w:rsid w:val="00DE11AD"/>
    <w:rsid w:val="00DE1D12"/>
    <w:rsid w:val="00DE4B05"/>
    <w:rsid w:val="00E02099"/>
    <w:rsid w:val="00E04E37"/>
    <w:rsid w:val="00E118C4"/>
    <w:rsid w:val="00E14881"/>
    <w:rsid w:val="00E1579F"/>
    <w:rsid w:val="00E15BA4"/>
    <w:rsid w:val="00E36EF8"/>
    <w:rsid w:val="00E55924"/>
    <w:rsid w:val="00E5765F"/>
    <w:rsid w:val="00E67289"/>
    <w:rsid w:val="00E70D5E"/>
    <w:rsid w:val="00E7454F"/>
    <w:rsid w:val="00E83AA3"/>
    <w:rsid w:val="00E9345D"/>
    <w:rsid w:val="00E93617"/>
    <w:rsid w:val="00EA32F7"/>
    <w:rsid w:val="00EA717F"/>
    <w:rsid w:val="00EB2EFD"/>
    <w:rsid w:val="00EC04A8"/>
    <w:rsid w:val="00EC58A0"/>
    <w:rsid w:val="00EC6A53"/>
    <w:rsid w:val="00ED0816"/>
    <w:rsid w:val="00ED1718"/>
    <w:rsid w:val="00EE3758"/>
    <w:rsid w:val="00EE5EEB"/>
    <w:rsid w:val="00EF6D30"/>
    <w:rsid w:val="00F064CC"/>
    <w:rsid w:val="00F230CD"/>
    <w:rsid w:val="00F35FB5"/>
    <w:rsid w:val="00F37203"/>
    <w:rsid w:val="00F41BF1"/>
    <w:rsid w:val="00F51C18"/>
    <w:rsid w:val="00F5375B"/>
    <w:rsid w:val="00F5624F"/>
    <w:rsid w:val="00F56E69"/>
    <w:rsid w:val="00F71103"/>
    <w:rsid w:val="00F72B5F"/>
    <w:rsid w:val="00F77EE2"/>
    <w:rsid w:val="00F8371E"/>
    <w:rsid w:val="00F837E8"/>
    <w:rsid w:val="00F85C6E"/>
    <w:rsid w:val="00F87C97"/>
    <w:rsid w:val="00FA128C"/>
    <w:rsid w:val="00FA31E2"/>
    <w:rsid w:val="00FA70B3"/>
    <w:rsid w:val="00FB6477"/>
    <w:rsid w:val="00FD0FFD"/>
    <w:rsid w:val="00FE17B0"/>
    <w:rsid w:val="00FF11E8"/>
    <w:rsid w:val="00FF5B70"/>
    <w:rsid w:val="00FF5BB9"/>
    <w:rsid w:val="00FF5D69"/>
    <w:rsid w:val="01311701"/>
    <w:rsid w:val="028950DB"/>
    <w:rsid w:val="02EAA487"/>
    <w:rsid w:val="034D9550"/>
    <w:rsid w:val="03BA346A"/>
    <w:rsid w:val="03BA68DD"/>
    <w:rsid w:val="04A447A0"/>
    <w:rsid w:val="050616D5"/>
    <w:rsid w:val="058633EF"/>
    <w:rsid w:val="0589C9EE"/>
    <w:rsid w:val="078ECDFB"/>
    <w:rsid w:val="07E83D87"/>
    <w:rsid w:val="08BE509E"/>
    <w:rsid w:val="0928CC91"/>
    <w:rsid w:val="09306A96"/>
    <w:rsid w:val="096EF78A"/>
    <w:rsid w:val="0987E7D2"/>
    <w:rsid w:val="0A507999"/>
    <w:rsid w:val="0ACF0DF3"/>
    <w:rsid w:val="0BA07BD4"/>
    <w:rsid w:val="0CB2197D"/>
    <w:rsid w:val="0D38BB60"/>
    <w:rsid w:val="0DA27284"/>
    <w:rsid w:val="0E065964"/>
    <w:rsid w:val="0E40DA0B"/>
    <w:rsid w:val="0E97C17F"/>
    <w:rsid w:val="0ECE7023"/>
    <w:rsid w:val="0FB0EFE0"/>
    <w:rsid w:val="101A9478"/>
    <w:rsid w:val="103559EC"/>
    <w:rsid w:val="10B21995"/>
    <w:rsid w:val="10B72489"/>
    <w:rsid w:val="10C77EB6"/>
    <w:rsid w:val="11F41727"/>
    <w:rsid w:val="124F94A6"/>
    <w:rsid w:val="139B6EDA"/>
    <w:rsid w:val="146CF022"/>
    <w:rsid w:val="14AB9F6F"/>
    <w:rsid w:val="14C5FD10"/>
    <w:rsid w:val="15179E5E"/>
    <w:rsid w:val="1568AC0E"/>
    <w:rsid w:val="17188ABA"/>
    <w:rsid w:val="171BD3DE"/>
    <w:rsid w:val="1828C0CD"/>
    <w:rsid w:val="184D8DFC"/>
    <w:rsid w:val="187D7653"/>
    <w:rsid w:val="1994E9FD"/>
    <w:rsid w:val="19A47143"/>
    <w:rsid w:val="19FB47C2"/>
    <w:rsid w:val="1A08DDC6"/>
    <w:rsid w:val="1A0B518F"/>
    <w:rsid w:val="1AFFC34D"/>
    <w:rsid w:val="1B1B19E2"/>
    <w:rsid w:val="1B3A916E"/>
    <w:rsid w:val="1B440068"/>
    <w:rsid w:val="1B53F93D"/>
    <w:rsid w:val="1B618DA2"/>
    <w:rsid w:val="1BAC1B1C"/>
    <w:rsid w:val="1C0104F5"/>
    <w:rsid w:val="1C48A271"/>
    <w:rsid w:val="1CA7BF08"/>
    <w:rsid w:val="1CBCD128"/>
    <w:rsid w:val="1CF48967"/>
    <w:rsid w:val="1CF78B6B"/>
    <w:rsid w:val="1D650C3A"/>
    <w:rsid w:val="1D8D300F"/>
    <w:rsid w:val="1D9981F7"/>
    <w:rsid w:val="1E38883F"/>
    <w:rsid w:val="1E8FFD2F"/>
    <w:rsid w:val="1EE70517"/>
    <w:rsid w:val="1F38AB2E"/>
    <w:rsid w:val="1FFEAB30"/>
    <w:rsid w:val="20652A27"/>
    <w:rsid w:val="21B095ED"/>
    <w:rsid w:val="227E1174"/>
    <w:rsid w:val="22CEB5D3"/>
    <w:rsid w:val="23C93D51"/>
    <w:rsid w:val="24E978CF"/>
    <w:rsid w:val="250468B8"/>
    <w:rsid w:val="25D68CEA"/>
    <w:rsid w:val="26D99637"/>
    <w:rsid w:val="27738D8F"/>
    <w:rsid w:val="27B92334"/>
    <w:rsid w:val="2890D99F"/>
    <w:rsid w:val="28AAA088"/>
    <w:rsid w:val="291788FD"/>
    <w:rsid w:val="2956EF51"/>
    <w:rsid w:val="2965A35D"/>
    <w:rsid w:val="298886BE"/>
    <w:rsid w:val="29D8147F"/>
    <w:rsid w:val="2A096314"/>
    <w:rsid w:val="2A0F83F6"/>
    <w:rsid w:val="2A3FA17E"/>
    <w:rsid w:val="2B0E1410"/>
    <w:rsid w:val="2B7944CC"/>
    <w:rsid w:val="2BBBDA65"/>
    <w:rsid w:val="2BC10032"/>
    <w:rsid w:val="2BE4D46D"/>
    <w:rsid w:val="2BEB8CD4"/>
    <w:rsid w:val="2C43C50A"/>
    <w:rsid w:val="2CC098D4"/>
    <w:rsid w:val="2CF372AE"/>
    <w:rsid w:val="2CF5D460"/>
    <w:rsid w:val="2D826CAE"/>
    <w:rsid w:val="2F4B6E9D"/>
    <w:rsid w:val="2FF9C0A7"/>
    <w:rsid w:val="300F1F2E"/>
    <w:rsid w:val="30D4C636"/>
    <w:rsid w:val="3181AD51"/>
    <w:rsid w:val="31A74F70"/>
    <w:rsid w:val="31C4FB11"/>
    <w:rsid w:val="31DBFE66"/>
    <w:rsid w:val="31E2AC3C"/>
    <w:rsid w:val="328AAB1C"/>
    <w:rsid w:val="33D45294"/>
    <w:rsid w:val="34CA51D3"/>
    <w:rsid w:val="366773E9"/>
    <w:rsid w:val="3696E914"/>
    <w:rsid w:val="369A0C12"/>
    <w:rsid w:val="36F9CB12"/>
    <w:rsid w:val="373166DC"/>
    <w:rsid w:val="389102AD"/>
    <w:rsid w:val="3993C67A"/>
    <w:rsid w:val="39D50390"/>
    <w:rsid w:val="3B5064EC"/>
    <w:rsid w:val="3C57EB4F"/>
    <w:rsid w:val="3CA0030B"/>
    <w:rsid w:val="3D1555DC"/>
    <w:rsid w:val="3D742A4E"/>
    <w:rsid w:val="3DCAD630"/>
    <w:rsid w:val="3E147CA1"/>
    <w:rsid w:val="3F3DC7E2"/>
    <w:rsid w:val="3F8703E4"/>
    <w:rsid w:val="4265D173"/>
    <w:rsid w:val="4292FD7B"/>
    <w:rsid w:val="42A8BC00"/>
    <w:rsid w:val="42C2E8D4"/>
    <w:rsid w:val="432FC48D"/>
    <w:rsid w:val="4354CC46"/>
    <w:rsid w:val="44ACD064"/>
    <w:rsid w:val="44ED9A08"/>
    <w:rsid w:val="44FF26C9"/>
    <w:rsid w:val="45643B37"/>
    <w:rsid w:val="4605EA62"/>
    <w:rsid w:val="460FD001"/>
    <w:rsid w:val="4644B5BE"/>
    <w:rsid w:val="464DED41"/>
    <w:rsid w:val="469A5D34"/>
    <w:rsid w:val="4703E27A"/>
    <w:rsid w:val="47878B0A"/>
    <w:rsid w:val="47F6BE67"/>
    <w:rsid w:val="4802E0D2"/>
    <w:rsid w:val="4869C17A"/>
    <w:rsid w:val="4936BC72"/>
    <w:rsid w:val="49435CDA"/>
    <w:rsid w:val="4A4AF894"/>
    <w:rsid w:val="4A536422"/>
    <w:rsid w:val="4AECC432"/>
    <w:rsid w:val="4C4557AF"/>
    <w:rsid w:val="4C967401"/>
    <w:rsid w:val="4D4827DC"/>
    <w:rsid w:val="4D7AA7D8"/>
    <w:rsid w:val="4DBEDABB"/>
    <w:rsid w:val="4E213F06"/>
    <w:rsid w:val="4E7048E0"/>
    <w:rsid w:val="4ED80333"/>
    <w:rsid w:val="4FEFA3C7"/>
    <w:rsid w:val="514095BE"/>
    <w:rsid w:val="517BA2EB"/>
    <w:rsid w:val="52A7F8ED"/>
    <w:rsid w:val="534AD9F4"/>
    <w:rsid w:val="53510127"/>
    <w:rsid w:val="53991A4D"/>
    <w:rsid w:val="53A9CB8D"/>
    <w:rsid w:val="53D4B857"/>
    <w:rsid w:val="53F20D6A"/>
    <w:rsid w:val="54E10128"/>
    <w:rsid w:val="551A5D6F"/>
    <w:rsid w:val="552AE87A"/>
    <w:rsid w:val="555601A9"/>
    <w:rsid w:val="55799BAF"/>
    <w:rsid w:val="55A759D2"/>
    <w:rsid w:val="55DFCBFB"/>
    <w:rsid w:val="5617B3B9"/>
    <w:rsid w:val="5623BB83"/>
    <w:rsid w:val="563B3BAF"/>
    <w:rsid w:val="58831C83"/>
    <w:rsid w:val="58DAC11A"/>
    <w:rsid w:val="598C2CE6"/>
    <w:rsid w:val="5A74F3A1"/>
    <w:rsid w:val="5A75C7FC"/>
    <w:rsid w:val="5A9D3C79"/>
    <w:rsid w:val="5B53C6DB"/>
    <w:rsid w:val="5B71A4F7"/>
    <w:rsid w:val="5C5BE027"/>
    <w:rsid w:val="5C5DB314"/>
    <w:rsid w:val="5C630294"/>
    <w:rsid w:val="5E4DCAB1"/>
    <w:rsid w:val="5F370111"/>
    <w:rsid w:val="5FD6A632"/>
    <w:rsid w:val="6024D371"/>
    <w:rsid w:val="615F8931"/>
    <w:rsid w:val="624CC980"/>
    <w:rsid w:val="63C9FB32"/>
    <w:rsid w:val="63DFDEC1"/>
    <w:rsid w:val="63E9E0EA"/>
    <w:rsid w:val="6400F82E"/>
    <w:rsid w:val="6495EE0C"/>
    <w:rsid w:val="64A099E0"/>
    <w:rsid w:val="65B43385"/>
    <w:rsid w:val="65D6A354"/>
    <w:rsid w:val="672B9BCD"/>
    <w:rsid w:val="677DBB96"/>
    <w:rsid w:val="6790CE0F"/>
    <w:rsid w:val="68202BB2"/>
    <w:rsid w:val="68530FB2"/>
    <w:rsid w:val="6910790E"/>
    <w:rsid w:val="69C47FFA"/>
    <w:rsid w:val="6A4EE0CB"/>
    <w:rsid w:val="6A80D28B"/>
    <w:rsid w:val="6ACD76A8"/>
    <w:rsid w:val="6B838E34"/>
    <w:rsid w:val="6BA51A96"/>
    <w:rsid w:val="6C1FAF97"/>
    <w:rsid w:val="6CD754B1"/>
    <w:rsid w:val="6D3B0532"/>
    <w:rsid w:val="6D9310C0"/>
    <w:rsid w:val="6D9B14A2"/>
    <w:rsid w:val="6E2921E0"/>
    <w:rsid w:val="6E9AF1CD"/>
    <w:rsid w:val="6EA5AD16"/>
    <w:rsid w:val="7198D637"/>
    <w:rsid w:val="71F14939"/>
    <w:rsid w:val="726CFCD4"/>
    <w:rsid w:val="734787DD"/>
    <w:rsid w:val="73D473A5"/>
    <w:rsid w:val="73D9B518"/>
    <w:rsid w:val="741BC351"/>
    <w:rsid w:val="745BADAE"/>
    <w:rsid w:val="7476415B"/>
    <w:rsid w:val="758D0B9B"/>
    <w:rsid w:val="759AD4E5"/>
    <w:rsid w:val="75CA10D4"/>
    <w:rsid w:val="75E08070"/>
    <w:rsid w:val="760017A7"/>
    <w:rsid w:val="76952069"/>
    <w:rsid w:val="77AC3C4D"/>
    <w:rsid w:val="77DF4446"/>
    <w:rsid w:val="785C4519"/>
    <w:rsid w:val="78E52E29"/>
    <w:rsid w:val="7926AA5E"/>
    <w:rsid w:val="795D48BB"/>
    <w:rsid w:val="797CA6DC"/>
    <w:rsid w:val="7A3B6B58"/>
    <w:rsid w:val="7A5392EC"/>
    <w:rsid w:val="7A7BE909"/>
    <w:rsid w:val="7AA8E807"/>
    <w:rsid w:val="7B5A2E26"/>
    <w:rsid w:val="7BCFF597"/>
    <w:rsid w:val="7BDF4363"/>
    <w:rsid w:val="7C315EA5"/>
    <w:rsid w:val="7C3E91F0"/>
    <w:rsid w:val="7C84D6E2"/>
    <w:rsid w:val="7D06031B"/>
    <w:rsid w:val="7D4EE2F8"/>
    <w:rsid w:val="7DE0709E"/>
    <w:rsid w:val="7E2194F6"/>
    <w:rsid w:val="7E86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/>
    <w:tblStylePr w:type="firstRow">
      <w:rPr>
        <w:rFonts w:ascii="Aptos SemiBold" w:hAnsi="Aptos SemiBold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5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3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body">
    <w:name w:val="body"/>
    <w:basedOn w:val="Normal"/>
    <w:uiPriority w:val="1"/>
    <w:rsid w:val="69C47FFA"/>
    <w:pPr>
      <w:spacing w:beforeAutospacing="1" w:afterAutospacing="1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7155D"/>
    <w:pPr>
      <w:spacing w:after="0" w:line="240" w:lineRule="auto"/>
    </w:pPr>
    <w:rPr>
      <w:rFonts w:ascii="Aptos Display" w:hAnsi="Aptos Displa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62C"/>
    <w:rPr>
      <w:rFonts w:ascii="Aptos Display" w:hAnsi="Aptos Display"/>
      <w:b/>
      <w:bCs/>
      <w:sz w:val="20"/>
      <w:szCs w:val="20"/>
    </w:rPr>
  </w:style>
  <w:style w:type="paragraph" w:customStyle="1" w:styleId="paragraph">
    <w:name w:val="paragraph"/>
    <w:basedOn w:val="Normal"/>
    <w:rsid w:val="00F5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56E69"/>
  </w:style>
  <w:style w:type="character" w:customStyle="1" w:styleId="eop">
    <w:name w:val="eop"/>
    <w:basedOn w:val="DefaultParagraphFont"/>
    <w:rsid w:val="00F56E69"/>
  </w:style>
  <w:style w:type="character" w:customStyle="1" w:styleId="superscript">
    <w:name w:val="superscript"/>
    <w:basedOn w:val="DefaultParagraphFont"/>
    <w:rsid w:val="00AD39C3"/>
  </w:style>
  <w:style w:type="paragraph" w:styleId="FootnoteText">
    <w:name w:val="footnote text"/>
    <w:basedOn w:val="Normal"/>
    <w:link w:val="FootnoteTextChar"/>
    <w:uiPriority w:val="99"/>
    <w:semiHidden/>
    <w:unhideWhenUsed/>
    <w:rsid w:val="00F77E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EE2"/>
    <w:rPr>
      <w:rFonts w:ascii="Aptos Display" w:hAnsi="Aptos Displa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E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2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gov.au/managed-system-international-education-2026/resources/factsheet-managed-growth-international-education-arrangement-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nagedgrowth@dewr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mmi.homeaffairs.gov.au/visas/getting-a-visa/visa-processing-times/visa-processing-priorities/student-vis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dewr.gov.au/international-skills-engagement/resources/indicative-allocation-vet-new-overseas-student-commencements-2026" TargetMode="Externa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3058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and managed growth arrangements for 2026 – pilot training courses</dc:title>
  <dc:subject/>
  <dc:creator/>
  <cp:keywords/>
  <dc:description/>
  <cp:lastModifiedBy/>
  <cp:revision>1</cp:revision>
  <dcterms:created xsi:type="dcterms:W3CDTF">2025-11-04T04:28:00Z</dcterms:created>
  <dcterms:modified xsi:type="dcterms:W3CDTF">2025-11-04T05:13:00Z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2025-11-04T04:28:45Z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679274d7-1703-46fb-9bd9-6f02102550ac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