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C5" w:rsidRPr="006914A5" w:rsidRDefault="002962C5" w:rsidP="002962C5">
      <w:pPr>
        <w:pStyle w:val="Heading1"/>
      </w:pPr>
      <w:r w:rsidRPr="006914A5">
        <w:t>Safe Work Australia</w:t>
      </w:r>
    </w:p>
    <w:p w:rsidR="002962C5" w:rsidRPr="00C14DCB" w:rsidRDefault="002962C5" w:rsidP="002962C5">
      <w:pPr>
        <w:pStyle w:val="TOC3"/>
        <w:rPr>
          <w:rFonts w:cs="Arial"/>
          <w:b w:val="0"/>
          <w:noProof/>
          <w:sz w:val="24"/>
          <w:szCs w:val="24"/>
        </w:rPr>
      </w:pPr>
      <w:r w:rsidRPr="00C14DCB">
        <w:rPr>
          <w:rFonts w:cs="Arial"/>
          <w:noProof/>
        </w:rPr>
        <w:t>Section 1: Agency overview and resources</w:t>
      </w:r>
      <w:r w:rsidRPr="00C14DCB">
        <w:rPr>
          <w:rFonts w:cs="Arial"/>
          <w:noProof/>
        </w:rPr>
        <w:tab/>
      </w:r>
      <w:r w:rsidR="009F5451">
        <w:rPr>
          <w:rFonts w:cs="Arial"/>
          <w:noProof/>
        </w:rPr>
        <w:t>1</w:t>
      </w:r>
    </w:p>
    <w:p w:rsidR="002962C5" w:rsidRPr="00C14DCB" w:rsidRDefault="002962C5" w:rsidP="002962C5">
      <w:pPr>
        <w:pStyle w:val="TOC4"/>
        <w:tabs>
          <w:tab w:val="left" w:pos="800"/>
        </w:tabs>
        <w:rPr>
          <w:rFonts w:cs="Arial"/>
          <w:noProof/>
          <w:sz w:val="24"/>
          <w:szCs w:val="24"/>
        </w:rPr>
      </w:pPr>
      <w:r w:rsidRPr="00C14DCB">
        <w:rPr>
          <w:rFonts w:cs="Arial"/>
          <w:noProof/>
        </w:rPr>
        <w:t>1.1</w:t>
      </w:r>
      <w:r w:rsidRPr="00C14DCB">
        <w:rPr>
          <w:rFonts w:cs="Arial"/>
          <w:noProof/>
          <w:sz w:val="24"/>
          <w:szCs w:val="24"/>
        </w:rPr>
        <w:tab/>
      </w:r>
      <w:r w:rsidRPr="00C14DCB">
        <w:rPr>
          <w:rFonts w:cs="Arial"/>
          <w:noProof/>
        </w:rPr>
        <w:t>Strat</w:t>
      </w:r>
      <w:r>
        <w:rPr>
          <w:rFonts w:cs="Arial"/>
          <w:noProof/>
        </w:rPr>
        <w:t>eg</w:t>
      </w:r>
      <w:r w:rsidRPr="00C14DCB">
        <w:rPr>
          <w:rFonts w:cs="Arial"/>
          <w:noProof/>
        </w:rPr>
        <w:t>ic Direction Statement</w:t>
      </w:r>
      <w:r w:rsidRPr="00C14DCB">
        <w:rPr>
          <w:rFonts w:cs="Arial"/>
          <w:noProof/>
        </w:rPr>
        <w:tab/>
      </w:r>
      <w:r w:rsidR="009F5451">
        <w:rPr>
          <w:rFonts w:cs="Arial"/>
          <w:noProof/>
        </w:rPr>
        <w:t>1</w:t>
      </w:r>
    </w:p>
    <w:p w:rsidR="002962C5" w:rsidRPr="00C14DCB" w:rsidRDefault="002962C5" w:rsidP="002962C5">
      <w:pPr>
        <w:pStyle w:val="TOC4"/>
        <w:tabs>
          <w:tab w:val="left" w:pos="800"/>
        </w:tabs>
        <w:rPr>
          <w:rFonts w:cs="Arial"/>
          <w:noProof/>
          <w:sz w:val="24"/>
          <w:szCs w:val="24"/>
        </w:rPr>
      </w:pPr>
      <w:r w:rsidRPr="00C14DCB">
        <w:rPr>
          <w:rFonts w:cs="Arial"/>
          <w:noProof/>
        </w:rPr>
        <w:t>1.2</w:t>
      </w:r>
      <w:r w:rsidRPr="00C14DCB">
        <w:rPr>
          <w:rFonts w:cs="Arial"/>
          <w:noProof/>
          <w:sz w:val="24"/>
          <w:szCs w:val="24"/>
        </w:rPr>
        <w:tab/>
      </w:r>
      <w:r w:rsidRPr="00C14DCB">
        <w:rPr>
          <w:rFonts w:cs="Arial"/>
          <w:noProof/>
        </w:rPr>
        <w:t>Agency Resource Statement</w:t>
      </w:r>
      <w:r w:rsidRPr="00C14DCB">
        <w:rPr>
          <w:rFonts w:cs="Arial"/>
          <w:noProof/>
        </w:rPr>
        <w:tab/>
      </w:r>
      <w:r w:rsidR="009F5451">
        <w:rPr>
          <w:rFonts w:cs="Arial"/>
          <w:noProof/>
        </w:rPr>
        <w:t>3</w:t>
      </w:r>
    </w:p>
    <w:p w:rsidR="002962C5" w:rsidRPr="00C14DCB" w:rsidRDefault="002962C5" w:rsidP="002962C5">
      <w:pPr>
        <w:pStyle w:val="TOC4"/>
        <w:tabs>
          <w:tab w:val="left" w:pos="800"/>
        </w:tabs>
        <w:rPr>
          <w:rFonts w:cs="Arial"/>
          <w:noProof/>
        </w:rPr>
      </w:pPr>
      <w:r w:rsidRPr="00C14DCB">
        <w:rPr>
          <w:rFonts w:cs="Arial"/>
          <w:noProof/>
        </w:rPr>
        <w:t>1.3</w:t>
      </w:r>
      <w:r w:rsidRPr="00C14DCB">
        <w:rPr>
          <w:rFonts w:cs="Arial"/>
          <w:noProof/>
          <w:sz w:val="24"/>
          <w:szCs w:val="24"/>
        </w:rPr>
        <w:tab/>
      </w:r>
      <w:r w:rsidRPr="00C14DCB">
        <w:rPr>
          <w:rFonts w:cs="Arial"/>
          <w:noProof/>
        </w:rPr>
        <w:t>Budget Measures</w:t>
      </w:r>
      <w:r w:rsidRPr="00C14DCB">
        <w:rPr>
          <w:rFonts w:cs="Arial"/>
          <w:noProof/>
        </w:rPr>
        <w:tab/>
      </w:r>
      <w:r w:rsidR="009F5451">
        <w:rPr>
          <w:rFonts w:cs="Arial"/>
          <w:noProof/>
        </w:rPr>
        <w:t>4</w:t>
      </w:r>
    </w:p>
    <w:p w:rsidR="002962C5" w:rsidRPr="00C14DCB" w:rsidRDefault="002962C5" w:rsidP="002962C5">
      <w:pPr>
        <w:pStyle w:val="TOC3"/>
        <w:rPr>
          <w:rFonts w:cs="Arial"/>
          <w:b w:val="0"/>
          <w:noProof/>
          <w:sz w:val="24"/>
          <w:szCs w:val="24"/>
        </w:rPr>
      </w:pPr>
      <w:r w:rsidRPr="00C14DCB">
        <w:rPr>
          <w:rFonts w:cs="Arial"/>
          <w:noProof/>
        </w:rPr>
        <w:t>Section 2: Outcomes and planned performance</w:t>
      </w:r>
      <w:r w:rsidRPr="00C14DCB">
        <w:rPr>
          <w:rFonts w:cs="Arial"/>
          <w:noProof/>
        </w:rPr>
        <w:tab/>
      </w:r>
      <w:r w:rsidR="009F5451">
        <w:rPr>
          <w:rFonts w:cs="Arial"/>
          <w:noProof/>
        </w:rPr>
        <w:t>5</w:t>
      </w:r>
    </w:p>
    <w:p w:rsidR="002962C5" w:rsidRPr="00C14DCB" w:rsidRDefault="002962C5" w:rsidP="002962C5">
      <w:pPr>
        <w:pStyle w:val="TOC4"/>
        <w:tabs>
          <w:tab w:val="left" w:pos="800"/>
        </w:tabs>
        <w:rPr>
          <w:rFonts w:cs="Arial"/>
          <w:noProof/>
          <w:sz w:val="24"/>
          <w:szCs w:val="24"/>
        </w:rPr>
      </w:pPr>
      <w:r w:rsidRPr="00C14DCB">
        <w:rPr>
          <w:rFonts w:cs="Arial"/>
          <w:noProof/>
        </w:rPr>
        <w:t>2.1</w:t>
      </w:r>
      <w:r w:rsidRPr="00C14DCB">
        <w:rPr>
          <w:rFonts w:cs="Arial"/>
          <w:noProof/>
          <w:sz w:val="24"/>
          <w:szCs w:val="24"/>
        </w:rPr>
        <w:tab/>
      </w:r>
      <w:r w:rsidRPr="00C14DCB">
        <w:rPr>
          <w:rFonts w:cs="Arial"/>
          <w:noProof/>
        </w:rPr>
        <w:t>Outcomes and performance information</w:t>
      </w:r>
      <w:r w:rsidRPr="00C14DCB">
        <w:rPr>
          <w:rFonts w:cs="Arial"/>
          <w:noProof/>
        </w:rPr>
        <w:tab/>
      </w:r>
      <w:r w:rsidR="009F5451">
        <w:rPr>
          <w:rFonts w:cs="Arial"/>
          <w:noProof/>
        </w:rPr>
        <w:t>5</w:t>
      </w:r>
    </w:p>
    <w:p w:rsidR="002962C5" w:rsidRPr="00C14DCB" w:rsidRDefault="002962C5" w:rsidP="002962C5">
      <w:pPr>
        <w:pStyle w:val="TOC3"/>
        <w:rPr>
          <w:rFonts w:cs="Arial"/>
          <w:b w:val="0"/>
          <w:noProof/>
          <w:sz w:val="24"/>
          <w:szCs w:val="24"/>
        </w:rPr>
      </w:pPr>
      <w:r w:rsidRPr="00C14DCB">
        <w:rPr>
          <w:rFonts w:cs="Arial"/>
          <w:noProof/>
        </w:rPr>
        <w:t>Section 3: Explanatory tables and budgeted financial statements</w:t>
      </w:r>
      <w:r w:rsidRPr="00C14DCB">
        <w:rPr>
          <w:rFonts w:cs="Arial"/>
          <w:noProof/>
        </w:rPr>
        <w:tab/>
      </w:r>
      <w:r w:rsidR="002F6F52">
        <w:rPr>
          <w:rFonts w:cs="Arial"/>
          <w:noProof/>
        </w:rPr>
        <w:t>1</w:t>
      </w:r>
      <w:r w:rsidR="009F5451">
        <w:rPr>
          <w:rFonts w:cs="Arial"/>
          <w:noProof/>
        </w:rPr>
        <w:t>0</w:t>
      </w:r>
    </w:p>
    <w:p w:rsidR="002962C5" w:rsidRPr="00C14DCB" w:rsidRDefault="002962C5" w:rsidP="002962C5">
      <w:pPr>
        <w:pStyle w:val="TOC4"/>
        <w:tabs>
          <w:tab w:val="left" w:pos="800"/>
        </w:tabs>
        <w:rPr>
          <w:rFonts w:cs="Arial"/>
          <w:noProof/>
        </w:rPr>
      </w:pPr>
      <w:r w:rsidRPr="00C14DCB">
        <w:rPr>
          <w:rFonts w:cs="Arial"/>
          <w:noProof/>
        </w:rPr>
        <w:t>3.1</w:t>
      </w:r>
      <w:r w:rsidRPr="00C14DCB">
        <w:rPr>
          <w:rFonts w:cs="Arial"/>
          <w:noProof/>
          <w:sz w:val="24"/>
          <w:szCs w:val="24"/>
        </w:rPr>
        <w:tab/>
      </w:r>
      <w:r w:rsidRPr="00C14DCB">
        <w:rPr>
          <w:rFonts w:cs="Arial"/>
          <w:noProof/>
        </w:rPr>
        <w:t>Explanatory tables</w:t>
      </w:r>
      <w:r w:rsidRPr="00C14DCB">
        <w:rPr>
          <w:rFonts w:cs="Arial"/>
          <w:noProof/>
        </w:rPr>
        <w:tab/>
      </w:r>
      <w:r w:rsidR="002F6F52">
        <w:rPr>
          <w:rFonts w:cs="Arial"/>
          <w:noProof/>
        </w:rPr>
        <w:t>1</w:t>
      </w:r>
      <w:r w:rsidR="009F5451">
        <w:rPr>
          <w:rFonts w:cs="Arial"/>
          <w:noProof/>
        </w:rPr>
        <w:t>0</w:t>
      </w:r>
    </w:p>
    <w:p w:rsidR="002962C5" w:rsidRPr="00C14DCB" w:rsidRDefault="002962C5" w:rsidP="002962C5">
      <w:pPr>
        <w:pStyle w:val="TOC4"/>
        <w:tabs>
          <w:tab w:val="left" w:pos="800"/>
        </w:tabs>
        <w:rPr>
          <w:rFonts w:cs="Arial"/>
          <w:noProof/>
        </w:rPr>
      </w:pPr>
      <w:r w:rsidRPr="00C14DCB">
        <w:rPr>
          <w:rFonts w:cs="Arial"/>
          <w:noProof/>
        </w:rPr>
        <w:t>3.2</w:t>
      </w:r>
      <w:r w:rsidRPr="00C14DCB">
        <w:rPr>
          <w:rFonts w:cs="Arial"/>
          <w:noProof/>
          <w:sz w:val="24"/>
          <w:szCs w:val="24"/>
        </w:rPr>
        <w:tab/>
      </w:r>
      <w:r w:rsidRPr="00C14DCB">
        <w:rPr>
          <w:rFonts w:cs="Arial"/>
          <w:noProof/>
        </w:rPr>
        <w:t>Budgeted Financial Statements</w:t>
      </w:r>
      <w:r w:rsidRPr="00C14DCB">
        <w:rPr>
          <w:rFonts w:cs="Arial"/>
          <w:noProof/>
        </w:rPr>
        <w:tab/>
      </w:r>
      <w:r w:rsidR="002F6F52">
        <w:rPr>
          <w:rFonts w:cs="Arial"/>
          <w:noProof/>
        </w:rPr>
        <w:t>1</w:t>
      </w:r>
      <w:r>
        <w:rPr>
          <w:rFonts w:cs="Arial"/>
          <w:noProof/>
        </w:rPr>
        <w:t>1</w:t>
      </w:r>
    </w:p>
    <w:p w:rsidR="002962C5" w:rsidRPr="00C14DCB" w:rsidRDefault="002962C5" w:rsidP="002962C5">
      <w:pPr>
        <w:rPr>
          <w:rFonts w:ascii="Arial" w:hAnsi="Arial" w:cs="Arial"/>
        </w:rPr>
      </w:pPr>
    </w:p>
    <w:p w:rsidR="002962C5" w:rsidRPr="006914A5" w:rsidRDefault="002962C5" w:rsidP="002962C5">
      <w:pPr>
        <w:rPr>
          <w:rFonts w:ascii="Arial" w:hAnsi="Arial" w:cs="Arial"/>
          <w:color w:val="FF0000"/>
        </w:rPr>
        <w:sectPr w:rsidR="002962C5" w:rsidRPr="006914A5" w:rsidSect="00A148CA">
          <w:footerReference w:type="even" r:id="rId11"/>
          <w:footerReference w:type="default" r:id="rId12"/>
          <w:footerReference w:type="first" r:id="rId13"/>
          <w:type w:val="oddPage"/>
          <w:pgSz w:w="11906" w:h="16838" w:code="9"/>
          <w:pgMar w:top="2466" w:right="2098" w:bottom="2466" w:left="2098" w:header="1899" w:footer="1899" w:gutter="0"/>
          <w:cols w:space="708"/>
          <w:titlePg/>
          <w:docGrid w:linePitch="360"/>
        </w:sectPr>
      </w:pPr>
    </w:p>
    <w:p w:rsidR="002962C5" w:rsidRPr="006914A5" w:rsidRDefault="002962C5" w:rsidP="002962C5">
      <w:pPr>
        <w:pStyle w:val="Heading1"/>
      </w:pPr>
      <w:r w:rsidRPr="006914A5">
        <w:lastRenderedPageBreak/>
        <w:t xml:space="preserve">Safe Work </w:t>
      </w:r>
      <w:r w:rsidRPr="00162032">
        <w:t>Australia</w:t>
      </w:r>
    </w:p>
    <w:p w:rsidR="002962C5" w:rsidRPr="006914A5" w:rsidRDefault="002962C5" w:rsidP="002962C5">
      <w:pPr>
        <w:pStyle w:val="Heading2"/>
      </w:pPr>
      <w:r w:rsidRPr="006914A5">
        <w:t xml:space="preserve">Section 1: Agency overview and </w:t>
      </w:r>
      <w:r w:rsidRPr="00162032">
        <w:t>resources</w:t>
      </w:r>
    </w:p>
    <w:p w:rsidR="002962C5" w:rsidRDefault="002962C5" w:rsidP="00C14C39">
      <w:pPr>
        <w:pStyle w:val="Heading3"/>
        <w:numPr>
          <w:ilvl w:val="1"/>
          <w:numId w:val="9"/>
        </w:numPr>
      </w:pPr>
      <w:r w:rsidRPr="006914A5">
        <w:t>Strat</w:t>
      </w:r>
      <w:r>
        <w:t>eg</w:t>
      </w:r>
      <w:r w:rsidRPr="006914A5">
        <w:t xml:space="preserve">ic Direction </w:t>
      </w:r>
      <w:r w:rsidRPr="00162032">
        <w:t>Statement</w:t>
      </w:r>
    </w:p>
    <w:p w:rsidR="00852D81" w:rsidRPr="00F01ECB" w:rsidRDefault="00852D81" w:rsidP="00852D81">
      <w:r w:rsidRPr="00F01ECB">
        <w:t xml:space="preserve">Safe Work Australia was initially established as an Executive Agency on 1 July 2009 under section 65 of the </w:t>
      </w:r>
      <w:r w:rsidRPr="00F01ECB">
        <w:rPr>
          <w:i/>
          <w:iCs/>
        </w:rPr>
        <w:t xml:space="preserve">Public Service Act 1999 </w:t>
      </w:r>
      <w:r w:rsidRPr="00F01ECB">
        <w:t xml:space="preserve">and was transferred from the Portfolio Department. The Executive Agency </w:t>
      </w:r>
      <w:proofErr w:type="gramStart"/>
      <w:r w:rsidRPr="00F01ECB">
        <w:t>was abolished</w:t>
      </w:r>
      <w:proofErr w:type="gramEnd"/>
      <w:r w:rsidRPr="00F01ECB">
        <w:t xml:space="preserve"> and Safe Work Australia was established as a Statutory Agency on 1 November 2009 under the </w:t>
      </w:r>
      <w:r w:rsidRPr="00F01ECB">
        <w:rPr>
          <w:i/>
          <w:iCs/>
        </w:rPr>
        <w:t xml:space="preserve">Safe Work Australia Act 2008 </w:t>
      </w:r>
      <w:r w:rsidRPr="00F01ECB">
        <w:t>(the Act). The agency operates under the Commonwealth Government's accountability and governance frameworks.</w:t>
      </w:r>
    </w:p>
    <w:p w:rsidR="00852D81" w:rsidRPr="00F01ECB" w:rsidRDefault="00852D81" w:rsidP="00852D81">
      <w:r w:rsidRPr="00F01ECB">
        <w:t>Safe Work Australia is the principal national body leading the development of policy to improve work health and safety and workers’ compensation arrangements across Australia. It is responsible for coordinating and developing national policy and strategies, assisting with the implementation of model work health and safety legislation and reforming the legislative framework, undertaking research, and collecting, analysing and reporting data. In doing this, Safe Work Australia works collaboratively with the community, industry and worker associations and regulators to realise the national vision of healthier, safer and more productive workplaces.</w:t>
      </w:r>
    </w:p>
    <w:p w:rsidR="00852D81" w:rsidRPr="00F01ECB" w:rsidRDefault="00852D81" w:rsidP="00852D81">
      <w:r w:rsidRPr="00F01ECB">
        <w:t xml:space="preserve">The establishment of Safe Work Australia </w:t>
      </w:r>
      <w:r>
        <w:t>was provided for in</w:t>
      </w:r>
      <w:r w:rsidRPr="00F01ECB">
        <w:t xml:space="preserve"> the </w:t>
      </w:r>
      <w:r w:rsidRPr="00732C63">
        <w:rPr>
          <w:i/>
        </w:rPr>
        <w:t>Intergovernmental Agreement for Regulatory and Operational Reform in Occupational Health and Safety</w:t>
      </w:r>
      <w:r w:rsidRPr="00F01ECB">
        <w:t xml:space="preserve">, agreed by the Council of Australian Governments (COAG) on 3 July 2008. Safe Work Australia replaced the Australian Safety and Compensation </w:t>
      </w:r>
      <w:proofErr w:type="gramStart"/>
      <w:r w:rsidRPr="00F01ECB">
        <w:t>Council which</w:t>
      </w:r>
      <w:proofErr w:type="gramEnd"/>
      <w:r w:rsidRPr="00F01ECB">
        <w:t xml:space="preserve"> operated within the Department of Education, Employment and Workplace Relations. The Australian Government retains the functions specific to implementation of harmonised work health and safety practices within its jurisdiction.</w:t>
      </w:r>
    </w:p>
    <w:p w:rsidR="00852D81" w:rsidRPr="00F01ECB" w:rsidRDefault="00852D81" w:rsidP="00852D81">
      <w:r w:rsidRPr="00F01ECB">
        <w:t>The agency is jointly funded by the Commonwealth, state and territory governments.  This funding arrangement promotes collaboration with jurisdictions on policy development, implementation, compliance and enforcement, and communication activities.</w:t>
      </w:r>
    </w:p>
    <w:p w:rsidR="00852D81" w:rsidRPr="00F01ECB" w:rsidRDefault="00852D81" w:rsidP="00852D81">
      <w:r w:rsidRPr="00F01ECB">
        <w:t>Safe Work Australia has 15 members, including an independent Chair, nine members representing the Commonwealth and each state and territory, two members representing the interests of workers, two representing the interests of employers and the Chief Executive Officer of Safe Work Australia</w:t>
      </w:r>
      <w:r>
        <w:t xml:space="preserve"> (CEO)</w:t>
      </w:r>
      <w:r w:rsidRPr="00F01ECB">
        <w:t>.</w:t>
      </w:r>
    </w:p>
    <w:p w:rsidR="00852D81" w:rsidRPr="00F01ECB" w:rsidRDefault="00852D81" w:rsidP="00852D81">
      <w:r>
        <w:t xml:space="preserve">The CEO manages the agency under section 45 of the Act and in accordance with the </w:t>
      </w:r>
      <w:r w:rsidRPr="00A65B11">
        <w:rPr>
          <w:i/>
        </w:rPr>
        <w:t>Financial Management and Accountability Act 1997</w:t>
      </w:r>
      <w:r>
        <w:t>.</w:t>
      </w:r>
    </w:p>
    <w:p w:rsidR="00852D81" w:rsidRDefault="00852D81" w:rsidP="00852D81">
      <w:pPr>
        <w:sectPr w:rsidR="00852D81" w:rsidSect="002F6F52">
          <w:headerReference w:type="first" r:id="rId14"/>
          <w:footerReference w:type="first" r:id="rId15"/>
          <w:type w:val="oddPage"/>
          <w:pgSz w:w="11906" w:h="16838" w:code="9"/>
          <w:pgMar w:top="2466" w:right="2098" w:bottom="2466" w:left="2098" w:header="1899" w:footer="1899" w:gutter="0"/>
          <w:pgNumType w:start="1"/>
          <w:cols w:space="708"/>
          <w:titlePg/>
          <w:docGrid w:linePitch="360"/>
        </w:sectPr>
      </w:pPr>
    </w:p>
    <w:p w:rsidR="00852D81" w:rsidRPr="00F01ECB" w:rsidRDefault="00852D81" w:rsidP="00852D81">
      <w:r w:rsidRPr="00F01ECB">
        <w:lastRenderedPageBreak/>
        <w:t>Together, the Safe Work Australia Members and the agency work to achieve:</w:t>
      </w:r>
    </w:p>
    <w:p w:rsidR="00852D81" w:rsidRPr="00F01ECB" w:rsidRDefault="00852D81" w:rsidP="00852D81">
      <w:pPr>
        <w:pStyle w:val="Bullet"/>
      </w:pPr>
      <w:r w:rsidRPr="00F01ECB">
        <w:t>significant and continual reductions in the incidence of work-related death, injury and illness through</w:t>
      </w:r>
    </w:p>
    <w:p w:rsidR="00852D81" w:rsidRPr="00F01ECB" w:rsidRDefault="00852D81" w:rsidP="00991941">
      <w:pPr>
        <w:pStyle w:val="Dash"/>
      </w:pPr>
      <w:r w:rsidRPr="00F01ECB">
        <w:t xml:space="preserve">reduced exposure to work-related hazards causing injury and illness </w:t>
      </w:r>
    </w:p>
    <w:p w:rsidR="00852D81" w:rsidRPr="00F01ECB" w:rsidRDefault="00852D81" w:rsidP="00991941">
      <w:pPr>
        <w:pStyle w:val="Dash"/>
      </w:pPr>
      <w:r w:rsidRPr="00F01ECB">
        <w:t>improved quality of workplace controls, and</w:t>
      </w:r>
    </w:p>
    <w:p w:rsidR="00852D81" w:rsidRPr="00F01ECB" w:rsidRDefault="00852D81" w:rsidP="00991941">
      <w:pPr>
        <w:pStyle w:val="Dash"/>
      </w:pPr>
      <w:r w:rsidRPr="00F01ECB">
        <w:t xml:space="preserve">an improved work health and safety infrastructure including legislative reform, increased work health and safety knowledge and skills, and an evidence base which informs policy and practice </w:t>
      </w:r>
    </w:p>
    <w:p w:rsidR="00852D81" w:rsidRPr="00F01ECB" w:rsidRDefault="00852D81" w:rsidP="00852D81">
      <w:pPr>
        <w:pStyle w:val="Bullet"/>
      </w:pPr>
      <w:proofErr w:type="gramStart"/>
      <w:r w:rsidRPr="00F01ECB">
        <w:t>improved</w:t>
      </w:r>
      <w:proofErr w:type="gramEnd"/>
      <w:r w:rsidRPr="00F01ECB">
        <w:t xml:space="preserve"> outcomes for injured workers and their employers through more equitable, effective, efficient, clearly understood and sustainable workers’ compensation arrangements.</w:t>
      </w:r>
    </w:p>
    <w:p w:rsidR="00852D81" w:rsidRPr="00F01ECB" w:rsidRDefault="00852D81" w:rsidP="00852D81">
      <w:r w:rsidRPr="00F01ECB">
        <w:t>The focus of Safe Work Australia during 2012-2013 will be on:</w:t>
      </w:r>
    </w:p>
    <w:p w:rsidR="00852D81" w:rsidRDefault="00852D81" w:rsidP="00852D81">
      <w:pPr>
        <w:pStyle w:val="Bullet"/>
      </w:pPr>
      <w:r>
        <w:t>completing Codes of Practice to support the model work health and safety laws</w:t>
      </w:r>
    </w:p>
    <w:p w:rsidR="00852D81" w:rsidRPr="00F01ECB" w:rsidRDefault="00852D81" w:rsidP="00852D81">
      <w:pPr>
        <w:pStyle w:val="Bullet"/>
      </w:pPr>
      <w:r w:rsidRPr="00F01ECB">
        <w:t>monitoring and evaluating the implementation of the model work health and safety laws across Australia</w:t>
      </w:r>
    </w:p>
    <w:p w:rsidR="00852D81" w:rsidRPr="00F01ECB" w:rsidRDefault="00852D81" w:rsidP="00852D81">
      <w:pPr>
        <w:pStyle w:val="Bullet"/>
      </w:pPr>
      <w:r w:rsidRPr="00F01ECB">
        <w:t xml:space="preserve">supporting ongoing work health and safety reform to promote continuous improvements in performance and reductions in red tape  </w:t>
      </w:r>
    </w:p>
    <w:p w:rsidR="00852D81" w:rsidRPr="00F01ECB" w:rsidRDefault="00852D81" w:rsidP="00852D81">
      <w:pPr>
        <w:pStyle w:val="Bullet"/>
      </w:pPr>
      <w:r w:rsidRPr="00F01ECB">
        <w:t xml:space="preserve">commencing implementation of the Australian Work Health and Safety Strategy 2012-2022 </w:t>
      </w:r>
    </w:p>
    <w:p w:rsidR="00852D81" w:rsidRPr="00F01ECB" w:rsidRDefault="00852D81" w:rsidP="00852D81">
      <w:pPr>
        <w:pStyle w:val="Bullet"/>
      </w:pPr>
      <w:r w:rsidRPr="00F01ECB">
        <w:t>continuing to implement the National Workers’ Compensation Action Plan 2010 – 2013, and</w:t>
      </w:r>
    </w:p>
    <w:p w:rsidR="00852D81" w:rsidRPr="00F01ECB" w:rsidRDefault="00852D81" w:rsidP="00852D81">
      <w:pPr>
        <w:pStyle w:val="Bullet"/>
      </w:pPr>
      <w:proofErr w:type="gramStart"/>
      <w:r w:rsidRPr="00F01ECB">
        <w:t>developing</w:t>
      </w:r>
      <w:proofErr w:type="gramEnd"/>
      <w:r w:rsidRPr="00F01ECB">
        <w:t xml:space="preserve"> and implementing the National Research, Evaluation and Data Strategy.</w:t>
      </w:r>
    </w:p>
    <w:p w:rsidR="00852D81" w:rsidRDefault="00852D81" w:rsidP="00852D81">
      <w:r w:rsidRPr="00F01ECB">
        <w:t xml:space="preserve">The challenge for Safe Work Australia will be in achieving these outcomes in a changing </w:t>
      </w:r>
      <w:r>
        <w:t>operational</w:t>
      </w:r>
      <w:r w:rsidRPr="00F01ECB">
        <w:t xml:space="preserve"> environment.</w:t>
      </w:r>
    </w:p>
    <w:p w:rsidR="00852D81" w:rsidRDefault="00852D81" w:rsidP="00852D81"/>
    <w:p w:rsidR="00852D81" w:rsidRDefault="00852D81" w:rsidP="00852D81">
      <w:pPr>
        <w:spacing w:after="0" w:line="240" w:lineRule="auto"/>
        <w:jc w:val="left"/>
        <w:rPr>
          <w:rFonts w:ascii="Arial" w:hAnsi="Arial"/>
          <w:b/>
          <w:smallCaps/>
          <w:sz w:val="26"/>
        </w:rPr>
      </w:pPr>
      <w:r>
        <w:br w:type="page"/>
      </w:r>
    </w:p>
    <w:p w:rsidR="00852D81" w:rsidRPr="00F01ECB" w:rsidRDefault="00852D81" w:rsidP="00852D81">
      <w:pPr>
        <w:pStyle w:val="Heading3"/>
      </w:pPr>
      <w:r w:rsidRPr="00F01ECB">
        <w:lastRenderedPageBreak/>
        <w:t>1.2</w:t>
      </w:r>
      <w:r w:rsidRPr="00F01ECB">
        <w:tab/>
        <w:t>Agency resource statement</w:t>
      </w:r>
    </w:p>
    <w:p w:rsidR="00852D81" w:rsidRDefault="00852D81" w:rsidP="00852D81">
      <w:r w:rsidRPr="00F01ECB">
        <w:t>Table 1.1 shows the total resources from all sources. The table summarises how resources will be applied by outcome and by departmental classification.</w:t>
      </w:r>
    </w:p>
    <w:p w:rsidR="005561D5" w:rsidRDefault="00852D81" w:rsidP="00F56A7F">
      <w:pPr>
        <w:pStyle w:val="TableHeading"/>
      </w:pPr>
      <w:r w:rsidRPr="00F01ECB">
        <w:t>Table 1.1: Safe Work Australia Resource Statement — Budget</w:t>
      </w:r>
      <w:r w:rsidRPr="00F01ECB">
        <w:br/>
        <w:t>Estimates for 2012</w:t>
      </w:r>
      <w:r w:rsidRPr="00F01ECB">
        <w:noBreakHyphen/>
        <w:t>13 as at Budget May 2012</w:t>
      </w:r>
    </w:p>
    <w:p w:rsidR="00852D81" w:rsidRDefault="00F56A7F" w:rsidP="00F56A7F">
      <w:pPr>
        <w:pStyle w:val="TableHeading"/>
      </w:pPr>
      <w:r w:rsidRPr="00F56A7F">
        <w:rPr>
          <w:b w:val="0"/>
        </w:rPr>
        <w:t xml:space="preserve"> </w:t>
      </w:r>
      <w:r w:rsidR="00816DFB" w:rsidRPr="00816DFB">
        <w:rPr>
          <w:noProof/>
        </w:rPr>
        <w:drawing>
          <wp:inline distT="0" distB="0" distL="0" distR="0">
            <wp:extent cx="4857750" cy="5524500"/>
            <wp:effectExtent l="19050" t="0" r="0" b="0"/>
            <wp:docPr id="19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srcRect/>
                    <a:stretch>
                      <a:fillRect/>
                    </a:stretch>
                  </pic:blipFill>
                  <pic:spPr bwMode="auto">
                    <a:xfrm>
                      <a:off x="0" y="0"/>
                      <a:ext cx="4857750" cy="5524500"/>
                    </a:xfrm>
                    <a:prstGeom prst="rect">
                      <a:avLst/>
                    </a:prstGeom>
                    <a:noFill/>
                    <a:ln w="9525">
                      <a:noFill/>
                      <a:miter lim="800000"/>
                      <a:headEnd/>
                      <a:tailEnd/>
                    </a:ln>
                  </pic:spPr>
                </pic:pic>
              </a:graphicData>
            </a:graphic>
          </wp:inline>
        </w:drawing>
      </w:r>
    </w:p>
    <w:p w:rsidR="00852D81" w:rsidRDefault="00852D81" w:rsidP="00852D81">
      <w:pPr>
        <w:pStyle w:val="TableGraphic"/>
      </w:pPr>
    </w:p>
    <w:p w:rsidR="00852D81" w:rsidRPr="00F01ECB" w:rsidRDefault="00852D81" w:rsidP="00852D81">
      <w:pPr>
        <w:pStyle w:val="TableGraphic"/>
      </w:pPr>
    </w:p>
    <w:p w:rsidR="00852D81" w:rsidRPr="00F01ECB" w:rsidRDefault="00852D81" w:rsidP="00852D81">
      <w:pPr>
        <w:pStyle w:val="TableGraphic"/>
      </w:pPr>
    </w:p>
    <w:p w:rsidR="00852D81" w:rsidRPr="00F01ECB" w:rsidRDefault="00852D81" w:rsidP="00852D81">
      <w:pPr>
        <w:pStyle w:val="NoSpacing"/>
      </w:pPr>
    </w:p>
    <w:p w:rsidR="00852D81" w:rsidRPr="00F01ECB" w:rsidRDefault="00852D81" w:rsidP="00852D81">
      <w:pPr>
        <w:pStyle w:val="Heading3"/>
      </w:pPr>
      <w:r w:rsidRPr="00F01ECB">
        <w:lastRenderedPageBreak/>
        <w:t>1.3</w:t>
      </w:r>
      <w:r w:rsidRPr="00F01ECB">
        <w:tab/>
        <w:t>Budget measures</w:t>
      </w:r>
    </w:p>
    <w:p w:rsidR="00852D81" w:rsidRDefault="00852D81" w:rsidP="00852D81">
      <w:r w:rsidRPr="00F01ECB">
        <w:t>Safe Work Australia does not have any new measures since the 201</w:t>
      </w:r>
      <w:r>
        <w:t>1</w:t>
      </w:r>
      <w:r w:rsidRPr="00F01ECB">
        <w:t>-1</w:t>
      </w:r>
      <w:r>
        <w:t>2</w:t>
      </w:r>
      <w:r w:rsidRPr="00F01ECB">
        <w:t xml:space="preserve"> Budget.  For this reason Table 1.2 is not presented.</w:t>
      </w:r>
    </w:p>
    <w:p w:rsidR="00852D81" w:rsidRDefault="00852D81" w:rsidP="00852D81">
      <w:pPr>
        <w:sectPr w:rsidR="00852D81" w:rsidSect="00852D81">
          <w:headerReference w:type="even" r:id="rId17"/>
          <w:headerReference w:type="default" r:id="rId18"/>
          <w:headerReference w:type="first" r:id="rId19"/>
          <w:pgSz w:w="11906" w:h="16838" w:code="9"/>
          <w:pgMar w:top="2466" w:right="2098" w:bottom="2466" w:left="2098" w:header="1899" w:footer="1899" w:gutter="0"/>
          <w:cols w:space="708"/>
          <w:titlePg/>
          <w:docGrid w:linePitch="360"/>
        </w:sectPr>
      </w:pPr>
    </w:p>
    <w:p w:rsidR="00852D81" w:rsidRPr="00F01ECB" w:rsidRDefault="00852D81" w:rsidP="00852D81">
      <w:pPr>
        <w:pStyle w:val="Heading2"/>
      </w:pPr>
      <w:r w:rsidRPr="00F01ECB">
        <w:lastRenderedPageBreak/>
        <w:t>Section 2: Outcomes and planned performance</w:t>
      </w:r>
    </w:p>
    <w:p w:rsidR="00852D81" w:rsidRPr="00F01ECB" w:rsidRDefault="00852D81" w:rsidP="00852D81">
      <w:pPr>
        <w:pStyle w:val="Heading3"/>
      </w:pPr>
      <w:r w:rsidRPr="00F01ECB">
        <w:t>2.1</w:t>
      </w:r>
      <w:r w:rsidRPr="00F01ECB">
        <w:tab/>
        <w:t>Outcomes and performance information</w:t>
      </w:r>
    </w:p>
    <w:p w:rsidR="00852D81" w:rsidRPr="00F01ECB" w:rsidRDefault="00852D81" w:rsidP="00852D81">
      <w:r w:rsidRPr="00F01ECB">
        <w:t>Government outcomes are the intended results, impacts or consequences of actions by the Government on the Australian community. Commonwealth programs are the primary vehicle by which government agencies achieve the intended results of their outcome statements. Agencies are required to identify the programs which contribute to Government outcomes over the Budget and forward years.</w:t>
      </w:r>
    </w:p>
    <w:p w:rsidR="00852D81" w:rsidRPr="00F01ECB" w:rsidRDefault="00852D81" w:rsidP="00852D81">
      <w:r w:rsidRPr="00F01ECB">
        <w:t>Each outcome is described below together with its related programs, specifying the performance indicators and targets used to assess and monitor the performance of Safe Work Australia in achieving Government outcomes.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7713"/>
      </w:tblGrid>
      <w:tr w:rsidR="00852D81" w:rsidRPr="00F01ECB" w:rsidTr="00852D81">
        <w:trPr>
          <w:trHeight w:val="819"/>
        </w:trPr>
        <w:tc>
          <w:tcPr>
            <w:tcW w:w="7713" w:type="dxa"/>
            <w:shd w:val="clear" w:color="auto" w:fill="E6E6E6"/>
          </w:tcPr>
          <w:p w:rsidR="00852D81" w:rsidRPr="00F01ECB" w:rsidRDefault="00852D81" w:rsidP="00852D81">
            <w:pPr>
              <w:pStyle w:val="TableColumnHeadingBase"/>
            </w:pPr>
            <w:r w:rsidRPr="008D5B5C">
              <w:t>Outcome 1:</w:t>
            </w:r>
            <w:r w:rsidRPr="00F01ECB">
              <w:t xml:space="preserve"> Safer and more productive Australian workplaces through harmonising national occupational health and safety and workers’ compensation arrangements.</w:t>
            </w:r>
            <w:r w:rsidRPr="00F01ECB">
              <w:rPr>
                <w:rFonts w:cs="Arial"/>
                <w:sz w:val="24"/>
                <w:szCs w:val="24"/>
              </w:rPr>
              <w:t xml:space="preserve"> </w:t>
            </w:r>
          </w:p>
        </w:tc>
      </w:tr>
    </w:tbl>
    <w:p w:rsidR="00852D81" w:rsidRPr="00F01ECB" w:rsidRDefault="00852D81" w:rsidP="00852D81">
      <w:pPr>
        <w:pStyle w:val="Heading4"/>
      </w:pPr>
      <w:r w:rsidRPr="00F01ECB">
        <w:t>Outcome 1 Strategy</w:t>
      </w:r>
    </w:p>
    <w:p w:rsidR="00852D81" w:rsidRPr="00F01ECB" w:rsidRDefault="00852D81" w:rsidP="00852D81">
      <w:r w:rsidRPr="00F01ECB">
        <w:t>Safe Work Australia works in partnership with representatives of the Commonwealth, state and territory governments, employees and employers so that:</w:t>
      </w:r>
    </w:p>
    <w:p w:rsidR="00852D81" w:rsidRPr="00F01ECB" w:rsidRDefault="00852D81" w:rsidP="00852D81">
      <w:pPr>
        <w:pStyle w:val="Bullet"/>
      </w:pPr>
      <w:r w:rsidRPr="00F01ECB">
        <w:t>strategic national work health and safety policy and practice is supported by the activities of the Australian Work Health and Safety Strategy 2012-2022</w:t>
      </w:r>
    </w:p>
    <w:p w:rsidR="00852D81" w:rsidRPr="00F01ECB" w:rsidRDefault="00852D81" w:rsidP="00852D81">
      <w:pPr>
        <w:pStyle w:val="Bullet"/>
      </w:pPr>
      <w:r w:rsidRPr="00F01ECB">
        <w:t>Australia has harmonised and improved work health and safety laws that provide a consistent, equitable and high level of protection to all workers</w:t>
      </w:r>
    </w:p>
    <w:p w:rsidR="00852D81" w:rsidRPr="00F01ECB" w:rsidRDefault="00852D81" w:rsidP="00852D81">
      <w:pPr>
        <w:pStyle w:val="Bullet"/>
      </w:pPr>
      <w:r w:rsidRPr="00F01ECB">
        <w:t xml:space="preserve">the national work health and safety research and data program supports evidence informed policy, programs and practice </w:t>
      </w:r>
    </w:p>
    <w:p w:rsidR="00852D81" w:rsidRPr="00F01ECB" w:rsidRDefault="00852D81" w:rsidP="00852D81">
      <w:pPr>
        <w:pStyle w:val="Bullet"/>
      </w:pPr>
      <w:r w:rsidRPr="00F01ECB">
        <w:t xml:space="preserve">community awareness and knowledge of work health and safety is increased </w:t>
      </w:r>
    </w:p>
    <w:p w:rsidR="00852D81" w:rsidRPr="00F01ECB" w:rsidRDefault="00852D81" w:rsidP="00852D81">
      <w:pPr>
        <w:pStyle w:val="Bullet"/>
      </w:pPr>
      <w:r w:rsidRPr="00F01ECB">
        <w:t>assistance is provided to other policy agencies to promote consistent and improved approaches to managing health and safety hazards and risks</w:t>
      </w:r>
      <w:r>
        <w:t>, and</w:t>
      </w:r>
    </w:p>
    <w:p w:rsidR="00852D81" w:rsidRPr="00F01ECB" w:rsidRDefault="00852D81" w:rsidP="00852D81">
      <w:pPr>
        <w:pStyle w:val="Bullet"/>
      </w:pPr>
      <w:proofErr w:type="gramStart"/>
      <w:r w:rsidRPr="00F01ECB">
        <w:t>opportunities</w:t>
      </w:r>
      <w:proofErr w:type="gramEnd"/>
      <w:r w:rsidRPr="00F01ECB">
        <w:t xml:space="preserve"> for improvements in workers’ compensation arrangements are identified and assessed particularly for employers with workers in more than one jurisdiction. </w:t>
      </w:r>
    </w:p>
    <w:p w:rsidR="00852D81" w:rsidRDefault="00852D81" w:rsidP="00852D81">
      <w:pPr>
        <w:pStyle w:val="Heading5"/>
        <w:rPr>
          <w:rFonts w:ascii="Book Antiqua" w:hAnsi="Book Antiqua"/>
        </w:rPr>
        <w:sectPr w:rsidR="00852D81" w:rsidSect="00852D81">
          <w:headerReference w:type="first" r:id="rId20"/>
          <w:pgSz w:w="11906" w:h="16838" w:code="9"/>
          <w:pgMar w:top="2466" w:right="2098" w:bottom="2466" w:left="2098" w:header="1899" w:footer="1899" w:gutter="0"/>
          <w:cols w:space="708"/>
          <w:titlePg/>
          <w:docGrid w:linePitch="360"/>
        </w:sectPr>
      </w:pPr>
    </w:p>
    <w:p w:rsidR="00852D81" w:rsidRPr="00852D81" w:rsidRDefault="00852D81" w:rsidP="00852D81">
      <w:pPr>
        <w:pStyle w:val="Heading4"/>
        <w:rPr>
          <w:szCs w:val="22"/>
        </w:rPr>
      </w:pPr>
      <w:r w:rsidRPr="00852D81">
        <w:rPr>
          <w:szCs w:val="22"/>
        </w:rPr>
        <w:lastRenderedPageBreak/>
        <w:t>Outcome 1 Expense Statement</w:t>
      </w:r>
    </w:p>
    <w:p w:rsidR="00852D81" w:rsidRPr="00F01ECB" w:rsidRDefault="00852D81" w:rsidP="00852D81">
      <w:r w:rsidRPr="00F01ECB">
        <w:t>Table 2.1 provides an overview of the total expenses for Outcome 1.</w:t>
      </w:r>
    </w:p>
    <w:p w:rsidR="005561D5" w:rsidRDefault="00852D81" w:rsidP="005561D5">
      <w:pPr>
        <w:pStyle w:val="TableHeading"/>
      </w:pPr>
      <w:r w:rsidRPr="00995074">
        <w:t>Table 2.1: Budgeted Expenses for Outcome 1</w:t>
      </w:r>
    </w:p>
    <w:p w:rsidR="00816DFB" w:rsidRPr="00816DFB" w:rsidRDefault="00816DFB" w:rsidP="00816DFB">
      <w:pPr>
        <w:pStyle w:val="TableGraphic"/>
      </w:pPr>
    </w:p>
    <w:p w:rsidR="00816DFB" w:rsidRPr="00816DFB" w:rsidRDefault="00816DFB" w:rsidP="00816DFB">
      <w:pPr>
        <w:pStyle w:val="TableGraphic"/>
      </w:pPr>
      <w:r w:rsidRPr="00816DFB">
        <w:rPr>
          <w:noProof/>
        </w:rPr>
        <w:drawing>
          <wp:inline distT="0" distB="0" distL="0" distR="0">
            <wp:extent cx="4886325" cy="2895600"/>
            <wp:effectExtent l="19050" t="0" r="9525" b="0"/>
            <wp:docPr id="19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cstate="print"/>
                    <a:srcRect/>
                    <a:stretch>
                      <a:fillRect/>
                    </a:stretch>
                  </pic:blipFill>
                  <pic:spPr bwMode="auto">
                    <a:xfrm>
                      <a:off x="0" y="0"/>
                      <a:ext cx="4886325" cy="2895600"/>
                    </a:xfrm>
                    <a:prstGeom prst="rect">
                      <a:avLst/>
                    </a:prstGeom>
                    <a:noFill/>
                    <a:ln w="9525">
                      <a:noFill/>
                      <a:miter lim="800000"/>
                      <a:headEnd/>
                      <a:tailEnd/>
                    </a:ln>
                  </pic:spPr>
                </pic:pic>
              </a:graphicData>
            </a:graphic>
          </wp:inline>
        </w:drawing>
      </w:r>
    </w:p>
    <w:p w:rsidR="00852D81" w:rsidRDefault="00F56A7F" w:rsidP="005561D5">
      <w:pPr>
        <w:pStyle w:val="TableHeading"/>
        <w:sectPr w:rsidR="00852D81" w:rsidSect="00852D81">
          <w:headerReference w:type="first" r:id="rId22"/>
          <w:pgSz w:w="11906" w:h="16838" w:code="9"/>
          <w:pgMar w:top="2466" w:right="2098" w:bottom="2466" w:left="2098" w:header="1899" w:footer="1899" w:gutter="0"/>
          <w:cols w:space="708"/>
          <w:titlePg/>
          <w:docGrid w:linePitch="360"/>
        </w:sectPr>
      </w:pPr>
      <w:r w:rsidRPr="00F56A7F">
        <w:rPr>
          <w:noProof/>
        </w:rPr>
        <w:drawing>
          <wp:inline distT="0" distB="0" distL="0" distR="0">
            <wp:extent cx="4886325" cy="438150"/>
            <wp:effectExtent l="1905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cstate="print"/>
                    <a:srcRect/>
                    <a:stretch>
                      <a:fillRect/>
                    </a:stretch>
                  </pic:blipFill>
                  <pic:spPr bwMode="auto">
                    <a:xfrm>
                      <a:off x="0" y="0"/>
                      <a:ext cx="4886325" cy="438150"/>
                    </a:xfrm>
                    <a:prstGeom prst="rect">
                      <a:avLst/>
                    </a:prstGeom>
                    <a:noFill/>
                    <a:ln w="9525">
                      <a:noFill/>
                      <a:miter lim="800000"/>
                      <a:headEnd/>
                      <a:tailEnd/>
                    </a:ln>
                  </pic:spPr>
                </pic:pic>
              </a:graphicData>
            </a:graphic>
          </wp:inline>
        </w:drawing>
      </w:r>
    </w:p>
    <w:p w:rsidR="00852D81" w:rsidRPr="00F01ECB" w:rsidRDefault="00852D81" w:rsidP="00852D81">
      <w:pPr>
        <w:pStyle w:val="Heading4"/>
        <w:rPr>
          <w:rFonts w:ascii="Book Antiqua" w:hAnsi="Book Antiqua"/>
          <w:b w:val="0"/>
          <w:i/>
          <w:color w:val="FF0000"/>
        </w:rPr>
      </w:pPr>
      <w:r w:rsidRPr="00F01ECB">
        <w:lastRenderedPageBreak/>
        <w:t>Contributions to Outcome 1</w:t>
      </w:r>
    </w:p>
    <w:tbl>
      <w:tblPr>
        <w:tblW w:w="0" w:type="auto"/>
        <w:jc w:val="center"/>
        <w:tblInd w:w="108" w:type="dxa"/>
        <w:tblBorders>
          <w:top w:val="single" w:sz="2" w:space="0" w:color="auto"/>
          <w:left w:val="single" w:sz="2" w:space="0" w:color="auto"/>
          <w:bottom w:val="single" w:sz="2" w:space="0" w:color="auto"/>
          <w:right w:val="single" w:sz="2" w:space="0" w:color="auto"/>
          <w:insideH w:val="single" w:sz="2" w:space="0" w:color="auto"/>
        </w:tblBorders>
        <w:tblLook w:val="01E0"/>
      </w:tblPr>
      <w:tblGrid>
        <w:gridCol w:w="7713"/>
      </w:tblGrid>
      <w:tr w:rsidR="00852D81" w:rsidRPr="00F01ECB" w:rsidTr="00852D81">
        <w:trPr>
          <w:jc w:val="center"/>
        </w:trPr>
        <w:tc>
          <w:tcPr>
            <w:tcW w:w="7713" w:type="dxa"/>
            <w:shd w:val="clear" w:color="auto" w:fill="E6E6E6"/>
          </w:tcPr>
          <w:p w:rsidR="00852D81" w:rsidRPr="00F01ECB" w:rsidRDefault="00852D81" w:rsidP="00852D81">
            <w:pPr>
              <w:pStyle w:val="TableColumnHeadingBase"/>
            </w:pPr>
            <w:r w:rsidRPr="00F01ECB">
              <w:t xml:space="preserve">Program 1: </w:t>
            </w:r>
            <w:r w:rsidRPr="00F01ECB">
              <w:rPr>
                <w:rFonts w:cs="Arial"/>
                <w:bCs/>
                <w:szCs w:val="24"/>
              </w:rPr>
              <w:t xml:space="preserve">Reform </w:t>
            </w:r>
            <w:r>
              <w:rPr>
                <w:rFonts w:cs="Arial"/>
                <w:bCs/>
                <w:szCs w:val="24"/>
              </w:rPr>
              <w:t xml:space="preserve">of </w:t>
            </w:r>
            <w:r w:rsidRPr="00F01ECB">
              <w:rPr>
                <w:rFonts w:cs="Arial"/>
                <w:bCs/>
                <w:szCs w:val="24"/>
              </w:rPr>
              <w:t>and improvements to Australian work health and safety and workers’ compensation arrangements.</w:t>
            </w:r>
          </w:p>
        </w:tc>
      </w:tr>
    </w:tbl>
    <w:p w:rsidR="00852D81" w:rsidRPr="00F01ECB" w:rsidRDefault="00852D81" w:rsidP="00852D81">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1"/>
      </w:tblGrid>
      <w:tr w:rsidR="00852D81" w:rsidRPr="00F01ECB" w:rsidTr="00852D81">
        <w:tc>
          <w:tcPr>
            <w:tcW w:w="7711" w:type="dxa"/>
          </w:tcPr>
          <w:p w:rsidR="00852D81" w:rsidRPr="00F01ECB" w:rsidRDefault="00852D81" w:rsidP="00852D81">
            <w:pPr>
              <w:pStyle w:val="TableColumnHeadingLeft"/>
            </w:pPr>
            <w:r w:rsidRPr="00F01ECB">
              <w:t xml:space="preserve">Program 1 </w:t>
            </w:r>
            <w:r>
              <w:t>O</w:t>
            </w:r>
            <w:r w:rsidRPr="00F01ECB">
              <w:t>bjective</w:t>
            </w:r>
          </w:p>
          <w:p w:rsidR="00852D81" w:rsidRPr="00F01ECB" w:rsidRDefault="00852D81" w:rsidP="00852D81">
            <w:r w:rsidRPr="00F01ECB">
              <w:t xml:space="preserve">The objective of Safe Work Australia is to </w:t>
            </w:r>
            <w:r>
              <w:t xml:space="preserve">monitor and evaluate harmonised laws, </w:t>
            </w:r>
            <w:r w:rsidRPr="00F01ECB">
              <w:t>coordinate and develop national policy and strategies, undertake research and collect, analyse and report data to improve work health and safety and workers’ compensation arrangements in Australia.</w:t>
            </w:r>
          </w:p>
          <w:p w:rsidR="00852D81" w:rsidRPr="00F01ECB" w:rsidRDefault="00852D81" w:rsidP="00852D81">
            <w:r w:rsidRPr="00F01ECB">
              <w:t>To be able to meet its objectives, Safe Work Australia work</w:t>
            </w:r>
            <w:r>
              <w:t>s</w:t>
            </w:r>
            <w:r w:rsidRPr="00F01ECB">
              <w:t xml:space="preserve"> collaboratively with regulators, industry and worker associations and the community to achieve healthier, safer and more productive workplaces.</w:t>
            </w:r>
          </w:p>
          <w:p w:rsidR="00852D81" w:rsidRPr="00F01ECB" w:rsidRDefault="00852D81" w:rsidP="00852D81">
            <w:r w:rsidRPr="00F01ECB">
              <w:t xml:space="preserve">The </w:t>
            </w:r>
            <w:r w:rsidRPr="00F01ECB">
              <w:rPr>
                <w:iCs/>
              </w:rPr>
              <w:t xml:space="preserve">Act </w:t>
            </w:r>
            <w:r w:rsidRPr="00F01ECB">
              <w:t>prescribes that Safe Work Australia perform</w:t>
            </w:r>
            <w:r>
              <w:t>s</w:t>
            </w:r>
            <w:r w:rsidRPr="00F01ECB">
              <w:t xml:space="preserve"> its functions in accordance with its Strategic and Operational plans.  These plans are approved by Sa</w:t>
            </w:r>
            <w:r w:rsidR="00991941">
              <w:t>fe Work Australia Members and</w:t>
            </w:r>
            <w:r w:rsidRPr="00F01ECB">
              <w:t xml:space="preserve"> the Select Council on Workplace Relations.</w:t>
            </w:r>
          </w:p>
        </w:tc>
      </w:tr>
    </w:tbl>
    <w:p w:rsidR="00852D81" w:rsidRPr="00EB64C8" w:rsidRDefault="00852D81" w:rsidP="00852D81">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11"/>
      </w:tblGrid>
      <w:tr w:rsidR="00852D81" w:rsidRPr="00F01ECB" w:rsidTr="00852D81">
        <w:tc>
          <w:tcPr>
            <w:tcW w:w="7711" w:type="dxa"/>
          </w:tcPr>
          <w:p w:rsidR="00852D81" w:rsidRPr="00F01ECB" w:rsidRDefault="00852D81" w:rsidP="00852D81">
            <w:pPr>
              <w:pStyle w:val="TableColumnHeadingLeft"/>
              <w:jc w:val="both"/>
            </w:pPr>
            <w:r w:rsidRPr="00F01ECB">
              <w:t xml:space="preserve">Program </w:t>
            </w:r>
            <w:r>
              <w:t>1 E</w:t>
            </w:r>
            <w:r w:rsidRPr="00F01ECB">
              <w:t>xpenses</w:t>
            </w:r>
          </w:p>
          <w:p w:rsidR="00852D81" w:rsidRPr="00F01ECB" w:rsidRDefault="00852D81" w:rsidP="00852D81">
            <w:r w:rsidRPr="00F01ECB">
              <w:t>The work of the agency continues to focus on the objectives of Program 1 and as prescribed by legislation. The agency has not identified any significant trends or variances over the forward years.</w:t>
            </w:r>
          </w:p>
        </w:tc>
      </w:tr>
    </w:tbl>
    <w:p w:rsidR="00852D81" w:rsidRDefault="00852D81" w:rsidP="00852D81">
      <w:pPr>
        <w:pStyle w:val="NoSpacing"/>
      </w:pPr>
    </w:p>
    <w:p w:rsidR="00852D81" w:rsidRPr="00F01ECB" w:rsidRDefault="00852D81" w:rsidP="00852D81">
      <w:pPr>
        <w:pStyle w:val="NoSpacing"/>
      </w:pPr>
    </w:p>
    <w:p w:rsidR="00852D81" w:rsidRDefault="00852D81" w:rsidP="00852D81">
      <w:pPr>
        <w:spacing w:after="0" w:line="240" w:lineRule="auto"/>
        <w:jc w:val="left"/>
        <w:rPr>
          <w:rFonts w:ascii="Arial" w:hAnsi="Arial" w:cs="Arial"/>
          <w:b/>
        </w:rPr>
        <w:sectPr w:rsidR="00852D81" w:rsidSect="00852D81">
          <w:headerReference w:type="first" r:id="rId24"/>
          <w:pgSz w:w="11906" w:h="16838" w:code="9"/>
          <w:pgMar w:top="2466" w:right="2098" w:bottom="2466" w:left="2098" w:header="1899" w:footer="1899" w:gutter="0"/>
          <w:cols w:space="708"/>
          <w:titlePg/>
          <w:docGrid w:linePitch="360"/>
        </w:sectPr>
      </w:pPr>
    </w:p>
    <w:p w:rsidR="005561D5" w:rsidRDefault="00852D81" w:rsidP="005561D5">
      <w:pPr>
        <w:pStyle w:val="TableHeading"/>
      </w:pPr>
      <w:r w:rsidRPr="00EB64C8">
        <w:lastRenderedPageBreak/>
        <w:t>Table 2.2 Budgeted Expenses for Program 1</w:t>
      </w:r>
    </w:p>
    <w:p w:rsidR="00852D81" w:rsidRDefault="00F56A7F" w:rsidP="005561D5">
      <w:pPr>
        <w:pStyle w:val="TableHeading"/>
      </w:pPr>
      <w:r w:rsidRPr="00F56A7F">
        <w:rPr>
          <w:noProof/>
        </w:rPr>
        <w:drawing>
          <wp:inline distT="0" distB="0" distL="0" distR="0">
            <wp:extent cx="4895850" cy="2152650"/>
            <wp:effectExtent l="1905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5" cstate="print"/>
                    <a:srcRect/>
                    <a:stretch>
                      <a:fillRect/>
                    </a:stretch>
                  </pic:blipFill>
                  <pic:spPr bwMode="auto">
                    <a:xfrm>
                      <a:off x="0" y="0"/>
                      <a:ext cx="4895850" cy="2152650"/>
                    </a:xfrm>
                    <a:prstGeom prst="rect">
                      <a:avLst/>
                    </a:prstGeom>
                    <a:noFill/>
                    <a:ln w="9525">
                      <a:noFill/>
                      <a:miter lim="800000"/>
                      <a:headEnd/>
                      <a:tailEnd/>
                    </a:ln>
                  </pic:spPr>
                </pic:pic>
              </a:graphicData>
            </a:graphic>
          </wp:inline>
        </w:drawing>
      </w:r>
    </w:p>
    <w:p w:rsidR="00F56A7F" w:rsidRPr="00F01ECB" w:rsidRDefault="00F56A7F" w:rsidP="00852D81">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7"/>
      </w:tblGrid>
      <w:tr w:rsidR="00852D81" w:rsidRPr="00F01ECB" w:rsidTr="00852D81">
        <w:tc>
          <w:tcPr>
            <w:tcW w:w="7797" w:type="dxa"/>
          </w:tcPr>
          <w:p w:rsidR="00852D81" w:rsidRPr="00EB64C8" w:rsidRDefault="00852D81" w:rsidP="00852D81">
            <w:pPr>
              <w:rPr>
                <w:rFonts w:ascii="Arial Bold" w:hAnsi="Arial Bold" w:cs="Arial"/>
              </w:rPr>
            </w:pPr>
            <w:r w:rsidRPr="00EB64C8">
              <w:rPr>
                <w:rFonts w:ascii="Arial Bold" w:hAnsi="Arial Bold" w:cs="Arial"/>
              </w:rPr>
              <w:t>Program 1 Deliverables</w:t>
            </w:r>
          </w:p>
          <w:p w:rsidR="00852D81" w:rsidRPr="00F01ECB" w:rsidRDefault="00852D81" w:rsidP="00852D81">
            <w:r w:rsidRPr="00F01ECB">
              <w:t>The deliverables for Safe Work Australia are highlighted in its operational plan and include:</w:t>
            </w:r>
          </w:p>
          <w:p w:rsidR="00852D81" w:rsidRDefault="00852D81" w:rsidP="00852D81">
            <w:pPr>
              <w:pStyle w:val="BoxBullet"/>
            </w:pPr>
            <w:r>
              <w:t>completion of the Codes of Practice to support the model work health and safety laws</w:t>
            </w:r>
          </w:p>
          <w:p w:rsidR="00852D81" w:rsidRPr="00F01ECB" w:rsidRDefault="00852D81" w:rsidP="00852D81">
            <w:pPr>
              <w:pStyle w:val="BoxBullet"/>
            </w:pPr>
            <w:r w:rsidRPr="00F01ECB">
              <w:t>assistance with the implementation and evaluation of the model work health and safety laws</w:t>
            </w:r>
          </w:p>
          <w:p w:rsidR="00852D81" w:rsidRPr="00F01ECB" w:rsidRDefault="00852D81" w:rsidP="00852D81">
            <w:pPr>
              <w:pStyle w:val="BoxBullet"/>
            </w:pPr>
            <w:r w:rsidRPr="00F01ECB">
              <w:t xml:space="preserve">policy proposals to support reform of the work health and safety legislative framework </w:t>
            </w:r>
          </w:p>
          <w:p w:rsidR="00852D81" w:rsidRPr="00F01ECB" w:rsidRDefault="00852D81" w:rsidP="00852D81">
            <w:pPr>
              <w:pStyle w:val="BoxBullet"/>
            </w:pPr>
            <w:r w:rsidRPr="00F01ECB">
              <w:t>implementation of the Australian Work Health and Safety Strategy 2012</w:t>
            </w:r>
            <w:r>
              <w:t xml:space="preserve"> </w:t>
            </w:r>
            <w:r w:rsidRPr="00F01ECB">
              <w:t xml:space="preserve">-2022 </w:t>
            </w:r>
          </w:p>
          <w:p w:rsidR="00852D81" w:rsidRPr="00F01ECB" w:rsidRDefault="00852D81" w:rsidP="00852D81">
            <w:pPr>
              <w:pStyle w:val="BoxBullet"/>
            </w:pPr>
            <w:r w:rsidRPr="00F01ECB">
              <w:t>implementation of the National Workers’ Compensation Action Plan 2010 –</w:t>
            </w:r>
            <w:r>
              <w:t xml:space="preserve"> </w:t>
            </w:r>
            <w:r w:rsidRPr="00F01ECB">
              <w:t>2013, and</w:t>
            </w:r>
          </w:p>
          <w:p w:rsidR="00852D81" w:rsidRPr="00F01ECB" w:rsidRDefault="00852D81" w:rsidP="00852D81">
            <w:pPr>
              <w:pStyle w:val="BoxBullet"/>
            </w:pPr>
            <w:proofErr w:type="gramStart"/>
            <w:r w:rsidRPr="00F01ECB">
              <w:t>development</w:t>
            </w:r>
            <w:proofErr w:type="gramEnd"/>
            <w:r w:rsidRPr="00F01ECB">
              <w:t xml:space="preserve"> and implementation of the National Research, Evaluation and Data Strategy.</w:t>
            </w:r>
          </w:p>
        </w:tc>
      </w:tr>
    </w:tbl>
    <w:p w:rsidR="00852D81" w:rsidRDefault="00852D81" w:rsidP="00852D81">
      <w:pPr>
        <w:pStyle w:val="NoSpacing"/>
      </w:pPr>
    </w:p>
    <w:tbl>
      <w:tblPr>
        <w:tblStyle w:val="TableGrid"/>
        <w:tblW w:w="0" w:type="auto"/>
        <w:tblInd w:w="108" w:type="dxa"/>
        <w:tblLook w:val="04A0"/>
      </w:tblPr>
      <w:tblGrid>
        <w:gridCol w:w="7797"/>
      </w:tblGrid>
      <w:tr w:rsidR="00852D81" w:rsidTr="00852D81">
        <w:tc>
          <w:tcPr>
            <w:tcW w:w="7797" w:type="dxa"/>
          </w:tcPr>
          <w:p w:rsidR="00852D81" w:rsidRPr="00F01ECB" w:rsidRDefault="00852D81" w:rsidP="00852D81">
            <w:pPr>
              <w:pStyle w:val="TableColumnHeadingLeft"/>
            </w:pPr>
            <w:r w:rsidRPr="00F01ECB">
              <w:rPr>
                <w:rFonts w:ascii="Book Antiqua" w:hAnsi="Book Antiqua"/>
                <w:b w:val="0"/>
              </w:rPr>
              <w:br w:type="page"/>
            </w:r>
            <w:r w:rsidRPr="00F01ECB">
              <w:t>Program 1 Key Performance Indicators</w:t>
            </w:r>
          </w:p>
          <w:p w:rsidR="00852D81" w:rsidRPr="00F01ECB" w:rsidRDefault="00852D81" w:rsidP="00852D81">
            <w:r w:rsidRPr="00F01ECB">
              <w:t>The Key Performance Indicators are framed around how the agency works to achieve the key deliverables in the Safe Work Australia Strategic and Operational Plans.</w:t>
            </w:r>
          </w:p>
        </w:tc>
      </w:tr>
    </w:tbl>
    <w:p w:rsidR="00852D81" w:rsidRDefault="00852D81" w:rsidP="00852D81">
      <w:pPr>
        <w:rPr>
          <w:rFonts w:ascii="Arial" w:hAnsi="Arial" w:cs="Arial"/>
          <w:sz w:val="22"/>
          <w:szCs w:val="22"/>
        </w:rPr>
      </w:pPr>
    </w:p>
    <w:p w:rsidR="00852D81" w:rsidRDefault="00852D81" w:rsidP="00852D81">
      <w:pPr>
        <w:rPr>
          <w:rFonts w:ascii="Arial" w:hAnsi="Arial" w:cs="Arial"/>
          <w:sz w:val="22"/>
          <w:szCs w:val="22"/>
        </w:rPr>
        <w:sectPr w:rsidR="00852D81" w:rsidSect="00852D81">
          <w:headerReference w:type="first" r:id="rId26"/>
          <w:pgSz w:w="11906" w:h="16838" w:code="9"/>
          <w:pgMar w:top="2466" w:right="2098" w:bottom="2466" w:left="2098" w:header="1899" w:footer="1899" w:gutter="0"/>
          <w:cols w:space="708"/>
          <w:titlePg/>
          <w:docGrid w:linePitch="360"/>
        </w:sectPr>
      </w:pPr>
    </w:p>
    <w:tbl>
      <w:tblPr>
        <w:tblStyle w:val="TableGrid"/>
        <w:tblW w:w="0" w:type="auto"/>
        <w:tblInd w:w="108" w:type="dxa"/>
        <w:tblLook w:val="04A0"/>
      </w:tblPr>
      <w:tblGrid>
        <w:gridCol w:w="3847"/>
        <w:gridCol w:w="3950"/>
      </w:tblGrid>
      <w:tr w:rsidR="00852D81" w:rsidRPr="00A8286A" w:rsidTr="00852D81">
        <w:tc>
          <w:tcPr>
            <w:tcW w:w="7797" w:type="dxa"/>
            <w:gridSpan w:val="2"/>
            <w:shd w:val="pct20" w:color="auto" w:fill="auto"/>
            <w:vAlign w:val="center"/>
          </w:tcPr>
          <w:p w:rsidR="00852D81" w:rsidRPr="00EB64C8" w:rsidRDefault="00852D81" w:rsidP="00852D81">
            <w:pPr>
              <w:spacing w:before="120" w:after="120"/>
              <w:rPr>
                <w:rFonts w:ascii="Arial" w:hAnsi="Arial" w:cs="Arial"/>
                <w:b/>
              </w:rPr>
            </w:pPr>
            <w:r w:rsidRPr="00EB64C8">
              <w:rPr>
                <w:rFonts w:ascii="Arial" w:hAnsi="Arial" w:cs="Arial"/>
                <w:b/>
              </w:rPr>
              <w:lastRenderedPageBreak/>
              <w:t>Key Performance Indicators</w:t>
            </w:r>
          </w:p>
        </w:tc>
      </w:tr>
      <w:tr w:rsidR="00852D81" w:rsidTr="00852D81">
        <w:tc>
          <w:tcPr>
            <w:tcW w:w="3847" w:type="dxa"/>
          </w:tcPr>
          <w:p w:rsidR="00852D81" w:rsidRPr="00EB64C8" w:rsidRDefault="00852D81" w:rsidP="000B2B3E">
            <w:pPr>
              <w:pStyle w:val="TableColumnHeadingBase"/>
            </w:pPr>
            <w:r w:rsidRPr="00EB64C8">
              <w:t>Quality</w:t>
            </w:r>
          </w:p>
        </w:tc>
        <w:tc>
          <w:tcPr>
            <w:tcW w:w="3950" w:type="dxa"/>
          </w:tcPr>
          <w:p w:rsidR="00852D81" w:rsidRPr="00EB64C8" w:rsidRDefault="00852D81" w:rsidP="000B2B3E">
            <w:pPr>
              <w:pStyle w:val="TableColumnHeadingBase"/>
            </w:pPr>
            <w:r w:rsidRPr="00EB64C8">
              <w:t>2012-13 Estimate</w:t>
            </w:r>
          </w:p>
        </w:tc>
      </w:tr>
      <w:tr w:rsidR="00852D81" w:rsidTr="00852D81">
        <w:tc>
          <w:tcPr>
            <w:tcW w:w="3847" w:type="dxa"/>
          </w:tcPr>
          <w:p w:rsidR="00852D81" w:rsidRPr="00EB64C8" w:rsidRDefault="00852D81" w:rsidP="000B2B3E">
            <w:pPr>
              <w:pStyle w:val="TableTextLeft"/>
            </w:pPr>
            <w:r w:rsidRPr="00EB64C8">
              <w:t xml:space="preserve">Model legislation </w:t>
            </w:r>
            <w:r>
              <w:t>cont</w:t>
            </w:r>
            <w:r w:rsidRPr="00EB64C8">
              <w:t>i</w:t>
            </w:r>
            <w:r>
              <w:t>nue</w:t>
            </w:r>
            <w:r w:rsidRPr="00EB64C8">
              <w:t xml:space="preserve">s </w:t>
            </w:r>
            <w:r>
              <w:t xml:space="preserve">to be </w:t>
            </w:r>
            <w:r w:rsidRPr="00EB64C8">
              <w:t>developed in accordance with COAG timelines</w:t>
            </w:r>
          </w:p>
        </w:tc>
        <w:tc>
          <w:tcPr>
            <w:tcW w:w="3950" w:type="dxa"/>
            <w:vAlign w:val="center"/>
          </w:tcPr>
          <w:p w:rsidR="00852D81" w:rsidRPr="00EB64C8" w:rsidRDefault="00852D81" w:rsidP="000B2B3E">
            <w:pPr>
              <w:pStyle w:val="TableTextLeft"/>
            </w:pPr>
            <w:r w:rsidRPr="00EB64C8">
              <w:t>COAG agreed timelines are met</w:t>
            </w:r>
          </w:p>
        </w:tc>
      </w:tr>
      <w:tr w:rsidR="00852D81" w:rsidTr="00852D81">
        <w:tc>
          <w:tcPr>
            <w:tcW w:w="3847" w:type="dxa"/>
          </w:tcPr>
          <w:p w:rsidR="00852D81" w:rsidRPr="00EB64C8" w:rsidRDefault="00852D81" w:rsidP="000B2B3E">
            <w:pPr>
              <w:pStyle w:val="TableTextLeft"/>
            </w:pPr>
            <w:r w:rsidRPr="00EB64C8">
              <w:t xml:space="preserve">Level of satisfaction of the Chair of Safe Work Australia with how the services of the </w:t>
            </w:r>
            <w:r>
              <w:t>A</w:t>
            </w:r>
            <w:r w:rsidRPr="00EB64C8">
              <w:t>gency are directed at achieving the outcomes of its Strategic and Operational Plans.</w:t>
            </w:r>
          </w:p>
        </w:tc>
        <w:tc>
          <w:tcPr>
            <w:tcW w:w="3950" w:type="dxa"/>
            <w:vAlign w:val="center"/>
          </w:tcPr>
          <w:p w:rsidR="00852D81" w:rsidRPr="00EB64C8" w:rsidRDefault="00852D81" w:rsidP="000B2B3E">
            <w:pPr>
              <w:pStyle w:val="TableTextLeft"/>
            </w:pPr>
            <w:r w:rsidRPr="00EB64C8">
              <w:t>Very good or above</w:t>
            </w:r>
          </w:p>
        </w:tc>
      </w:tr>
      <w:tr w:rsidR="00852D81" w:rsidTr="00852D81">
        <w:tc>
          <w:tcPr>
            <w:tcW w:w="3847" w:type="dxa"/>
          </w:tcPr>
          <w:p w:rsidR="00852D81" w:rsidRPr="00EB64C8" w:rsidRDefault="00852D81" w:rsidP="000B2B3E">
            <w:pPr>
              <w:pStyle w:val="TableTextLeft"/>
            </w:pPr>
            <w:r w:rsidRPr="00EB64C8">
              <w:t>Level of satisfaction of the members of Safe Work Australia with how the services of the Agency are directed at achieving the outcomes of its Strategic and Operational Plans.</w:t>
            </w:r>
          </w:p>
        </w:tc>
        <w:tc>
          <w:tcPr>
            <w:tcW w:w="3950" w:type="dxa"/>
            <w:vAlign w:val="center"/>
          </w:tcPr>
          <w:p w:rsidR="00852D81" w:rsidRPr="00EB64C8" w:rsidRDefault="00852D81" w:rsidP="000B2B3E">
            <w:pPr>
              <w:pStyle w:val="TableTextLeft"/>
            </w:pPr>
            <w:r w:rsidRPr="00EB64C8">
              <w:t>80% of mem</w:t>
            </w:r>
            <w:r>
              <w:t>bers agree the services of the A</w:t>
            </w:r>
            <w:r w:rsidRPr="00EB64C8">
              <w:t>gency are appropriately directed at achieving the outcomes.</w:t>
            </w:r>
          </w:p>
        </w:tc>
      </w:tr>
    </w:tbl>
    <w:p w:rsidR="00852D81" w:rsidRDefault="00852D81" w:rsidP="00852D81">
      <w:pPr>
        <w:pStyle w:val="Heading2"/>
        <w:sectPr w:rsidR="00852D81" w:rsidSect="00852D81">
          <w:headerReference w:type="first" r:id="rId27"/>
          <w:pgSz w:w="11906" w:h="16838" w:code="9"/>
          <w:pgMar w:top="2466" w:right="2098" w:bottom="2466" w:left="2098" w:header="1899" w:footer="1899" w:gutter="0"/>
          <w:cols w:space="708"/>
          <w:titlePg/>
          <w:docGrid w:linePitch="360"/>
        </w:sectPr>
      </w:pPr>
    </w:p>
    <w:p w:rsidR="00852D81" w:rsidRPr="00F01ECB" w:rsidRDefault="00852D81" w:rsidP="00852D81">
      <w:pPr>
        <w:pStyle w:val="Heading2"/>
      </w:pPr>
      <w:r w:rsidRPr="00F01ECB">
        <w:lastRenderedPageBreak/>
        <w:t>Section 3: Explanatory tables and budgeted financial statements</w:t>
      </w:r>
    </w:p>
    <w:p w:rsidR="00852D81" w:rsidRPr="00F01ECB" w:rsidRDefault="00852D81" w:rsidP="00852D81">
      <w:r w:rsidRPr="00F01ECB">
        <w:t>Section 3 presents explanatory tables and budgeted financial statements which provide a comprehensive snapshot of agency finances for the 2012</w:t>
      </w:r>
      <w:r w:rsidRPr="00F01ECB">
        <w:noBreakHyphen/>
        <w:t>13</w:t>
      </w:r>
      <w:r w:rsidRPr="00F01ECB">
        <w:rPr>
          <w:color w:val="00B050"/>
        </w:rPr>
        <w:t xml:space="preserve"> </w:t>
      </w:r>
      <w:r w:rsidRPr="00F01ECB">
        <w:t>budget year. It explains how budget plans are incorporated into the financial statements and provides further details of the reconciliation between appropriations and program expenses, movements in administered funds, special accounts and government indigenous expenditure.</w:t>
      </w:r>
    </w:p>
    <w:p w:rsidR="00852D81" w:rsidRPr="00F01ECB" w:rsidRDefault="00852D81" w:rsidP="00852D81">
      <w:pPr>
        <w:pStyle w:val="Heading3"/>
      </w:pPr>
      <w:r w:rsidRPr="00F01ECB">
        <w:t>3.1</w:t>
      </w:r>
      <w:r w:rsidRPr="00F01ECB">
        <w:tab/>
        <w:t>Explanatory tables</w:t>
      </w:r>
    </w:p>
    <w:p w:rsidR="00852D81" w:rsidRPr="00F01ECB" w:rsidRDefault="00852D81" w:rsidP="00852D81">
      <w:pPr>
        <w:pStyle w:val="Heading4"/>
      </w:pPr>
      <w:r w:rsidRPr="00F01ECB">
        <w:t>3.1.1</w:t>
      </w:r>
      <w:r w:rsidRPr="00F01ECB">
        <w:tab/>
        <w:t>Special Accounts</w:t>
      </w:r>
    </w:p>
    <w:p w:rsidR="00852D81" w:rsidRPr="00F01ECB" w:rsidRDefault="00852D81" w:rsidP="00852D81">
      <w:r w:rsidRPr="00F01ECB">
        <w:t xml:space="preserve">Special Accounts provide a means to set aside and record amounts used for specified purposes. Special Accounts can be created by a Finance Minister’s Determination under the </w:t>
      </w:r>
      <w:proofErr w:type="spellStart"/>
      <w:r w:rsidRPr="00F01ECB">
        <w:t>FMA</w:t>
      </w:r>
      <w:proofErr w:type="spellEnd"/>
      <w:r w:rsidRPr="00F01ECB">
        <w:t xml:space="preserve"> Act</w:t>
      </w:r>
      <w:r w:rsidRPr="00F01ECB">
        <w:rPr>
          <w:i/>
        </w:rPr>
        <w:t xml:space="preserve"> </w:t>
      </w:r>
      <w:r w:rsidRPr="00F01ECB">
        <w:t>or under separate enabling legislation. Table 3.1.2 shows the expected additions (receipts) and reductions (payments) for each account used by Safe Work Australia.</w:t>
      </w:r>
    </w:p>
    <w:p w:rsidR="005561D5" w:rsidRDefault="00852D81" w:rsidP="005561D5">
      <w:pPr>
        <w:pStyle w:val="TableHeading"/>
      </w:pPr>
      <w:r w:rsidRPr="00F01ECB">
        <w:t>Table 3.1.1: Estimates of Special Account Flows and Balances</w:t>
      </w:r>
    </w:p>
    <w:p w:rsidR="00852D81" w:rsidRPr="00F01ECB" w:rsidRDefault="00F56A7F" w:rsidP="005561D5">
      <w:pPr>
        <w:pStyle w:val="TableHeading"/>
        <w:rPr>
          <w:i/>
          <w:color w:val="FF0000"/>
        </w:rPr>
      </w:pPr>
      <w:r w:rsidRPr="00F56A7F">
        <w:rPr>
          <w:noProof/>
        </w:rPr>
        <w:drawing>
          <wp:inline distT="0" distB="0" distL="0" distR="0">
            <wp:extent cx="4924425" cy="1838325"/>
            <wp:effectExtent l="19050" t="0" r="952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8" cstate="print"/>
                    <a:srcRect/>
                    <a:stretch>
                      <a:fillRect/>
                    </a:stretch>
                  </pic:blipFill>
                  <pic:spPr bwMode="auto">
                    <a:xfrm>
                      <a:off x="0" y="0"/>
                      <a:ext cx="4924425" cy="1838325"/>
                    </a:xfrm>
                    <a:prstGeom prst="rect">
                      <a:avLst/>
                    </a:prstGeom>
                    <a:noFill/>
                    <a:ln w="9525">
                      <a:noFill/>
                      <a:miter lim="800000"/>
                      <a:headEnd/>
                      <a:tailEnd/>
                    </a:ln>
                  </pic:spPr>
                </pic:pic>
              </a:graphicData>
            </a:graphic>
          </wp:inline>
        </w:drawing>
      </w:r>
    </w:p>
    <w:p w:rsidR="00852D81" w:rsidRPr="00F01ECB" w:rsidRDefault="00852D81" w:rsidP="00F56A7F">
      <w:pPr>
        <w:pStyle w:val="Footnote"/>
      </w:pPr>
      <w:r w:rsidRPr="00F01ECB">
        <w:t xml:space="preserve"> (D) = Departmental</w:t>
      </w:r>
    </w:p>
    <w:p w:rsidR="00852D81" w:rsidRPr="00F01ECB" w:rsidRDefault="00852D81" w:rsidP="00852D81">
      <w:pPr>
        <w:pStyle w:val="SingleParagraph"/>
      </w:pPr>
    </w:p>
    <w:p w:rsidR="00852D81" w:rsidRPr="00F01ECB" w:rsidRDefault="00852D81" w:rsidP="00F56A7F">
      <w:pPr>
        <w:pStyle w:val="Heading4"/>
      </w:pPr>
      <w:proofErr w:type="gramStart"/>
      <w:r w:rsidRPr="00F01ECB">
        <w:t>3.1.2  Australian</w:t>
      </w:r>
      <w:proofErr w:type="gramEnd"/>
      <w:r w:rsidRPr="00F01ECB">
        <w:t xml:space="preserve"> Government Indigenous Expenditure</w:t>
      </w:r>
    </w:p>
    <w:p w:rsidR="00852D81" w:rsidRPr="00F01ECB" w:rsidRDefault="00852D81" w:rsidP="00852D81">
      <w:pPr>
        <w:pStyle w:val="SingleParagraph"/>
      </w:pPr>
      <w:proofErr w:type="gramStart"/>
      <w:r w:rsidRPr="00F01ECB">
        <w:t>The 2012-13 Australian Government Indigenous Statement</w:t>
      </w:r>
      <w:proofErr w:type="gramEnd"/>
      <w:r w:rsidRPr="00F01ECB">
        <w:t xml:space="preserve"> is not applicable because Safe Work Australia has no Indigenous specific expenses.</w:t>
      </w:r>
    </w:p>
    <w:p w:rsidR="00F56A7F" w:rsidRDefault="00F56A7F">
      <w:pPr>
        <w:spacing w:after="0" w:line="240" w:lineRule="auto"/>
        <w:jc w:val="left"/>
        <w:rPr>
          <w:rFonts w:ascii="Arial" w:hAnsi="Arial"/>
          <w:b/>
          <w:smallCaps/>
          <w:sz w:val="26"/>
        </w:rPr>
      </w:pPr>
      <w:r>
        <w:br w:type="page"/>
      </w:r>
    </w:p>
    <w:p w:rsidR="00852D81" w:rsidRPr="00F01ECB" w:rsidRDefault="00852D81" w:rsidP="00852D81">
      <w:pPr>
        <w:pStyle w:val="Heading3"/>
      </w:pPr>
      <w:r w:rsidRPr="00F01ECB">
        <w:lastRenderedPageBreak/>
        <w:t>3.2</w:t>
      </w:r>
      <w:r w:rsidRPr="00F01ECB">
        <w:tab/>
        <w:t>Budgeted financial statements</w:t>
      </w:r>
    </w:p>
    <w:p w:rsidR="00852D81" w:rsidRPr="00F01ECB" w:rsidRDefault="00852D81" w:rsidP="00852D81">
      <w:pPr>
        <w:pStyle w:val="Heading4"/>
      </w:pPr>
      <w:r w:rsidRPr="00F01ECB">
        <w:t>3.2.1</w:t>
      </w:r>
      <w:r w:rsidRPr="00F01ECB">
        <w:tab/>
        <w:t>Differences in agency resourcing and financial statements</w:t>
      </w:r>
    </w:p>
    <w:p w:rsidR="00E93917" w:rsidRDefault="00852D81" w:rsidP="00F56A7F">
      <w:pPr>
        <w:pStyle w:val="Exampletext"/>
        <w:rPr>
          <w:i w:val="0"/>
          <w:color w:val="000000" w:themeColor="text1"/>
        </w:rPr>
      </w:pPr>
      <w:r w:rsidRPr="00F01ECB">
        <w:rPr>
          <w:i w:val="0"/>
          <w:color w:val="000000" w:themeColor="text1"/>
        </w:rPr>
        <w:t>The agency receives funds from states and territories and matched appropria</w:t>
      </w:r>
      <w:r w:rsidR="005F44DB">
        <w:rPr>
          <w:i w:val="0"/>
          <w:color w:val="000000" w:themeColor="text1"/>
        </w:rPr>
        <w:t>tion funding from the Commonweal</w:t>
      </w:r>
      <w:r w:rsidRPr="00F01ECB">
        <w:rPr>
          <w:i w:val="0"/>
          <w:color w:val="000000" w:themeColor="text1"/>
        </w:rPr>
        <w:t>th as provided for in the Intergovernmental Agreement</w:t>
      </w:r>
    </w:p>
    <w:p w:rsidR="00852D81" w:rsidRPr="00F01ECB" w:rsidRDefault="00852D81" w:rsidP="000B2B3E">
      <w:pPr>
        <w:pStyle w:val="Heading4"/>
      </w:pPr>
      <w:r w:rsidRPr="00F01ECB">
        <w:lastRenderedPageBreak/>
        <w:t>3.2.</w:t>
      </w:r>
      <w:r>
        <w:t>2</w:t>
      </w:r>
      <w:r w:rsidRPr="00F01ECB">
        <w:tab/>
        <w:t xml:space="preserve">Budgeted </w:t>
      </w:r>
      <w:r>
        <w:t>Departmental F</w:t>
      </w:r>
      <w:r w:rsidRPr="00F01ECB">
        <w:t xml:space="preserve">inancial </w:t>
      </w:r>
      <w:r>
        <w:t>S</w:t>
      </w:r>
      <w:r w:rsidRPr="00F01ECB">
        <w:t xml:space="preserve">tatements </w:t>
      </w:r>
      <w:r>
        <w:t>T</w:t>
      </w:r>
      <w:r w:rsidRPr="00F01ECB">
        <w:t>ables</w:t>
      </w:r>
    </w:p>
    <w:p w:rsidR="005561D5" w:rsidRDefault="00852D81" w:rsidP="005561D5">
      <w:pPr>
        <w:pStyle w:val="TableHeading"/>
      </w:pPr>
      <w:r w:rsidRPr="00852D81">
        <w:t>Table 3.2.1 Comprehensive Income Statement (Showing Net Cost of Services</w:t>
      </w:r>
      <w:proofErr w:type="gramStart"/>
      <w:r w:rsidR="00822A11">
        <w:t>)</w:t>
      </w:r>
      <w:proofErr w:type="gramEnd"/>
      <w:r w:rsidR="00822A11">
        <w:br/>
      </w:r>
      <w:r w:rsidR="00993731">
        <w:t>(</w:t>
      </w:r>
      <w:r w:rsidR="00822A11">
        <w:t>for the period ended 30 June</w:t>
      </w:r>
      <w:r w:rsidR="00993731">
        <w:t>)</w:t>
      </w:r>
    </w:p>
    <w:p w:rsidR="00E93917" w:rsidRDefault="006A32F6" w:rsidP="005561D5">
      <w:pPr>
        <w:pStyle w:val="TableHeading"/>
        <w:rPr>
          <w:noProof/>
        </w:rPr>
      </w:pPr>
      <w:r w:rsidRPr="006A32F6">
        <w:rPr>
          <w:noProof/>
        </w:rPr>
        <w:drawing>
          <wp:inline distT="0" distB="0" distL="0" distR="0">
            <wp:extent cx="4895850" cy="6671976"/>
            <wp:effectExtent l="19050" t="0" r="0" b="0"/>
            <wp:docPr id="19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srcRect/>
                    <a:stretch>
                      <a:fillRect/>
                    </a:stretch>
                  </pic:blipFill>
                  <pic:spPr bwMode="auto">
                    <a:xfrm>
                      <a:off x="0" y="0"/>
                      <a:ext cx="4895850" cy="6671976"/>
                    </a:xfrm>
                    <a:prstGeom prst="rect">
                      <a:avLst/>
                    </a:prstGeom>
                    <a:noFill/>
                    <a:ln w="9525">
                      <a:noFill/>
                      <a:miter lim="800000"/>
                      <a:headEnd/>
                      <a:tailEnd/>
                    </a:ln>
                  </pic:spPr>
                </pic:pic>
              </a:graphicData>
            </a:graphic>
          </wp:inline>
        </w:drawing>
      </w:r>
    </w:p>
    <w:p w:rsidR="00E93917" w:rsidRPr="00E93917" w:rsidRDefault="00E93917" w:rsidP="006A32F6">
      <w:r>
        <w:rPr>
          <w:noProof/>
        </w:rPr>
        <w:br w:type="page"/>
      </w:r>
    </w:p>
    <w:p w:rsidR="00852D81" w:rsidRDefault="00852D81" w:rsidP="00852D81">
      <w:pPr>
        <w:pStyle w:val="TableGraphic"/>
        <w:rPr>
          <w:noProof/>
        </w:rPr>
        <w:sectPr w:rsidR="00852D81" w:rsidSect="00852D81">
          <w:headerReference w:type="even" r:id="rId30"/>
          <w:headerReference w:type="default" r:id="rId31"/>
          <w:headerReference w:type="first" r:id="rId32"/>
          <w:pgSz w:w="11906" w:h="16838" w:code="9"/>
          <w:pgMar w:top="2466" w:right="2098" w:bottom="2466" w:left="2098" w:header="1899" w:footer="1899" w:gutter="0"/>
          <w:cols w:space="708"/>
          <w:titlePg/>
          <w:docGrid w:linePitch="360"/>
        </w:sectPr>
      </w:pPr>
    </w:p>
    <w:p w:rsidR="005561D5" w:rsidRDefault="00852D81" w:rsidP="00852D81">
      <w:pPr>
        <w:pStyle w:val="TableHeading"/>
      </w:pPr>
      <w:r w:rsidRPr="00F01ECB">
        <w:lastRenderedPageBreak/>
        <w:t xml:space="preserve">Table 3.2.2: Budgeted </w:t>
      </w:r>
      <w:r>
        <w:t>B</w:t>
      </w:r>
      <w:r w:rsidRPr="00F01ECB">
        <w:t xml:space="preserve">alance </w:t>
      </w:r>
      <w:r>
        <w:t>S</w:t>
      </w:r>
      <w:r w:rsidRPr="00F01ECB">
        <w:t>heet</w:t>
      </w:r>
      <w:r>
        <w:t xml:space="preserve"> </w:t>
      </w:r>
      <w:r w:rsidRPr="00F01ECB">
        <w:t>(as at 30 June)</w:t>
      </w:r>
    </w:p>
    <w:p w:rsidR="00852D81" w:rsidRDefault="00E93917" w:rsidP="00852D81">
      <w:pPr>
        <w:pStyle w:val="TableHeading"/>
      </w:pPr>
      <w:r w:rsidRPr="00E93917">
        <w:rPr>
          <w:noProof/>
        </w:rPr>
        <w:drawing>
          <wp:inline distT="0" distB="0" distL="0" distR="0">
            <wp:extent cx="4895850" cy="4702955"/>
            <wp:effectExtent l="1905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3" cstate="print"/>
                    <a:srcRect/>
                    <a:stretch>
                      <a:fillRect/>
                    </a:stretch>
                  </pic:blipFill>
                  <pic:spPr bwMode="auto">
                    <a:xfrm>
                      <a:off x="0" y="0"/>
                      <a:ext cx="4895850" cy="4702955"/>
                    </a:xfrm>
                    <a:prstGeom prst="rect">
                      <a:avLst/>
                    </a:prstGeom>
                    <a:noFill/>
                    <a:ln w="9525">
                      <a:noFill/>
                      <a:miter lim="800000"/>
                      <a:headEnd/>
                      <a:tailEnd/>
                    </a:ln>
                  </pic:spPr>
                </pic:pic>
              </a:graphicData>
            </a:graphic>
          </wp:inline>
        </w:drawing>
      </w:r>
    </w:p>
    <w:p w:rsidR="00852D81" w:rsidRDefault="00852D81" w:rsidP="00852D81">
      <w:pPr>
        <w:pStyle w:val="TableGraphic"/>
      </w:pPr>
    </w:p>
    <w:p w:rsidR="00852D81" w:rsidRDefault="00852D81" w:rsidP="00852D81">
      <w:pPr>
        <w:sectPr w:rsidR="00852D81" w:rsidSect="00852D81">
          <w:headerReference w:type="default" r:id="rId34"/>
          <w:headerReference w:type="first" r:id="rId35"/>
          <w:pgSz w:w="11906" w:h="16838" w:code="9"/>
          <w:pgMar w:top="2466" w:right="2098" w:bottom="2466" w:left="2098" w:header="1899" w:footer="1899" w:gutter="0"/>
          <w:cols w:space="708"/>
          <w:titlePg/>
          <w:docGrid w:linePitch="360"/>
        </w:sectPr>
      </w:pPr>
    </w:p>
    <w:p w:rsidR="00852D81" w:rsidRDefault="00852D81" w:rsidP="00852D81">
      <w:pPr>
        <w:pStyle w:val="TableHeading"/>
      </w:pPr>
      <w:r w:rsidRPr="00F01ECB">
        <w:lastRenderedPageBreak/>
        <w:t xml:space="preserve">Table 3.2.3: </w:t>
      </w:r>
      <w:r>
        <w:t>S</w:t>
      </w:r>
      <w:r w:rsidRPr="00F01ECB">
        <w:t xml:space="preserve">tatement of </w:t>
      </w:r>
      <w:r>
        <w:t>C</w:t>
      </w:r>
      <w:r w:rsidRPr="00F01ECB">
        <w:t xml:space="preserve">hanges in </w:t>
      </w:r>
      <w:r>
        <w:t>E</w:t>
      </w:r>
      <w:r w:rsidRPr="00F01ECB">
        <w:t xml:space="preserve">quity — </w:t>
      </w:r>
      <w:r>
        <w:t>S</w:t>
      </w:r>
      <w:r w:rsidRPr="00F01ECB">
        <w:t xml:space="preserve">ummary of </w:t>
      </w:r>
      <w:r>
        <w:t>M</w:t>
      </w:r>
      <w:r w:rsidRPr="00F01ECB">
        <w:t>ovement</w:t>
      </w:r>
    </w:p>
    <w:p w:rsidR="005561D5" w:rsidRPr="005561D5" w:rsidRDefault="00852D81" w:rsidP="005561D5">
      <w:pPr>
        <w:pStyle w:val="TableHeading"/>
        <w:spacing w:before="0"/>
      </w:pPr>
      <w:r>
        <w:t>(Budget Y</w:t>
      </w:r>
      <w:r w:rsidR="006A32F6">
        <w:t>ear 2012</w:t>
      </w:r>
      <w:r w:rsidR="006A32F6">
        <w:noBreakHyphen/>
        <w:t>13</w:t>
      </w:r>
      <w:r w:rsidRPr="00F01ECB">
        <w:t>)</w:t>
      </w:r>
    </w:p>
    <w:p w:rsidR="00852D81" w:rsidRDefault="00E93917" w:rsidP="005561D5">
      <w:pPr>
        <w:pStyle w:val="TableHeading"/>
        <w:spacing w:before="0"/>
      </w:pPr>
      <w:r w:rsidRPr="00E93917">
        <w:rPr>
          <w:noProof/>
        </w:rPr>
        <w:drawing>
          <wp:inline distT="0" distB="0" distL="0" distR="0">
            <wp:extent cx="4895850" cy="3057525"/>
            <wp:effectExtent l="19050" t="0" r="0" b="0"/>
            <wp:docPr id="280"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6" cstate="print"/>
                    <a:srcRect/>
                    <a:stretch>
                      <a:fillRect/>
                    </a:stretch>
                  </pic:blipFill>
                  <pic:spPr bwMode="auto">
                    <a:xfrm>
                      <a:off x="0" y="0"/>
                      <a:ext cx="4895850" cy="3057525"/>
                    </a:xfrm>
                    <a:prstGeom prst="rect">
                      <a:avLst/>
                    </a:prstGeom>
                    <a:noFill/>
                    <a:ln w="9525">
                      <a:noFill/>
                      <a:miter lim="800000"/>
                      <a:headEnd/>
                      <a:tailEnd/>
                    </a:ln>
                  </pic:spPr>
                </pic:pic>
              </a:graphicData>
            </a:graphic>
          </wp:inline>
        </w:drawing>
      </w:r>
    </w:p>
    <w:p w:rsidR="00852D81" w:rsidRDefault="00852D81" w:rsidP="00852D81"/>
    <w:p w:rsidR="009A35A8" w:rsidRDefault="009A35A8" w:rsidP="00852D81">
      <w:pPr>
        <w:sectPr w:rsidR="009A35A8" w:rsidSect="00852D81">
          <w:headerReference w:type="first" r:id="rId37"/>
          <w:pgSz w:w="11906" w:h="16838" w:code="9"/>
          <w:pgMar w:top="2466" w:right="2098" w:bottom="2466" w:left="2098" w:header="1899" w:footer="1899" w:gutter="0"/>
          <w:cols w:space="708"/>
          <w:titlePg/>
          <w:docGrid w:linePitch="360"/>
        </w:sectPr>
      </w:pPr>
    </w:p>
    <w:p w:rsidR="005561D5" w:rsidRDefault="00852D81" w:rsidP="005561D5">
      <w:pPr>
        <w:pStyle w:val="TableHeading"/>
      </w:pPr>
      <w:r w:rsidRPr="00F01ECB">
        <w:lastRenderedPageBreak/>
        <w:t xml:space="preserve">Table 3.2.4: Budgeted </w:t>
      </w:r>
      <w:r>
        <w:t>S</w:t>
      </w:r>
      <w:r w:rsidRPr="00F01ECB">
        <w:t xml:space="preserve">tatement of </w:t>
      </w:r>
      <w:r>
        <w:t>C</w:t>
      </w:r>
      <w:r w:rsidRPr="00F01ECB">
        <w:t xml:space="preserve">ash </w:t>
      </w:r>
      <w:proofErr w:type="gramStart"/>
      <w:r>
        <w:t>F</w:t>
      </w:r>
      <w:r w:rsidRPr="00F01ECB">
        <w:t>lows</w:t>
      </w:r>
      <w:proofErr w:type="gramEnd"/>
      <w:r w:rsidRPr="00F01ECB">
        <w:br/>
        <w:t>(for the period ended 30 June)</w:t>
      </w:r>
    </w:p>
    <w:p w:rsidR="00A148CA" w:rsidRDefault="00E93917" w:rsidP="005561D5">
      <w:pPr>
        <w:pStyle w:val="TableHeading"/>
        <w:rPr>
          <w:noProof/>
        </w:rPr>
      </w:pPr>
      <w:r w:rsidRPr="00E93917">
        <w:rPr>
          <w:noProof/>
        </w:rPr>
        <w:drawing>
          <wp:inline distT="0" distB="0" distL="0" distR="0">
            <wp:extent cx="4895850" cy="6381108"/>
            <wp:effectExtent l="19050" t="0" r="0" b="0"/>
            <wp:docPr id="281"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8" cstate="print"/>
                    <a:srcRect/>
                    <a:stretch>
                      <a:fillRect/>
                    </a:stretch>
                  </pic:blipFill>
                  <pic:spPr bwMode="auto">
                    <a:xfrm>
                      <a:off x="0" y="0"/>
                      <a:ext cx="4895850" cy="6381108"/>
                    </a:xfrm>
                    <a:prstGeom prst="rect">
                      <a:avLst/>
                    </a:prstGeom>
                    <a:noFill/>
                    <a:ln w="9525">
                      <a:noFill/>
                      <a:miter lim="800000"/>
                      <a:headEnd/>
                      <a:tailEnd/>
                    </a:ln>
                  </pic:spPr>
                </pic:pic>
              </a:graphicData>
            </a:graphic>
          </wp:inline>
        </w:drawing>
      </w:r>
    </w:p>
    <w:p w:rsidR="00A148CA" w:rsidRDefault="00A148CA" w:rsidP="00A148CA">
      <w:pPr>
        <w:tabs>
          <w:tab w:val="left" w:pos="6405"/>
        </w:tabs>
      </w:pPr>
    </w:p>
    <w:p w:rsidR="005561D5" w:rsidRDefault="00852D81" w:rsidP="005561D5">
      <w:pPr>
        <w:pStyle w:val="TableHeading"/>
      </w:pPr>
      <w:r w:rsidRPr="00F01ECB">
        <w:lastRenderedPageBreak/>
        <w:t>Table 3.2.5: Departmental Capital Budget Statement</w:t>
      </w:r>
    </w:p>
    <w:p w:rsidR="009A35A8" w:rsidRDefault="00E93917" w:rsidP="005561D5">
      <w:pPr>
        <w:pStyle w:val="TableHeading"/>
        <w:rPr>
          <w:noProof/>
        </w:rPr>
      </w:pPr>
      <w:r w:rsidRPr="00E93917">
        <w:rPr>
          <w:noProof/>
        </w:rPr>
        <w:drawing>
          <wp:inline distT="0" distB="0" distL="0" distR="0">
            <wp:extent cx="4895850" cy="3221195"/>
            <wp:effectExtent l="19050" t="0" r="0" b="0"/>
            <wp:docPr id="282"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9" cstate="print"/>
                    <a:srcRect/>
                    <a:stretch>
                      <a:fillRect/>
                    </a:stretch>
                  </pic:blipFill>
                  <pic:spPr bwMode="auto">
                    <a:xfrm>
                      <a:off x="0" y="0"/>
                      <a:ext cx="4895850" cy="3221195"/>
                    </a:xfrm>
                    <a:prstGeom prst="rect">
                      <a:avLst/>
                    </a:prstGeom>
                    <a:noFill/>
                    <a:ln w="9525">
                      <a:noFill/>
                      <a:miter lim="800000"/>
                      <a:headEnd/>
                      <a:tailEnd/>
                    </a:ln>
                  </pic:spPr>
                </pic:pic>
              </a:graphicData>
            </a:graphic>
          </wp:inline>
        </w:drawing>
      </w:r>
      <w:r w:rsidRPr="00E93917">
        <w:rPr>
          <w:noProof/>
        </w:rPr>
        <w:t xml:space="preserve"> </w:t>
      </w:r>
      <w:r w:rsidRPr="00E93917">
        <w:rPr>
          <w:noProof/>
        </w:rPr>
        <w:drawing>
          <wp:inline distT="0" distB="0" distL="0" distR="0">
            <wp:extent cx="4543425" cy="723900"/>
            <wp:effectExtent l="19050" t="0" r="9525" b="0"/>
            <wp:docPr id="28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0" cstate="print"/>
                    <a:srcRect/>
                    <a:stretch>
                      <a:fillRect/>
                    </a:stretch>
                  </pic:blipFill>
                  <pic:spPr bwMode="auto">
                    <a:xfrm>
                      <a:off x="0" y="0"/>
                      <a:ext cx="4543425" cy="723900"/>
                    </a:xfrm>
                    <a:prstGeom prst="rect">
                      <a:avLst/>
                    </a:prstGeom>
                    <a:noFill/>
                    <a:ln w="9525">
                      <a:noFill/>
                      <a:miter lim="800000"/>
                      <a:headEnd/>
                      <a:tailEnd/>
                    </a:ln>
                  </pic:spPr>
                </pic:pic>
              </a:graphicData>
            </a:graphic>
          </wp:inline>
        </w:drawing>
      </w:r>
    </w:p>
    <w:p w:rsidR="00A148CA" w:rsidRDefault="00A148CA" w:rsidP="00A148CA">
      <w:pPr>
        <w:pStyle w:val="TableGraphic"/>
      </w:pPr>
    </w:p>
    <w:p w:rsidR="00A148CA" w:rsidRDefault="00A148CA" w:rsidP="00A148CA">
      <w:pPr>
        <w:sectPr w:rsidR="00A148CA" w:rsidSect="00AA27AA">
          <w:headerReference w:type="even" r:id="rId41"/>
          <w:headerReference w:type="default" r:id="rId42"/>
          <w:headerReference w:type="first" r:id="rId43"/>
          <w:type w:val="oddPage"/>
          <w:pgSz w:w="11906" w:h="16838" w:code="9"/>
          <w:pgMar w:top="2466" w:right="2098" w:bottom="2466" w:left="2098" w:header="1899" w:footer="1899" w:gutter="0"/>
          <w:cols w:space="708"/>
          <w:titlePg/>
          <w:docGrid w:linePitch="360"/>
        </w:sectPr>
      </w:pPr>
    </w:p>
    <w:p w:rsidR="005561D5" w:rsidRDefault="00852D81" w:rsidP="005561D5">
      <w:pPr>
        <w:pStyle w:val="TableHeading"/>
      </w:pPr>
      <w:r w:rsidRPr="00F01ECB">
        <w:lastRenderedPageBreak/>
        <w:t>Table 3.2.6: Statement of Asset Movements (2012</w:t>
      </w:r>
      <w:r w:rsidRPr="00F01ECB">
        <w:noBreakHyphen/>
        <w:t>13)</w:t>
      </w:r>
    </w:p>
    <w:p w:rsidR="00E93917" w:rsidRPr="00E93917" w:rsidRDefault="00991941" w:rsidP="005561D5">
      <w:pPr>
        <w:pStyle w:val="TableHeading"/>
      </w:pPr>
      <w:r w:rsidRPr="00991941">
        <w:rPr>
          <w:noProof/>
        </w:rPr>
        <w:drawing>
          <wp:inline distT="0" distB="0" distL="0" distR="0">
            <wp:extent cx="4962525" cy="3390900"/>
            <wp:effectExtent l="19050" t="0" r="9525" b="0"/>
            <wp:docPr id="19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4" cstate="print"/>
                    <a:srcRect/>
                    <a:stretch>
                      <a:fillRect/>
                    </a:stretch>
                  </pic:blipFill>
                  <pic:spPr bwMode="auto">
                    <a:xfrm>
                      <a:off x="0" y="0"/>
                      <a:ext cx="4962525" cy="3390900"/>
                    </a:xfrm>
                    <a:prstGeom prst="rect">
                      <a:avLst/>
                    </a:prstGeom>
                    <a:noFill/>
                    <a:ln w="9525">
                      <a:noFill/>
                      <a:miter lim="800000"/>
                      <a:headEnd/>
                      <a:tailEnd/>
                    </a:ln>
                  </pic:spPr>
                </pic:pic>
              </a:graphicData>
            </a:graphic>
          </wp:inline>
        </w:drawing>
      </w:r>
    </w:p>
    <w:p w:rsidR="00E93917" w:rsidRPr="00E93917" w:rsidRDefault="00E93917" w:rsidP="00E93917">
      <w:pPr>
        <w:pStyle w:val="TableHeading"/>
      </w:pPr>
      <w:r w:rsidRPr="00E93917">
        <w:rPr>
          <w:noProof/>
        </w:rPr>
        <w:drawing>
          <wp:inline distT="0" distB="0" distL="0" distR="0">
            <wp:extent cx="4695825" cy="295275"/>
            <wp:effectExtent l="0" t="0" r="0" b="0"/>
            <wp:docPr id="205"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5" cstate="print"/>
                    <a:srcRect/>
                    <a:stretch>
                      <a:fillRect/>
                    </a:stretch>
                  </pic:blipFill>
                  <pic:spPr bwMode="auto">
                    <a:xfrm>
                      <a:off x="0" y="0"/>
                      <a:ext cx="4695825" cy="295275"/>
                    </a:xfrm>
                    <a:prstGeom prst="rect">
                      <a:avLst/>
                    </a:prstGeom>
                    <a:noFill/>
                    <a:ln w="9525">
                      <a:noFill/>
                      <a:miter lim="800000"/>
                      <a:headEnd/>
                      <a:tailEnd/>
                    </a:ln>
                  </pic:spPr>
                </pic:pic>
              </a:graphicData>
            </a:graphic>
          </wp:inline>
        </w:drawing>
      </w:r>
    </w:p>
    <w:p w:rsidR="00852D81" w:rsidRPr="00B14D8A" w:rsidRDefault="00852D81" w:rsidP="00E93917">
      <w:pPr>
        <w:pStyle w:val="TableHeading"/>
      </w:pPr>
    </w:p>
    <w:p w:rsidR="00852D81" w:rsidRPr="00F01ECB" w:rsidRDefault="00852D81" w:rsidP="00852D81">
      <w:pPr>
        <w:pStyle w:val="Heading4"/>
      </w:pPr>
      <w:r w:rsidRPr="00F01ECB">
        <w:t>3.2.3</w:t>
      </w:r>
      <w:r w:rsidRPr="00F01ECB">
        <w:tab/>
        <w:t>Notes to the financial statements</w:t>
      </w:r>
    </w:p>
    <w:p w:rsidR="00852D81" w:rsidRDefault="00852D81" w:rsidP="00852D81">
      <w:r w:rsidRPr="00F01ECB">
        <w:t>Other gains represented in the Comprehensive Income Statement are resources received free of charge from other Commonwealth agencies.</w:t>
      </w:r>
    </w:p>
    <w:p w:rsidR="00852D81" w:rsidRPr="00852D81" w:rsidRDefault="00852D81" w:rsidP="009A35A8"/>
    <w:p w:rsidR="002962C5" w:rsidRDefault="002962C5" w:rsidP="002909B6">
      <w:pPr>
        <w:jc w:val="center"/>
      </w:pPr>
    </w:p>
    <w:p w:rsidR="000C3B86" w:rsidRPr="000C3B86" w:rsidRDefault="000C3B86" w:rsidP="00A148CA">
      <w:pPr>
        <w:pStyle w:val="Heading1"/>
        <w:jc w:val="both"/>
      </w:pPr>
    </w:p>
    <w:sectPr w:rsidR="000C3B86" w:rsidRPr="000C3B86" w:rsidSect="00A148CA">
      <w:headerReference w:type="first" r:id="rId46"/>
      <w:pgSz w:w="11906" w:h="16838" w:code="9"/>
      <w:pgMar w:top="2466" w:right="2098" w:bottom="2466" w:left="2098" w:header="1899" w:footer="18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CA" w:rsidRDefault="00A148CA" w:rsidP="00C07DEC">
      <w:r>
        <w:separator/>
      </w:r>
    </w:p>
  </w:endnote>
  <w:endnote w:type="continuationSeparator" w:id="0">
    <w:p w:rsidR="00A148CA" w:rsidRDefault="00A148CA" w:rsidP="00C07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34108"/>
      <w:docPartObj>
        <w:docPartGallery w:val="Page Numbers (Bottom of Page)"/>
        <w:docPartUnique/>
      </w:docPartObj>
    </w:sdtPr>
    <w:sdtContent>
      <w:p w:rsidR="00A148CA" w:rsidRDefault="00A148CA">
        <w:pPr>
          <w:pStyle w:val="Footer"/>
        </w:pPr>
        <w:fldSimple w:instr=" PAGE   \* MERGEFORMAT ">
          <w:r w:rsidR="001A3B81">
            <w:rPr>
              <w:noProof/>
            </w:rPr>
            <w:t>16</w:t>
          </w:r>
        </w:fldSimple>
      </w:p>
    </w:sdtContent>
  </w:sdt>
  <w:p w:rsidR="00A148CA" w:rsidRDefault="00A14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34119"/>
      <w:docPartObj>
        <w:docPartGallery w:val="Page Numbers (Bottom of Page)"/>
        <w:docPartUnique/>
      </w:docPartObj>
    </w:sdtPr>
    <w:sdtContent>
      <w:p w:rsidR="00A148CA" w:rsidRDefault="00A148CA">
        <w:pPr>
          <w:pStyle w:val="Footer"/>
        </w:pPr>
        <w:fldSimple w:instr=" PAGE   \* MERGEFORMAT ">
          <w:r w:rsidR="001A3B81">
            <w:rPr>
              <w:noProof/>
            </w:rPr>
            <w:t>11</w:t>
          </w:r>
        </w:fldSimple>
      </w:p>
    </w:sdtContent>
  </w:sdt>
  <w:p w:rsidR="00A148CA" w:rsidRDefault="00A14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Default="00A148CA">
    <w:pPr>
      <w:pStyle w:val="Footer"/>
    </w:pPr>
  </w:p>
  <w:p w:rsidR="00A148CA" w:rsidRPr="00A148CA" w:rsidRDefault="00A148CA" w:rsidP="00A148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34124"/>
      <w:docPartObj>
        <w:docPartGallery w:val="Page Numbers (Bottom of Page)"/>
        <w:docPartUnique/>
      </w:docPartObj>
    </w:sdtPr>
    <w:sdtContent>
      <w:p w:rsidR="00A148CA" w:rsidRDefault="00A148CA">
        <w:pPr>
          <w:pStyle w:val="Footer"/>
        </w:pPr>
        <w:fldSimple w:instr=" PAGE   \* MERGEFORMAT ">
          <w:r w:rsidR="001A3B81">
            <w:rPr>
              <w:noProof/>
            </w:rPr>
            <w:t>17</w:t>
          </w:r>
        </w:fldSimple>
      </w:p>
    </w:sdtContent>
  </w:sdt>
  <w:p w:rsidR="00A148CA" w:rsidRPr="00A148CA" w:rsidRDefault="00A148CA" w:rsidP="00A14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CA" w:rsidRDefault="00A148CA" w:rsidP="00C07DEC">
      <w:r>
        <w:separator/>
      </w:r>
    </w:p>
  </w:footnote>
  <w:footnote w:type="continuationSeparator" w:id="0">
    <w:p w:rsidR="00A148CA" w:rsidRDefault="00A148CA" w:rsidP="00C0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Odd"/>
    </w:pPr>
    <w:r>
      <w:t>Safe Work Australia – Overview &amp; resources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1E65BD">
    <w:pPr>
      <w:pStyle w:val="HeaderEven"/>
    </w:pPr>
    <w:r>
      <w:t>Safe Work Australia – Budgeted financial statements</w:t>
    </w:r>
  </w:p>
  <w:p w:rsidR="00A148CA" w:rsidRDefault="00A148C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1E65BD">
    <w:pPr>
      <w:pStyle w:val="HeaderOdd"/>
    </w:pPr>
    <w:r>
      <w:t>Safe Work Australia – Budgeted financial statements</w:t>
    </w:r>
  </w:p>
  <w:p w:rsidR="00A148CA" w:rsidRDefault="00A148CA" w:rsidP="00852D81">
    <w:pPr>
      <w:pStyle w:val="HeaderOdd"/>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1E65BD">
    <w:pPr>
      <w:pStyle w:val="HeaderEven"/>
    </w:pPr>
    <w:r>
      <w:t>Safe Work Australia – Budgeted financial statements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Odd"/>
    </w:pPr>
    <w:r>
      <w:t>Safe Work Australia – Budgeted financial statements</w:t>
    </w:r>
  </w:p>
  <w:p w:rsidR="00A148CA" w:rsidRDefault="00A148CA" w:rsidP="00852D81">
    <w:pPr>
      <w:pStyle w:val="HeaderOdd"/>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E93917">
    <w:pPr>
      <w:pStyle w:val="HeaderOdd"/>
    </w:pPr>
    <w:r>
      <w:t>Safe Work Australia – Budgeted financial statements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E93917">
    <w:pPr>
      <w:pStyle w:val="HeaderEven"/>
    </w:pPr>
    <w:r>
      <w:t>Safe Work Australia – Budgeted financial statements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A148CA">
    <w:pPr>
      <w:pStyle w:val="HeaderOdd"/>
      <w:jc w:val="left"/>
    </w:pPr>
    <w:r>
      <w:t>Safe Work Australia – Budgeted financial statements</w:t>
    </w:r>
  </w:p>
  <w:p w:rsidR="00A148CA" w:rsidRPr="00FD0F87" w:rsidRDefault="00A148CA" w:rsidP="001F503F">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Default="00A148CA" w:rsidP="001F503F">
    <w:pPr>
      <w:pStyle w:val="HeaderOdd"/>
    </w:pPr>
    <w:r>
      <w:t>Glossary &amp; Acronyms</w:t>
    </w:r>
  </w:p>
  <w:p w:rsidR="00A148CA" w:rsidRPr="00FD0F87" w:rsidRDefault="00A148CA" w:rsidP="001F503F">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A148CA">
    <w:pPr>
      <w:pStyle w:val="HeaderOdd"/>
    </w:pPr>
    <w:r>
      <w:t>Safe Work Australia – Budgeted financial statements</w:t>
    </w:r>
  </w:p>
  <w:p w:rsidR="00A148CA" w:rsidRPr="002A7FC8" w:rsidRDefault="00A148CA" w:rsidP="002A7FC8">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A148CA">
    <w:pPr>
      <w:pStyle w:val="HeaderOdd"/>
    </w:pPr>
    <w:r>
      <w:t>Safe Work Australia – Budgeted financial statements</w:t>
    </w:r>
  </w:p>
  <w:p w:rsidR="00A148CA" w:rsidRPr="002A7FC8" w:rsidRDefault="00A148CA" w:rsidP="002A7F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Even"/>
    </w:pPr>
    <w:r>
      <w:t>Safe Work Australia – Overview &amp; resources</w:t>
    </w:r>
  </w:p>
  <w:p w:rsidR="00A148CA" w:rsidRDefault="00A148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Odd"/>
    </w:pPr>
    <w:r>
      <w:t>Safe Work Australia – Overview &amp; resources</w:t>
    </w:r>
  </w:p>
  <w:p w:rsidR="00A148CA" w:rsidRDefault="00A148CA" w:rsidP="00852D81">
    <w:pPr>
      <w:pStyle w:val="HeaderOd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651812">
    <w:pPr>
      <w:pStyle w:val="HeaderEven"/>
    </w:pPr>
    <w:r>
      <w:t>Safe Work Australia – Overview &amp; resources</w:t>
    </w:r>
  </w:p>
  <w:p w:rsidR="00A148CA" w:rsidRPr="00651812" w:rsidRDefault="00A148CA" w:rsidP="0065181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Odd"/>
    </w:pPr>
    <w:r>
      <w:t>Safe Work Australia – Outcomes &amp; performance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Even"/>
    </w:pPr>
    <w:r>
      <w:t>Safe Work Australia – Outcomes &amp; performance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Odd"/>
    </w:pPr>
    <w:r>
      <w:t>Safe Work Australia – Outcomes &amp; performance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852D81">
    <w:pPr>
      <w:pStyle w:val="HeaderEven"/>
    </w:pPr>
    <w:r>
      <w:t>Safe Work Australia – Outcomes &amp; performance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CA" w:rsidRPr="00A23045" w:rsidRDefault="00A148CA" w:rsidP="00651812">
    <w:pPr>
      <w:pStyle w:val="HeaderOdd"/>
    </w:pPr>
    <w:r>
      <w:t>Safe Work Australia – Outcomes &amp; performance</w:t>
    </w:r>
  </w:p>
  <w:p w:rsidR="00A148CA" w:rsidRPr="00651812" w:rsidRDefault="00A148CA" w:rsidP="006518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6390"/>
    <w:multiLevelType w:val="hybridMultilevel"/>
    <w:tmpl w:val="C6C8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12197A03"/>
    <w:multiLevelType w:val="hybridMultilevel"/>
    <w:tmpl w:val="4C34FFFC"/>
    <w:name w:val="StandardBulletedList_"/>
    <w:lvl w:ilvl="0" w:tplc="D5ACBC36">
      <w:start w:val="1"/>
      <w:numFmt w:val="bullet"/>
      <w:lvlText w:val=""/>
      <w:lvlJc w:val="left"/>
      <w:pPr>
        <w:ind w:left="720" w:hanging="360"/>
      </w:pPr>
      <w:rPr>
        <w:rFonts w:ascii="Symbol" w:hAnsi="Symbol" w:hint="default"/>
      </w:rPr>
    </w:lvl>
    <w:lvl w:ilvl="1" w:tplc="F38AAE90" w:tentative="1">
      <w:start w:val="1"/>
      <w:numFmt w:val="bullet"/>
      <w:lvlText w:val="o"/>
      <w:lvlJc w:val="left"/>
      <w:pPr>
        <w:ind w:left="1440" w:hanging="360"/>
      </w:pPr>
      <w:rPr>
        <w:rFonts w:ascii="Courier New" w:hAnsi="Courier New" w:cs="Courier New" w:hint="default"/>
      </w:rPr>
    </w:lvl>
    <w:lvl w:ilvl="2" w:tplc="6B122FCE" w:tentative="1">
      <w:start w:val="1"/>
      <w:numFmt w:val="bullet"/>
      <w:lvlText w:val=""/>
      <w:lvlJc w:val="left"/>
      <w:pPr>
        <w:ind w:left="2160" w:hanging="360"/>
      </w:pPr>
      <w:rPr>
        <w:rFonts w:ascii="Wingdings" w:hAnsi="Wingdings" w:hint="default"/>
      </w:rPr>
    </w:lvl>
    <w:lvl w:ilvl="3" w:tplc="733C3BFC" w:tentative="1">
      <w:start w:val="1"/>
      <w:numFmt w:val="bullet"/>
      <w:lvlText w:val=""/>
      <w:lvlJc w:val="left"/>
      <w:pPr>
        <w:ind w:left="2880" w:hanging="360"/>
      </w:pPr>
      <w:rPr>
        <w:rFonts w:ascii="Symbol" w:hAnsi="Symbol" w:hint="default"/>
      </w:rPr>
    </w:lvl>
    <w:lvl w:ilvl="4" w:tplc="A2A076E6" w:tentative="1">
      <w:start w:val="1"/>
      <w:numFmt w:val="bullet"/>
      <w:lvlText w:val="o"/>
      <w:lvlJc w:val="left"/>
      <w:pPr>
        <w:ind w:left="3600" w:hanging="360"/>
      </w:pPr>
      <w:rPr>
        <w:rFonts w:ascii="Courier New" w:hAnsi="Courier New" w:cs="Courier New" w:hint="default"/>
      </w:rPr>
    </w:lvl>
    <w:lvl w:ilvl="5" w:tplc="DCBCB396" w:tentative="1">
      <w:start w:val="1"/>
      <w:numFmt w:val="bullet"/>
      <w:lvlText w:val=""/>
      <w:lvlJc w:val="left"/>
      <w:pPr>
        <w:ind w:left="4320" w:hanging="360"/>
      </w:pPr>
      <w:rPr>
        <w:rFonts w:ascii="Wingdings" w:hAnsi="Wingdings" w:hint="default"/>
      </w:rPr>
    </w:lvl>
    <w:lvl w:ilvl="6" w:tplc="14345D04" w:tentative="1">
      <w:start w:val="1"/>
      <w:numFmt w:val="bullet"/>
      <w:lvlText w:val=""/>
      <w:lvlJc w:val="left"/>
      <w:pPr>
        <w:ind w:left="5040" w:hanging="360"/>
      </w:pPr>
      <w:rPr>
        <w:rFonts w:ascii="Symbol" w:hAnsi="Symbol" w:hint="default"/>
      </w:rPr>
    </w:lvl>
    <w:lvl w:ilvl="7" w:tplc="EEC49A36" w:tentative="1">
      <w:start w:val="1"/>
      <w:numFmt w:val="bullet"/>
      <w:lvlText w:val="o"/>
      <w:lvlJc w:val="left"/>
      <w:pPr>
        <w:ind w:left="5760" w:hanging="360"/>
      </w:pPr>
      <w:rPr>
        <w:rFonts w:ascii="Courier New" w:hAnsi="Courier New" w:cs="Courier New" w:hint="default"/>
      </w:rPr>
    </w:lvl>
    <w:lvl w:ilvl="8" w:tplc="7C4E2990" w:tentative="1">
      <w:start w:val="1"/>
      <w:numFmt w:val="bullet"/>
      <w:lvlText w:val=""/>
      <w:lvlJc w:val="left"/>
      <w:pPr>
        <w:ind w:left="6480" w:hanging="360"/>
      </w:pPr>
      <w:rPr>
        <w:rFonts w:ascii="Wingdings" w:hAnsi="Wingdings" w:hint="default"/>
      </w:rPr>
    </w:lvl>
  </w:abstractNum>
  <w:abstractNum w:abstractNumId="3">
    <w:nsid w:val="1E0B4E6D"/>
    <w:multiLevelType w:val="hybridMultilevel"/>
    <w:tmpl w:val="F0440A16"/>
    <w:lvl w:ilvl="0" w:tplc="3BEE969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8B56203"/>
    <w:multiLevelType w:val="multilevel"/>
    <w:tmpl w:val="533E0A06"/>
    <w:name w:val="Box Bullet List"/>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5">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8596F0F"/>
    <w:multiLevelType w:val="hybridMultilevel"/>
    <w:tmpl w:val="9FF64D7E"/>
    <w:lvl w:ilvl="0" w:tplc="436859F8">
      <w:start w:val="1"/>
      <w:numFmt w:val="bullet"/>
      <w:pStyle w:val="TableBullet"/>
      <w:lvlText w:val=""/>
      <w:lvlJc w:val="left"/>
      <w:pPr>
        <w:ind w:left="720" w:hanging="360"/>
      </w:pPr>
      <w:rPr>
        <w:rFonts w:ascii="Wingdings" w:hAnsi="Wingdings" w:hint="default"/>
        <w:color w:val="auto"/>
      </w:rPr>
    </w:lvl>
    <w:lvl w:ilvl="1" w:tplc="F4D2AD92" w:tentative="1">
      <w:start w:val="1"/>
      <w:numFmt w:val="bullet"/>
      <w:lvlText w:val="o"/>
      <w:lvlJc w:val="left"/>
      <w:pPr>
        <w:ind w:left="1440" w:hanging="360"/>
      </w:pPr>
      <w:rPr>
        <w:rFonts w:ascii="Courier New" w:hAnsi="Courier New" w:cs="Courier New" w:hint="default"/>
      </w:rPr>
    </w:lvl>
    <w:lvl w:ilvl="2" w:tplc="245EB464" w:tentative="1">
      <w:start w:val="1"/>
      <w:numFmt w:val="bullet"/>
      <w:lvlText w:val=""/>
      <w:lvlJc w:val="left"/>
      <w:pPr>
        <w:ind w:left="2160" w:hanging="360"/>
      </w:pPr>
      <w:rPr>
        <w:rFonts w:ascii="Wingdings" w:hAnsi="Wingdings" w:hint="default"/>
      </w:rPr>
    </w:lvl>
    <w:lvl w:ilvl="3" w:tplc="182E00CE" w:tentative="1">
      <w:start w:val="1"/>
      <w:numFmt w:val="bullet"/>
      <w:lvlText w:val=""/>
      <w:lvlJc w:val="left"/>
      <w:pPr>
        <w:ind w:left="2880" w:hanging="360"/>
      </w:pPr>
      <w:rPr>
        <w:rFonts w:ascii="Symbol" w:hAnsi="Symbol" w:hint="default"/>
      </w:rPr>
    </w:lvl>
    <w:lvl w:ilvl="4" w:tplc="27F681A0" w:tentative="1">
      <w:start w:val="1"/>
      <w:numFmt w:val="bullet"/>
      <w:lvlText w:val="o"/>
      <w:lvlJc w:val="left"/>
      <w:pPr>
        <w:ind w:left="3600" w:hanging="360"/>
      </w:pPr>
      <w:rPr>
        <w:rFonts w:ascii="Courier New" w:hAnsi="Courier New" w:cs="Courier New" w:hint="default"/>
      </w:rPr>
    </w:lvl>
    <w:lvl w:ilvl="5" w:tplc="5E0C5432" w:tentative="1">
      <w:start w:val="1"/>
      <w:numFmt w:val="bullet"/>
      <w:lvlText w:val=""/>
      <w:lvlJc w:val="left"/>
      <w:pPr>
        <w:ind w:left="4320" w:hanging="360"/>
      </w:pPr>
      <w:rPr>
        <w:rFonts w:ascii="Wingdings" w:hAnsi="Wingdings" w:hint="default"/>
      </w:rPr>
    </w:lvl>
    <w:lvl w:ilvl="6" w:tplc="841EE532" w:tentative="1">
      <w:start w:val="1"/>
      <w:numFmt w:val="bullet"/>
      <w:lvlText w:val=""/>
      <w:lvlJc w:val="left"/>
      <w:pPr>
        <w:ind w:left="5040" w:hanging="360"/>
      </w:pPr>
      <w:rPr>
        <w:rFonts w:ascii="Symbol" w:hAnsi="Symbol" w:hint="default"/>
      </w:rPr>
    </w:lvl>
    <w:lvl w:ilvl="7" w:tplc="40F42D96" w:tentative="1">
      <w:start w:val="1"/>
      <w:numFmt w:val="bullet"/>
      <w:lvlText w:val="o"/>
      <w:lvlJc w:val="left"/>
      <w:pPr>
        <w:ind w:left="5760" w:hanging="360"/>
      </w:pPr>
      <w:rPr>
        <w:rFonts w:ascii="Courier New" w:hAnsi="Courier New" w:cs="Courier New" w:hint="default"/>
      </w:rPr>
    </w:lvl>
    <w:lvl w:ilvl="8" w:tplc="497EEBA2" w:tentative="1">
      <w:start w:val="1"/>
      <w:numFmt w:val="bullet"/>
      <w:lvlText w:val=""/>
      <w:lvlJc w:val="left"/>
      <w:pPr>
        <w:ind w:left="6480" w:hanging="360"/>
      </w:pPr>
      <w:rPr>
        <w:rFonts w:ascii="Wingdings" w:hAnsi="Wingdings" w:hint="default"/>
      </w:rPr>
    </w:lvl>
  </w:abstractNum>
  <w:abstractNum w:abstractNumId="8">
    <w:nsid w:val="3B2E19AC"/>
    <w:multiLevelType w:val="singleLevel"/>
    <w:tmpl w:val="07664886"/>
    <w:name w:val="TableTextBullet"/>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9">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0">
    <w:nsid w:val="4AAB57CE"/>
    <w:multiLevelType w:val="hybridMultilevel"/>
    <w:tmpl w:val="9EC0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8B2CA1"/>
    <w:multiLevelType w:val="hybridMultilevel"/>
    <w:tmpl w:val="D50487AA"/>
    <w:lvl w:ilvl="0" w:tplc="4050875E">
      <w:start w:val="1"/>
      <w:numFmt w:val="bullet"/>
      <w:lvlText w:val=""/>
      <w:lvlJc w:val="left"/>
      <w:pPr>
        <w:tabs>
          <w:tab w:val="num" w:pos="284"/>
        </w:tabs>
        <w:ind w:left="284" w:hanging="284"/>
      </w:pPr>
      <w:rPr>
        <w:rFonts w:ascii="Symbol" w:hAnsi="Symbol" w:hint="default"/>
        <w:sz w:val="18"/>
      </w:rPr>
    </w:lvl>
    <w:lvl w:ilvl="1" w:tplc="A6686926" w:tentative="1">
      <w:start w:val="1"/>
      <w:numFmt w:val="bullet"/>
      <w:lvlText w:val="o"/>
      <w:lvlJc w:val="left"/>
      <w:pPr>
        <w:tabs>
          <w:tab w:val="num" w:pos="1440"/>
        </w:tabs>
        <w:ind w:left="1440" w:hanging="360"/>
      </w:pPr>
      <w:rPr>
        <w:rFonts w:ascii="Courier New" w:hAnsi="Courier New" w:cs="Courier New" w:hint="default"/>
      </w:rPr>
    </w:lvl>
    <w:lvl w:ilvl="2" w:tplc="49E8B28E" w:tentative="1">
      <w:start w:val="1"/>
      <w:numFmt w:val="bullet"/>
      <w:lvlText w:val=""/>
      <w:lvlJc w:val="left"/>
      <w:pPr>
        <w:tabs>
          <w:tab w:val="num" w:pos="2160"/>
        </w:tabs>
        <w:ind w:left="2160" w:hanging="360"/>
      </w:pPr>
      <w:rPr>
        <w:rFonts w:ascii="Wingdings" w:hAnsi="Wingdings" w:hint="default"/>
      </w:rPr>
    </w:lvl>
    <w:lvl w:ilvl="3" w:tplc="92567560" w:tentative="1">
      <w:start w:val="1"/>
      <w:numFmt w:val="bullet"/>
      <w:lvlText w:val=""/>
      <w:lvlJc w:val="left"/>
      <w:pPr>
        <w:tabs>
          <w:tab w:val="num" w:pos="2880"/>
        </w:tabs>
        <w:ind w:left="2880" w:hanging="360"/>
      </w:pPr>
      <w:rPr>
        <w:rFonts w:ascii="Symbol" w:hAnsi="Symbol" w:hint="default"/>
      </w:rPr>
    </w:lvl>
    <w:lvl w:ilvl="4" w:tplc="89A043E4" w:tentative="1">
      <w:start w:val="1"/>
      <w:numFmt w:val="bullet"/>
      <w:lvlText w:val="o"/>
      <w:lvlJc w:val="left"/>
      <w:pPr>
        <w:tabs>
          <w:tab w:val="num" w:pos="3600"/>
        </w:tabs>
        <w:ind w:left="3600" w:hanging="360"/>
      </w:pPr>
      <w:rPr>
        <w:rFonts w:ascii="Courier New" w:hAnsi="Courier New" w:cs="Courier New" w:hint="default"/>
      </w:rPr>
    </w:lvl>
    <w:lvl w:ilvl="5" w:tplc="E9585DE0" w:tentative="1">
      <w:start w:val="1"/>
      <w:numFmt w:val="bullet"/>
      <w:lvlText w:val=""/>
      <w:lvlJc w:val="left"/>
      <w:pPr>
        <w:tabs>
          <w:tab w:val="num" w:pos="4320"/>
        </w:tabs>
        <w:ind w:left="4320" w:hanging="360"/>
      </w:pPr>
      <w:rPr>
        <w:rFonts w:ascii="Wingdings" w:hAnsi="Wingdings" w:hint="default"/>
      </w:rPr>
    </w:lvl>
    <w:lvl w:ilvl="6" w:tplc="BCF21F3E" w:tentative="1">
      <w:start w:val="1"/>
      <w:numFmt w:val="bullet"/>
      <w:lvlText w:val=""/>
      <w:lvlJc w:val="left"/>
      <w:pPr>
        <w:tabs>
          <w:tab w:val="num" w:pos="5040"/>
        </w:tabs>
        <w:ind w:left="5040" w:hanging="360"/>
      </w:pPr>
      <w:rPr>
        <w:rFonts w:ascii="Symbol" w:hAnsi="Symbol" w:hint="default"/>
      </w:rPr>
    </w:lvl>
    <w:lvl w:ilvl="7" w:tplc="FC68E72E" w:tentative="1">
      <w:start w:val="1"/>
      <w:numFmt w:val="bullet"/>
      <w:lvlText w:val="o"/>
      <w:lvlJc w:val="left"/>
      <w:pPr>
        <w:tabs>
          <w:tab w:val="num" w:pos="5760"/>
        </w:tabs>
        <w:ind w:left="5760" w:hanging="360"/>
      </w:pPr>
      <w:rPr>
        <w:rFonts w:ascii="Courier New" w:hAnsi="Courier New" w:cs="Courier New" w:hint="default"/>
      </w:rPr>
    </w:lvl>
    <w:lvl w:ilvl="8" w:tplc="5A9C657A" w:tentative="1">
      <w:start w:val="1"/>
      <w:numFmt w:val="bullet"/>
      <w:lvlText w:val=""/>
      <w:lvlJc w:val="left"/>
      <w:pPr>
        <w:tabs>
          <w:tab w:val="num" w:pos="6480"/>
        </w:tabs>
        <w:ind w:left="6480" w:hanging="360"/>
      </w:pPr>
      <w:rPr>
        <w:rFonts w:ascii="Wingdings" w:hAnsi="Wingdings" w:hint="default"/>
      </w:rPr>
    </w:lvl>
  </w:abstractNum>
  <w:abstractNum w:abstractNumId="12">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5ABE0699"/>
    <w:multiLevelType w:val="hybridMultilevel"/>
    <w:tmpl w:val="96C4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573951"/>
    <w:multiLevelType w:val="multilevel"/>
    <w:tmpl w:val="55E6D0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6B295D2E"/>
    <w:multiLevelType w:val="multilevel"/>
    <w:tmpl w:val="D67AA63A"/>
    <w:name w:val="Alpha Paragraph"/>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E92571"/>
    <w:multiLevelType w:val="hybridMultilevel"/>
    <w:tmpl w:val="AE92A546"/>
    <w:lvl w:ilvl="0" w:tplc="91F0368C">
      <w:start w:val="1"/>
      <w:numFmt w:val="bullet"/>
      <w:lvlText w:val=""/>
      <w:lvlJc w:val="left"/>
      <w:pPr>
        <w:tabs>
          <w:tab w:val="num" w:pos="360"/>
        </w:tabs>
        <w:ind w:left="360" w:hanging="360"/>
      </w:pPr>
      <w:rPr>
        <w:rFonts w:ascii="Symbol" w:hAnsi="Symbol" w:hint="default"/>
      </w:rPr>
    </w:lvl>
    <w:lvl w:ilvl="1" w:tplc="F0B4EB7E">
      <w:start w:val="1"/>
      <w:numFmt w:val="bullet"/>
      <w:lvlText w:val="o"/>
      <w:lvlJc w:val="left"/>
      <w:pPr>
        <w:tabs>
          <w:tab w:val="num" w:pos="1440"/>
        </w:tabs>
        <w:ind w:left="1440" w:hanging="360"/>
      </w:pPr>
      <w:rPr>
        <w:rFonts w:ascii="Courier New" w:hAnsi="Courier New" w:cs="Courier New" w:hint="default"/>
      </w:rPr>
    </w:lvl>
    <w:lvl w:ilvl="2" w:tplc="FE3E4B7C" w:tentative="1">
      <w:start w:val="1"/>
      <w:numFmt w:val="bullet"/>
      <w:lvlText w:val=""/>
      <w:lvlJc w:val="left"/>
      <w:pPr>
        <w:tabs>
          <w:tab w:val="num" w:pos="2160"/>
        </w:tabs>
        <w:ind w:left="2160" w:hanging="360"/>
      </w:pPr>
      <w:rPr>
        <w:rFonts w:ascii="Wingdings" w:hAnsi="Wingdings" w:hint="default"/>
      </w:rPr>
    </w:lvl>
    <w:lvl w:ilvl="3" w:tplc="47CA8F5E" w:tentative="1">
      <w:start w:val="1"/>
      <w:numFmt w:val="bullet"/>
      <w:lvlText w:val=""/>
      <w:lvlJc w:val="left"/>
      <w:pPr>
        <w:tabs>
          <w:tab w:val="num" w:pos="2880"/>
        </w:tabs>
        <w:ind w:left="2880" w:hanging="360"/>
      </w:pPr>
      <w:rPr>
        <w:rFonts w:ascii="Symbol" w:hAnsi="Symbol" w:hint="default"/>
      </w:rPr>
    </w:lvl>
    <w:lvl w:ilvl="4" w:tplc="A85C7F6E" w:tentative="1">
      <w:start w:val="1"/>
      <w:numFmt w:val="bullet"/>
      <w:lvlText w:val="o"/>
      <w:lvlJc w:val="left"/>
      <w:pPr>
        <w:tabs>
          <w:tab w:val="num" w:pos="3600"/>
        </w:tabs>
        <w:ind w:left="3600" w:hanging="360"/>
      </w:pPr>
      <w:rPr>
        <w:rFonts w:ascii="Courier New" w:hAnsi="Courier New" w:cs="Courier New" w:hint="default"/>
      </w:rPr>
    </w:lvl>
    <w:lvl w:ilvl="5" w:tplc="04F8142E" w:tentative="1">
      <w:start w:val="1"/>
      <w:numFmt w:val="bullet"/>
      <w:lvlText w:val=""/>
      <w:lvlJc w:val="left"/>
      <w:pPr>
        <w:tabs>
          <w:tab w:val="num" w:pos="4320"/>
        </w:tabs>
        <w:ind w:left="4320" w:hanging="360"/>
      </w:pPr>
      <w:rPr>
        <w:rFonts w:ascii="Wingdings" w:hAnsi="Wingdings" w:hint="default"/>
      </w:rPr>
    </w:lvl>
    <w:lvl w:ilvl="6" w:tplc="7B363238" w:tentative="1">
      <w:start w:val="1"/>
      <w:numFmt w:val="bullet"/>
      <w:lvlText w:val=""/>
      <w:lvlJc w:val="left"/>
      <w:pPr>
        <w:tabs>
          <w:tab w:val="num" w:pos="5040"/>
        </w:tabs>
        <w:ind w:left="5040" w:hanging="360"/>
      </w:pPr>
      <w:rPr>
        <w:rFonts w:ascii="Symbol" w:hAnsi="Symbol" w:hint="default"/>
      </w:rPr>
    </w:lvl>
    <w:lvl w:ilvl="7" w:tplc="D818A286" w:tentative="1">
      <w:start w:val="1"/>
      <w:numFmt w:val="bullet"/>
      <w:lvlText w:val="o"/>
      <w:lvlJc w:val="left"/>
      <w:pPr>
        <w:tabs>
          <w:tab w:val="num" w:pos="5760"/>
        </w:tabs>
        <w:ind w:left="5760" w:hanging="360"/>
      </w:pPr>
      <w:rPr>
        <w:rFonts w:ascii="Courier New" w:hAnsi="Courier New" w:cs="Courier New" w:hint="default"/>
      </w:rPr>
    </w:lvl>
    <w:lvl w:ilvl="8" w:tplc="61E62498" w:tentative="1">
      <w:start w:val="1"/>
      <w:numFmt w:val="bullet"/>
      <w:lvlText w:val=""/>
      <w:lvlJc w:val="left"/>
      <w:pPr>
        <w:tabs>
          <w:tab w:val="num" w:pos="6480"/>
        </w:tabs>
        <w:ind w:left="6480" w:hanging="360"/>
      </w:pPr>
      <w:rPr>
        <w:rFonts w:ascii="Wingdings" w:hAnsi="Wingdings" w:hint="default"/>
      </w:rPr>
    </w:lvl>
  </w:abstractNum>
  <w:abstractNum w:abstractNumId="19">
    <w:nsid w:val="743730C2"/>
    <w:multiLevelType w:val="hybridMultilevel"/>
    <w:tmpl w:val="36166FD4"/>
    <w:lvl w:ilvl="0" w:tplc="97D09E6C">
      <w:start w:val="1"/>
      <w:numFmt w:val="decimal"/>
      <w:lvlText w:val="%1"/>
      <w:lvlJc w:val="left"/>
      <w:pPr>
        <w:ind w:left="360" w:hanging="360"/>
      </w:pPr>
      <w:rPr>
        <w:rFonts w:hint="default"/>
      </w:rPr>
    </w:lvl>
    <w:lvl w:ilvl="1" w:tplc="3734304E" w:tentative="1">
      <w:start w:val="1"/>
      <w:numFmt w:val="lowerLetter"/>
      <w:lvlText w:val="%2."/>
      <w:lvlJc w:val="left"/>
      <w:pPr>
        <w:ind w:left="1080" w:hanging="360"/>
      </w:pPr>
    </w:lvl>
    <w:lvl w:ilvl="2" w:tplc="85E64420" w:tentative="1">
      <w:start w:val="1"/>
      <w:numFmt w:val="lowerRoman"/>
      <w:lvlText w:val="%3."/>
      <w:lvlJc w:val="right"/>
      <w:pPr>
        <w:ind w:left="1800" w:hanging="180"/>
      </w:pPr>
    </w:lvl>
    <w:lvl w:ilvl="3" w:tplc="D2C21B78" w:tentative="1">
      <w:start w:val="1"/>
      <w:numFmt w:val="decimal"/>
      <w:lvlText w:val="%4."/>
      <w:lvlJc w:val="left"/>
      <w:pPr>
        <w:ind w:left="2520" w:hanging="360"/>
      </w:pPr>
    </w:lvl>
    <w:lvl w:ilvl="4" w:tplc="12B6282C" w:tentative="1">
      <w:start w:val="1"/>
      <w:numFmt w:val="lowerLetter"/>
      <w:lvlText w:val="%5."/>
      <w:lvlJc w:val="left"/>
      <w:pPr>
        <w:ind w:left="3240" w:hanging="360"/>
      </w:pPr>
    </w:lvl>
    <w:lvl w:ilvl="5" w:tplc="9F42102E" w:tentative="1">
      <w:start w:val="1"/>
      <w:numFmt w:val="lowerRoman"/>
      <w:lvlText w:val="%6."/>
      <w:lvlJc w:val="right"/>
      <w:pPr>
        <w:ind w:left="3960" w:hanging="180"/>
      </w:pPr>
    </w:lvl>
    <w:lvl w:ilvl="6" w:tplc="2780E6D6" w:tentative="1">
      <w:start w:val="1"/>
      <w:numFmt w:val="decimal"/>
      <w:lvlText w:val="%7."/>
      <w:lvlJc w:val="left"/>
      <w:pPr>
        <w:ind w:left="4680" w:hanging="360"/>
      </w:pPr>
    </w:lvl>
    <w:lvl w:ilvl="7" w:tplc="653415A8" w:tentative="1">
      <w:start w:val="1"/>
      <w:numFmt w:val="lowerLetter"/>
      <w:lvlText w:val="%8."/>
      <w:lvlJc w:val="left"/>
      <w:pPr>
        <w:ind w:left="5400" w:hanging="360"/>
      </w:pPr>
    </w:lvl>
    <w:lvl w:ilvl="8" w:tplc="45E2541C" w:tentative="1">
      <w:start w:val="1"/>
      <w:numFmt w:val="lowerRoman"/>
      <w:lvlText w:val="%9."/>
      <w:lvlJc w:val="right"/>
      <w:pPr>
        <w:ind w:left="6120" w:hanging="180"/>
      </w:pPr>
    </w:lvl>
  </w:abstractNum>
  <w:abstractNum w:abstractNumId="2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77E316CF"/>
    <w:multiLevelType w:val="hybridMultilevel"/>
    <w:tmpl w:val="696A7FF8"/>
    <w:lvl w:ilvl="0" w:tplc="5FB2833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6"/>
  </w:num>
  <w:num w:numId="4">
    <w:abstractNumId w:val="8"/>
    <w:lvlOverride w:ilvl="0">
      <w:startOverride w:val="1"/>
    </w:lvlOverride>
  </w:num>
  <w:num w:numId="5">
    <w:abstractNumId w:val="20"/>
  </w:num>
  <w:num w:numId="6">
    <w:abstractNumId w:val="5"/>
  </w:num>
  <w:num w:numId="7">
    <w:abstractNumId w:val="12"/>
  </w:num>
  <w:num w:numId="8">
    <w:abstractNumId w:val="14"/>
  </w:num>
  <w:num w:numId="9">
    <w:abstractNumId w:val="15"/>
  </w:num>
  <w:num w:numId="10">
    <w:abstractNumId w:val="19"/>
  </w:num>
  <w:num w:numId="11">
    <w:abstractNumId w:val="6"/>
  </w:num>
  <w:num w:numId="12">
    <w:abstractNumId w:val="7"/>
  </w:num>
  <w:num w:numId="13">
    <w:abstractNumId w:val="17"/>
  </w:num>
  <w:num w:numId="14">
    <w:abstractNumId w:val="3"/>
  </w:num>
  <w:num w:numId="15">
    <w:abstractNumId w:val="18"/>
  </w:num>
  <w:num w:numId="16">
    <w:abstractNumId w:val="1"/>
  </w:num>
  <w:num w:numId="17">
    <w:abstractNumId w:val="1"/>
  </w:num>
  <w:num w:numId="18">
    <w:abstractNumId w:val="13"/>
  </w:num>
  <w:num w:numId="19">
    <w:abstractNumId w:val="0"/>
  </w:num>
  <w:num w:numId="20">
    <w:abstractNumId w:val="1"/>
  </w:num>
  <w:num w:numId="21">
    <w:abstractNumId w:val="10"/>
  </w:num>
  <w:num w:numId="22">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8"/>
  <w:stylePaneSortMethod w:val="0000"/>
  <w:defaultTabStop w:val="113"/>
  <w:evenAndOddHeaders/>
  <w:drawingGridHorizontalSpacing w:val="10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rsids>
    <w:rsidRoot w:val="0010657F"/>
    <w:rsid w:val="000011C4"/>
    <w:rsid w:val="00003AC4"/>
    <w:rsid w:val="00004B2B"/>
    <w:rsid w:val="000058F7"/>
    <w:rsid w:val="00012171"/>
    <w:rsid w:val="00013D25"/>
    <w:rsid w:val="0001438C"/>
    <w:rsid w:val="000153E8"/>
    <w:rsid w:val="00016D95"/>
    <w:rsid w:val="00021DA6"/>
    <w:rsid w:val="000220B0"/>
    <w:rsid w:val="000224AE"/>
    <w:rsid w:val="00026159"/>
    <w:rsid w:val="000300D7"/>
    <w:rsid w:val="0003138D"/>
    <w:rsid w:val="00033389"/>
    <w:rsid w:val="00033EF2"/>
    <w:rsid w:val="00036095"/>
    <w:rsid w:val="000369AC"/>
    <w:rsid w:val="0003724F"/>
    <w:rsid w:val="00042FDD"/>
    <w:rsid w:val="00044E79"/>
    <w:rsid w:val="00045667"/>
    <w:rsid w:val="0005466B"/>
    <w:rsid w:val="00054A04"/>
    <w:rsid w:val="00054CC3"/>
    <w:rsid w:val="0005600E"/>
    <w:rsid w:val="00056260"/>
    <w:rsid w:val="0005722F"/>
    <w:rsid w:val="00060890"/>
    <w:rsid w:val="00062EF6"/>
    <w:rsid w:val="00063C44"/>
    <w:rsid w:val="00065053"/>
    <w:rsid w:val="000655E4"/>
    <w:rsid w:val="000656AD"/>
    <w:rsid w:val="00065C71"/>
    <w:rsid w:val="00066E15"/>
    <w:rsid w:val="00067B6F"/>
    <w:rsid w:val="00067E1D"/>
    <w:rsid w:val="0007064C"/>
    <w:rsid w:val="00070779"/>
    <w:rsid w:val="000708DB"/>
    <w:rsid w:val="000725C0"/>
    <w:rsid w:val="00072B63"/>
    <w:rsid w:val="00073AF3"/>
    <w:rsid w:val="00074CE6"/>
    <w:rsid w:val="00075589"/>
    <w:rsid w:val="00077277"/>
    <w:rsid w:val="0007743A"/>
    <w:rsid w:val="00077CF4"/>
    <w:rsid w:val="00080069"/>
    <w:rsid w:val="00080F4F"/>
    <w:rsid w:val="00083141"/>
    <w:rsid w:val="0008449F"/>
    <w:rsid w:val="000924A7"/>
    <w:rsid w:val="00092770"/>
    <w:rsid w:val="00094B28"/>
    <w:rsid w:val="00097063"/>
    <w:rsid w:val="000A1A89"/>
    <w:rsid w:val="000A345B"/>
    <w:rsid w:val="000A372A"/>
    <w:rsid w:val="000A395D"/>
    <w:rsid w:val="000A51BC"/>
    <w:rsid w:val="000A56A5"/>
    <w:rsid w:val="000A5C86"/>
    <w:rsid w:val="000A67E1"/>
    <w:rsid w:val="000A6897"/>
    <w:rsid w:val="000A6DBE"/>
    <w:rsid w:val="000B1FC4"/>
    <w:rsid w:val="000B2404"/>
    <w:rsid w:val="000B2B3E"/>
    <w:rsid w:val="000B363B"/>
    <w:rsid w:val="000B36D8"/>
    <w:rsid w:val="000B3B7D"/>
    <w:rsid w:val="000B7CB7"/>
    <w:rsid w:val="000C19EF"/>
    <w:rsid w:val="000C1B2E"/>
    <w:rsid w:val="000C3B86"/>
    <w:rsid w:val="000C5874"/>
    <w:rsid w:val="000C6FB8"/>
    <w:rsid w:val="000D0B3B"/>
    <w:rsid w:val="000D13E5"/>
    <w:rsid w:val="000D43DE"/>
    <w:rsid w:val="000D4FCD"/>
    <w:rsid w:val="000E0A85"/>
    <w:rsid w:val="000E68E3"/>
    <w:rsid w:val="000E6DDB"/>
    <w:rsid w:val="000E74A6"/>
    <w:rsid w:val="000F03B1"/>
    <w:rsid w:val="000F08AE"/>
    <w:rsid w:val="000F2877"/>
    <w:rsid w:val="000F2D33"/>
    <w:rsid w:val="000F396E"/>
    <w:rsid w:val="000F43F4"/>
    <w:rsid w:val="000F440E"/>
    <w:rsid w:val="000F6C6A"/>
    <w:rsid w:val="000F73B7"/>
    <w:rsid w:val="000F7E7B"/>
    <w:rsid w:val="001002F8"/>
    <w:rsid w:val="0010233E"/>
    <w:rsid w:val="001028CC"/>
    <w:rsid w:val="00103E92"/>
    <w:rsid w:val="001045F9"/>
    <w:rsid w:val="0010472B"/>
    <w:rsid w:val="0010657F"/>
    <w:rsid w:val="0011070F"/>
    <w:rsid w:val="00111726"/>
    <w:rsid w:val="00112D0F"/>
    <w:rsid w:val="00112F6B"/>
    <w:rsid w:val="001133E0"/>
    <w:rsid w:val="0011490A"/>
    <w:rsid w:val="001163D6"/>
    <w:rsid w:val="0011726A"/>
    <w:rsid w:val="00121EB0"/>
    <w:rsid w:val="00123925"/>
    <w:rsid w:val="00126641"/>
    <w:rsid w:val="0012695F"/>
    <w:rsid w:val="00133D3A"/>
    <w:rsid w:val="00135505"/>
    <w:rsid w:val="00136C12"/>
    <w:rsid w:val="001379F9"/>
    <w:rsid w:val="00143E88"/>
    <w:rsid w:val="001455D8"/>
    <w:rsid w:val="00145DA7"/>
    <w:rsid w:val="001465F4"/>
    <w:rsid w:val="00151ABB"/>
    <w:rsid w:val="0015316B"/>
    <w:rsid w:val="00154447"/>
    <w:rsid w:val="00154F5B"/>
    <w:rsid w:val="00161DAC"/>
    <w:rsid w:val="00162B55"/>
    <w:rsid w:val="00162D8B"/>
    <w:rsid w:val="001638E9"/>
    <w:rsid w:val="00171A85"/>
    <w:rsid w:val="00172CFC"/>
    <w:rsid w:val="00174565"/>
    <w:rsid w:val="00175BB3"/>
    <w:rsid w:val="001808A4"/>
    <w:rsid w:val="00184BFF"/>
    <w:rsid w:val="00185361"/>
    <w:rsid w:val="0018536C"/>
    <w:rsid w:val="00186167"/>
    <w:rsid w:val="001923C8"/>
    <w:rsid w:val="00194D4A"/>
    <w:rsid w:val="00195F24"/>
    <w:rsid w:val="001A0106"/>
    <w:rsid w:val="001A02CB"/>
    <w:rsid w:val="001A11DB"/>
    <w:rsid w:val="001A27C6"/>
    <w:rsid w:val="001A3B81"/>
    <w:rsid w:val="001A4F23"/>
    <w:rsid w:val="001A4F74"/>
    <w:rsid w:val="001A5A2B"/>
    <w:rsid w:val="001A6256"/>
    <w:rsid w:val="001A789B"/>
    <w:rsid w:val="001B0C75"/>
    <w:rsid w:val="001B0C98"/>
    <w:rsid w:val="001B2546"/>
    <w:rsid w:val="001B3512"/>
    <w:rsid w:val="001B4039"/>
    <w:rsid w:val="001B44C2"/>
    <w:rsid w:val="001B659F"/>
    <w:rsid w:val="001B7655"/>
    <w:rsid w:val="001C1166"/>
    <w:rsid w:val="001C25F3"/>
    <w:rsid w:val="001C7180"/>
    <w:rsid w:val="001C7B78"/>
    <w:rsid w:val="001D16B6"/>
    <w:rsid w:val="001D1942"/>
    <w:rsid w:val="001D1DDB"/>
    <w:rsid w:val="001D53EA"/>
    <w:rsid w:val="001D6F7C"/>
    <w:rsid w:val="001E0F4E"/>
    <w:rsid w:val="001E12A5"/>
    <w:rsid w:val="001E188D"/>
    <w:rsid w:val="001E3A18"/>
    <w:rsid w:val="001E65BD"/>
    <w:rsid w:val="001E717D"/>
    <w:rsid w:val="001E71F5"/>
    <w:rsid w:val="001E7D86"/>
    <w:rsid w:val="001F1E52"/>
    <w:rsid w:val="001F246A"/>
    <w:rsid w:val="001F377B"/>
    <w:rsid w:val="001F3CF9"/>
    <w:rsid w:val="001F503F"/>
    <w:rsid w:val="001F55E5"/>
    <w:rsid w:val="001F5CB9"/>
    <w:rsid w:val="001F5EF7"/>
    <w:rsid w:val="0020036D"/>
    <w:rsid w:val="00200CCD"/>
    <w:rsid w:val="00200DC3"/>
    <w:rsid w:val="002050B0"/>
    <w:rsid w:val="002052C5"/>
    <w:rsid w:val="00205D80"/>
    <w:rsid w:val="00205E57"/>
    <w:rsid w:val="00206FFB"/>
    <w:rsid w:val="0021093F"/>
    <w:rsid w:val="002133CA"/>
    <w:rsid w:val="002150B2"/>
    <w:rsid w:val="00215783"/>
    <w:rsid w:val="0021644B"/>
    <w:rsid w:val="00217CA0"/>
    <w:rsid w:val="002202EB"/>
    <w:rsid w:val="00220FCF"/>
    <w:rsid w:val="00221705"/>
    <w:rsid w:val="00225FD6"/>
    <w:rsid w:val="002329C3"/>
    <w:rsid w:val="002332AE"/>
    <w:rsid w:val="002333C2"/>
    <w:rsid w:val="00234040"/>
    <w:rsid w:val="00244D22"/>
    <w:rsid w:val="00246C09"/>
    <w:rsid w:val="00257FF4"/>
    <w:rsid w:val="002605AF"/>
    <w:rsid w:val="002608CE"/>
    <w:rsid w:val="0026279C"/>
    <w:rsid w:val="002629DB"/>
    <w:rsid w:val="00262CD3"/>
    <w:rsid w:val="0026431F"/>
    <w:rsid w:val="00265289"/>
    <w:rsid w:val="00266613"/>
    <w:rsid w:val="00266FE9"/>
    <w:rsid w:val="00267185"/>
    <w:rsid w:val="002755B3"/>
    <w:rsid w:val="0027593D"/>
    <w:rsid w:val="0027614D"/>
    <w:rsid w:val="00281CF6"/>
    <w:rsid w:val="0028359B"/>
    <w:rsid w:val="002857FE"/>
    <w:rsid w:val="002909B6"/>
    <w:rsid w:val="00291336"/>
    <w:rsid w:val="00292D6A"/>
    <w:rsid w:val="0029312A"/>
    <w:rsid w:val="00293B2D"/>
    <w:rsid w:val="00294F71"/>
    <w:rsid w:val="002960B7"/>
    <w:rsid w:val="002962C5"/>
    <w:rsid w:val="002977F2"/>
    <w:rsid w:val="00297824"/>
    <w:rsid w:val="002A03A2"/>
    <w:rsid w:val="002A0452"/>
    <w:rsid w:val="002A153F"/>
    <w:rsid w:val="002A5329"/>
    <w:rsid w:val="002A5C2D"/>
    <w:rsid w:val="002A61E5"/>
    <w:rsid w:val="002A740D"/>
    <w:rsid w:val="002A7FC8"/>
    <w:rsid w:val="002B0A81"/>
    <w:rsid w:val="002B1CE7"/>
    <w:rsid w:val="002B2F0F"/>
    <w:rsid w:val="002B4F31"/>
    <w:rsid w:val="002B5F6A"/>
    <w:rsid w:val="002B6D9A"/>
    <w:rsid w:val="002B779E"/>
    <w:rsid w:val="002B7D78"/>
    <w:rsid w:val="002C0552"/>
    <w:rsid w:val="002C14DD"/>
    <w:rsid w:val="002C280B"/>
    <w:rsid w:val="002C2DB0"/>
    <w:rsid w:val="002C4BF4"/>
    <w:rsid w:val="002C75B0"/>
    <w:rsid w:val="002C7703"/>
    <w:rsid w:val="002C7A63"/>
    <w:rsid w:val="002D0153"/>
    <w:rsid w:val="002D15CC"/>
    <w:rsid w:val="002D403A"/>
    <w:rsid w:val="002D4262"/>
    <w:rsid w:val="002D4D35"/>
    <w:rsid w:val="002D6F30"/>
    <w:rsid w:val="002E1064"/>
    <w:rsid w:val="002E1157"/>
    <w:rsid w:val="002E323F"/>
    <w:rsid w:val="002E6E62"/>
    <w:rsid w:val="002E7736"/>
    <w:rsid w:val="002F3EA8"/>
    <w:rsid w:val="002F6F52"/>
    <w:rsid w:val="00300013"/>
    <w:rsid w:val="003006F8"/>
    <w:rsid w:val="00300BF2"/>
    <w:rsid w:val="003027C1"/>
    <w:rsid w:val="00303EF6"/>
    <w:rsid w:val="00305718"/>
    <w:rsid w:val="00305C7E"/>
    <w:rsid w:val="003077B8"/>
    <w:rsid w:val="00307F3F"/>
    <w:rsid w:val="003111F8"/>
    <w:rsid w:val="00311427"/>
    <w:rsid w:val="0031204A"/>
    <w:rsid w:val="0031272B"/>
    <w:rsid w:val="003138CA"/>
    <w:rsid w:val="00315085"/>
    <w:rsid w:val="0032038C"/>
    <w:rsid w:val="00321C0A"/>
    <w:rsid w:val="00322DBA"/>
    <w:rsid w:val="00325C5E"/>
    <w:rsid w:val="00331C5F"/>
    <w:rsid w:val="00333074"/>
    <w:rsid w:val="00334ED2"/>
    <w:rsid w:val="003351BE"/>
    <w:rsid w:val="00337F82"/>
    <w:rsid w:val="00343571"/>
    <w:rsid w:val="003435D6"/>
    <w:rsid w:val="003458E0"/>
    <w:rsid w:val="00345CCD"/>
    <w:rsid w:val="003511CE"/>
    <w:rsid w:val="00352BE0"/>
    <w:rsid w:val="0035333E"/>
    <w:rsid w:val="003533B2"/>
    <w:rsid w:val="00357609"/>
    <w:rsid w:val="00357DAE"/>
    <w:rsid w:val="00361259"/>
    <w:rsid w:val="00361429"/>
    <w:rsid w:val="003705BF"/>
    <w:rsid w:val="00370935"/>
    <w:rsid w:val="003737B0"/>
    <w:rsid w:val="00374FE3"/>
    <w:rsid w:val="003821D2"/>
    <w:rsid w:val="00382234"/>
    <w:rsid w:val="00384062"/>
    <w:rsid w:val="00385BEF"/>
    <w:rsid w:val="0038672F"/>
    <w:rsid w:val="00386F24"/>
    <w:rsid w:val="0039053D"/>
    <w:rsid w:val="0039449C"/>
    <w:rsid w:val="003A0290"/>
    <w:rsid w:val="003A3E07"/>
    <w:rsid w:val="003A48FF"/>
    <w:rsid w:val="003A49CC"/>
    <w:rsid w:val="003A5FD0"/>
    <w:rsid w:val="003B07C1"/>
    <w:rsid w:val="003B0D03"/>
    <w:rsid w:val="003B2C1F"/>
    <w:rsid w:val="003B71EE"/>
    <w:rsid w:val="003B71FC"/>
    <w:rsid w:val="003B7621"/>
    <w:rsid w:val="003C1EB4"/>
    <w:rsid w:val="003C6EEB"/>
    <w:rsid w:val="003D05BD"/>
    <w:rsid w:val="003D1E47"/>
    <w:rsid w:val="003D1E7F"/>
    <w:rsid w:val="003D3C14"/>
    <w:rsid w:val="003D4557"/>
    <w:rsid w:val="003D543D"/>
    <w:rsid w:val="003D59FD"/>
    <w:rsid w:val="003D68A8"/>
    <w:rsid w:val="003D713F"/>
    <w:rsid w:val="003E10B8"/>
    <w:rsid w:val="003E122D"/>
    <w:rsid w:val="003E13F5"/>
    <w:rsid w:val="003E4E15"/>
    <w:rsid w:val="003E5AE8"/>
    <w:rsid w:val="003F07EE"/>
    <w:rsid w:val="003F29F2"/>
    <w:rsid w:val="003F47DF"/>
    <w:rsid w:val="00403D72"/>
    <w:rsid w:val="00405E90"/>
    <w:rsid w:val="004065CE"/>
    <w:rsid w:val="004105DD"/>
    <w:rsid w:val="00410DCE"/>
    <w:rsid w:val="0041429D"/>
    <w:rsid w:val="0041669E"/>
    <w:rsid w:val="0041765C"/>
    <w:rsid w:val="00420457"/>
    <w:rsid w:val="00420837"/>
    <w:rsid w:val="004212CF"/>
    <w:rsid w:val="00421EEC"/>
    <w:rsid w:val="00422933"/>
    <w:rsid w:val="004248B4"/>
    <w:rsid w:val="00424C66"/>
    <w:rsid w:val="00427E16"/>
    <w:rsid w:val="00430B93"/>
    <w:rsid w:val="0043144A"/>
    <w:rsid w:val="00431BF1"/>
    <w:rsid w:val="004325FC"/>
    <w:rsid w:val="004342F8"/>
    <w:rsid w:val="00434957"/>
    <w:rsid w:val="00434A2F"/>
    <w:rsid w:val="0044083A"/>
    <w:rsid w:val="00440F27"/>
    <w:rsid w:val="004426D7"/>
    <w:rsid w:val="004434D3"/>
    <w:rsid w:val="004501CB"/>
    <w:rsid w:val="00451501"/>
    <w:rsid w:val="00452888"/>
    <w:rsid w:val="004528D0"/>
    <w:rsid w:val="004546B5"/>
    <w:rsid w:val="004562E5"/>
    <w:rsid w:val="00457293"/>
    <w:rsid w:val="00457BC3"/>
    <w:rsid w:val="0046034D"/>
    <w:rsid w:val="0046237B"/>
    <w:rsid w:val="0046390C"/>
    <w:rsid w:val="00465F8C"/>
    <w:rsid w:val="00467BDD"/>
    <w:rsid w:val="004717F6"/>
    <w:rsid w:val="0047629D"/>
    <w:rsid w:val="00480678"/>
    <w:rsid w:val="004815F8"/>
    <w:rsid w:val="00481E32"/>
    <w:rsid w:val="00482E5C"/>
    <w:rsid w:val="004831ED"/>
    <w:rsid w:val="004836A7"/>
    <w:rsid w:val="00484921"/>
    <w:rsid w:val="00485811"/>
    <w:rsid w:val="00486543"/>
    <w:rsid w:val="00486614"/>
    <w:rsid w:val="004879CE"/>
    <w:rsid w:val="00487E11"/>
    <w:rsid w:val="00487FB8"/>
    <w:rsid w:val="00490BDA"/>
    <w:rsid w:val="00491FB2"/>
    <w:rsid w:val="00491FE1"/>
    <w:rsid w:val="00492946"/>
    <w:rsid w:val="00495C39"/>
    <w:rsid w:val="004A0E8F"/>
    <w:rsid w:val="004A28C5"/>
    <w:rsid w:val="004A28E7"/>
    <w:rsid w:val="004A2EEF"/>
    <w:rsid w:val="004A475A"/>
    <w:rsid w:val="004A660C"/>
    <w:rsid w:val="004A728F"/>
    <w:rsid w:val="004B0B19"/>
    <w:rsid w:val="004B37A7"/>
    <w:rsid w:val="004B4254"/>
    <w:rsid w:val="004B4426"/>
    <w:rsid w:val="004B5F2A"/>
    <w:rsid w:val="004B74B2"/>
    <w:rsid w:val="004C1D2B"/>
    <w:rsid w:val="004C2A17"/>
    <w:rsid w:val="004C302A"/>
    <w:rsid w:val="004C7A2F"/>
    <w:rsid w:val="004C7EFC"/>
    <w:rsid w:val="004D23A9"/>
    <w:rsid w:val="004D29F5"/>
    <w:rsid w:val="004D4CEF"/>
    <w:rsid w:val="004D7804"/>
    <w:rsid w:val="004E2825"/>
    <w:rsid w:val="004E30F7"/>
    <w:rsid w:val="004E369F"/>
    <w:rsid w:val="004E62E4"/>
    <w:rsid w:val="004E6538"/>
    <w:rsid w:val="004F0F5B"/>
    <w:rsid w:val="004F22B8"/>
    <w:rsid w:val="004F2437"/>
    <w:rsid w:val="004F634F"/>
    <w:rsid w:val="004F71C7"/>
    <w:rsid w:val="0050060B"/>
    <w:rsid w:val="0050141B"/>
    <w:rsid w:val="005016BD"/>
    <w:rsid w:val="00502638"/>
    <w:rsid w:val="005048E3"/>
    <w:rsid w:val="00505A77"/>
    <w:rsid w:val="00505CB3"/>
    <w:rsid w:val="00506084"/>
    <w:rsid w:val="00506EB0"/>
    <w:rsid w:val="005105B8"/>
    <w:rsid w:val="005136CD"/>
    <w:rsid w:val="00515699"/>
    <w:rsid w:val="00516727"/>
    <w:rsid w:val="00521860"/>
    <w:rsid w:val="005222CC"/>
    <w:rsid w:val="005231C8"/>
    <w:rsid w:val="00525AB1"/>
    <w:rsid w:val="005277F5"/>
    <w:rsid w:val="005310C1"/>
    <w:rsid w:val="00532994"/>
    <w:rsid w:val="005329BE"/>
    <w:rsid w:val="00533515"/>
    <w:rsid w:val="00534AC0"/>
    <w:rsid w:val="00535557"/>
    <w:rsid w:val="0053606A"/>
    <w:rsid w:val="005369C0"/>
    <w:rsid w:val="00537CE4"/>
    <w:rsid w:val="00541254"/>
    <w:rsid w:val="00542136"/>
    <w:rsid w:val="00542BA5"/>
    <w:rsid w:val="00547EB8"/>
    <w:rsid w:val="005507C5"/>
    <w:rsid w:val="00551587"/>
    <w:rsid w:val="00552FC2"/>
    <w:rsid w:val="00553DA2"/>
    <w:rsid w:val="00554590"/>
    <w:rsid w:val="005561D5"/>
    <w:rsid w:val="00557A85"/>
    <w:rsid w:val="005606B5"/>
    <w:rsid w:val="00572489"/>
    <w:rsid w:val="00572670"/>
    <w:rsid w:val="00573680"/>
    <w:rsid w:val="00574906"/>
    <w:rsid w:val="00574E9E"/>
    <w:rsid w:val="005752BC"/>
    <w:rsid w:val="00577977"/>
    <w:rsid w:val="00577F1A"/>
    <w:rsid w:val="00581782"/>
    <w:rsid w:val="00581D30"/>
    <w:rsid w:val="005822FD"/>
    <w:rsid w:val="00583E56"/>
    <w:rsid w:val="00584245"/>
    <w:rsid w:val="00584D80"/>
    <w:rsid w:val="00586BB5"/>
    <w:rsid w:val="00587240"/>
    <w:rsid w:val="0059026A"/>
    <w:rsid w:val="00590B75"/>
    <w:rsid w:val="00590DAA"/>
    <w:rsid w:val="00592349"/>
    <w:rsid w:val="00595EFF"/>
    <w:rsid w:val="00596F3F"/>
    <w:rsid w:val="00597EEF"/>
    <w:rsid w:val="005A1C4E"/>
    <w:rsid w:val="005A3443"/>
    <w:rsid w:val="005A4A1A"/>
    <w:rsid w:val="005A61D3"/>
    <w:rsid w:val="005A7E70"/>
    <w:rsid w:val="005B0F20"/>
    <w:rsid w:val="005B5ECB"/>
    <w:rsid w:val="005B6DAA"/>
    <w:rsid w:val="005B7314"/>
    <w:rsid w:val="005B7D8B"/>
    <w:rsid w:val="005C03F6"/>
    <w:rsid w:val="005C0475"/>
    <w:rsid w:val="005C1569"/>
    <w:rsid w:val="005C16E7"/>
    <w:rsid w:val="005C4604"/>
    <w:rsid w:val="005C4C46"/>
    <w:rsid w:val="005C555E"/>
    <w:rsid w:val="005C6B78"/>
    <w:rsid w:val="005C6E74"/>
    <w:rsid w:val="005C781C"/>
    <w:rsid w:val="005D084A"/>
    <w:rsid w:val="005D0E7D"/>
    <w:rsid w:val="005D377D"/>
    <w:rsid w:val="005D3C6B"/>
    <w:rsid w:val="005D5EC5"/>
    <w:rsid w:val="005D7A35"/>
    <w:rsid w:val="005E034F"/>
    <w:rsid w:val="005E442F"/>
    <w:rsid w:val="005E45E2"/>
    <w:rsid w:val="005E4D17"/>
    <w:rsid w:val="005E4E1A"/>
    <w:rsid w:val="005E61D8"/>
    <w:rsid w:val="005E7E2C"/>
    <w:rsid w:val="005F00BD"/>
    <w:rsid w:val="005F0DD8"/>
    <w:rsid w:val="005F29CD"/>
    <w:rsid w:val="005F3175"/>
    <w:rsid w:val="005F3436"/>
    <w:rsid w:val="005F44DB"/>
    <w:rsid w:val="005F642B"/>
    <w:rsid w:val="0060117D"/>
    <w:rsid w:val="00601E14"/>
    <w:rsid w:val="006026E1"/>
    <w:rsid w:val="00603A90"/>
    <w:rsid w:val="00603ABE"/>
    <w:rsid w:val="006065BF"/>
    <w:rsid w:val="006103D0"/>
    <w:rsid w:val="006110E1"/>
    <w:rsid w:val="00612C47"/>
    <w:rsid w:val="0061364A"/>
    <w:rsid w:val="0061402C"/>
    <w:rsid w:val="0061675B"/>
    <w:rsid w:val="0062008C"/>
    <w:rsid w:val="0062052B"/>
    <w:rsid w:val="00620BFF"/>
    <w:rsid w:val="00621A86"/>
    <w:rsid w:val="00623401"/>
    <w:rsid w:val="0062343A"/>
    <w:rsid w:val="00625C40"/>
    <w:rsid w:val="00627E7C"/>
    <w:rsid w:val="00631369"/>
    <w:rsid w:val="0063262D"/>
    <w:rsid w:val="00633080"/>
    <w:rsid w:val="006340F7"/>
    <w:rsid w:val="00634D9F"/>
    <w:rsid w:val="00637BBD"/>
    <w:rsid w:val="00640D17"/>
    <w:rsid w:val="0064209A"/>
    <w:rsid w:val="006474C0"/>
    <w:rsid w:val="00647927"/>
    <w:rsid w:val="006500A8"/>
    <w:rsid w:val="00651812"/>
    <w:rsid w:val="00652B9B"/>
    <w:rsid w:val="00653DD9"/>
    <w:rsid w:val="00654E6A"/>
    <w:rsid w:val="0065644D"/>
    <w:rsid w:val="006575F3"/>
    <w:rsid w:val="00664E08"/>
    <w:rsid w:val="0066653E"/>
    <w:rsid w:val="00666DDD"/>
    <w:rsid w:val="0066774D"/>
    <w:rsid w:val="00667F42"/>
    <w:rsid w:val="00671284"/>
    <w:rsid w:val="00671462"/>
    <w:rsid w:val="006758C0"/>
    <w:rsid w:val="00676E5B"/>
    <w:rsid w:val="00677D6B"/>
    <w:rsid w:val="00680795"/>
    <w:rsid w:val="006810B2"/>
    <w:rsid w:val="00682713"/>
    <w:rsid w:val="006827B5"/>
    <w:rsid w:val="00683579"/>
    <w:rsid w:val="00684629"/>
    <w:rsid w:val="006854CE"/>
    <w:rsid w:val="0068561A"/>
    <w:rsid w:val="0068790B"/>
    <w:rsid w:val="006941DD"/>
    <w:rsid w:val="0069466B"/>
    <w:rsid w:val="006A1330"/>
    <w:rsid w:val="006A32F6"/>
    <w:rsid w:val="006A5866"/>
    <w:rsid w:val="006B0096"/>
    <w:rsid w:val="006B04A0"/>
    <w:rsid w:val="006B0F54"/>
    <w:rsid w:val="006B2127"/>
    <w:rsid w:val="006B415B"/>
    <w:rsid w:val="006B4841"/>
    <w:rsid w:val="006B4C95"/>
    <w:rsid w:val="006B4CBA"/>
    <w:rsid w:val="006B5981"/>
    <w:rsid w:val="006C1FA5"/>
    <w:rsid w:val="006C4E45"/>
    <w:rsid w:val="006C5EE1"/>
    <w:rsid w:val="006C61B1"/>
    <w:rsid w:val="006C700E"/>
    <w:rsid w:val="006D0498"/>
    <w:rsid w:val="006D0603"/>
    <w:rsid w:val="006D0669"/>
    <w:rsid w:val="006D0CA8"/>
    <w:rsid w:val="006D3771"/>
    <w:rsid w:val="006D440A"/>
    <w:rsid w:val="006D62BE"/>
    <w:rsid w:val="006D7B71"/>
    <w:rsid w:val="006E0006"/>
    <w:rsid w:val="006E1C5F"/>
    <w:rsid w:val="006E336C"/>
    <w:rsid w:val="006E3B9E"/>
    <w:rsid w:val="006E4131"/>
    <w:rsid w:val="006E445D"/>
    <w:rsid w:val="006E4A27"/>
    <w:rsid w:val="006E503E"/>
    <w:rsid w:val="006E51EF"/>
    <w:rsid w:val="006E5828"/>
    <w:rsid w:val="006E6298"/>
    <w:rsid w:val="006E6B73"/>
    <w:rsid w:val="006E784F"/>
    <w:rsid w:val="006F0B4F"/>
    <w:rsid w:val="006F2DF3"/>
    <w:rsid w:val="006F3C6F"/>
    <w:rsid w:val="006F41C6"/>
    <w:rsid w:val="006F4C2B"/>
    <w:rsid w:val="006F5DD9"/>
    <w:rsid w:val="006F675E"/>
    <w:rsid w:val="006F6FA2"/>
    <w:rsid w:val="007001D0"/>
    <w:rsid w:val="00701498"/>
    <w:rsid w:val="00701CB0"/>
    <w:rsid w:val="00701E70"/>
    <w:rsid w:val="007027D7"/>
    <w:rsid w:val="00704F47"/>
    <w:rsid w:val="007069A3"/>
    <w:rsid w:val="00706E8C"/>
    <w:rsid w:val="007072C2"/>
    <w:rsid w:val="0070746B"/>
    <w:rsid w:val="007075CA"/>
    <w:rsid w:val="00707B1A"/>
    <w:rsid w:val="0071151E"/>
    <w:rsid w:val="00711D20"/>
    <w:rsid w:val="00713895"/>
    <w:rsid w:val="0071482B"/>
    <w:rsid w:val="00714C8F"/>
    <w:rsid w:val="00715A32"/>
    <w:rsid w:val="00716F57"/>
    <w:rsid w:val="00721409"/>
    <w:rsid w:val="007221A2"/>
    <w:rsid w:val="00722935"/>
    <w:rsid w:val="00727815"/>
    <w:rsid w:val="00730E31"/>
    <w:rsid w:val="00733250"/>
    <w:rsid w:val="00734E06"/>
    <w:rsid w:val="007365EE"/>
    <w:rsid w:val="00736E9D"/>
    <w:rsid w:val="00737B37"/>
    <w:rsid w:val="0074023D"/>
    <w:rsid w:val="00740EF1"/>
    <w:rsid w:val="00743294"/>
    <w:rsid w:val="0074445A"/>
    <w:rsid w:val="00744DBD"/>
    <w:rsid w:val="00746EE5"/>
    <w:rsid w:val="00750AF4"/>
    <w:rsid w:val="00750E55"/>
    <w:rsid w:val="00753A71"/>
    <w:rsid w:val="007561F0"/>
    <w:rsid w:val="0075754A"/>
    <w:rsid w:val="0076083D"/>
    <w:rsid w:val="00761DC2"/>
    <w:rsid w:val="00762B1E"/>
    <w:rsid w:val="00766015"/>
    <w:rsid w:val="00766434"/>
    <w:rsid w:val="0076666C"/>
    <w:rsid w:val="00770BE7"/>
    <w:rsid w:val="00770E10"/>
    <w:rsid w:val="00772107"/>
    <w:rsid w:val="00772709"/>
    <w:rsid w:val="00775146"/>
    <w:rsid w:val="00776097"/>
    <w:rsid w:val="007766A5"/>
    <w:rsid w:val="0077686C"/>
    <w:rsid w:val="007772E2"/>
    <w:rsid w:val="0078016D"/>
    <w:rsid w:val="00783D94"/>
    <w:rsid w:val="00784AD6"/>
    <w:rsid w:val="00785BF5"/>
    <w:rsid w:val="0079039D"/>
    <w:rsid w:val="00790E9B"/>
    <w:rsid w:val="007927C6"/>
    <w:rsid w:val="0079348E"/>
    <w:rsid w:val="0079405B"/>
    <w:rsid w:val="00794AE2"/>
    <w:rsid w:val="00794D8D"/>
    <w:rsid w:val="00795F10"/>
    <w:rsid w:val="007A05F4"/>
    <w:rsid w:val="007A0BB9"/>
    <w:rsid w:val="007A4023"/>
    <w:rsid w:val="007A5A94"/>
    <w:rsid w:val="007B336C"/>
    <w:rsid w:val="007B347F"/>
    <w:rsid w:val="007B3624"/>
    <w:rsid w:val="007C2270"/>
    <w:rsid w:val="007C27D4"/>
    <w:rsid w:val="007C570A"/>
    <w:rsid w:val="007D1D99"/>
    <w:rsid w:val="007D7098"/>
    <w:rsid w:val="007D763D"/>
    <w:rsid w:val="007E00B1"/>
    <w:rsid w:val="007E0749"/>
    <w:rsid w:val="007E2D46"/>
    <w:rsid w:val="007E334F"/>
    <w:rsid w:val="007E5D39"/>
    <w:rsid w:val="007E66C8"/>
    <w:rsid w:val="007E67BD"/>
    <w:rsid w:val="007F06E1"/>
    <w:rsid w:val="007F517F"/>
    <w:rsid w:val="007F6391"/>
    <w:rsid w:val="007F6FB8"/>
    <w:rsid w:val="008007EF"/>
    <w:rsid w:val="00801491"/>
    <w:rsid w:val="00803099"/>
    <w:rsid w:val="0080338B"/>
    <w:rsid w:val="008065A5"/>
    <w:rsid w:val="0081066B"/>
    <w:rsid w:val="00810809"/>
    <w:rsid w:val="00812741"/>
    <w:rsid w:val="008128E3"/>
    <w:rsid w:val="00815871"/>
    <w:rsid w:val="00816CE8"/>
    <w:rsid w:val="00816DFB"/>
    <w:rsid w:val="00821789"/>
    <w:rsid w:val="00822A11"/>
    <w:rsid w:val="00830017"/>
    <w:rsid w:val="00830DC9"/>
    <w:rsid w:val="008320A0"/>
    <w:rsid w:val="00833712"/>
    <w:rsid w:val="00833A6A"/>
    <w:rsid w:val="00833BDE"/>
    <w:rsid w:val="00833E2F"/>
    <w:rsid w:val="008368F3"/>
    <w:rsid w:val="008400A8"/>
    <w:rsid w:val="00840FC2"/>
    <w:rsid w:val="008413C4"/>
    <w:rsid w:val="008449FF"/>
    <w:rsid w:val="0084572C"/>
    <w:rsid w:val="0084601D"/>
    <w:rsid w:val="00846C73"/>
    <w:rsid w:val="0085033A"/>
    <w:rsid w:val="0085161D"/>
    <w:rsid w:val="00852D81"/>
    <w:rsid w:val="00855597"/>
    <w:rsid w:val="00855780"/>
    <w:rsid w:val="00856178"/>
    <w:rsid w:val="008622FB"/>
    <w:rsid w:val="00862545"/>
    <w:rsid w:val="00862DEC"/>
    <w:rsid w:val="0086546B"/>
    <w:rsid w:val="00865A76"/>
    <w:rsid w:val="0086730B"/>
    <w:rsid w:val="008679E6"/>
    <w:rsid w:val="00867A0F"/>
    <w:rsid w:val="00871811"/>
    <w:rsid w:val="00871942"/>
    <w:rsid w:val="00872E1F"/>
    <w:rsid w:val="00873942"/>
    <w:rsid w:val="00880882"/>
    <w:rsid w:val="0088113B"/>
    <w:rsid w:val="00881418"/>
    <w:rsid w:val="0088500A"/>
    <w:rsid w:val="00885DA2"/>
    <w:rsid w:val="00886342"/>
    <w:rsid w:val="008875DE"/>
    <w:rsid w:val="008907DB"/>
    <w:rsid w:val="0089092F"/>
    <w:rsid w:val="008928D1"/>
    <w:rsid w:val="00897118"/>
    <w:rsid w:val="00897145"/>
    <w:rsid w:val="008A0E85"/>
    <w:rsid w:val="008A1DDE"/>
    <w:rsid w:val="008A371D"/>
    <w:rsid w:val="008A5443"/>
    <w:rsid w:val="008A5F01"/>
    <w:rsid w:val="008A6B66"/>
    <w:rsid w:val="008B0969"/>
    <w:rsid w:val="008B11D0"/>
    <w:rsid w:val="008B4464"/>
    <w:rsid w:val="008B4B8F"/>
    <w:rsid w:val="008B4BB0"/>
    <w:rsid w:val="008B4BF2"/>
    <w:rsid w:val="008B5AFD"/>
    <w:rsid w:val="008B5EE3"/>
    <w:rsid w:val="008B7A4E"/>
    <w:rsid w:val="008C08CC"/>
    <w:rsid w:val="008C1506"/>
    <w:rsid w:val="008C150E"/>
    <w:rsid w:val="008C2AED"/>
    <w:rsid w:val="008C2D30"/>
    <w:rsid w:val="008C3F32"/>
    <w:rsid w:val="008C5A64"/>
    <w:rsid w:val="008C5F17"/>
    <w:rsid w:val="008C7319"/>
    <w:rsid w:val="008D0AE4"/>
    <w:rsid w:val="008D2F52"/>
    <w:rsid w:val="008D5618"/>
    <w:rsid w:val="008D74C3"/>
    <w:rsid w:val="008D7DFC"/>
    <w:rsid w:val="008E33EA"/>
    <w:rsid w:val="008E4180"/>
    <w:rsid w:val="008E53A7"/>
    <w:rsid w:val="008E615F"/>
    <w:rsid w:val="008E654B"/>
    <w:rsid w:val="008E70B5"/>
    <w:rsid w:val="008F0EA9"/>
    <w:rsid w:val="008F1B1E"/>
    <w:rsid w:val="008F411D"/>
    <w:rsid w:val="008F4D31"/>
    <w:rsid w:val="008F5FF0"/>
    <w:rsid w:val="008F61F2"/>
    <w:rsid w:val="008F63BC"/>
    <w:rsid w:val="008F7F78"/>
    <w:rsid w:val="00900316"/>
    <w:rsid w:val="00901363"/>
    <w:rsid w:val="0090394F"/>
    <w:rsid w:val="009045FF"/>
    <w:rsid w:val="009052EC"/>
    <w:rsid w:val="00905C65"/>
    <w:rsid w:val="00907154"/>
    <w:rsid w:val="00907B9D"/>
    <w:rsid w:val="00910CFA"/>
    <w:rsid w:val="009125D2"/>
    <w:rsid w:val="00915E3F"/>
    <w:rsid w:val="0092273F"/>
    <w:rsid w:val="009238F1"/>
    <w:rsid w:val="00932B64"/>
    <w:rsid w:val="00935E14"/>
    <w:rsid w:val="00936D70"/>
    <w:rsid w:val="00942454"/>
    <w:rsid w:val="009437DB"/>
    <w:rsid w:val="00946091"/>
    <w:rsid w:val="00951BD3"/>
    <w:rsid w:val="009564CE"/>
    <w:rsid w:val="00956BA4"/>
    <w:rsid w:val="00957310"/>
    <w:rsid w:val="0095750D"/>
    <w:rsid w:val="00962B8F"/>
    <w:rsid w:val="00964464"/>
    <w:rsid w:val="00965665"/>
    <w:rsid w:val="00966D4F"/>
    <w:rsid w:val="0096787F"/>
    <w:rsid w:val="009702B5"/>
    <w:rsid w:val="0097202E"/>
    <w:rsid w:val="00972E0B"/>
    <w:rsid w:val="00973C51"/>
    <w:rsid w:val="009746B0"/>
    <w:rsid w:val="00974A7C"/>
    <w:rsid w:val="0097587B"/>
    <w:rsid w:val="009766FE"/>
    <w:rsid w:val="00977FEE"/>
    <w:rsid w:val="00980439"/>
    <w:rsid w:val="0098127A"/>
    <w:rsid w:val="009820DF"/>
    <w:rsid w:val="00982444"/>
    <w:rsid w:val="00982D92"/>
    <w:rsid w:val="009834A0"/>
    <w:rsid w:val="00983902"/>
    <w:rsid w:val="00991941"/>
    <w:rsid w:val="00992CC0"/>
    <w:rsid w:val="0099353F"/>
    <w:rsid w:val="00993731"/>
    <w:rsid w:val="00993FEB"/>
    <w:rsid w:val="0099496C"/>
    <w:rsid w:val="009955EE"/>
    <w:rsid w:val="00996569"/>
    <w:rsid w:val="009A057B"/>
    <w:rsid w:val="009A06F0"/>
    <w:rsid w:val="009A14DE"/>
    <w:rsid w:val="009A2182"/>
    <w:rsid w:val="009A33D5"/>
    <w:rsid w:val="009A35A8"/>
    <w:rsid w:val="009A4CA7"/>
    <w:rsid w:val="009A5B25"/>
    <w:rsid w:val="009A7BC2"/>
    <w:rsid w:val="009B1897"/>
    <w:rsid w:val="009B1BB7"/>
    <w:rsid w:val="009B740C"/>
    <w:rsid w:val="009C074D"/>
    <w:rsid w:val="009C0992"/>
    <w:rsid w:val="009C0C48"/>
    <w:rsid w:val="009C1830"/>
    <w:rsid w:val="009C2C09"/>
    <w:rsid w:val="009C2E5A"/>
    <w:rsid w:val="009C3586"/>
    <w:rsid w:val="009C6214"/>
    <w:rsid w:val="009C7B18"/>
    <w:rsid w:val="009C7D55"/>
    <w:rsid w:val="009C7F52"/>
    <w:rsid w:val="009D07F2"/>
    <w:rsid w:val="009D1884"/>
    <w:rsid w:val="009D2108"/>
    <w:rsid w:val="009D3665"/>
    <w:rsid w:val="009D3C84"/>
    <w:rsid w:val="009D6969"/>
    <w:rsid w:val="009D7A58"/>
    <w:rsid w:val="009E0CED"/>
    <w:rsid w:val="009E1667"/>
    <w:rsid w:val="009E4043"/>
    <w:rsid w:val="009E43C1"/>
    <w:rsid w:val="009F1B5A"/>
    <w:rsid w:val="009F3BA0"/>
    <w:rsid w:val="009F3F5D"/>
    <w:rsid w:val="009F4560"/>
    <w:rsid w:val="009F4CB9"/>
    <w:rsid w:val="009F5451"/>
    <w:rsid w:val="009F625F"/>
    <w:rsid w:val="009F6B4E"/>
    <w:rsid w:val="00A01C02"/>
    <w:rsid w:val="00A05113"/>
    <w:rsid w:val="00A052AA"/>
    <w:rsid w:val="00A054DC"/>
    <w:rsid w:val="00A069AE"/>
    <w:rsid w:val="00A0711A"/>
    <w:rsid w:val="00A10389"/>
    <w:rsid w:val="00A10BC7"/>
    <w:rsid w:val="00A1133E"/>
    <w:rsid w:val="00A11888"/>
    <w:rsid w:val="00A11E62"/>
    <w:rsid w:val="00A11E8F"/>
    <w:rsid w:val="00A12369"/>
    <w:rsid w:val="00A12EE8"/>
    <w:rsid w:val="00A13476"/>
    <w:rsid w:val="00A14357"/>
    <w:rsid w:val="00A148CA"/>
    <w:rsid w:val="00A1524F"/>
    <w:rsid w:val="00A15E63"/>
    <w:rsid w:val="00A17672"/>
    <w:rsid w:val="00A22B21"/>
    <w:rsid w:val="00A23045"/>
    <w:rsid w:val="00A23BC2"/>
    <w:rsid w:val="00A2662A"/>
    <w:rsid w:val="00A2684A"/>
    <w:rsid w:val="00A279AC"/>
    <w:rsid w:val="00A30C5D"/>
    <w:rsid w:val="00A310F1"/>
    <w:rsid w:val="00A3503C"/>
    <w:rsid w:val="00A35FAA"/>
    <w:rsid w:val="00A40163"/>
    <w:rsid w:val="00A409BC"/>
    <w:rsid w:val="00A40BFE"/>
    <w:rsid w:val="00A40DBD"/>
    <w:rsid w:val="00A41F71"/>
    <w:rsid w:val="00A42F6D"/>
    <w:rsid w:val="00A4358E"/>
    <w:rsid w:val="00A47B8D"/>
    <w:rsid w:val="00A47C30"/>
    <w:rsid w:val="00A50091"/>
    <w:rsid w:val="00A50878"/>
    <w:rsid w:val="00A51337"/>
    <w:rsid w:val="00A540A5"/>
    <w:rsid w:val="00A54248"/>
    <w:rsid w:val="00A55B6F"/>
    <w:rsid w:val="00A60F8D"/>
    <w:rsid w:val="00A61202"/>
    <w:rsid w:val="00A6357C"/>
    <w:rsid w:val="00A6388E"/>
    <w:rsid w:val="00A64CC7"/>
    <w:rsid w:val="00A709AD"/>
    <w:rsid w:val="00A733CB"/>
    <w:rsid w:val="00A751AD"/>
    <w:rsid w:val="00A75EB2"/>
    <w:rsid w:val="00A80C87"/>
    <w:rsid w:val="00A84503"/>
    <w:rsid w:val="00A86221"/>
    <w:rsid w:val="00A92D25"/>
    <w:rsid w:val="00A94689"/>
    <w:rsid w:val="00A94AC5"/>
    <w:rsid w:val="00A94DDB"/>
    <w:rsid w:val="00A95EEF"/>
    <w:rsid w:val="00AA110F"/>
    <w:rsid w:val="00AA27AA"/>
    <w:rsid w:val="00AA2DF3"/>
    <w:rsid w:val="00AA50BC"/>
    <w:rsid w:val="00AB24E7"/>
    <w:rsid w:val="00AB3237"/>
    <w:rsid w:val="00AB75AE"/>
    <w:rsid w:val="00AB76EC"/>
    <w:rsid w:val="00AB7933"/>
    <w:rsid w:val="00AC4B26"/>
    <w:rsid w:val="00AC75B7"/>
    <w:rsid w:val="00AD10CF"/>
    <w:rsid w:val="00AD35EA"/>
    <w:rsid w:val="00AD3BC7"/>
    <w:rsid w:val="00AD562E"/>
    <w:rsid w:val="00AD5B1B"/>
    <w:rsid w:val="00AE2459"/>
    <w:rsid w:val="00AE30D2"/>
    <w:rsid w:val="00AE36E2"/>
    <w:rsid w:val="00AE3D23"/>
    <w:rsid w:val="00AE4EC8"/>
    <w:rsid w:val="00AE5D9F"/>
    <w:rsid w:val="00AF0C7E"/>
    <w:rsid w:val="00AF0EB2"/>
    <w:rsid w:val="00AF16AE"/>
    <w:rsid w:val="00AF2791"/>
    <w:rsid w:val="00AF418D"/>
    <w:rsid w:val="00AF70EE"/>
    <w:rsid w:val="00AF7618"/>
    <w:rsid w:val="00B00B01"/>
    <w:rsid w:val="00B023EF"/>
    <w:rsid w:val="00B04550"/>
    <w:rsid w:val="00B04964"/>
    <w:rsid w:val="00B108D0"/>
    <w:rsid w:val="00B10F95"/>
    <w:rsid w:val="00B12331"/>
    <w:rsid w:val="00B142BC"/>
    <w:rsid w:val="00B15B71"/>
    <w:rsid w:val="00B21A2A"/>
    <w:rsid w:val="00B21EB4"/>
    <w:rsid w:val="00B270ED"/>
    <w:rsid w:val="00B27820"/>
    <w:rsid w:val="00B33F4D"/>
    <w:rsid w:val="00B348B3"/>
    <w:rsid w:val="00B37148"/>
    <w:rsid w:val="00B37810"/>
    <w:rsid w:val="00B42B56"/>
    <w:rsid w:val="00B460B5"/>
    <w:rsid w:val="00B47E64"/>
    <w:rsid w:val="00B47F4C"/>
    <w:rsid w:val="00B50536"/>
    <w:rsid w:val="00B51526"/>
    <w:rsid w:val="00B610AC"/>
    <w:rsid w:val="00B6308B"/>
    <w:rsid w:val="00B64DE4"/>
    <w:rsid w:val="00B654BF"/>
    <w:rsid w:val="00B66F90"/>
    <w:rsid w:val="00B71222"/>
    <w:rsid w:val="00B7358B"/>
    <w:rsid w:val="00B7388C"/>
    <w:rsid w:val="00B7724D"/>
    <w:rsid w:val="00B82509"/>
    <w:rsid w:val="00B830A1"/>
    <w:rsid w:val="00B83694"/>
    <w:rsid w:val="00B83CA0"/>
    <w:rsid w:val="00B84243"/>
    <w:rsid w:val="00B85C34"/>
    <w:rsid w:val="00B876C0"/>
    <w:rsid w:val="00B92BDF"/>
    <w:rsid w:val="00B93884"/>
    <w:rsid w:val="00B93A27"/>
    <w:rsid w:val="00B94A65"/>
    <w:rsid w:val="00B94ADF"/>
    <w:rsid w:val="00B94FB4"/>
    <w:rsid w:val="00B9676C"/>
    <w:rsid w:val="00BA0966"/>
    <w:rsid w:val="00BA379F"/>
    <w:rsid w:val="00BA40A3"/>
    <w:rsid w:val="00BA6777"/>
    <w:rsid w:val="00BA78F2"/>
    <w:rsid w:val="00BB09A6"/>
    <w:rsid w:val="00BB3AB5"/>
    <w:rsid w:val="00BB3DA8"/>
    <w:rsid w:val="00BB498B"/>
    <w:rsid w:val="00BB5D8C"/>
    <w:rsid w:val="00BB6D23"/>
    <w:rsid w:val="00BB721D"/>
    <w:rsid w:val="00BB7455"/>
    <w:rsid w:val="00BB7CFB"/>
    <w:rsid w:val="00BC2C65"/>
    <w:rsid w:val="00BC3447"/>
    <w:rsid w:val="00BC3CAB"/>
    <w:rsid w:val="00BC42CE"/>
    <w:rsid w:val="00BC6702"/>
    <w:rsid w:val="00BD25F7"/>
    <w:rsid w:val="00BD60CC"/>
    <w:rsid w:val="00BE70B3"/>
    <w:rsid w:val="00BE7D58"/>
    <w:rsid w:val="00BF0270"/>
    <w:rsid w:val="00BF0E14"/>
    <w:rsid w:val="00BF164E"/>
    <w:rsid w:val="00BF1E32"/>
    <w:rsid w:val="00BF23C3"/>
    <w:rsid w:val="00BF47FE"/>
    <w:rsid w:val="00BF6D42"/>
    <w:rsid w:val="00BF7ED9"/>
    <w:rsid w:val="00C00AA5"/>
    <w:rsid w:val="00C02AE0"/>
    <w:rsid w:val="00C06592"/>
    <w:rsid w:val="00C07DEC"/>
    <w:rsid w:val="00C1005F"/>
    <w:rsid w:val="00C107D2"/>
    <w:rsid w:val="00C11F05"/>
    <w:rsid w:val="00C11F2F"/>
    <w:rsid w:val="00C12D0A"/>
    <w:rsid w:val="00C131B3"/>
    <w:rsid w:val="00C14C39"/>
    <w:rsid w:val="00C14CCA"/>
    <w:rsid w:val="00C1500A"/>
    <w:rsid w:val="00C15DEF"/>
    <w:rsid w:val="00C20E76"/>
    <w:rsid w:val="00C23647"/>
    <w:rsid w:val="00C2476F"/>
    <w:rsid w:val="00C24CE1"/>
    <w:rsid w:val="00C262C1"/>
    <w:rsid w:val="00C2641F"/>
    <w:rsid w:val="00C3009E"/>
    <w:rsid w:val="00C3239B"/>
    <w:rsid w:val="00C3324A"/>
    <w:rsid w:val="00C34390"/>
    <w:rsid w:val="00C34C59"/>
    <w:rsid w:val="00C359BA"/>
    <w:rsid w:val="00C36775"/>
    <w:rsid w:val="00C36C9A"/>
    <w:rsid w:val="00C41D55"/>
    <w:rsid w:val="00C42B03"/>
    <w:rsid w:val="00C431A3"/>
    <w:rsid w:val="00C43407"/>
    <w:rsid w:val="00C4427C"/>
    <w:rsid w:val="00C445F7"/>
    <w:rsid w:val="00C44BE3"/>
    <w:rsid w:val="00C44C1D"/>
    <w:rsid w:val="00C45572"/>
    <w:rsid w:val="00C474E3"/>
    <w:rsid w:val="00C51C2D"/>
    <w:rsid w:val="00C53F88"/>
    <w:rsid w:val="00C54422"/>
    <w:rsid w:val="00C55846"/>
    <w:rsid w:val="00C6305B"/>
    <w:rsid w:val="00C63C1F"/>
    <w:rsid w:val="00C63ED7"/>
    <w:rsid w:val="00C670A4"/>
    <w:rsid w:val="00C71426"/>
    <w:rsid w:val="00C74126"/>
    <w:rsid w:val="00C748C1"/>
    <w:rsid w:val="00C74C39"/>
    <w:rsid w:val="00C74DA9"/>
    <w:rsid w:val="00C7638D"/>
    <w:rsid w:val="00C763EA"/>
    <w:rsid w:val="00C7791B"/>
    <w:rsid w:val="00C77C49"/>
    <w:rsid w:val="00C8049D"/>
    <w:rsid w:val="00C84893"/>
    <w:rsid w:val="00C85E77"/>
    <w:rsid w:val="00C8748F"/>
    <w:rsid w:val="00C91CF4"/>
    <w:rsid w:val="00C92123"/>
    <w:rsid w:val="00C92908"/>
    <w:rsid w:val="00C95596"/>
    <w:rsid w:val="00C95B85"/>
    <w:rsid w:val="00C97F24"/>
    <w:rsid w:val="00CA077A"/>
    <w:rsid w:val="00CA0B5E"/>
    <w:rsid w:val="00CA3214"/>
    <w:rsid w:val="00CA450E"/>
    <w:rsid w:val="00CA4819"/>
    <w:rsid w:val="00CA600B"/>
    <w:rsid w:val="00CB224A"/>
    <w:rsid w:val="00CB26C4"/>
    <w:rsid w:val="00CB7CFF"/>
    <w:rsid w:val="00CC0486"/>
    <w:rsid w:val="00CC07BE"/>
    <w:rsid w:val="00CC0B67"/>
    <w:rsid w:val="00CC4867"/>
    <w:rsid w:val="00CC551C"/>
    <w:rsid w:val="00CC58EA"/>
    <w:rsid w:val="00CC5AB0"/>
    <w:rsid w:val="00CC7ED8"/>
    <w:rsid w:val="00CC7F08"/>
    <w:rsid w:val="00CD1BF3"/>
    <w:rsid w:val="00CD3382"/>
    <w:rsid w:val="00CD5A2D"/>
    <w:rsid w:val="00CE0085"/>
    <w:rsid w:val="00CE1A0B"/>
    <w:rsid w:val="00CE3F53"/>
    <w:rsid w:val="00CE4134"/>
    <w:rsid w:val="00CE4BB4"/>
    <w:rsid w:val="00CE63CE"/>
    <w:rsid w:val="00CF0F17"/>
    <w:rsid w:val="00CF2C6F"/>
    <w:rsid w:val="00CF4131"/>
    <w:rsid w:val="00CF5085"/>
    <w:rsid w:val="00D0086A"/>
    <w:rsid w:val="00D049E5"/>
    <w:rsid w:val="00D05719"/>
    <w:rsid w:val="00D078C8"/>
    <w:rsid w:val="00D07A8D"/>
    <w:rsid w:val="00D1024D"/>
    <w:rsid w:val="00D120BF"/>
    <w:rsid w:val="00D143EC"/>
    <w:rsid w:val="00D154C9"/>
    <w:rsid w:val="00D1741D"/>
    <w:rsid w:val="00D17D15"/>
    <w:rsid w:val="00D17E55"/>
    <w:rsid w:val="00D2179B"/>
    <w:rsid w:val="00D22699"/>
    <w:rsid w:val="00D24FF4"/>
    <w:rsid w:val="00D27A39"/>
    <w:rsid w:val="00D30CBA"/>
    <w:rsid w:val="00D36333"/>
    <w:rsid w:val="00D37C36"/>
    <w:rsid w:val="00D428B3"/>
    <w:rsid w:val="00D429F4"/>
    <w:rsid w:val="00D43BA3"/>
    <w:rsid w:val="00D44D21"/>
    <w:rsid w:val="00D44DE9"/>
    <w:rsid w:val="00D46A7B"/>
    <w:rsid w:val="00D47006"/>
    <w:rsid w:val="00D50C9B"/>
    <w:rsid w:val="00D51F6D"/>
    <w:rsid w:val="00D54165"/>
    <w:rsid w:val="00D549BF"/>
    <w:rsid w:val="00D551E1"/>
    <w:rsid w:val="00D5708A"/>
    <w:rsid w:val="00D576B5"/>
    <w:rsid w:val="00D57849"/>
    <w:rsid w:val="00D60439"/>
    <w:rsid w:val="00D60832"/>
    <w:rsid w:val="00D6199A"/>
    <w:rsid w:val="00D6661E"/>
    <w:rsid w:val="00D70EB2"/>
    <w:rsid w:val="00D715EF"/>
    <w:rsid w:val="00D7290F"/>
    <w:rsid w:val="00D75924"/>
    <w:rsid w:val="00D75DD0"/>
    <w:rsid w:val="00D7602E"/>
    <w:rsid w:val="00D76996"/>
    <w:rsid w:val="00D83B82"/>
    <w:rsid w:val="00D85D3F"/>
    <w:rsid w:val="00D87479"/>
    <w:rsid w:val="00D9262A"/>
    <w:rsid w:val="00D92B42"/>
    <w:rsid w:val="00D961F2"/>
    <w:rsid w:val="00D97687"/>
    <w:rsid w:val="00D9775E"/>
    <w:rsid w:val="00DA0455"/>
    <w:rsid w:val="00DA1A11"/>
    <w:rsid w:val="00DA1BEF"/>
    <w:rsid w:val="00DA1E1D"/>
    <w:rsid w:val="00DA2118"/>
    <w:rsid w:val="00DA248E"/>
    <w:rsid w:val="00DA28A8"/>
    <w:rsid w:val="00DA3143"/>
    <w:rsid w:val="00DA4EAE"/>
    <w:rsid w:val="00DA4F4E"/>
    <w:rsid w:val="00DA6854"/>
    <w:rsid w:val="00DA6D4F"/>
    <w:rsid w:val="00DA6FB4"/>
    <w:rsid w:val="00DA7792"/>
    <w:rsid w:val="00DB10A8"/>
    <w:rsid w:val="00DB4C98"/>
    <w:rsid w:val="00DB584E"/>
    <w:rsid w:val="00DB69D9"/>
    <w:rsid w:val="00DC0913"/>
    <w:rsid w:val="00DC1F07"/>
    <w:rsid w:val="00DC32EC"/>
    <w:rsid w:val="00DC4099"/>
    <w:rsid w:val="00DC4BB9"/>
    <w:rsid w:val="00DC799B"/>
    <w:rsid w:val="00DD0BA0"/>
    <w:rsid w:val="00DD7B40"/>
    <w:rsid w:val="00DE1987"/>
    <w:rsid w:val="00DE36CF"/>
    <w:rsid w:val="00DE42BA"/>
    <w:rsid w:val="00DE50C2"/>
    <w:rsid w:val="00DE566F"/>
    <w:rsid w:val="00DE5DF9"/>
    <w:rsid w:val="00DE5E0C"/>
    <w:rsid w:val="00DF1ADC"/>
    <w:rsid w:val="00DF2249"/>
    <w:rsid w:val="00DF363A"/>
    <w:rsid w:val="00DF3948"/>
    <w:rsid w:val="00DF4173"/>
    <w:rsid w:val="00DF61C8"/>
    <w:rsid w:val="00DF6323"/>
    <w:rsid w:val="00DF6B26"/>
    <w:rsid w:val="00DF744E"/>
    <w:rsid w:val="00E00258"/>
    <w:rsid w:val="00E01B7C"/>
    <w:rsid w:val="00E05967"/>
    <w:rsid w:val="00E10D3F"/>
    <w:rsid w:val="00E120A8"/>
    <w:rsid w:val="00E1675C"/>
    <w:rsid w:val="00E16BE1"/>
    <w:rsid w:val="00E16DD1"/>
    <w:rsid w:val="00E17DAB"/>
    <w:rsid w:val="00E20628"/>
    <w:rsid w:val="00E2103B"/>
    <w:rsid w:val="00E22A07"/>
    <w:rsid w:val="00E23B9A"/>
    <w:rsid w:val="00E26003"/>
    <w:rsid w:val="00E273FF"/>
    <w:rsid w:val="00E30CB2"/>
    <w:rsid w:val="00E36E5C"/>
    <w:rsid w:val="00E42411"/>
    <w:rsid w:val="00E42C8A"/>
    <w:rsid w:val="00E43965"/>
    <w:rsid w:val="00E43E3B"/>
    <w:rsid w:val="00E4582E"/>
    <w:rsid w:val="00E46611"/>
    <w:rsid w:val="00E46AB8"/>
    <w:rsid w:val="00E473B3"/>
    <w:rsid w:val="00E5022C"/>
    <w:rsid w:val="00E54185"/>
    <w:rsid w:val="00E55ABA"/>
    <w:rsid w:val="00E62B36"/>
    <w:rsid w:val="00E62DF5"/>
    <w:rsid w:val="00E731D7"/>
    <w:rsid w:val="00E73DDE"/>
    <w:rsid w:val="00E74ACE"/>
    <w:rsid w:val="00E771E3"/>
    <w:rsid w:val="00E77B9B"/>
    <w:rsid w:val="00E77C06"/>
    <w:rsid w:val="00E835D7"/>
    <w:rsid w:val="00E8375F"/>
    <w:rsid w:val="00E855E0"/>
    <w:rsid w:val="00E860B7"/>
    <w:rsid w:val="00E86267"/>
    <w:rsid w:val="00E8780D"/>
    <w:rsid w:val="00E90D0E"/>
    <w:rsid w:val="00E93917"/>
    <w:rsid w:val="00E95DB8"/>
    <w:rsid w:val="00E95E3B"/>
    <w:rsid w:val="00E97527"/>
    <w:rsid w:val="00E97F51"/>
    <w:rsid w:val="00EA2D82"/>
    <w:rsid w:val="00EA63B5"/>
    <w:rsid w:val="00EA6556"/>
    <w:rsid w:val="00EB0AD0"/>
    <w:rsid w:val="00EB0E94"/>
    <w:rsid w:val="00EB4C26"/>
    <w:rsid w:val="00EB53F2"/>
    <w:rsid w:val="00EB63E1"/>
    <w:rsid w:val="00EB7803"/>
    <w:rsid w:val="00EC0295"/>
    <w:rsid w:val="00EC0454"/>
    <w:rsid w:val="00EC19FA"/>
    <w:rsid w:val="00EC5F86"/>
    <w:rsid w:val="00ED0940"/>
    <w:rsid w:val="00ED1AE2"/>
    <w:rsid w:val="00ED25CE"/>
    <w:rsid w:val="00ED3A55"/>
    <w:rsid w:val="00ED7F8D"/>
    <w:rsid w:val="00EE0A36"/>
    <w:rsid w:val="00EE0ACF"/>
    <w:rsid w:val="00EE2408"/>
    <w:rsid w:val="00EE49F4"/>
    <w:rsid w:val="00EE5CC3"/>
    <w:rsid w:val="00EE67C5"/>
    <w:rsid w:val="00EF0F76"/>
    <w:rsid w:val="00EF3B9F"/>
    <w:rsid w:val="00EF4031"/>
    <w:rsid w:val="00F03F4B"/>
    <w:rsid w:val="00F1076B"/>
    <w:rsid w:val="00F11D20"/>
    <w:rsid w:val="00F13E0D"/>
    <w:rsid w:val="00F20B6E"/>
    <w:rsid w:val="00F248EC"/>
    <w:rsid w:val="00F24BCF"/>
    <w:rsid w:val="00F3255F"/>
    <w:rsid w:val="00F3510E"/>
    <w:rsid w:val="00F373DC"/>
    <w:rsid w:val="00F3743E"/>
    <w:rsid w:val="00F37EF3"/>
    <w:rsid w:val="00F40015"/>
    <w:rsid w:val="00F40782"/>
    <w:rsid w:val="00F422EF"/>
    <w:rsid w:val="00F44554"/>
    <w:rsid w:val="00F46058"/>
    <w:rsid w:val="00F47B25"/>
    <w:rsid w:val="00F47E6B"/>
    <w:rsid w:val="00F51BCF"/>
    <w:rsid w:val="00F52087"/>
    <w:rsid w:val="00F5235B"/>
    <w:rsid w:val="00F53323"/>
    <w:rsid w:val="00F53B6A"/>
    <w:rsid w:val="00F54947"/>
    <w:rsid w:val="00F54F7B"/>
    <w:rsid w:val="00F560DC"/>
    <w:rsid w:val="00F56916"/>
    <w:rsid w:val="00F56A7F"/>
    <w:rsid w:val="00F56AD0"/>
    <w:rsid w:val="00F56CB1"/>
    <w:rsid w:val="00F63661"/>
    <w:rsid w:val="00F63716"/>
    <w:rsid w:val="00F63F85"/>
    <w:rsid w:val="00F72D23"/>
    <w:rsid w:val="00F75495"/>
    <w:rsid w:val="00F765EB"/>
    <w:rsid w:val="00F77766"/>
    <w:rsid w:val="00F7793C"/>
    <w:rsid w:val="00F805F0"/>
    <w:rsid w:val="00F839AB"/>
    <w:rsid w:val="00F84F67"/>
    <w:rsid w:val="00F8673B"/>
    <w:rsid w:val="00F908F8"/>
    <w:rsid w:val="00F91769"/>
    <w:rsid w:val="00F92442"/>
    <w:rsid w:val="00F926C8"/>
    <w:rsid w:val="00F9623B"/>
    <w:rsid w:val="00F97D2D"/>
    <w:rsid w:val="00FA05A4"/>
    <w:rsid w:val="00FA126D"/>
    <w:rsid w:val="00FA312F"/>
    <w:rsid w:val="00FA7135"/>
    <w:rsid w:val="00FA784C"/>
    <w:rsid w:val="00FB06E1"/>
    <w:rsid w:val="00FB6912"/>
    <w:rsid w:val="00FB7112"/>
    <w:rsid w:val="00FC3CD4"/>
    <w:rsid w:val="00FC49ED"/>
    <w:rsid w:val="00FC5FB9"/>
    <w:rsid w:val="00FC6C09"/>
    <w:rsid w:val="00FD336D"/>
    <w:rsid w:val="00FD3D3E"/>
    <w:rsid w:val="00FD5051"/>
    <w:rsid w:val="00FD5958"/>
    <w:rsid w:val="00FD756D"/>
    <w:rsid w:val="00FD78AA"/>
    <w:rsid w:val="00FE059A"/>
    <w:rsid w:val="00FE0781"/>
    <w:rsid w:val="00FE1A02"/>
    <w:rsid w:val="00FE54AE"/>
    <w:rsid w:val="00FF1703"/>
    <w:rsid w:val="00FF2316"/>
    <w:rsid w:val="00FF2339"/>
    <w:rsid w:val="00FF26B9"/>
    <w:rsid w:val="00FF33AA"/>
    <w:rsid w:val="00FF371D"/>
    <w:rsid w:val="00FF5EE1"/>
    <w:rsid w:val="00FF637D"/>
    <w:rsid w:val="00FF64CF"/>
    <w:rsid w:val="00FF6B5D"/>
    <w:rsid w:val="00FF7FE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426"/>
    <w:pPr>
      <w:spacing w:after="240" w:line="260" w:lineRule="exact"/>
      <w:jc w:val="both"/>
    </w:pPr>
    <w:rPr>
      <w:rFonts w:ascii="Book Antiqua" w:hAnsi="Book Antiqua"/>
    </w:rPr>
  </w:style>
  <w:style w:type="paragraph" w:styleId="Heading1">
    <w:name w:val="heading 1"/>
    <w:basedOn w:val="HeadingBase"/>
    <w:next w:val="Normal"/>
    <w:link w:val="Heading1Char"/>
    <w:qFormat/>
    <w:rsid w:val="00EC5F86"/>
    <w:pPr>
      <w:spacing w:after="240"/>
      <w:jc w:val="center"/>
      <w:outlineLvl w:val="0"/>
    </w:pPr>
    <w:rPr>
      <w:b/>
      <w:smallCaps/>
      <w:kern w:val="28"/>
      <w:sz w:val="34"/>
    </w:rPr>
  </w:style>
  <w:style w:type="paragraph" w:styleId="Heading2">
    <w:name w:val="heading 2"/>
    <w:basedOn w:val="HeadingBase"/>
    <w:next w:val="Normal"/>
    <w:link w:val="Heading2Char"/>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2977F2"/>
    <w:pPr>
      <w:keepNext/>
      <w:spacing w:before="60" w:after="80" w:line="240" w:lineRule="auto"/>
      <w:jc w:val="left"/>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rsid w:val="00EC5F86"/>
    <w:pPr>
      <w:numPr>
        <w:ilvl w:val="1"/>
        <w:numId w:val="2"/>
      </w:numPr>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basedOn w:val="DefaultParagraphFont"/>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line="240" w:lineRule="auto"/>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EC5F86"/>
    <w:rPr>
      <w:caps/>
    </w:rPr>
  </w:style>
  <w:style w:type="paragraph" w:customStyle="1" w:styleId="TPHeading3">
    <w:name w:val="TP Heading 3"/>
    <w:basedOn w:val="HeadingBase"/>
    <w:rsid w:val="00EC5F86"/>
    <w:rPr>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style>
  <w:style w:type="paragraph" w:styleId="BalloonText">
    <w:name w:val="Balloon Text"/>
    <w:basedOn w:val="Normal"/>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basedOn w:val="DefaultParagraphFont"/>
    <w:uiPriority w:val="99"/>
    <w:rsid w:val="00EC5F86"/>
    <w:rPr>
      <w:sz w:val="16"/>
      <w:szCs w:val="16"/>
    </w:rPr>
  </w:style>
  <w:style w:type="paragraph" w:styleId="CommentText">
    <w:name w:val="annotation text"/>
    <w:basedOn w:val="Normal"/>
    <w:link w:val="CommentTextChar"/>
    <w:rsid w:val="00EC5F86"/>
  </w:style>
  <w:style w:type="paragraph" w:styleId="CommentSubject">
    <w:name w:val="annotation subject"/>
    <w:basedOn w:val="CommentText"/>
    <w:next w:val="CommentText"/>
    <w:rsid w:val="00EC5F86"/>
    <w:rPr>
      <w:b/>
      <w:bCs/>
    </w:rPr>
  </w:style>
  <w:style w:type="paragraph" w:styleId="DocumentMap">
    <w:name w:val="Document Map"/>
    <w:basedOn w:val="Normal"/>
    <w:rsid w:val="00EC5F86"/>
    <w:pPr>
      <w:shd w:val="clear" w:color="auto" w:fill="000080"/>
    </w:pPr>
    <w:rPr>
      <w:rFonts w:ascii="Tahoma" w:hAnsi="Tahoma" w:cs="Tahoma"/>
    </w:rPr>
  </w:style>
  <w:style w:type="character" w:styleId="EndnoteReference">
    <w:name w:val="endnote reference"/>
    <w:basedOn w:val="DefaultParagraphFont"/>
    <w:semiHidden/>
    <w:rsid w:val="00EC5F86"/>
    <w:rPr>
      <w:vertAlign w:val="superscript"/>
    </w:rPr>
  </w:style>
  <w:style w:type="paragraph" w:styleId="EndnoteText">
    <w:name w:val="endnote text"/>
    <w:basedOn w:val="Normal"/>
    <w:semiHidden/>
    <w:rsid w:val="00EC5F86"/>
  </w:style>
  <w:style w:type="character" w:styleId="FootnoteReference">
    <w:name w:val="footnote reference"/>
    <w:basedOn w:val="DefaultParagraphFont"/>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rsid w:val="00EC5F86"/>
    <w:pPr>
      <w:ind w:left="200" w:hanging="200"/>
    </w:pPr>
  </w:style>
  <w:style w:type="paragraph" w:styleId="Index2">
    <w:name w:val="index 2"/>
    <w:basedOn w:val="Normal"/>
    <w:next w:val="Normal"/>
    <w:autoRedefine/>
    <w:rsid w:val="00EC5F86"/>
    <w:pPr>
      <w:ind w:left="400" w:hanging="200"/>
    </w:pPr>
  </w:style>
  <w:style w:type="paragraph" w:styleId="Index3">
    <w:name w:val="index 3"/>
    <w:basedOn w:val="Normal"/>
    <w:next w:val="Normal"/>
    <w:autoRedefine/>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basedOn w:val="DefaultParagraphFont"/>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HeadingBaseChar"/>
    <w:link w:val="TableHeading"/>
    <w:rsid w:val="00574E9E"/>
    <w:rPr>
      <w:b/>
    </w:rPr>
  </w:style>
  <w:style w:type="character" w:customStyle="1" w:styleId="TableTextBaseChar">
    <w:name w:val="Table Text Base Char"/>
    <w:basedOn w:val="DefaultParagraphFont"/>
    <w:link w:val="TableTextBase"/>
    <w:rsid w:val="00637BBD"/>
    <w:rPr>
      <w:rFonts w:ascii="Arial" w:hAnsi="Arial"/>
      <w:sz w:val="18"/>
      <w:lang w:val="en-AU" w:eastAsia="en-AU" w:bidi="ar-SA"/>
    </w:rPr>
  </w:style>
  <w:style w:type="character" w:customStyle="1" w:styleId="TableTextLeftChar">
    <w:name w:val="Table Text Left Char"/>
    <w:basedOn w:val="TableTextBaseChar"/>
    <w:link w:val="TableTextLeft"/>
    <w:rsid w:val="00637BBD"/>
  </w:style>
  <w:style w:type="paragraph" w:styleId="ListParagraph">
    <w:name w:val="List Paragraph"/>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basedOn w:val="HeadingBaseChar"/>
    <w:link w:val="ChartandTableFootnote"/>
    <w:rsid w:val="005606B5"/>
    <w:rPr>
      <w:sz w:val="16"/>
    </w:rPr>
  </w:style>
  <w:style w:type="paragraph" w:customStyle="1" w:styleId="PartHeading">
    <w:name w:val="Part Heading"/>
    <w:basedOn w:val="Part"/>
    <w:next w:val="Normal"/>
    <w:rsid w:val="00EC5F86"/>
  </w:style>
  <w:style w:type="character" w:customStyle="1" w:styleId="BulletChar">
    <w:name w:val="Bullet Char"/>
    <w:basedOn w:val="DefaultParagraphFont"/>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basedOn w:val="HeadingBaseChar"/>
    <w:link w:val="Heading3"/>
    <w:rsid w:val="00C7638D"/>
    <w:rPr>
      <w:b/>
      <w:smallCaps/>
      <w:sz w:val="26"/>
    </w:rPr>
  </w:style>
  <w:style w:type="character" w:customStyle="1" w:styleId="CommentTextChar">
    <w:name w:val="Comment Text Char"/>
    <w:basedOn w:val="DefaultParagraphFont"/>
    <w:link w:val="CommentText"/>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aliases w:val="arial"/>
    <w:uiPriority w:val="1"/>
    <w:qFormat/>
    <w:rsid w:val="00451501"/>
    <w:pPr>
      <w:jc w:val="both"/>
    </w:pPr>
    <w:rPr>
      <w:rFonts w:ascii="Book Antiqua" w:hAnsi="Book Antiqua"/>
    </w:rPr>
  </w:style>
  <w:style w:type="paragraph" w:customStyle="1" w:styleId="SinglePara">
    <w:name w:val="Single Para"/>
    <w:basedOn w:val="Normal"/>
    <w:rsid w:val="00403D72"/>
    <w:pPr>
      <w:spacing w:after="0"/>
      <w:jc w:val="left"/>
    </w:pPr>
    <w:rPr>
      <w:rFonts w:ascii="Arial" w:hAnsi="Arial"/>
    </w:rPr>
  </w:style>
  <w:style w:type="character" w:customStyle="1" w:styleId="FooterChar">
    <w:name w:val="Footer Char"/>
    <w:basedOn w:val="DefaultParagraphFont"/>
    <w:link w:val="Footer"/>
    <w:uiPriority w:val="99"/>
    <w:rsid w:val="0011070F"/>
    <w:rPr>
      <w:rFonts w:ascii="Arial" w:hAnsi="Arial"/>
    </w:rPr>
  </w:style>
  <w:style w:type="character" w:customStyle="1" w:styleId="Heading1Char">
    <w:name w:val="Heading 1 Char"/>
    <w:basedOn w:val="DefaultParagraphFont"/>
    <w:link w:val="Heading1"/>
    <w:locked/>
    <w:rsid w:val="00D9262A"/>
    <w:rPr>
      <w:rFonts w:ascii="Arial" w:hAnsi="Arial"/>
      <w:b/>
      <w:smallCaps/>
      <w:kern w:val="28"/>
      <w:sz w:val="34"/>
    </w:rPr>
  </w:style>
  <w:style w:type="character" w:customStyle="1" w:styleId="HeaderChar">
    <w:name w:val="Header Char"/>
    <w:basedOn w:val="DefaultParagraphFont"/>
    <w:link w:val="Header"/>
    <w:uiPriority w:val="99"/>
    <w:locked/>
    <w:rsid w:val="00D9262A"/>
    <w:rPr>
      <w:rFonts w:ascii="Book Antiqua" w:hAnsi="Book Antiqua"/>
      <w:i/>
    </w:rPr>
  </w:style>
  <w:style w:type="character" w:customStyle="1" w:styleId="Heading4Char">
    <w:name w:val="Heading 4 Char"/>
    <w:basedOn w:val="DefaultParagraphFont"/>
    <w:link w:val="Heading4"/>
    <w:rsid w:val="00D7290F"/>
    <w:rPr>
      <w:rFonts w:ascii="Arial" w:hAnsi="Arial"/>
      <w:b/>
      <w:sz w:val="22"/>
    </w:rPr>
  </w:style>
  <w:style w:type="character" w:customStyle="1" w:styleId="Heading2Char">
    <w:name w:val="Heading 2 Char"/>
    <w:basedOn w:val="DefaultParagraphFont"/>
    <w:link w:val="Heading2"/>
    <w:uiPriority w:val="99"/>
    <w:locked/>
    <w:rsid w:val="002909B6"/>
    <w:rPr>
      <w:rFonts w:ascii="Arial" w:hAnsi="Arial"/>
      <w:sz w:val="30"/>
    </w:rPr>
  </w:style>
  <w:style w:type="paragraph" w:styleId="NormalWeb">
    <w:name w:val="Normal (Web)"/>
    <w:basedOn w:val="Normal"/>
    <w:uiPriority w:val="99"/>
    <w:unhideWhenUsed/>
    <w:rsid w:val="004A28E7"/>
    <w:pPr>
      <w:spacing w:before="100" w:beforeAutospacing="1" w:after="100" w:afterAutospacing="1" w:line="240" w:lineRule="auto"/>
      <w:jc w:val="left"/>
    </w:pPr>
    <w:rPr>
      <w:rFonts w:ascii="Times New Roman" w:hAnsi="Times New Roman"/>
      <w:sz w:val="24"/>
      <w:szCs w:val="24"/>
    </w:rPr>
  </w:style>
  <w:style w:type="paragraph" w:customStyle="1" w:styleId="Bodycopy">
    <w:name w:val="Body copy"/>
    <w:basedOn w:val="Normal"/>
    <w:rsid w:val="0062343A"/>
    <w:pPr>
      <w:spacing w:before="120" w:after="120" w:line="276" w:lineRule="auto"/>
      <w:jc w:val="left"/>
    </w:pPr>
    <w:rPr>
      <w:rFonts w:ascii="Arial" w:hAnsi="Arial"/>
      <w:sz w:val="22"/>
      <w:szCs w:val="22"/>
      <w:lang w:eastAsia="en-US" w:bidi="en-US"/>
    </w:rPr>
  </w:style>
  <w:style w:type="paragraph" w:customStyle="1" w:styleId="Default">
    <w:name w:val="Default"/>
    <w:rsid w:val="0062343A"/>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D44DE9"/>
    <w:rPr>
      <w:b/>
      <w:bCs/>
    </w:rPr>
  </w:style>
  <w:style w:type="character" w:customStyle="1" w:styleId="Heading5Char">
    <w:name w:val="Heading 5 Char"/>
    <w:basedOn w:val="DefaultParagraphFont"/>
    <w:link w:val="Heading5"/>
    <w:rsid w:val="00852D81"/>
    <w:rPr>
      <w:rFonts w:ascii="Arial" w:hAnsi="Arial"/>
      <w:b/>
      <w:bCs/>
      <w:iCs/>
      <w:szCs w:val="26"/>
    </w:rPr>
  </w:style>
  <w:style w:type="paragraph" w:customStyle="1" w:styleId="TableText">
    <w:name w:val="TableText"/>
    <w:link w:val="TableTextChar"/>
    <w:uiPriority w:val="99"/>
    <w:rsid w:val="00B47E64"/>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B47E64"/>
    <w:rPr>
      <w:rFonts w:ascii="Arial" w:hAnsi="Arial" w:cs="Arial"/>
      <w:color w:val="000000"/>
      <w:sz w:val="18"/>
      <w:szCs w:val="16"/>
      <w:lang w:eastAsia="en-US"/>
    </w:rPr>
  </w:style>
  <w:style w:type="paragraph" w:customStyle="1" w:styleId="Bullets">
    <w:name w:val="Bullets"/>
    <w:basedOn w:val="TableText"/>
    <w:link w:val="BulletsChar"/>
    <w:uiPriority w:val="99"/>
    <w:rsid w:val="00B47E64"/>
    <w:pPr>
      <w:numPr>
        <w:numId w:val="11"/>
      </w:numPr>
      <w:tabs>
        <w:tab w:val="clear" w:pos="113"/>
      </w:tabs>
      <w:spacing w:after="120"/>
    </w:pPr>
    <w:rPr>
      <w:rFonts w:ascii="Book Antiqua" w:hAnsi="Book Antiqua"/>
      <w:sz w:val="20"/>
    </w:rPr>
  </w:style>
  <w:style w:type="paragraph" w:customStyle="1" w:styleId="Footnote">
    <w:name w:val="Footnote"/>
    <w:rsid w:val="00B47E64"/>
    <w:pPr>
      <w:tabs>
        <w:tab w:val="left" w:pos="284"/>
      </w:tabs>
      <w:ind w:left="284" w:hanging="284"/>
    </w:pPr>
    <w:rPr>
      <w:rFonts w:ascii="Calibri" w:hAnsi="Calibri"/>
      <w:color w:val="000000"/>
      <w:sz w:val="18"/>
      <w:lang w:eastAsia="en-US"/>
    </w:rPr>
  </w:style>
  <w:style w:type="paragraph" w:customStyle="1" w:styleId="ProgramHeading0">
    <w:name w:val="ProgramHeading"/>
    <w:rsid w:val="00B47E64"/>
    <w:pPr>
      <w:spacing w:before="60" w:after="60"/>
    </w:pPr>
    <w:rPr>
      <w:rFonts w:ascii="Book Antiqua" w:hAnsi="Book Antiqua"/>
      <w:b/>
      <w:sz w:val="22"/>
      <w:lang w:eastAsia="en-US"/>
    </w:rPr>
  </w:style>
  <w:style w:type="paragraph" w:customStyle="1" w:styleId="TableBullet">
    <w:name w:val="TableBullet"/>
    <w:link w:val="TableBulletChar"/>
    <w:rsid w:val="00B47E64"/>
    <w:pPr>
      <w:numPr>
        <w:numId w:val="12"/>
      </w:numPr>
      <w:ind w:left="226" w:hanging="113"/>
    </w:pPr>
    <w:rPr>
      <w:rFonts w:ascii="Arial" w:hAnsi="Arial"/>
      <w:sz w:val="18"/>
      <w:szCs w:val="16"/>
      <w:lang w:eastAsia="en-US"/>
    </w:rPr>
  </w:style>
  <w:style w:type="character" w:customStyle="1" w:styleId="TableBulletChar">
    <w:name w:val="TableBullet Char"/>
    <w:basedOn w:val="DefaultParagraphFont"/>
    <w:link w:val="TableBullet"/>
    <w:locked/>
    <w:rsid w:val="00B47E64"/>
    <w:rPr>
      <w:rFonts w:ascii="Arial" w:hAnsi="Arial"/>
      <w:sz w:val="18"/>
      <w:szCs w:val="16"/>
      <w:lang w:eastAsia="en-US"/>
    </w:rPr>
  </w:style>
  <w:style w:type="paragraph" w:customStyle="1" w:styleId="TableName">
    <w:name w:val="TableName"/>
    <w:link w:val="TableNameChar"/>
    <w:rsid w:val="00B47E64"/>
    <w:pPr>
      <w:keepNext/>
      <w:spacing w:before="120"/>
      <w:ind w:left="1440" w:hanging="1440"/>
    </w:pPr>
    <w:rPr>
      <w:rFonts w:ascii="Book Antiqua" w:hAnsi="Book Antiqua"/>
      <w:b/>
      <w:lang w:eastAsia="en-US"/>
    </w:rPr>
  </w:style>
  <w:style w:type="character" w:customStyle="1" w:styleId="TableNameChar">
    <w:name w:val="TableName Char"/>
    <w:basedOn w:val="DefaultParagraphFont"/>
    <w:link w:val="TableName"/>
    <w:locked/>
    <w:rsid w:val="00B47E64"/>
    <w:rPr>
      <w:rFonts w:ascii="Book Antiqua" w:hAnsi="Book Antiqua"/>
      <w:b/>
      <w:lang w:eastAsia="en-US"/>
    </w:rPr>
  </w:style>
  <w:style w:type="paragraph" w:customStyle="1" w:styleId="TableTextRight0">
    <w:name w:val="TableTextRight"/>
    <w:basedOn w:val="TableText"/>
    <w:link w:val="TableTextRightChar"/>
    <w:rsid w:val="00B47E64"/>
    <w:pPr>
      <w:jc w:val="right"/>
    </w:pPr>
  </w:style>
  <w:style w:type="character" w:customStyle="1" w:styleId="TableTextRightChar">
    <w:name w:val="TableTextRight Char"/>
    <w:basedOn w:val="TableTextChar"/>
    <w:link w:val="TableTextRight0"/>
    <w:locked/>
    <w:rsid w:val="00B47E64"/>
  </w:style>
  <w:style w:type="paragraph" w:customStyle="1" w:styleId="TableTextBold">
    <w:name w:val="TableTextBold"/>
    <w:basedOn w:val="TableText"/>
    <w:link w:val="TableTextBoldChar"/>
    <w:rsid w:val="00B47E64"/>
    <w:pPr>
      <w:spacing w:before="40" w:after="40"/>
    </w:pPr>
    <w:rPr>
      <w:b/>
      <w:bCs/>
    </w:rPr>
  </w:style>
  <w:style w:type="character" w:customStyle="1" w:styleId="TableTextBoldChar">
    <w:name w:val="TableTextBold Char"/>
    <w:basedOn w:val="TableTextChar"/>
    <w:link w:val="TableTextBold"/>
    <w:locked/>
    <w:rsid w:val="00B47E64"/>
    <w:rPr>
      <w:b/>
      <w:bCs/>
    </w:rPr>
  </w:style>
  <w:style w:type="character" w:customStyle="1" w:styleId="BulletsChar">
    <w:name w:val="Bullets Char"/>
    <w:basedOn w:val="TableTextChar"/>
    <w:link w:val="Bullets"/>
    <w:uiPriority w:val="99"/>
    <w:locked/>
    <w:rsid w:val="00B47E64"/>
    <w:rPr>
      <w:rFonts w:ascii="Book Antiqua" w:hAnsi="Book Antiqua"/>
    </w:rPr>
  </w:style>
  <w:style w:type="paragraph" w:customStyle="1" w:styleId="TableRowHeading">
    <w:name w:val="TableRowHeading"/>
    <w:rsid w:val="00B47E64"/>
    <w:pPr>
      <w:jc w:val="right"/>
    </w:pPr>
    <w:rPr>
      <w:rFonts w:ascii="Arial" w:hAnsi="Arial" w:cs="Arial"/>
      <w:b/>
      <w:bCs/>
      <w:color w:val="000000"/>
      <w:sz w:val="18"/>
      <w:szCs w:val="16"/>
      <w:lang w:eastAsia="en-US"/>
    </w:rPr>
  </w:style>
  <w:style w:type="paragraph" w:customStyle="1" w:styleId="TableRowHeadingLeft">
    <w:name w:val="TableRowHeadingLeft"/>
    <w:rsid w:val="00B47E64"/>
    <w:pPr>
      <w:tabs>
        <w:tab w:val="left" w:pos="0"/>
      </w:tabs>
    </w:pPr>
    <w:rPr>
      <w:rFonts w:ascii="Calibri" w:hAnsi="Calibri"/>
      <w:b/>
      <w:lang w:eastAsia="en-US"/>
    </w:rPr>
  </w:style>
  <w:style w:type="character" w:customStyle="1" w:styleId="FootnoteTextChar">
    <w:name w:val="Footnote Text Char"/>
    <w:basedOn w:val="DefaultParagraphFont"/>
    <w:link w:val="FootnoteText"/>
    <w:rsid w:val="00B47E64"/>
    <w:rPr>
      <w:rFonts w:ascii="Book Antiqua" w:hAnsi="Book Antiqua"/>
      <w:sz w:val="18"/>
    </w:rPr>
  </w:style>
  <w:style w:type="character" w:styleId="Emphasis">
    <w:name w:val="Emphasis"/>
    <w:basedOn w:val="DefaultParagraphFont"/>
    <w:qFormat/>
    <w:rsid w:val="004501CB"/>
    <w:rPr>
      <w:i/>
      <w:iCs/>
    </w:rPr>
  </w:style>
  <w:style w:type="paragraph" w:styleId="Revision">
    <w:name w:val="Revision"/>
    <w:hidden/>
    <w:uiPriority w:val="99"/>
    <w:semiHidden/>
    <w:rsid w:val="00075589"/>
    <w:rPr>
      <w:rFonts w:ascii="Book Antiqua" w:hAnsi="Book Antiqua"/>
    </w:rPr>
  </w:style>
  <w:style w:type="paragraph" w:customStyle="1" w:styleId="TableTextBoldRight">
    <w:name w:val="TableTextBoldRight"/>
    <w:basedOn w:val="TableTextBold"/>
    <w:rsid w:val="00743294"/>
    <w:pPr>
      <w:jc w:val="right"/>
    </w:pPr>
    <w:rPr>
      <w:sz w:val="19"/>
    </w:rPr>
  </w:style>
  <w:style w:type="character" w:customStyle="1" w:styleId="Heading9Char">
    <w:name w:val="Heading 9 Char"/>
    <w:basedOn w:val="DefaultParagraphFont"/>
    <w:link w:val="Heading9"/>
    <w:rsid w:val="002977F2"/>
    <w:rPr>
      <w:rFonts w:ascii="Book Antiqua" w:hAnsi="Book Antiqua"/>
      <w:lang w:eastAsia="en-US"/>
    </w:rPr>
  </w:style>
  <w:style w:type="paragraph" w:customStyle="1" w:styleId="DescriptionText">
    <w:name w:val="Description Text"/>
    <w:basedOn w:val="Normal"/>
    <w:next w:val="Normal"/>
    <w:rsid w:val="002977F2"/>
    <w:pPr>
      <w:spacing w:before="60" w:after="80" w:line="280" w:lineRule="atLeast"/>
      <w:jc w:val="left"/>
    </w:pPr>
    <w:rPr>
      <w:b/>
      <w:lang w:eastAsia="en-US"/>
    </w:rPr>
  </w:style>
  <w:style w:type="paragraph" w:customStyle="1" w:styleId="Number">
    <w:name w:val="Number"/>
    <w:rsid w:val="002977F2"/>
    <w:pPr>
      <w:spacing w:before="40"/>
    </w:pPr>
    <w:rPr>
      <w:rFonts w:ascii="Calibri" w:hAnsi="Calibri"/>
      <w:sz w:val="22"/>
      <w:lang w:eastAsia="en-US"/>
    </w:rPr>
  </w:style>
  <w:style w:type="paragraph" w:customStyle="1" w:styleId="DoFD">
    <w:name w:val="DoFD"/>
    <w:rsid w:val="002977F2"/>
    <w:pPr>
      <w:spacing w:before="20"/>
    </w:pPr>
    <w:rPr>
      <w:rFonts w:ascii="Calibri" w:hAnsi="Calibri"/>
      <w:i/>
      <w:color w:val="FF0000"/>
      <w:sz w:val="21"/>
      <w:lang w:eastAsia="en-US"/>
    </w:rPr>
  </w:style>
  <w:style w:type="paragraph" w:customStyle="1" w:styleId="TableBulletIndent">
    <w:name w:val="TableBulletIndent"/>
    <w:rsid w:val="002977F2"/>
    <w:pPr>
      <w:tabs>
        <w:tab w:val="left" w:pos="279"/>
      </w:tabs>
    </w:pPr>
    <w:rPr>
      <w:rFonts w:ascii="Calibri" w:hAnsi="Calibri" w:cs="Arial"/>
      <w:szCs w:val="16"/>
      <w:lang w:eastAsia="en-US"/>
    </w:rPr>
  </w:style>
  <w:style w:type="paragraph" w:customStyle="1" w:styleId="TableChartFootnote">
    <w:name w:val="TableChart Footnote"/>
    <w:basedOn w:val="Normal"/>
    <w:next w:val="Normal"/>
    <w:rsid w:val="002977F2"/>
    <w:pPr>
      <w:tabs>
        <w:tab w:val="left" w:pos="567"/>
      </w:tabs>
      <w:spacing w:after="0" w:line="240" w:lineRule="auto"/>
      <w:ind w:left="567" w:hanging="567"/>
      <w:jc w:val="left"/>
    </w:pPr>
    <w:rPr>
      <w:rFonts w:cs="Arial"/>
      <w:color w:val="000000"/>
      <w:sz w:val="16"/>
      <w:szCs w:val="24"/>
      <w:lang w:eastAsia="en-US"/>
    </w:rPr>
  </w:style>
  <w:style w:type="paragraph" w:customStyle="1" w:styleId="TableTextItalic">
    <w:name w:val="TableText + Italic"/>
    <w:basedOn w:val="TableTextRight0"/>
    <w:rsid w:val="002977F2"/>
    <w:rPr>
      <w:i/>
      <w:iCs/>
    </w:rPr>
  </w:style>
  <w:style w:type="character" w:styleId="FollowedHyperlink">
    <w:name w:val="FollowedHyperlink"/>
    <w:basedOn w:val="DefaultParagraphFont"/>
    <w:rsid w:val="002977F2"/>
    <w:rPr>
      <w:color w:val="800080"/>
      <w:u w:val="single"/>
    </w:rPr>
  </w:style>
  <w:style w:type="paragraph" w:customStyle="1" w:styleId="TableTextCentre">
    <w:name w:val="TableTextCentre"/>
    <w:basedOn w:val="TableText"/>
    <w:qFormat/>
    <w:rsid w:val="002977F2"/>
    <w:pPr>
      <w:framePr w:wrap="around" w:vAnchor="text" w:hAnchor="text" w:y="1"/>
      <w:widowControl w:val="0"/>
      <w:spacing w:before="40" w:after="40"/>
      <w:jc w:val="center"/>
    </w:pPr>
    <w:rPr>
      <w:rFonts w:ascii="Calibri" w:hAnsi="Calibri"/>
      <w:sz w:val="22"/>
    </w:rPr>
  </w:style>
  <w:style w:type="character" w:customStyle="1" w:styleId="TableBulletCharChar">
    <w:name w:val="TableBullet Char Char"/>
    <w:basedOn w:val="DefaultParagraphFont"/>
    <w:rsid w:val="002977F2"/>
    <w:rPr>
      <w:rFonts w:ascii="Arial" w:hAnsi="Arial"/>
      <w:sz w:val="18"/>
      <w:szCs w:val="16"/>
      <w:lang w:eastAsia="en-US"/>
    </w:rPr>
  </w:style>
  <w:style w:type="character" w:customStyle="1" w:styleId="ListParagraphChar">
    <w:name w:val="List Paragraph Char"/>
    <w:basedOn w:val="DefaultParagraphFont"/>
    <w:link w:val="ListParagraph"/>
    <w:uiPriority w:val="34"/>
    <w:rsid w:val="002977F2"/>
    <w:rPr>
      <w:rFonts w:ascii="Calibri" w:eastAsia="Calibri" w:hAnsi="Calibri"/>
      <w:sz w:val="22"/>
      <w:szCs w:val="22"/>
      <w:lang w:val="en-US" w:eastAsia="en-US"/>
    </w:rPr>
  </w:style>
  <w:style w:type="paragraph" w:customStyle="1" w:styleId="TableSmallLeft">
    <w:name w:val="TableSmallLeft"/>
    <w:uiPriority w:val="99"/>
    <w:rsid w:val="002977F2"/>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2977F2"/>
    <w:pPr>
      <w:autoSpaceDE w:val="0"/>
      <w:autoSpaceDN w:val="0"/>
      <w:adjustRightInd w:val="0"/>
      <w:jc w:val="right"/>
    </w:pPr>
    <w:rPr>
      <w:rFonts w:ascii="Arial" w:hAnsi="Arial" w:cs="Arial"/>
      <w:color w:val="000000"/>
      <w:sz w:val="16"/>
      <w:szCs w:val="22"/>
      <w:lang w:eastAsia="en-US"/>
    </w:rPr>
  </w:style>
  <w:style w:type="paragraph" w:customStyle="1" w:styleId="TableFootnote">
    <w:name w:val="TableFootnote"/>
    <w:uiPriority w:val="99"/>
    <w:rsid w:val="002977F2"/>
    <w:pPr>
      <w:tabs>
        <w:tab w:val="left" w:pos="284"/>
      </w:tabs>
      <w:ind w:left="284" w:hanging="284"/>
    </w:pPr>
    <w:rPr>
      <w:rFonts w:ascii="Arial" w:hAnsi="Arial"/>
      <w:sz w:val="18"/>
      <w:lang w:eastAsia="en-US"/>
    </w:rPr>
  </w:style>
  <w:style w:type="paragraph" w:customStyle="1" w:styleId="TableTextSmall">
    <w:name w:val="TableTextSmall"/>
    <w:basedOn w:val="TableText"/>
    <w:qFormat/>
    <w:rsid w:val="002977F2"/>
    <w:pPr>
      <w:framePr w:wrap="around" w:vAnchor="text" w:hAnchor="text" w:y="1"/>
      <w:widowControl w:val="0"/>
      <w:spacing w:before="40" w:after="40"/>
      <w:jc w:val="center"/>
    </w:pPr>
  </w:style>
  <w:style w:type="paragraph" w:customStyle="1" w:styleId="Text">
    <w:name w:val="Text"/>
    <w:aliases w:val="t"/>
    <w:basedOn w:val="Normal"/>
    <w:rsid w:val="002977F2"/>
    <w:pPr>
      <w:spacing w:after="200" w:line="240" w:lineRule="auto"/>
      <w:jc w:val="left"/>
    </w:pPr>
    <w:rPr>
      <w:sz w:val="22"/>
      <w:lang w:eastAsia="en-US"/>
    </w:rPr>
  </w:style>
  <w:style w:type="paragraph" w:customStyle="1" w:styleId="NormalIndented">
    <w:name w:val="NormalIndented"/>
    <w:basedOn w:val="Normal"/>
    <w:qFormat/>
    <w:rsid w:val="002977F2"/>
    <w:pPr>
      <w:spacing w:before="60" w:after="80" w:line="240" w:lineRule="auto"/>
      <w:ind w:left="284"/>
      <w:jc w:val="left"/>
    </w:pPr>
    <w:rPr>
      <w:lang w:eastAsia="en-US"/>
    </w:rPr>
  </w:style>
  <w:style w:type="paragraph" w:customStyle="1" w:styleId="Italic">
    <w:name w:val="Italic"/>
    <w:basedOn w:val="Normal"/>
    <w:uiPriority w:val="99"/>
    <w:rsid w:val="002977F2"/>
    <w:pPr>
      <w:spacing w:before="120" w:after="0" w:line="240" w:lineRule="auto"/>
      <w:jc w:val="left"/>
    </w:pPr>
    <w:rPr>
      <w:rFonts w:cs="Arial"/>
      <w:i/>
      <w:lang w:eastAsia="en-US"/>
    </w:rPr>
  </w:style>
  <w:style w:type="paragraph" w:customStyle="1" w:styleId="TableRowHead">
    <w:name w:val="TableRowHead"/>
    <w:uiPriority w:val="99"/>
    <w:rsid w:val="002977F2"/>
    <w:pPr>
      <w:spacing w:before="20" w:after="20"/>
    </w:pPr>
    <w:rPr>
      <w:rFonts w:ascii="Arial" w:hAnsi="Arial" w:cs="Arial"/>
      <w:bCs/>
      <w:i/>
      <w:color w:val="000000"/>
      <w:szCs w:val="16"/>
      <w:lang w:eastAsia="en-US"/>
    </w:rPr>
  </w:style>
  <w:style w:type="paragraph" w:customStyle="1" w:styleId="TableTextComment">
    <w:name w:val="TableText Comment"/>
    <w:basedOn w:val="TableText"/>
    <w:rsid w:val="002977F2"/>
    <w:pPr>
      <w:widowControl w:val="0"/>
    </w:pPr>
    <w:rPr>
      <w:rFonts w:ascii="Calibri" w:hAnsi="Calibri"/>
      <w:b/>
      <w:smallCaps/>
      <w:color w:val="008080"/>
    </w:rPr>
  </w:style>
  <w:style w:type="paragraph" w:styleId="ListBullet">
    <w:name w:val="List Bullet"/>
    <w:basedOn w:val="Normal"/>
    <w:rsid w:val="0015316B"/>
    <w:pPr>
      <w:tabs>
        <w:tab w:val="num" w:pos="360"/>
      </w:tabs>
      <w:spacing w:after="0" w:line="240" w:lineRule="auto"/>
      <w:ind w:left="360" w:hanging="360"/>
      <w:contextualSpacing/>
      <w:jc w:val="left"/>
    </w:pPr>
    <w:rPr>
      <w:rFonts w:ascii="Times New Roman" w:hAnsi="Times New Roman"/>
      <w:sz w:val="24"/>
      <w:szCs w:val="24"/>
    </w:rPr>
  </w:style>
  <w:style w:type="paragraph" w:customStyle="1" w:styleId="CABBackGround">
    <w:name w:val="CABBackGround"/>
    <w:basedOn w:val="Normal"/>
    <w:link w:val="CABBackGroundChar1"/>
    <w:rsid w:val="00457293"/>
    <w:pPr>
      <w:spacing w:after="0" w:line="360" w:lineRule="auto"/>
      <w:jc w:val="left"/>
    </w:pPr>
    <w:rPr>
      <w:rFonts w:ascii="Times New Roman" w:hAnsi="Times New Roman"/>
      <w:sz w:val="24"/>
    </w:rPr>
  </w:style>
  <w:style w:type="character" w:customStyle="1" w:styleId="CABBackGroundChar1">
    <w:name w:val="CABBackGround Char1"/>
    <w:basedOn w:val="DefaultParagraphFont"/>
    <w:link w:val="CABBackGround"/>
    <w:rsid w:val="00457293"/>
    <w:rPr>
      <w:sz w:val="24"/>
    </w:rPr>
  </w:style>
</w:styles>
</file>

<file path=word/webSettings.xml><?xml version="1.0" encoding="utf-8"?>
<w:webSettings xmlns:r="http://schemas.openxmlformats.org/officeDocument/2006/relationships" xmlns:w="http://schemas.openxmlformats.org/wordprocessingml/2006/main">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4273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6861698">
      <w:bodyDiv w:val="1"/>
      <w:marLeft w:val="0"/>
      <w:marRight w:val="0"/>
      <w:marTop w:val="0"/>
      <w:marBottom w:val="0"/>
      <w:divBdr>
        <w:top w:val="none" w:sz="0" w:space="0" w:color="auto"/>
        <w:left w:val="none" w:sz="0" w:space="0" w:color="auto"/>
        <w:bottom w:val="none" w:sz="0" w:space="0" w:color="auto"/>
        <w:right w:val="none" w:sz="0" w:space="0" w:color="auto"/>
      </w:divBdr>
    </w:div>
    <w:div w:id="79025011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163288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5178967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0279840">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7.emf"/><Relationship Id="rId38" Type="http://schemas.openxmlformats.org/officeDocument/2006/relationships/image" Target="media/image9.emf"/><Relationship Id="rId46"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5.xml"/><Relationship Id="rId29" Type="http://schemas.openxmlformats.org/officeDocument/2006/relationships/image" Target="media/image6.emf"/><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image" Target="media/image11.emf"/><Relationship Id="rId45"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kills xmlns="e332d0f9-0926-49c1-a8be-0fee46b48ce5">false</Skills>
    <EarlyChildhood xmlns="e332d0f9-0926-49c1-a8be-0fee46b48ce5">false</EarlyChildhood>
    <Employment xmlns="e332d0f9-0926-49c1-a8be-0fee46b48ce5">false</Employment>
    <Indigenous xmlns="e332d0f9-0926-49c1-a8be-0fee46b48ce5">false</Indigenous>
    <WorkplaceRelations xmlns="e332d0f9-0926-49c1-a8be-0fee46b48ce5">false</WorkplaceRelations>
    <TheDepartment xmlns="e332d0f9-0926-49c1-a8be-0fee46b48ce5">true</TheDepartment>
    <International xmlns="e332d0f9-0926-49c1-a8be-0fee46b48ce5">false</International>
    <HigherEducation xmlns="e332d0f9-0926-49c1-a8be-0fee46b48ce5">false</HigherEducation>
    <Youth xmlns="e332d0f9-0926-49c1-a8be-0fee46b48ce5">false</Youth>
    <Schooling xmlns="e332d0f9-0926-49c1-a8be-0fee46b48ce5">false</Schooling>
  </documentManagement>
</p:properties>
</file>

<file path=customXml/item3.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0C01B7407CB72C4498EE00DF30D3D77C" ma:contentTypeVersion="5" ma:contentTypeDescription="" ma:contentTypeScope="" ma:versionID="bddcb2daf3ec07bd3ffce9ad4e3d5763">
  <xsd:schema xmlns:xsd="http://www.w3.org/2001/XMLSchema" xmlns:p="http://schemas.microsoft.com/office/2006/metadata/properties" xmlns:ns2="e332d0f9-0926-49c1-a8be-0fee46b48ce5" targetNamespace="http://schemas.microsoft.com/office/2006/metadata/properties" ma:root="true" ma:fieldsID="4523636682073de46ba8787a00d77340" ns2:_="">
    <xsd:import namespace="e332d0f9-0926-49c1-a8be-0fee46b48ce5"/>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e332d0f9-0926-49c1-a8be-0fee46b48ce5" elementFormDefault="qualified">
    <xsd:import namespace="http://schemas.microsoft.com/office/2006/documentManagement/types"/>
    <xsd:element name="EarlyChildhood" ma:index="8" nillable="true" ma:displayName="Early Childhood" ma:internalName="EarlyChildhood">
      <xsd:simpleType>
        <xsd:restriction base="dms:Boolean"/>
      </xsd:simpleType>
    </xsd:element>
    <xsd:element name="Schooling" ma:index="9" nillable="true" ma:displayName="Schooling" ma:internalName="Schooling">
      <xsd:simpleType>
        <xsd:restriction base="dms:Boolean"/>
      </xsd:simpleType>
    </xsd:element>
    <xsd:element name="HigherEducation" ma:index="10" nillable="true" ma:displayName="Higher Education" ma:internalName="HigherEducation">
      <xsd:simpleType>
        <xsd:restriction base="dms:Boolean"/>
      </xsd:simpleType>
    </xsd:element>
    <xsd:element name="Skills" ma:index="11" nillable="true" ma:displayName="Skills" ma:internalName="Skills">
      <xsd:simpleType>
        <xsd:restriction base="dms:Boolean"/>
      </xsd:simpleType>
    </xsd:element>
    <xsd:element name="Youth" ma:index="12" nillable="true" ma:displayName="Youth" ma:internalName="Youth">
      <xsd:simpleType>
        <xsd:restriction base="dms:Boolean"/>
      </xsd:simpleType>
    </xsd:element>
    <xsd:element name="Employment" ma:index="13" nillable="true" ma:displayName="Employment" ma:internalName="Employment">
      <xsd:simpleType>
        <xsd:restriction base="dms:Boolean"/>
      </xsd:simpleType>
    </xsd:element>
    <xsd:element name="WorkplaceRelations" ma:index="14" nillable="true" ma:displayName="Workplace Relations" ma:internalName="WorkplaceRelations">
      <xsd:simpleType>
        <xsd:restriction base="dms:Boolean"/>
      </xsd:simpleType>
    </xsd:element>
    <xsd:element name="TheDepartment" ma:index="15" nillable="true" ma:displayName="Department" ma:default="1" ma:internalName="TheDepartment">
      <xsd:simpleType>
        <xsd:restriction base="dms:Boolean"/>
      </xsd:simpleType>
    </xsd:element>
    <xsd:element name="International" ma:index="16" nillable="true" ma:displayName="International" ma:internalName="International">
      <xsd:simpleType>
        <xsd:restriction base="dms:Boolean"/>
      </xsd:simpleType>
    </xsd:element>
    <xsd:element name="Indigenous" ma:index="17"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72AE1-C923-487C-BEE3-A4B7F088C76B}"/>
</file>

<file path=customXml/itemProps2.xml><?xml version="1.0" encoding="utf-8"?>
<ds:datastoreItem xmlns:ds="http://schemas.openxmlformats.org/officeDocument/2006/customXml" ds:itemID="{E2D9FBD3-B21F-42C1-9DC3-3AED4B1D095C}"/>
</file>

<file path=customXml/itemProps3.xml><?xml version="1.0" encoding="utf-8"?>
<ds:datastoreItem xmlns:ds="http://schemas.openxmlformats.org/officeDocument/2006/customXml" ds:itemID="{4741A9DF-7827-4C51-9924-118688676E94}"/>
</file>

<file path=customXml/itemProps4.xml><?xml version="1.0" encoding="utf-8"?>
<ds:datastoreItem xmlns:ds="http://schemas.openxmlformats.org/officeDocument/2006/customXml" ds:itemID="{EB1A982B-6B2C-43FC-A1C9-BD2FE7FBE2F0}"/>
</file>

<file path=docProps/app.xml><?xml version="1.0" encoding="utf-8"?>
<Properties xmlns="http://schemas.openxmlformats.org/officeDocument/2006/extended-properties" xmlns:vt="http://schemas.openxmlformats.org/officeDocument/2006/docPropsVTypes">
  <Template>Portfolio Budget Statements.dot</Template>
  <TotalTime>15</TotalTime>
  <Pages>19</Pages>
  <Words>1633</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11279</CharactersWithSpaces>
  <SharedDoc>false</SharedDoc>
  <HLinks>
    <vt:vector size="6" baseType="variant">
      <vt:variant>
        <vt:i4>4063325</vt:i4>
      </vt:variant>
      <vt:variant>
        <vt:i4>-1</vt:i4>
      </vt:variant>
      <vt:variant>
        <vt:i4>1100</vt:i4>
      </vt:variant>
      <vt:variant>
        <vt:i4>1</vt:i4>
      </vt:variant>
      <vt:variant>
        <vt:lpwstr>cid:image001.png@01CB6EC2.B90D04A0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Lani McMahon - 3254</dc:creator>
  <cp:lastModifiedBy>Lauren Maher</cp:lastModifiedBy>
  <cp:revision>3</cp:revision>
  <cp:lastPrinted>2012-05-06T10:27:00Z</cp:lastPrinted>
  <dcterms:created xsi:type="dcterms:W3CDTF">2012-05-08T00:07:00Z</dcterms:created>
  <dcterms:modified xsi:type="dcterms:W3CDTF">2012-05-08T00:20:00Z</dcterms:modified>
  <cp:contentType>Corporate.Portal.Document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5" name="ContentTypeId">
    <vt:lpwstr>0x010100A307F53EE80F4E9D9B7E4786A22684B7000C01B7407CB72C4498EE00DF30D3D77C</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