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4B5" w:rsidRPr="007F3CCF" w:rsidRDefault="00A004B5" w:rsidP="007F3983">
      <w:pPr>
        <w:pStyle w:val="Department"/>
        <w:spacing w:before="1320"/>
      </w:pPr>
      <w:bookmarkStart w:id="0" w:name="_Toc190766151"/>
      <w:r>
        <w:t>Fair Work Ombudsman</w:t>
      </w:r>
    </w:p>
    <w:p w:rsidR="002D71FB" w:rsidRDefault="00A004B5" w:rsidP="002D71FB">
      <w:pPr>
        <w:pStyle w:val="DepartmentSubtitle"/>
        <w:spacing w:before="2080"/>
      </w:pPr>
      <w:r>
        <w:t>Entity re</w:t>
      </w:r>
      <w:r w:rsidR="002D71FB">
        <w:t>sources and planned performance</w:t>
      </w:r>
    </w:p>
    <w:p w:rsidR="00124758" w:rsidRDefault="00124758" w:rsidP="002D71FB">
      <w:pPr>
        <w:pStyle w:val="DepartmentSubtitle"/>
        <w:spacing w:before="2080"/>
      </w:pPr>
    </w:p>
    <w:p w:rsidR="00124758" w:rsidRDefault="00124758" w:rsidP="002D71FB">
      <w:pPr>
        <w:pStyle w:val="DepartmentSubtitle"/>
        <w:spacing w:before="2080"/>
        <w:sectPr w:rsidR="00124758" w:rsidSect="002D71FB">
          <w:footerReference w:type="even" r:id="rId14"/>
          <w:footerReference w:type="default" r:id="rId15"/>
          <w:type w:val="oddPage"/>
          <w:pgSz w:w="9979" w:h="14175" w:code="259"/>
          <w:pgMar w:top="1418" w:right="1418" w:bottom="1418" w:left="1418" w:header="680" w:footer="1418" w:gutter="0"/>
          <w:cols w:space="708"/>
          <w:titlePg/>
          <w:docGrid w:linePitch="360"/>
        </w:sectPr>
      </w:pPr>
    </w:p>
    <w:p w:rsidR="00A004B5" w:rsidRPr="00AA2983" w:rsidRDefault="00A004B5" w:rsidP="002D71FB">
      <w:pPr>
        <w:pStyle w:val="ContentsHeading"/>
      </w:pPr>
      <w:r w:rsidRPr="00AA2983">
        <w:lastRenderedPageBreak/>
        <w:t>Fair Work Ombudsman</w:t>
      </w:r>
    </w:p>
    <w:p w:rsidR="00A004B5" w:rsidRPr="00AA2983" w:rsidRDefault="00A004B5" w:rsidP="007F3CCF">
      <w:pPr>
        <w:pStyle w:val="TOC3"/>
        <w:rPr>
          <w:rFonts w:cs="Arial"/>
          <w:b w:val="0"/>
          <w:noProof/>
          <w:sz w:val="24"/>
          <w:szCs w:val="24"/>
        </w:rPr>
      </w:pPr>
      <w:r w:rsidRPr="00AA2983">
        <w:rPr>
          <w:rFonts w:cs="Arial"/>
          <w:noProof/>
        </w:rPr>
        <w:t xml:space="preserve">Section 1: </w:t>
      </w:r>
      <w:r w:rsidR="00CA7BA1">
        <w:rPr>
          <w:rFonts w:cs="Arial"/>
          <w:noProof/>
        </w:rPr>
        <w:t>Entity</w:t>
      </w:r>
      <w:r w:rsidR="00EF1185">
        <w:rPr>
          <w:rFonts w:cs="Arial"/>
          <w:noProof/>
        </w:rPr>
        <w:t xml:space="preserve"> overview and resources</w:t>
      </w:r>
      <w:r w:rsidR="00EF1185">
        <w:rPr>
          <w:rFonts w:cs="Arial"/>
          <w:noProof/>
        </w:rPr>
        <w:tab/>
        <w:t>153</w:t>
      </w:r>
    </w:p>
    <w:p w:rsidR="00A004B5" w:rsidRPr="00AA2983" w:rsidRDefault="00A004B5" w:rsidP="007F3CCF">
      <w:pPr>
        <w:pStyle w:val="TOC4"/>
        <w:tabs>
          <w:tab w:val="left" w:pos="800"/>
        </w:tabs>
        <w:rPr>
          <w:rFonts w:cs="Arial"/>
          <w:noProof/>
          <w:sz w:val="24"/>
          <w:szCs w:val="24"/>
        </w:rPr>
      </w:pPr>
      <w:r w:rsidRPr="00AA2983">
        <w:rPr>
          <w:rFonts w:cs="Arial"/>
          <w:noProof/>
        </w:rPr>
        <w:t>1.1</w:t>
      </w:r>
      <w:r w:rsidRPr="00AA2983">
        <w:rPr>
          <w:rFonts w:cs="Arial"/>
          <w:noProof/>
          <w:sz w:val="24"/>
          <w:szCs w:val="24"/>
        </w:rPr>
        <w:tab/>
      </w:r>
      <w:r w:rsidRPr="00AA2983">
        <w:rPr>
          <w:rFonts w:cs="Arial"/>
          <w:noProof/>
        </w:rPr>
        <w:t>Strategic direction</w:t>
      </w:r>
      <w:r>
        <w:rPr>
          <w:rFonts w:cs="Arial"/>
          <w:noProof/>
        </w:rPr>
        <w:t xml:space="preserve"> statement</w:t>
      </w:r>
      <w:r w:rsidR="00EF1185">
        <w:rPr>
          <w:rFonts w:cs="Arial"/>
          <w:noProof/>
        </w:rPr>
        <w:tab/>
        <w:t>153</w:t>
      </w:r>
    </w:p>
    <w:p w:rsidR="00A004B5" w:rsidRPr="00AA2983" w:rsidRDefault="00A004B5" w:rsidP="007F3CCF">
      <w:pPr>
        <w:pStyle w:val="TOC4"/>
        <w:tabs>
          <w:tab w:val="left" w:pos="800"/>
        </w:tabs>
        <w:rPr>
          <w:rFonts w:cs="Arial"/>
          <w:noProof/>
          <w:sz w:val="24"/>
          <w:szCs w:val="24"/>
        </w:rPr>
      </w:pPr>
      <w:r w:rsidRPr="00AA2983">
        <w:rPr>
          <w:rFonts w:cs="Arial"/>
          <w:noProof/>
        </w:rPr>
        <w:t>1.2</w:t>
      </w:r>
      <w:r w:rsidRPr="00AA2983">
        <w:rPr>
          <w:rFonts w:cs="Arial"/>
          <w:noProof/>
          <w:sz w:val="24"/>
          <w:szCs w:val="24"/>
        </w:rPr>
        <w:tab/>
      </w:r>
      <w:r w:rsidR="00CA7BA1">
        <w:rPr>
          <w:rFonts w:cs="Arial"/>
          <w:noProof/>
        </w:rPr>
        <w:t>Entity</w:t>
      </w:r>
      <w:r w:rsidR="00EF1185">
        <w:rPr>
          <w:rFonts w:cs="Arial"/>
          <w:noProof/>
        </w:rPr>
        <w:t xml:space="preserve"> resource statement</w:t>
      </w:r>
      <w:r w:rsidR="00EF1185">
        <w:rPr>
          <w:rFonts w:cs="Arial"/>
          <w:noProof/>
        </w:rPr>
        <w:tab/>
        <w:t>154</w:t>
      </w:r>
    </w:p>
    <w:p w:rsidR="00A004B5" w:rsidRPr="00AA2983" w:rsidRDefault="00A004B5" w:rsidP="007F3CCF">
      <w:pPr>
        <w:pStyle w:val="TOC4"/>
        <w:tabs>
          <w:tab w:val="left" w:pos="800"/>
        </w:tabs>
        <w:rPr>
          <w:rFonts w:cs="Arial"/>
          <w:noProof/>
        </w:rPr>
      </w:pPr>
      <w:r w:rsidRPr="00AA2983">
        <w:rPr>
          <w:rFonts w:cs="Arial"/>
          <w:noProof/>
        </w:rPr>
        <w:t>1.3</w:t>
      </w:r>
      <w:r w:rsidRPr="00AA2983">
        <w:rPr>
          <w:rFonts w:cs="Arial"/>
          <w:noProof/>
          <w:sz w:val="24"/>
          <w:szCs w:val="24"/>
        </w:rPr>
        <w:tab/>
      </w:r>
      <w:r w:rsidR="00EF1185">
        <w:rPr>
          <w:rFonts w:cs="Arial"/>
          <w:noProof/>
        </w:rPr>
        <w:t>Budget measures</w:t>
      </w:r>
      <w:r w:rsidR="00EF1185">
        <w:rPr>
          <w:rFonts w:cs="Arial"/>
          <w:noProof/>
        </w:rPr>
        <w:tab/>
        <w:t>156</w:t>
      </w:r>
    </w:p>
    <w:p w:rsidR="00A004B5" w:rsidRPr="00AA2983" w:rsidRDefault="00A004B5" w:rsidP="007F3CCF">
      <w:pPr>
        <w:pStyle w:val="TOC3"/>
        <w:rPr>
          <w:rFonts w:cs="Arial"/>
          <w:b w:val="0"/>
          <w:noProof/>
          <w:sz w:val="24"/>
          <w:szCs w:val="24"/>
        </w:rPr>
      </w:pPr>
      <w:r w:rsidRPr="00AA2983">
        <w:rPr>
          <w:rFonts w:cs="Arial"/>
          <w:noProof/>
        </w:rPr>
        <w:t>Section 2: Out</w:t>
      </w:r>
      <w:r w:rsidR="00EF1185">
        <w:rPr>
          <w:rFonts w:cs="Arial"/>
          <w:noProof/>
        </w:rPr>
        <w:t>comes and planned performance</w:t>
      </w:r>
      <w:r w:rsidR="00EF1185">
        <w:rPr>
          <w:rFonts w:cs="Arial"/>
          <w:noProof/>
        </w:rPr>
        <w:tab/>
        <w:t>157</w:t>
      </w:r>
    </w:p>
    <w:p w:rsidR="00A004B5" w:rsidRPr="00AA2983" w:rsidRDefault="00A004B5" w:rsidP="007F3CCF">
      <w:pPr>
        <w:pStyle w:val="TOC4"/>
        <w:tabs>
          <w:tab w:val="left" w:pos="800"/>
        </w:tabs>
        <w:rPr>
          <w:rFonts w:cs="Arial"/>
          <w:noProof/>
          <w:sz w:val="24"/>
          <w:szCs w:val="24"/>
        </w:rPr>
      </w:pPr>
      <w:r w:rsidRPr="00AA2983">
        <w:rPr>
          <w:rFonts w:cs="Arial"/>
          <w:noProof/>
        </w:rPr>
        <w:t>2.1</w:t>
      </w:r>
      <w:r w:rsidRPr="00AA2983">
        <w:rPr>
          <w:rFonts w:cs="Arial"/>
          <w:noProof/>
          <w:sz w:val="24"/>
          <w:szCs w:val="24"/>
        </w:rPr>
        <w:tab/>
      </w:r>
      <w:r w:rsidRPr="00AA2983">
        <w:rPr>
          <w:rFonts w:cs="Arial"/>
          <w:noProof/>
        </w:rPr>
        <w:t>Outcome</w:t>
      </w:r>
      <w:r w:rsidR="00EF1185">
        <w:rPr>
          <w:rFonts w:cs="Arial"/>
          <w:noProof/>
        </w:rPr>
        <w:t>s and performance information</w:t>
      </w:r>
      <w:r w:rsidR="00EF1185">
        <w:rPr>
          <w:rFonts w:cs="Arial"/>
          <w:noProof/>
        </w:rPr>
        <w:tab/>
        <w:t>157</w:t>
      </w:r>
    </w:p>
    <w:p w:rsidR="00A004B5" w:rsidRPr="00AA2983" w:rsidRDefault="00A004B5" w:rsidP="007F3CCF">
      <w:pPr>
        <w:pStyle w:val="TOC3"/>
        <w:rPr>
          <w:rFonts w:cs="Arial"/>
          <w:b w:val="0"/>
          <w:noProof/>
          <w:sz w:val="24"/>
          <w:szCs w:val="24"/>
        </w:rPr>
      </w:pPr>
      <w:r w:rsidRPr="00AA2983">
        <w:rPr>
          <w:rFonts w:cs="Arial"/>
          <w:noProof/>
        </w:rPr>
        <w:t xml:space="preserve">Section 3: Explanatory tables and </w:t>
      </w:r>
      <w:r w:rsidR="00EF1185">
        <w:rPr>
          <w:rFonts w:cs="Arial"/>
          <w:noProof/>
        </w:rPr>
        <w:t>budgeted financial statements</w:t>
      </w:r>
      <w:r w:rsidR="00EF1185">
        <w:rPr>
          <w:rFonts w:cs="Arial"/>
          <w:noProof/>
        </w:rPr>
        <w:tab/>
        <w:t>162</w:t>
      </w:r>
    </w:p>
    <w:p w:rsidR="00A004B5" w:rsidRPr="00AA2983" w:rsidRDefault="00A004B5" w:rsidP="007F3CCF">
      <w:pPr>
        <w:pStyle w:val="TOC4"/>
        <w:tabs>
          <w:tab w:val="left" w:pos="800"/>
        </w:tabs>
        <w:rPr>
          <w:rFonts w:cs="Arial"/>
          <w:noProof/>
        </w:rPr>
      </w:pPr>
      <w:r w:rsidRPr="00AA2983">
        <w:rPr>
          <w:rFonts w:cs="Arial"/>
          <w:noProof/>
        </w:rPr>
        <w:t>3.1</w:t>
      </w:r>
      <w:r w:rsidRPr="00AA2983">
        <w:rPr>
          <w:rFonts w:cs="Arial"/>
          <w:noProof/>
          <w:sz w:val="24"/>
          <w:szCs w:val="24"/>
        </w:rPr>
        <w:tab/>
      </w:r>
      <w:r w:rsidR="00EF1185">
        <w:rPr>
          <w:rFonts w:cs="Arial"/>
          <w:noProof/>
        </w:rPr>
        <w:t>Explanatory tables</w:t>
      </w:r>
      <w:r w:rsidR="00EF1185">
        <w:rPr>
          <w:rFonts w:cs="Arial"/>
          <w:noProof/>
        </w:rPr>
        <w:tab/>
        <w:t>162</w:t>
      </w:r>
    </w:p>
    <w:p w:rsidR="00A004B5" w:rsidRPr="00AA2983" w:rsidRDefault="00A004B5" w:rsidP="007F3CCF">
      <w:pPr>
        <w:pStyle w:val="TOC4"/>
        <w:tabs>
          <w:tab w:val="left" w:pos="800"/>
        </w:tabs>
        <w:rPr>
          <w:rFonts w:cs="Arial"/>
          <w:noProof/>
        </w:rPr>
      </w:pPr>
      <w:r w:rsidRPr="00AA2983">
        <w:rPr>
          <w:rFonts w:cs="Arial"/>
          <w:noProof/>
        </w:rPr>
        <w:t>3.2</w:t>
      </w:r>
      <w:r w:rsidRPr="00AA2983">
        <w:rPr>
          <w:rFonts w:cs="Arial"/>
          <w:noProof/>
          <w:sz w:val="24"/>
          <w:szCs w:val="24"/>
        </w:rPr>
        <w:tab/>
      </w:r>
      <w:r w:rsidRPr="00AA2983">
        <w:rPr>
          <w:rFonts w:cs="Arial"/>
          <w:noProof/>
        </w:rPr>
        <w:t xml:space="preserve">Budgeted </w:t>
      </w:r>
      <w:r>
        <w:rPr>
          <w:rFonts w:cs="Arial"/>
          <w:noProof/>
        </w:rPr>
        <w:t>f</w:t>
      </w:r>
      <w:r w:rsidRPr="00AA2983">
        <w:rPr>
          <w:rFonts w:cs="Arial"/>
          <w:noProof/>
        </w:rPr>
        <w:t xml:space="preserve">inancial </w:t>
      </w:r>
      <w:r>
        <w:rPr>
          <w:rFonts w:cs="Arial"/>
          <w:noProof/>
        </w:rPr>
        <w:t>s</w:t>
      </w:r>
      <w:r w:rsidR="00EF1185">
        <w:rPr>
          <w:rFonts w:cs="Arial"/>
          <w:noProof/>
        </w:rPr>
        <w:t>tatements</w:t>
      </w:r>
      <w:r w:rsidR="00EF1185">
        <w:rPr>
          <w:rFonts w:cs="Arial"/>
          <w:noProof/>
        </w:rPr>
        <w:tab/>
        <w:t>163</w:t>
      </w:r>
    </w:p>
    <w:p w:rsidR="002D71FB" w:rsidRDefault="002D71FB" w:rsidP="002D71FB">
      <w:pPr>
        <w:pStyle w:val="Heading1"/>
        <w:jc w:val="left"/>
        <w:rPr>
          <w:rFonts w:cs="Arial"/>
        </w:rPr>
      </w:pPr>
    </w:p>
    <w:p w:rsidR="002D71FB" w:rsidRPr="002D71FB" w:rsidRDefault="002D71FB" w:rsidP="002D71FB">
      <w:pPr>
        <w:sectPr w:rsidR="002D71FB" w:rsidRPr="002D71FB" w:rsidSect="002D71FB">
          <w:headerReference w:type="first" r:id="rId16"/>
          <w:footerReference w:type="first" r:id="rId17"/>
          <w:type w:val="oddPage"/>
          <w:pgSz w:w="9979" w:h="14175" w:code="259"/>
          <w:pgMar w:top="1418" w:right="1418" w:bottom="1418" w:left="1418" w:header="680" w:footer="1418" w:gutter="0"/>
          <w:pgNumType w:start="151"/>
          <w:cols w:space="708"/>
          <w:titlePg/>
          <w:docGrid w:linePitch="360"/>
        </w:sectPr>
      </w:pPr>
    </w:p>
    <w:p w:rsidR="00A004B5" w:rsidRPr="00A20D02" w:rsidRDefault="00A004B5" w:rsidP="00A20D02">
      <w:pPr>
        <w:pStyle w:val="Heading1"/>
      </w:pPr>
      <w:r w:rsidRPr="00A20D02">
        <w:lastRenderedPageBreak/>
        <w:t>Fair Work Ombudsman</w:t>
      </w:r>
    </w:p>
    <w:p w:rsidR="00A004B5" w:rsidRPr="00AA2983" w:rsidRDefault="00A20D02" w:rsidP="007F3CCF">
      <w:pPr>
        <w:pStyle w:val="Heading2"/>
        <w:rPr>
          <w:rFonts w:cs="Arial"/>
        </w:rPr>
      </w:pPr>
      <w:r>
        <w:rPr>
          <w:rFonts w:cs="Arial"/>
        </w:rPr>
        <w:t>Section 1: Entity</w:t>
      </w:r>
      <w:r w:rsidR="00A004B5" w:rsidRPr="00AA2983">
        <w:rPr>
          <w:rFonts w:cs="Arial"/>
        </w:rPr>
        <w:t xml:space="preserve"> overview and resources</w:t>
      </w:r>
    </w:p>
    <w:p w:rsidR="00A004B5" w:rsidRPr="00AA2983" w:rsidRDefault="00A004B5" w:rsidP="00A004B5">
      <w:pPr>
        <w:pStyle w:val="Heading3"/>
        <w:numPr>
          <w:ilvl w:val="1"/>
          <w:numId w:val="16"/>
        </w:numPr>
        <w:rPr>
          <w:rFonts w:cs="Arial"/>
        </w:rPr>
      </w:pPr>
      <w:r w:rsidRPr="00AA2983">
        <w:rPr>
          <w:rFonts w:cs="Arial"/>
        </w:rPr>
        <w:t>Strategic directio</w:t>
      </w:r>
      <w:r>
        <w:rPr>
          <w:rFonts w:cs="Arial"/>
        </w:rPr>
        <w:t>n statement</w:t>
      </w:r>
    </w:p>
    <w:p w:rsidR="00A004B5" w:rsidRPr="007619AD" w:rsidRDefault="00A004B5" w:rsidP="00B233F5">
      <w:r w:rsidRPr="007619AD">
        <w:t xml:space="preserve">The Fair Work Ombudsman is an independent statutory office created by the </w:t>
      </w:r>
      <w:r w:rsidRPr="007619AD">
        <w:rPr>
          <w:i/>
          <w:iCs/>
        </w:rPr>
        <w:t>Fair Work Act 2009</w:t>
      </w:r>
      <w:r>
        <w:t xml:space="preserve"> on 1 July 2009.</w:t>
      </w:r>
    </w:p>
    <w:p w:rsidR="00A004B5" w:rsidRPr="007619AD" w:rsidRDefault="00A004B5" w:rsidP="00B233F5">
      <w:r>
        <w:t>The Fair Work Ombudsman promotes harmonious, productive and cooperative</w:t>
      </w:r>
      <w:r w:rsidRPr="007619AD">
        <w:t xml:space="preserve"> workplace relations and ensur</w:t>
      </w:r>
      <w:r>
        <w:t>es</w:t>
      </w:r>
      <w:r w:rsidRPr="007619AD">
        <w:t xml:space="preserve"> compliance with </w:t>
      </w:r>
      <w:r>
        <w:t xml:space="preserve">Commonwealth </w:t>
      </w:r>
      <w:r w:rsidRPr="007619AD">
        <w:t>workplace laws</w:t>
      </w:r>
      <w:r>
        <w:t xml:space="preserve"> by:</w:t>
      </w:r>
    </w:p>
    <w:p w:rsidR="00A004B5" w:rsidRPr="007619AD" w:rsidRDefault="00A004B5" w:rsidP="00B02162">
      <w:pPr>
        <w:pStyle w:val="Bullets"/>
        <w:spacing w:before="120" w:after="120"/>
      </w:pPr>
      <w:r>
        <w:t>o</w:t>
      </w:r>
      <w:r w:rsidRPr="007619AD">
        <w:t>ffer</w:t>
      </w:r>
      <w:r>
        <w:t xml:space="preserve">ing people </w:t>
      </w:r>
      <w:r w:rsidRPr="007619AD">
        <w:t xml:space="preserve">a single point of contact for </w:t>
      </w:r>
      <w:r>
        <w:t>them to receive accurate and timely advice and information about Australia’s</w:t>
      </w:r>
      <w:r w:rsidRPr="007619AD">
        <w:t xml:space="preserve"> workplace relations system</w:t>
      </w:r>
    </w:p>
    <w:p w:rsidR="00A004B5" w:rsidRPr="007619AD" w:rsidRDefault="00A004B5" w:rsidP="00B02162">
      <w:pPr>
        <w:pStyle w:val="Bullets"/>
        <w:spacing w:before="120" w:after="120"/>
      </w:pPr>
      <w:r w:rsidRPr="007619AD">
        <w:t>educat</w:t>
      </w:r>
      <w:r>
        <w:t>ing</w:t>
      </w:r>
      <w:r w:rsidRPr="007619AD">
        <w:t xml:space="preserve"> people working in Australia about their workplace rights and obligations</w:t>
      </w:r>
    </w:p>
    <w:p w:rsidR="00A004B5" w:rsidRPr="007619AD" w:rsidRDefault="00A004B5" w:rsidP="00B02162">
      <w:pPr>
        <w:pStyle w:val="Bullets"/>
        <w:spacing w:before="120" w:after="120"/>
      </w:pPr>
      <w:r w:rsidRPr="007619AD">
        <w:t>investigat</w:t>
      </w:r>
      <w:r>
        <w:t>ing</w:t>
      </w:r>
      <w:r w:rsidRPr="007619AD">
        <w:t xml:space="preserve"> complaints or suspected contraventions of workplace laws, awards and agreements</w:t>
      </w:r>
    </w:p>
    <w:p w:rsidR="00A004B5" w:rsidRDefault="00A004B5" w:rsidP="001A72AC">
      <w:pPr>
        <w:pStyle w:val="Bullets"/>
      </w:pPr>
      <w:proofErr w:type="gramStart"/>
      <w:r>
        <w:t>using</w:t>
      </w:r>
      <w:proofErr w:type="gramEnd"/>
      <w:r>
        <w:t xml:space="preserve"> both informal and formal compliance tools, including litigation when necessary, to enforce workplace laws and to deter people from not complying with their workplace responsibilities.</w:t>
      </w:r>
    </w:p>
    <w:p w:rsidR="00A004B5" w:rsidRPr="00AA2983" w:rsidRDefault="00A004B5" w:rsidP="00B233F5">
      <w:r w:rsidRPr="00AA2983">
        <w:t>The strategic focus of the Fair Work Ombudsman in 20</w:t>
      </w:r>
      <w:r>
        <w:t>15–</w:t>
      </w:r>
      <w:r w:rsidRPr="00AA2983">
        <w:t>1</w:t>
      </w:r>
      <w:r>
        <w:t>6</w:t>
      </w:r>
      <w:r w:rsidRPr="00AA2983">
        <w:t xml:space="preserve"> </w:t>
      </w:r>
      <w:r>
        <w:t>is to ensure</w:t>
      </w:r>
      <w:r w:rsidRPr="00AA2983">
        <w:t xml:space="preserve"> that</w:t>
      </w:r>
      <w:r>
        <w:t xml:space="preserve"> there is increased compliance with Commonwealth workplace laws through educating and advising e</w:t>
      </w:r>
      <w:r w:rsidRPr="00AA2983">
        <w:t xml:space="preserve">mployees, employers, outworkers, outworker entities and organisations </w:t>
      </w:r>
      <w:r>
        <w:t>about the federal workplace relations system</w:t>
      </w:r>
      <w:r w:rsidRPr="00AA2983">
        <w:t>.</w:t>
      </w:r>
    </w:p>
    <w:p w:rsidR="00A004B5" w:rsidRPr="00AA2983" w:rsidRDefault="00A004B5" w:rsidP="007F3CCF">
      <w:pPr>
        <w:pStyle w:val="Heading3"/>
        <w:rPr>
          <w:rFonts w:cs="Arial"/>
        </w:rPr>
      </w:pPr>
      <w:r w:rsidRPr="00AA2983">
        <w:rPr>
          <w:rFonts w:cs="Arial"/>
        </w:rPr>
        <w:br w:type="page"/>
      </w:r>
      <w:r w:rsidRPr="00AA2983">
        <w:rPr>
          <w:rFonts w:cs="Arial"/>
        </w:rPr>
        <w:lastRenderedPageBreak/>
        <w:t>1.2</w:t>
      </w:r>
      <w:r w:rsidRPr="00AA2983">
        <w:rPr>
          <w:rFonts w:cs="Arial"/>
        </w:rPr>
        <w:tab/>
      </w:r>
      <w:r w:rsidR="00A20D02">
        <w:rPr>
          <w:rFonts w:cs="Arial"/>
        </w:rPr>
        <w:t>Entity</w:t>
      </w:r>
      <w:r w:rsidRPr="00AA2983">
        <w:rPr>
          <w:rFonts w:cs="Arial"/>
        </w:rPr>
        <w:t xml:space="preserve"> resource statement</w:t>
      </w:r>
    </w:p>
    <w:p w:rsidR="00A004B5" w:rsidRPr="00AA2983" w:rsidRDefault="00A004B5" w:rsidP="00B233F5">
      <w:r w:rsidRPr="00AA2983">
        <w:t xml:space="preserve">Table 1.1 shows the total resources from all </w:t>
      </w:r>
      <w:r>
        <w:t>sources</w:t>
      </w:r>
      <w:r w:rsidRPr="00AA2983">
        <w:t>. The table summarises how resources will be applied by outcome and by administered and departmental classification.</w:t>
      </w:r>
      <w:r>
        <w:t xml:space="preserve"> </w:t>
      </w:r>
    </w:p>
    <w:p w:rsidR="00A004B5" w:rsidRDefault="00A004B5" w:rsidP="00D84105">
      <w:pPr>
        <w:pStyle w:val="TableHeading"/>
      </w:pPr>
      <w:r w:rsidRPr="00AA2983">
        <w:t>Table 1.1: Age</w:t>
      </w:r>
      <w:r>
        <w:t xml:space="preserve">ncy resource statement — Budget </w:t>
      </w:r>
      <w:r w:rsidRPr="00AA2983">
        <w:t>estimates for 20</w:t>
      </w:r>
      <w:r>
        <w:t>15–16</w:t>
      </w:r>
      <w:r w:rsidRPr="00AA2983">
        <w:t xml:space="preserve"> as at Budget May 20</w:t>
      </w:r>
      <w:r>
        <w:t>15</w:t>
      </w:r>
    </w:p>
    <w:p w:rsidR="00A004B5" w:rsidRDefault="005D1C3B" w:rsidP="00D84105">
      <w:pPr>
        <w:pStyle w:val="TableGraphic"/>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00" type="#_x0000_t75" style="width:350.6pt;height:246.05pt">
            <v:imagedata r:id="rId18" o:title=""/>
          </v:shape>
        </w:pict>
      </w:r>
    </w:p>
    <w:p w:rsidR="00FC4944" w:rsidRDefault="00FC4944" w:rsidP="00D84105">
      <w:pPr>
        <w:pStyle w:val="FootnoteText"/>
        <w:rPr>
          <w:vertAlign w:val="superscript"/>
        </w:rPr>
      </w:pPr>
      <w:r>
        <w:rPr>
          <w:vertAlign w:val="superscript"/>
        </w:rPr>
        <w:br w:type="page"/>
      </w:r>
    </w:p>
    <w:p w:rsidR="00FC4944" w:rsidRDefault="00FC4944" w:rsidP="00FC4944">
      <w:pPr>
        <w:pStyle w:val="TableHeading"/>
      </w:pPr>
      <w:r w:rsidRPr="00AA2983">
        <w:lastRenderedPageBreak/>
        <w:t>Table 1.1: Age</w:t>
      </w:r>
      <w:r>
        <w:t xml:space="preserve">ncy resource statement — Budget </w:t>
      </w:r>
      <w:r w:rsidRPr="00AA2983">
        <w:t>estimates for 20</w:t>
      </w:r>
      <w:r>
        <w:t>15–16</w:t>
      </w:r>
      <w:r w:rsidRPr="00AA2983">
        <w:t xml:space="preserve"> as at Budget May 20</w:t>
      </w:r>
      <w:r>
        <w:t>15 (continued)</w:t>
      </w:r>
    </w:p>
    <w:p w:rsidR="00FC4944" w:rsidRPr="00474747" w:rsidRDefault="005D1C3B" w:rsidP="00474747">
      <w:pPr>
        <w:pStyle w:val="TableGraphic"/>
      </w:pPr>
      <w:r>
        <w:pict>
          <v:shape id="_x0000_i1901" type="#_x0000_t75" style="width:357.5pt;height:142.1pt">
            <v:imagedata r:id="rId19" o:title=""/>
          </v:shape>
        </w:pict>
      </w:r>
    </w:p>
    <w:p w:rsidR="00FC4944" w:rsidRPr="00474747" w:rsidRDefault="00FC4944" w:rsidP="00474747">
      <w:pPr>
        <w:pStyle w:val="FootnoteText"/>
      </w:pPr>
    </w:p>
    <w:p w:rsidR="00A004B5" w:rsidRDefault="00A004B5" w:rsidP="00D84105">
      <w:pPr>
        <w:pStyle w:val="FootnoteText"/>
      </w:pPr>
      <w:r w:rsidRPr="00E73D4B">
        <w:rPr>
          <w:vertAlign w:val="superscript"/>
        </w:rPr>
        <w:t>1</w:t>
      </w:r>
      <w:r>
        <w:t xml:space="preserve"> Appropriation Bill (</w:t>
      </w:r>
      <w:proofErr w:type="spellStart"/>
      <w:r>
        <w:t>No.1</w:t>
      </w:r>
      <w:proofErr w:type="spellEnd"/>
      <w:r>
        <w:t>) 2015–16.</w:t>
      </w:r>
    </w:p>
    <w:p w:rsidR="00A004B5" w:rsidRDefault="00A004B5" w:rsidP="00D84105">
      <w:pPr>
        <w:pStyle w:val="FootnoteText"/>
      </w:pPr>
      <w:r w:rsidRPr="00E73D4B">
        <w:rPr>
          <w:vertAlign w:val="superscript"/>
        </w:rPr>
        <w:t>2</w:t>
      </w:r>
      <w:r>
        <w:t xml:space="preserve"> Estimated adjusted balance carried forward from previous year.</w:t>
      </w:r>
    </w:p>
    <w:p w:rsidR="00A004B5" w:rsidRDefault="00A004B5" w:rsidP="00D84105">
      <w:pPr>
        <w:pStyle w:val="FootnoteText"/>
      </w:pPr>
      <w:r w:rsidRPr="00E73D4B">
        <w:rPr>
          <w:vertAlign w:val="superscript"/>
        </w:rPr>
        <w:t>3</w:t>
      </w:r>
      <w:r>
        <w:t xml:space="preserve"> Includes an amount of $9.811 </w:t>
      </w:r>
      <w:r w:rsidR="005D49A6">
        <w:t xml:space="preserve">million </w:t>
      </w:r>
      <w:r>
        <w:t>in 2015–16 for the Departmental Capital Budget (refer to Table 3.2.5 for further details). For accounting purposes this amount has been designated as 'contributions by owners'.</w:t>
      </w:r>
    </w:p>
    <w:p w:rsidR="00A004B5" w:rsidRDefault="00A004B5" w:rsidP="00D84105">
      <w:pPr>
        <w:pStyle w:val="FootnoteText"/>
      </w:pPr>
      <w:proofErr w:type="gramStart"/>
      <w:r w:rsidRPr="00E73D4B">
        <w:rPr>
          <w:vertAlign w:val="superscript"/>
        </w:rPr>
        <w:t>4</w:t>
      </w:r>
      <w:r>
        <w:t xml:space="preserve"> Estimated Retained revenue receipts under section 74 of the </w:t>
      </w:r>
      <w:proofErr w:type="spellStart"/>
      <w:r>
        <w:t>PGPA</w:t>
      </w:r>
      <w:proofErr w:type="spellEnd"/>
      <w:r>
        <w:t xml:space="preserve"> Act.</w:t>
      </w:r>
      <w:proofErr w:type="gramEnd"/>
    </w:p>
    <w:p w:rsidR="00A004B5" w:rsidRDefault="00A004B5" w:rsidP="00D84105">
      <w:pPr>
        <w:pStyle w:val="FootnoteText"/>
      </w:pPr>
      <w:r w:rsidRPr="00E73D4B">
        <w:rPr>
          <w:vertAlign w:val="superscript"/>
        </w:rPr>
        <w:t>5</w:t>
      </w:r>
      <w:r>
        <w:t xml:space="preserve"> Appropriation Bill (</w:t>
      </w:r>
      <w:proofErr w:type="spellStart"/>
      <w:r>
        <w:t>No.2</w:t>
      </w:r>
      <w:proofErr w:type="spellEnd"/>
      <w:r>
        <w:t>) 2015–16.</w:t>
      </w:r>
    </w:p>
    <w:p w:rsidR="00F64B73" w:rsidRDefault="00A004B5" w:rsidP="00D84105">
      <w:pPr>
        <w:pStyle w:val="FootnoteText"/>
      </w:pPr>
      <w:r>
        <w:t>Reader note: All figures are GST exclusive.</w:t>
      </w:r>
      <w:r w:rsidR="00F64B73">
        <w:br w:type="page"/>
      </w:r>
    </w:p>
    <w:p w:rsidR="00A004B5" w:rsidRPr="003D52D2" w:rsidRDefault="00A004B5" w:rsidP="003D52D2">
      <w:pPr>
        <w:pStyle w:val="Heading3"/>
        <w:rPr>
          <w:rStyle w:val="Heading3Char"/>
          <w:b/>
          <w:smallCaps/>
        </w:rPr>
      </w:pPr>
      <w:r w:rsidRPr="003D52D2">
        <w:rPr>
          <w:rStyle w:val="Heading3Char"/>
          <w:b/>
          <w:smallCaps/>
        </w:rPr>
        <w:lastRenderedPageBreak/>
        <w:t>1.3</w:t>
      </w:r>
      <w:r w:rsidRPr="003D52D2">
        <w:rPr>
          <w:rStyle w:val="Heading3Char"/>
          <w:b/>
          <w:smallCaps/>
        </w:rPr>
        <w:tab/>
        <w:t>Budget measures</w:t>
      </w:r>
    </w:p>
    <w:p w:rsidR="00A004B5" w:rsidRPr="00AA2983" w:rsidRDefault="00A004B5" w:rsidP="00B233F5">
      <w:r w:rsidRPr="00AA2983">
        <w:t>Budget measures relating to the Fair Work Ombudsman are detailed in Budget Paper No. 2</w:t>
      </w:r>
      <w:r>
        <w:t xml:space="preserve"> and are summarised below</w:t>
      </w:r>
      <w:r w:rsidRPr="00AA2983">
        <w:t>.</w:t>
      </w:r>
      <w:r>
        <w:t xml:space="preserve"> </w:t>
      </w:r>
    </w:p>
    <w:p w:rsidR="00A004B5" w:rsidRDefault="00A004B5" w:rsidP="00B233F5">
      <w:pPr>
        <w:pStyle w:val="TableHeading"/>
      </w:pPr>
      <w:r w:rsidRPr="00AA2983">
        <w:t>Table 1.</w:t>
      </w:r>
      <w:r>
        <w:t>2</w:t>
      </w:r>
      <w:r w:rsidRPr="00AA2983">
        <w:t>: Age</w:t>
      </w:r>
      <w:r>
        <w:t>ncy 2015–16 Budget measures</w:t>
      </w:r>
    </w:p>
    <w:p w:rsidR="00A004B5" w:rsidRDefault="00A004B5" w:rsidP="00B273B4">
      <w:pPr>
        <w:pStyle w:val="TableHeading"/>
      </w:pPr>
      <w:r>
        <w:t xml:space="preserve">Part 2: </w:t>
      </w:r>
      <w:proofErr w:type="spellStart"/>
      <w:r>
        <w:t>MYEFO</w:t>
      </w:r>
      <w:proofErr w:type="spellEnd"/>
      <w:r>
        <w:t xml:space="preserve"> measures not previously reported in a portfolio statement</w:t>
      </w:r>
    </w:p>
    <w:p w:rsidR="00A004B5" w:rsidRDefault="005D1C3B" w:rsidP="0078228A">
      <w:pPr>
        <w:pStyle w:val="FootnoteText"/>
      </w:pPr>
      <w:r>
        <w:pict>
          <v:shape id="_x0000_i1902" type="#_x0000_t75" style="width:383.8pt;height:108.95pt">
            <v:imagedata r:id="rId20" o:title=""/>
          </v:shape>
        </w:pict>
      </w:r>
    </w:p>
    <w:p w:rsidR="00474747" w:rsidRPr="00474747" w:rsidRDefault="00474747" w:rsidP="00474747">
      <w:pPr>
        <w:pStyle w:val="FootnoteText"/>
      </w:pPr>
    </w:p>
    <w:p w:rsidR="00A004B5" w:rsidRPr="00A21F5F" w:rsidRDefault="00A004B5" w:rsidP="00B273B4">
      <w:pPr>
        <w:pStyle w:val="FootnoteText"/>
      </w:pPr>
      <w:proofErr w:type="gramStart"/>
      <w:r w:rsidRPr="00A21F5F">
        <w:t>Prepared on a Government Financial Statistics (fiscal) basis.</w:t>
      </w:r>
      <w:proofErr w:type="gramEnd"/>
    </w:p>
    <w:p w:rsidR="00F64B73" w:rsidRDefault="00F64B73" w:rsidP="007F3CCF">
      <w:r>
        <w:br w:type="page"/>
      </w:r>
    </w:p>
    <w:p w:rsidR="00A004B5" w:rsidRPr="00630D14" w:rsidRDefault="00A004B5" w:rsidP="007F3CCF">
      <w:pPr>
        <w:pStyle w:val="Heading2"/>
      </w:pPr>
      <w:r w:rsidRPr="00630D14">
        <w:lastRenderedPageBreak/>
        <w:t>Section 2: Outcomes and planned performance</w:t>
      </w:r>
    </w:p>
    <w:p w:rsidR="00A004B5" w:rsidRPr="00AA2983" w:rsidRDefault="00A004B5" w:rsidP="007F3CCF">
      <w:pPr>
        <w:pStyle w:val="Heading3"/>
        <w:rPr>
          <w:rFonts w:cs="Arial"/>
        </w:rPr>
      </w:pPr>
      <w:r w:rsidRPr="00AA2983">
        <w:rPr>
          <w:rFonts w:cs="Arial"/>
        </w:rPr>
        <w:t>2.1</w:t>
      </w:r>
      <w:r w:rsidRPr="00AA2983">
        <w:rPr>
          <w:rFonts w:cs="Arial"/>
        </w:rPr>
        <w:tab/>
        <w:t>Outcomes and performance information</w:t>
      </w:r>
    </w:p>
    <w:p w:rsidR="00A004B5" w:rsidRPr="00AA2983" w:rsidRDefault="00A004B5" w:rsidP="00B233F5">
      <w:r>
        <w:t>Government</w:t>
      </w:r>
      <w:r w:rsidRPr="00AA2983">
        <w:t xml:space="preserve"> outcomes are the intended results, impacts or consequences of actions by the </w:t>
      </w:r>
      <w:r>
        <w:t>Government</w:t>
      </w:r>
      <w:r w:rsidRPr="00AA2983">
        <w:t xml:space="preserve"> on the Australian community. </w:t>
      </w:r>
      <w:r>
        <w:t xml:space="preserve">Commonwealth </w:t>
      </w:r>
      <w:r w:rsidRPr="00AA2983">
        <w:t>program</w:t>
      </w:r>
      <w:r w:rsidR="009669E1">
        <w:t>me</w:t>
      </w:r>
      <w:r w:rsidRPr="00AA2983">
        <w:t xml:space="preserve">s are the </w:t>
      </w:r>
      <w:r>
        <w:t>primary vehicle by which government</w:t>
      </w:r>
      <w:r w:rsidRPr="00AA2983">
        <w:t xml:space="preserve"> </w:t>
      </w:r>
      <w:r>
        <w:t xml:space="preserve">agencies achieve the intended results of their outcome statements.  </w:t>
      </w:r>
      <w:r w:rsidRPr="00AA2983">
        <w:t>Agencies are required to identify the program</w:t>
      </w:r>
      <w:r w:rsidR="009669E1">
        <w:t>me</w:t>
      </w:r>
      <w:r w:rsidRPr="00AA2983">
        <w:t xml:space="preserve">s which contribute to </w:t>
      </w:r>
      <w:r>
        <w:t>Government</w:t>
      </w:r>
      <w:r w:rsidRPr="00AA2983">
        <w:t xml:space="preserve"> outcomes over the Budget and forward years.</w:t>
      </w:r>
    </w:p>
    <w:p w:rsidR="00A004B5" w:rsidRPr="00AA2983" w:rsidRDefault="00A004B5" w:rsidP="00B233F5">
      <w:r w:rsidRPr="00AA2983">
        <w:t>Each outcome is described below together with its related program</w:t>
      </w:r>
      <w:r w:rsidR="009669E1">
        <w:t>me</w:t>
      </w:r>
      <w:r w:rsidRPr="00AA2983">
        <w:t>s, specifying the performance indicators and targets used to assess and monitor the performance of the Fair Work Ombudsman</w:t>
      </w:r>
      <w:r w:rsidRPr="00AA2983">
        <w:rPr>
          <w:color w:val="FF0000"/>
        </w:rPr>
        <w:t xml:space="preserve"> </w:t>
      </w:r>
      <w:r w:rsidRPr="00AA2983">
        <w:t xml:space="preserve">in achieving </w:t>
      </w:r>
      <w:r>
        <w:t>government</w:t>
      </w:r>
      <w:r w:rsidRPr="00AA2983">
        <w:t xml:space="preserve"> outcomes.</w:t>
      </w:r>
    </w:p>
    <w:p w:rsidR="00E55963" w:rsidRDefault="00E55963" w:rsidP="00E55963">
      <w:pPr>
        <w:pStyle w:val="ProgramHeading"/>
      </w:pPr>
      <w:r w:rsidRPr="00B233F5">
        <w:t>Outcome 1: Compliance with workplace relations legislation by employees and employers through advice, education and where necessary enforcement.</w:t>
      </w:r>
    </w:p>
    <w:p w:rsidR="00A004B5" w:rsidRPr="00AA2983" w:rsidRDefault="00A004B5" w:rsidP="00B233F5">
      <w:pPr>
        <w:pStyle w:val="Heading4"/>
      </w:pPr>
      <w:r w:rsidRPr="00AA2983">
        <w:t>Outcome 1 Strategy</w:t>
      </w:r>
    </w:p>
    <w:p w:rsidR="00A004B5" w:rsidRPr="009177A6" w:rsidRDefault="00A004B5" w:rsidP="00B233F5">
      <w:r w:rsidRPr="009177A6">
        <w:t>The workplace rights and obligations of employees, employers, outworkers, outworker entities and organisations are protected and enforced through a mix of targeted compliance and education activities, investigation of breaches of workplace laws with a focus on voluntary compliance and, where necessary, litigation in the courts as a means of both general and specific deterrence.</w:t>
      </w:r>
    </w:p>
    <w:p w:rsidR="00A004B5" w:rsidRDefault="00A004B5" w:rsidP="00B233F5">
      <w:r w:rsidRPr="009177A6">
        <w:t>The Fair Work Ombudsman provides a single national point of contact for accurate advice on the federal workplace relations system.</w:t>
      </w:r>
    </w:p>
    <w:p w:rsidR="00A004B5" w:rsidRDefault="00A004B5" w:rsidP="00B233F5">
      <w:r>
        <w:t xml:space="preserve">The Fair Work Ombudsman provides advice and information on workplace relations matters through the Fair Work </w:t>
      </w:r>
      <w:proofErr w:type="spellStart"/>
      <w:r>
        <w:t>Infoline</w:t>
      </w:r>
      <w:proofErr w:type="spellEnd"/>
      <w:r>
        <w:t>.  Fair Work Ombudsman advisors are located in contact centres in a number of states and provide advice on a range of matters including wage rates and conditions of employment.</w:t>
      </w:r>
    </w:p>
    <w:p w:rsidR="00A004B5" w:rsidRPr="009177A6" w:rsidRDefault="00A004B5" w:rsidP="00B233F5">
      <w:r w:rsidRPr="009177A6">
        <w:t>As part of its ongoing educative role, the agency undertakes education and compliance campaigns and provides information services and best practice guides. The educational and compliance campaigns are run at national, state and local levels and target particular industries or geographical locations.</w:t>
      </w:r>
    </w:p>
    <w:p w:rsidR="00A004B5" w:rsidRPr="009177A6" w:rsidRDefault="00A004B5" w:rsidP="00B233F5">
      <w:r>
        <w:t>The Fair Work Ombudsman has appointed a number of staff as Fair Work</w:t>
      </w:r>
      <w:r w:rsidRPr="009177A6">
        <w:t xml:space="preserve"> </w:t>
      </w:r>
      <w:r>
        <w:t>I</w:t>
      </w:r>
      <w:r w:rsidRPr="009177A6">
        <w:t>nspectors</w:t>
      </w:r>
      <w:r>
        <w:t>.  These officers are located in all states and territories</w:t>
      </w:r>
      <w:r w:rsidRPr="009177A6">
        <w:t xml:space="preserve"> </w:t>
      </w:r>
      <w:r>
        <w:t xml:space="preserve">and </w:t>
      </w:r>
      <w:r w:rsidRPr="009177A6">
        <w:t>investigate complaints received</w:t>
      </w:r>
      <w:r>
        <w:t xml:space="preserve"> regarding alleged instances of non-compliance with federal workplace relations laws.  I</w:t>
      </w:r>
      <w:r w:rsidRPr="009177A6">
        <w:t>n the majority of instances compliance with workplace relations laws</w:t>
      </w:r>
      <w:r>
        <w:t xml:space="preserve"> are</w:t>
      </w:r>
      <w:r w:rsidRPr="009177A6">
        <w:t xml:space="preserve"> achieved voluntarily and </w:t>
      </w:r>
      <w:r>
        <w:t xml:space="preserve">are </w:t>
      </w:r>
      <w:r w:rsidRPr="009177A6">
        <w:t xml:space="preserve">assisted by targeted and industry specific auditing activities. Litigation activities are used when and </w:t>
      </w:r>
      <w:r w:rsidRPr="009177A6">
        <w:lastRenderedPageBreak/>
        <w:t>as required, particularly in cases where breaches have significant consequences, when they affect a vulnerable group or when a person does not acknowledge that the problem requires rectification.</w:t>
      </w:r>
    </w:p>
    <w:p w:rsidR="00A004B5" w:rsidRPr="009177A6" w:rsidRDefault="00A004B5" w:rsidP="00B233F5">
      <w:r w:rsidRPr="009177A6">
        <w:t xml:space="preserve">The Fair Work Ombudsman makes public statements about its enforcement activities to educate and ensure it has the trust of the Australian community and to </w:t>
      </w:r>
      <w:r>
        <w:t xml:space="preserve">promote the </w:t>
      </w:r>
      <w:r w:rsidRPr="009177A6">
        <w:t>general deterrence</w:t>
      </w:r>
      <w:r>
        <w:t xml:space="preserve"> of those enforcement activities</w:t>
      </w:r>
      <w:r w:rsidRPr="009177A6">
        <w:t>.</w:t>
      </w:r>
    </w:p>
    <w:p w:rsidR="0096278C" w:rsidRDefault="0096278C" w:rsidP="00B233F5">
      <w:pPr>
        <w:pStyle w:val="Heading5"/>
      </w:pPr>
      <w:r>
        <w:br w:type="page"/>
      </w:r>
    </w:p>
    <w:p w:rsidR="00A004B5" w:rsidRPr="00B233F5" w:rsidRDefault="00A004B5" w:rsidP="00B233F5">
      <w:pPr>
        <w:pStyle w:val="Heading5"/>
      </w:pPr>
      <w:r w:rsidRPr="00B233F5">
        <w:lastRenderedPageBreak/>
        <w:t>Outcome 1 Budgeted Expenses and Resources</w:t>
      </w:r>
    </w:p>
    <w:p w:rsidR="00A004B5" w:rsidRPr="00AA2983" w:rsidRDefault="00A004B5" w:rsidP="00B233F5">
      <w:r w:rsidRPr="00AA2983">
        <w:t>Table 2.1 provides an overview of the total expenses for Outcome 1, by program</w:t>
      </w:r>
      <w:r>
        <w:t>me</w:t>
      </w:r>
      <w:r w:rsidRPr="00AA2983">
        <w:t>.</w:t>
      </w:r>
    </w:p>
    <w:p w:rsidR="00A004B5" w:rsidRPr="00B233F5" w:rsidRDefault="00A004B5" w:rsidP="00B233F5">
      <w:pPr>
        <w:pStyle w:val="TableHeading"/>
      </w:pPr>
      <w:r w:rsidRPr="00B233F5">
        <w:t>Table 2.1: Budgeted Expenses and Resources for Outcome 1</w:t>
      </w:r>
    </w:p>
    <w:p w:rsidR="00E55963" w:rsidRPr="00E55963" w:rsidRDefault="005D1C3B" w:rsidP="00474747">
      <w:pPr>
        <w:pStyle w:val="TableGraphic"/>
      </w:pPr>
      <w:r>
        <w:pict>
          <v:shape id="_x0000_i1903" type="#_x0000_t75" style="width:350.6pt;height:229.75pt">
            <v:imagedata r:id="rId21" o:title=""/>
          </v:shape>
        </w:pict>
      </w:r>
    </w:p>
    <w:p w:rsidR="00B60FAC" w:rsidRPr="00474747" w:rsidRDefault="00B60FAC" w:rsidP="00474747">
      <w:pPr>
        <w:pStyle w:val="FootnoteText"/>
      </w:pPr>
    </w:p>
    <w:p w:rsidR="00FD7A9E" w:rsidRPr="00FD7A9E" w:rsidRDefault="00FD7A9E" w:rsidP="00FD7A9E">
      <w:pPr>
        <w:pStyle w:val="FootnoteText"/>
      </w:pPr>
      <w:r w:rsidRPr="0008304E">
        <w:rPr>
          <w:vertAlign w:val="superscript"/>
        </w:rPr>
        <w:t>1</w:t>
      </w:r>
      <w:r w:rsidRPr="00FD7A9E">
        <w:t xml:space="preserve"> Departmental appropriation combines 'Ordinary annual services (Appropriation Bill No. 1)' and 'Revenue from independent sources (s 74)'.</w:t>
      </w:r>
    </w:p>
    <w:p w:rsidR="00FD7A9E" w:rsidRPr="00FD7A9E" w:rsidRDefault="00FD7A9E" w:rsidP="00FD7A9E">
      <w:pPr>
        <w:pStyle w:val="FootnoteText"/>
      </w:pPr>
      <w:r w:rsidRPr="0008304E">
        <w:rPr>
          <w:vertAlign w:val="superscript"/>
        </w:rPr>
        <w:t>2</w:t>
      </w:r>
      <w:r w:rsidRPr="00FD7A9E">
        <w:t xml:space="preserve"> Expenses not requiring appropriation in the Budget year are made up of depreciation expenses, amortisation expenses, and audit fees.</w:t>
      </w:r>
    </w:p>
    <w:p w:rsidR="00A004B5" w:rsidRPr="00AA2983" w:rsidRDefault="00FD7A9E" w:rsidP="0091757C">
      <w:pPr>
        <w:pStyle w:val="Footnote"/>
        <w:spacing w:before="120" w:after="120"/>
        <w:rPr>
          <w:b/>
          <w:i/>
          <w:color w:val="FF0000"/>
        </w:rPr>
      </w:pPr>
      <w:r w:rsidRPr="00FD7A9E">
        <w:t>Note: Departmental appropriation splits and totals are indicative estimates and may change in the course of the budget year as government priorities change.</w:t>
      </w:r>
      <w:r w:rsidR="00A004B5" w:rsidRPr="00AA2983">
        <w:br w:type="page"/>
      </w:r>
      <w:r w:rsidR="00A004B5" w:rsidRPr="00857477">
        <w:rPr>
          <w:rStyle w:val="Heading4Char"/>
        </w:rPr>
        <w:lastRenderedPageBreak/>
        <w:t>Contributions to Outcome 1</w:t>
      </w:r>
      <w:r w:rsidR="00A004B5" w:rsidRPr="00AA2983">
        <w:t xml:space="preserve"> </w:t>
      </w:r>
    </w:p>
    <w:p w:rsidR="00857477" w:rsidRDefault="00857477" w:rsidP="00857477">
      <w:pPr>
        <w:pStyle w:val="ProgramHeading"/>
      </w:pPr>
      <w:r w:rsidRPr="00B233F5">
        <w:t>Programme 1</w:t>
      </w:r>
      <w:r w:rsidR="00B60FAC">
        <w:t>.1</w:t>
      </w:r>
      <w:r w:rsidRPr="00B233F5">
        <w:t xml:space="preserve">: Education Services and </w:t>
      </w:r>
      <w:r w:rsidRPr="00857477">
        <w:t>Compliance</w:t>
      </w:r>
      <w:r w:rsidRPr="00B233F5">
        <w:t xml:space="preserve"> Activities</w:t>
      </w:r>
    </w:p>
    <w:p w:rsidR="00A004B5" w:rsidRPr="00025427" w:rsidRDefault="00A004B5" w:rsidP="00B233F5">
      <w:pPr>
        <w:pStyle w:val="Heading5"/>
      </w:pPr>
      <w:r w:rsidRPr="00025427">
        <w:t>Program</w:t>
      </w:r>
      <w:r>
        <w:t>me</w:t>
      </w:r>
      <w:r w:rsidRPr="00025427">
        <w:t xml:space="preserve"> objective</w:t>
      </w:r>
    </w:p>
    <w:p w:rsidR="00A004B5" w:rsidRPr="00025427" w:rsidRDefault="00A004B5" w:rsidP="00B233F5">
      <w:proofErr w:type="gramStart"/>
      <w:r w:rsidRPr="00025427">
        <w:t>To educate employers, employees, organisations and contractors about the workplace relations system and to ensure compliance with workplace laws.</w:t>
      </w:r>
      <w:proofErr w:type="gramEnd"/>
    </w:p>
    <w:p w:rsidR="00A004B5" w:rsidRPr="008573A6" w:rsidRDefault="00A004B5" w:rsidP="00B233F5">
      <w:pPr>
        <w:pStyle w:val="TableHeading"/>
      </w:pPr>
      <w:r>
        <w:t xml:space="preserve">Table 2.1.1 </w:t>
      </w:r>
      <w:r w:rsidRPr="008573A6">
        <w:t>Program</w:t>
      </w:r>
      <w:r>
        <w:t>me</w:t>
      </w:r>
      <w:r w:rsidR="00B21E61">
        <w:t xml:space="preserve"> </w:t>
      </w:r>
      <w:r>
        <w:t>expenses</w:t>
      </w:r>
    </w:p>
    <w:p w:rsidR="00A004B5" w:rsidRDefault="005D1C3B" w:rsidP="00474747">
      <w:pPr>
        <w:pStyle w:val="TableGraphic"/>
      </w:pPr>
      <w:r>
        <w:pict>
          <v:shape id="_x0000_i1904" type="#_x0000_t75" style="width:359.35pt;height:113.95pt">
            <v:imagedata r:id="rId22" o:title=""/>
          </v:shape>
        </w:pict>
      </w:r>
    </w:p>
    <w:p w:rsidR="00474747" w:rsidRPr="00474747" w:rsidRDefault="00474747" w:rsidP="00474747">
      <w:pPr>
        <w:pStyle w:val="FootnoteText"/>
      </w:pPr>
    </w:p>
    <w:p w:rsidR="00A004B5" w:rsidRDefault="00A004B5" w:rsidP="00B273B4">
      <w:pPr>
        <w:pStyle w:val="FootnoteText"/>
      </w:pPr>
      <w:r w:rsidRPr="00B273B4">
        <w:rPr>
          <w:vertAlign w:val="superscript"/>
        </w:rPr>
        <w:t>1</w:t>
      </w:r>
      <w:r w:rsidRPr="00B273B4">
        <w:t xml:space="preserve"> Expenses not requiring appropriation in the Budget year are made up of depreciation expenses, </w:t>
      </w:r>
      <w:r w:rsidR="00221D97">
        <w:t>a</w:t>
      </w:r>
      <w:r w:rsidRPr="00B273B4">
        <w:t>mortisation expenses, and audit fees.</w:t>
      </w:r>
    </w:p>
    <w:p w:rsidR="00A004B5" w:rsidRPr="008573A6" w:rsidRDefault="00A004B5" w:rsidP="00B233F5">
      <w:pPr>
        <w:pStyle w:val="Heading5"/>
      </w:pPr>
      <w:r w:rsidRPr="008573A6">
        <w:t>Program</w:t>
      </w:r>
      <w:r>
        <w:t>me</w:t>
      </w:r>
      <w:r w:rsidRPr="008573A6">
        <w:t xml:space="preserve"> 1</w:t>
      </w:r>
      <w:r w:rsidR="00B60FAC">
        <w:t>.1</w:t>
      </w:r>
      <w:r w:rsidRPr="008573A6">
        <w:t xml:space="preserve"> </w:t>
      </w:r>
      <w:r w:rsidR="00B21E61">
        <w:t>D</w:t>
      </w:r>
      <w:r w:rsidRPr="008573A6">
        <w:t>eliverables</w:t>
      </w:r>
    </w:p>
    <w:p w:rsidR="00A004B5" w:rsidRPr="008573A6" w:rsidRDefault="00A004B5" w:rsidP="00B233F5">
      <w:r w:rsidRPr="008573A6">
        <w:t>The deliverables of the Fair Work Ombudsman are to:</w:t>
      </w:r>
    </w:p>
    <w:p w:rsidR="00A004B5" w:rsidRPr="008573A6" w:rsidRDefault="00A004B5" w:rsidP="00B02162">
      <w:pPr>
        <w:pStyle w:val="Bullets"/>
        <w:spacing w:before="120" w:after="120"/>
      </w:pPr>
      <w:r w:rsidRPr="008573A6">
        <w:t>provide information, advice and education on the requirements and flexibilities of workplace laws to foster voluntary compliance</w:t>
      </w:r>
    </w:p>
    <w:p w:rsidR="00A004B5" w:rsidRDefault="00A004B5" w:rsidP="00B02162">
      <w:pPr>
        <w:pStyle w:val="Bullets"/>
        <w:spacing w:before="120" w:after="120"/>
      </w:pPr>
      <w:r w:rsidRPr="008573A6">
        <w:t>investigate claims regarding alleged breaches of workplace laws and undertake targeted activities</w:t>
      </w:r>
    </w:p>
    <w:p w:rsidR="00A004B5" w:rsidRPr="00A30121" w:rsidRDefault="00A004B5" w:rsidP="00B02162">
      <w:pPr>
        <w:pStyle w:val="Bullets"/>
        <w:spacing w:before="120" w:after="120"/>
      </w:pPr>
      <w:proofErr w:type="gramStart"/>
      <w:r w:rsidRPr="00025427">
        <w:t>litigate</w:t>
      </w:r>
      <w:proofErr w:type="gramEnd"/>
      <w:r w:rsidRPr="00025427">
        <w:t>, where necessary, to enforce compliance with workplace laws.</w:t>
      </w:r>
    </w:p>
    <w:p w:rsidR="00A004B5" w:rsidRPr="008573A6" w:rsidRDefault="00A004B5" w:rsidP="00DD5E1B">
      <w:pPr>
        <w:pStyle w:val="TableHeading"/>
      </w:pPr>
      <w:r>
        <w:t xml:space="preserve">Table </w:t>
      </w:r>
      <w:proofErr w:type="spellStart"/>
      <w:r>
        <w:t>2.1.1</w:t>
      </w:r>
      <w:r w:rsidR="009D4D3C">
        <w:t>.</w:t>
      </w:r>
      <w:r>
        <w:t>A</w:t>
      </w:r>
      <w:proofErr w:type="spellEnd"/>
      <w:r>
        <w:t xml:space="preserve"> </w:t>
      </w:r>
      <w:r w:rsidRPr="008573A6">
        <w:t>Program</w:t>
      </w:r>
      <w:r>
        <w:t>me</w:t>
      </w:r>
      <w:r w:rsidRPr="008573A6">
        <w:t xml:space="preserve"> 1</w:t>
      </w:r>
      <w:r w:rsidR="00B60FAC">
        <w:t>.1</w:t>
      </w:r>
      <w:r w:rsidRPr="008573A6">
        <w:t xml:space="preserve"> </w:t>
      </w:r>
      <w:r w:rsidR="00B21E61">
        <w:t>D</w:t>
      </w:r>
      <w:r>
        <w:t>eliverables</w:t>
      </w:r>
    </w:p>
    <w:p w:rsidR="00A004B5" w:rsidRPr="00AA2983" w:rsidRDefault="005D1C3B" w:rsidP="00B273B4">
      <w:pPr>
        <w:pStyle w:val="TableGraphic"/>
      </w:pPr>
      <w:r>
        <w:pict>
          <v:shape id="_x0000_i1905" type="#_x0000_t75" style="width:361.25pt;height:61.35pt">
            <v:imagedata r:id="rId23" o:title=""/>
          </v:shape>
        </w:pict>
      </w:r>
    </w:p>
    <w:p w:rsidR="00E14B6C" w:rsidRDefault="00E14B6C" w:rsidP="00DD5E1B">
      <w:pPr>
        <w:pStyle w:val="Heading5"/>
      </w:pPr>
      <w:r>
        <w:br w:type="page"/>
      </w:r>
    </w:p>
    <w:p w:rsidR="00A004B5" w:rsidRPr="00025427" w:rsidRDefault="00A004B5" w:rsidP="00DD5E1B">
      <w:pPr>
        <w:pStyle w:val="Heading5"/>
      </w:pPr>
      <w:r w:rsidRPr="00025427">
        <w:lastRenderedPageBreak/>
        <w:t>Program</w:t>
      </w:r>
      <w:r>
        <w:t>me</w:t>
      </w:r>
      <w:r w:rsidRPr="00025427">
        <w:t xml:space="preserve"> 1</w:t>
      </w:r>
      <w:r w:rsidR="00B60FAC">
        <w:t>.1</w:t>
      </w:r>
      <w:r w:rsidR="00257133">
        <w:t xml:space="preserve"> Key performance i</w:t>
      </w:r>
      <w:r w:rsidRPr="00025427">
        <w:t>ndicators</w:t>
      </w:r>
    </w:p>
    <w:p w:rsidR="00A004B5" w:rsidRDefault="00A004B5" w:rsidP="00DD5E1B">
      <w:r w:rsidRPr="008573A6">
        <w:t xml:space="preserve">The </w:t>
      </w:r>
      <w:r w:rsidR="00B60FAC">
        <w:t>key p</w:t>
      </w:r>
      <w:r w:rsidRPr="008573A6">
        <w:t xml:space="preserve">erformance </w:t>
      </w:r>
      <w:r w:rsidR="00B60FAC">
        <w:t>i</w:t>
      </w:r>
      <w:r w:rsidRPr="008573A6">
        <w:t>ndicators for the Fair Work Ombudsman are outlined in the following table and cover the key activities of education, advice and information services and investigations</w:t>
      </w:r>
      <w:r>
        <w:t>.</w:t>
      </w:r>
    </w:p>
    <w:p w:rsidR="00A004B5" w:rsidRPr="00025427" w:rsidRDefault="00A004B5" w:rsidP="00DD5E1B">
      <w:pPr>
        <w:pStyle w:val="TableHeading"/>
      </w:pPr>
      <w:r w:rsidRPr="00025427">
        <w:t xml:space="preserve">Table </w:t>
      </w:r>
      <w:proofErr w:type="spellStart"/>
      <w:r w:rsidRPr="00025427">
        <w:t>2.1.1</w:t>
      </w:r>
      <w:r w:rsidR="009D4D3C">
        <w:t>.</w:t>
      </w:r>
      <w:r>
        <w:t>B</w:t>
      </w:r>
      <w:proofErr w:type="spellEnd"/>
      <w:r w:rsidRPr="00025427">
        <w:t xml:space="preserve"> Program</w:t>
      </w:r>
      <w:r>
        <w:t>me</w:t>
      </w:r>
      <w:r w:rsidRPr="00025427">
        <w:t xml:space="preserve"> 1</w:t>
      </w:r>
      <w:r w:rsidR="00B60FAC">
        <w:t>.1</w:t>
      </w:r>
      <w:r w:rsidRPr="00025427">
        <w:t xml:space="preserve"> </w:t>
      </w:r>
      <w:r w:rsidR="00B21E61">
        <w:t>K</w:t>
      </w:r>
      <w:r>
        <w:t>ey performance indicators</w:t>
      </w:r>
    </w:p>
    <w:tbl>
      <w:tblPr>
        <w:tblStyle w:val="TableGrid"/>
        <w:tblW w:w="0" w:type="auto"/>
        <w:tblLayout w:type="fixed"/>
        <w:tblLook w:val="04A0" w:firstRow="1" w:lastRow="0" w:firstColumn="1" w:lastColumn="0" w:noHBand="0" w:noVBand="1"/>
        <w:tblCaption w:val="Table 2.1.1.B Programme 1.1 Key performance indicators"/>
        <w:tblDescription w:val="FWO Programme 1.1 Key performance indicators"/>
      </w:tblPr>
      <w:tblGrid>
        <w:gridCol w:w="2660"/>
        <w:gridCol w:w="992"/>
        <w:gridCol w:w="929"/>
        <w:gridCol w:w="926"/>
        <w:gridCol w:w="926"/>
        <w:gridCol w:w="926"/>
      </w:tblGrid>
      <w:tr w:rsidR="005904C2" w:rsidTr="00257133">
        <w:trPr>
          <w:tblHeader/>
        </w:trPr>
        <w:tc>
          <w:tcPr>
            <w:tcW w:w="2660" w:type="dxa"/>
            <w:tcBorders>
              <w:bottom w:val="single" w:sz="4" w:space="0" w:color="auto"/>
            </w:tcBorders>
          </w:tcPr>
          <w:p w:rsidR="005904C2" w:rsidRDefault="005904C2" w:rsidP="005904C2">
            <w:pPr>
              <w:pStyle w:val="TableTextBold"/>
            </w:pPr>
            <w:r>
              <w:t>Key performance indicator</w:t>
            </w:r>
          </w:p>
        </w:tc>
        <w:tc>
          <w:tcPr>
            <w:tcW w:w="992" w:type="dxa"/>
            <w:tcBorders>
              <w:bottom w:val="single" w:sz="4" w:space="0" w:color="auto"/>
            </w:tcBorders>
          </w:tcPr>
          <w:p w:rsidR="005904C2" w:rsidRPr="00076C71" w:rsidRDefault="005904C2" w:rsidP="00076C71">
            <w:pPr>
              <w:pStyle w:val="TableTextBoldRight"/>
            </w:pPr>
            <w:r w:rsidRPr="00076C71">
              <w:t>2014–15</w:t>
            </w:r>
          </w:p>
          <w:p w:rsidR="00E14B6C" w:rsidRPr="00076C71" w:rsidRDefault="00E14B6C" w:rsidP="00076C71">
            <w:pPr>
              <w:pStyle w:val="TableTextBoldRight"/>
            </w:pPr>
            <w:r w:rsidRPr="00076C71">
              <w:t>Revised Budget</w:t>
            </w:r>
          </w:p>
        </w:tc>
        <w:tc>
          <w:tcPr>
            <w:tcW w:w="929" w:type="dxa"/>
            <w:tcBorders>
              <w:bottom w:val="single" w:sz="4" w:space="0" w:color="auto"/>
            </w:tcBorders>
          </w:tcPr>
          <w:p w:rsidR="005904C2" w:rsidRPr="00076C71" w:rsidRDefault="005904C2" w:rsidP="00076C71">
            <w:pPr>
              <w:pStyle w:val="TableTextBoldRight"/>
            </w:pPr>
            <w:r w:rsidRPr="00076C71">
              <w:t>2015–16</w:t>
            </w:r>
            <w:r w:rsidR="00E14B6C" w:rsidRPr="00076C71">
              <w:t xml:space="preserve"> Budget</w:t>
            </w:r>
          </w:p>
        </w:tc>
        <w:tc>
          <w:tcPr>
            <w:tcW w:w="926" w:type="dxa"/>
            <w:tcBorders>
              <w:bottom w:val="single" w:sz="4" w:space="0" w:color="auto"/>
            </w:tcBorders>
          </w:tcPr>
          <w:p w:rsidR="005904C2" w:rsidRPr="00076C71" w:rsidRDefault="005904C2" w:rsidP="00076C71">
            <w:pPr>
              <w:pStyle w:val="TableTextBoldRight"/>
            </w:pPr>
            <w:r w:rsidRPr="00076C71">
              <w:t>2016–17</w:t>
            </w:r>
            <w:r w:rsidR="00E14B6C" w:rsidRPr="00076C71">
              <w:t xml:space="preserve"> Forward Estimate</w:t>
            </w:r>
          </w:p>
        </w:tc>
        <w:tc>
          <w:tcPr>
            <w:tcW w:w="926" w:type="dxa"/>
            <w:tcBorders>
              <w:bottom w:val="single" w:sz="4" w:space="0" w:color="auto"/>
            </w:tcBorders>
          </w:tcPr>
          <w:p w:rsidR="005904C2" w:rsidRPr="00076C71" w:rsidRDefault="005904C2" w:rsidP="00076C71">
            <w:pPr>
              <w:pStyle w:val="TableTextBoldRight"/>
            </w:pPr>
            <w:r w:rsidRPr="00076C71">
              <w:t>2017–18</w:t>
            </w:r>
            <w:r w:rsidR="00E14B6C" w:rsidRPr="00076C71">
              <w:t xml:space="preserve"> Forward Estimate</w:t>
            </w:r>
          </w:p>
        </w:tc>
        <w:tc>
          <w:tcPr>
            <w:tcW w:w="926" w:type="dxa"/>
            <w:tcBorders>
              <w:bottom w:val="single" w:sz="4" w:space="0" w:color="auto"/>
            </w:tcBorders>
          </w:tcPr>
          <w:p w:rsidR="005904C2" w:rsidRPr="00076C71" w:rsidRDefault="005904C2" w:rsidP="00076C71">
            <w:pPr>
              <w:pStyle w:val="TableTextBoldRight"/>
            </w:pPr>
            <w:r w:rsidRPr="00076C71">
              <w:t>2018–19</w:t>
            </w:r>
            <w:r w:rsidR="00E14B6C" w:rsidRPr="00076C71">
              <w:t xml:space="preserve"> Forward Estimate</w:t>
            </w:r>
          </w:p>
        </w:tc>
      </w:tr>
      <w:tr w:rsidR="00E14B6C" w:rsidTr="00257133">
        <w:tc>
          <w:tcPr>
            <w:tcW w:w="2660" w:type="dxa"/>
            <w:tcBorders>
              <w:top w:val="single" w:sz="4" w:space="0" w:color="auto"/>
              <w:left w:val="single" w:sz="4" w:space="0" w:color="auto"/>
              <w:bottom w:val="nil"/>
              <w:right w:val="single" w:sz="4" w:space="0" w:color="auto"/>
            </w:tcBorders>
          </w:tcPr>
          <w:p w:rsidR="005904C2" w:rsidRPr="005904C2" w:rsidRDefault="005904C2" w:rsidP="005904C2">
            <w:pPr>
              <w:pStyle w:val="TableText"/>
              <w:jc w:val="left"/>
            </w:pPr>
            <w:r w:rsidRPr="005904C2">
              <w:t>Number of targeted campaigns:</w:t>
            </w:r>
          </w:p>
          <w:p w:rsidR="005904C2" w:rsidRPr="005904C2" w:rsidRDefault="005904C2" w:rsidP="005904C2">
            <w:pPr>
              <w:pStyle w:val="TableText"/>
              <w:numPr>
                <w:ilvl w:val="0"/>
                <w:numId w:val="29"/>
              </w:numPr>
              <w:jc w:val="left"/>
            </w:pPr>
            <w:r w:rsidRPr="005904C2">
              <w:t>National</w:t>
            </w:r>
          </w:p>
        </w:tc>
        <w:tc>
          <w:tcPr>
            <w:tcW w:w="992" w:type="dxa"/>
            <w:tcBorders>
              <w:top w:val="single" w:sz="4" w:space="0" w:color="auto"/>
              <w:left w:val="single" w:sz="4" w:space="0" w:color="auto"/>
              <w:bottom w:val="single" w:sz="4" w:space="0" w:color="auto"/>
              <w:right w:val="single" w:sz="4" w:space="0" w:color="auto"/>
            </w:tcBorders>
            <w:vAlign w:val="bottom"/>
          </w:tcPr>
          <w:p w:rsidR="005904C2" w:rsidRDefault="005904C2" w:rsidP="00076C71">
            <w:pPr>
              <w:pStyle w:val="TableTextRight0"/>
            </w:pPr>
            <w:r>
              <w:t>4</w:t>
            </w:r>
          </w:p>
        </w:tc>
        <w:tc>
          <w:tcPr>
            <w:tcW w:w="929" w:type="dxa"/>
            <w:tcBorders>
              <w:top w:val="single" w:sz="4" w:space="0" w:color="auto"/>
              <w:left w:val="single" w:sz="4" w:space="0" w:color="auto"/>
              <w:bottom w:val="single" w:sz="4" w:space="0" w:color="auto"/>
              <w:right w:val="single" w:sz="4" w:space="0" w:color="auto"/>
            </w:tcBorders>
            <w:vAlign w:val="bottom"/>
          </w:tcPr>
          <w:p w:rsidR="005904C2" w:rsidRDefault="005904C2" w:rsidP="00076C71">
            <w:pPr>
              <w:pStyle w:val="TableTextRight0"/>
            </w:pPr>
            <w:r>
              <w:t>4</w:t>
            </w:r>
          </w:p>
        </w:tc>
        <w:tc>
          <w:tcPr>
            <w:tcW w:w="926" w:type="dxa"/>
            <w:tcBorders>
              <w:top w:val="single" w:sz="4" w:space="0" w:color="auto"/>
              <w:left w:val="single" w:sz="4" w:space="0" w:color="auto"/>
              <w:bottom w:val="single" w:sz="4" w:space="0" w:color="auto"/>
              <w:right w:val="single" w:sz="4" w:space="0" w:color="auto"/>
            </w:tcBorders>
            <w:vAlign w:val="bottom"/>
          </w:tcPr>
          <w:p w:rsidR="005904C2" w:rsidRDefault="005904C2" w:rsidP="00076C71">
            <w:pPr>
              <w:pStyle w:val="TableTextRight0"/>
            </w:pPr>
            <w:r>
              <w:t>4</w:t>
            </w:r>
          </w:p>
        </w:tc>
        <w:tc>
          <w:tcPr>
            <w:tcW w:w="926" w:type="dxa"/>
            <w:tcBorders>
              <w:top w:val="single" w:sz="4" w:space="0" w:color="auto"/>
              <w:left w:val="single" w:sz="4" w:space="0" w:color="auto"/>
              <w:bottom w:val="single" w:sz="4" w:space="0" w:color="auto"/>
              <w:right w:val="single" w:sz="4" w:space="0" w:color="auto"/>
            </w:tcBorders>
            <w:vAlign w:val="bottom"/>
          </w:tcPr>
          <w:p w:rsidR="005904C2" w:rsidRDefault="005904C2" w:rsidP="00076C71">
            <w:pPr>
              <w:pStyle w:val="TableTextRight0"/>
            </w:pPr>
            <w:r>
              <w:t>4</w:t>
            </w:r>
          </w:p>
        </w:tc>
        <w:tc>
          <w:tcPr>
            <w:tcW w:w="926" w:type="dxa"/>
            <w:tcBorders>
              <w:top w:val="single" w:sz="4" w:space="0" w:color="auto"/>
              <w:left w:val="single" w:sz="4" w:space="0" w:color="auto"/>
              <w:bottom w:val="single" w:sz="4" w:space="0" w:color="auto"/>
              <w:right w:val="single" w:sz="4" w:space="0" w:color="auto"/>
            </w:tcBorders>
            <w:vAlign w:val="bottom"/>
          </w:tcPr>
          <w:p w:rsidR="005904C2" w:rsidRDefault="005904C2" w:rsidP="00076C71">
            <w:pPr>
              <w:pStyle w:val="TableTextRight0"/>
            </w:pPr>
            <w:r>
              <w:t>4</w:t>
            </w:r>
          </w:p>
        </w:tc>
      </w:tr>
      <w:tr w:rsidR="00E14B6C" w:rsidTr="00257133">
        <w:tc>
          <w:tcPr>
            <w:tcW w:w="2660" w:type="dxa"/>
            <w:tcBorders>
              <w:top w:val="nil"/>
              <w:left w:val="single" w:sz="4" w:space="0" w:color="auto"/>
              <w:bottom w:val="single" w:sz="4" w:space="0" w:color="auto"/>
              <w:right w:val="single" w:sz="4" w:space="0" w:color="auto"/>
            </w:tcBorders>
          </w:tcPr>
          <w:p w:rsidR="005904C2" w:rsidRPr="005904C2" w:rsidRDefault="005904C2" w:rsidP="005904C2">
            <w:pPr>
              <w:pStyle w:val="TableText"/>
              <w:numPr>
                <w:ilvl w:val="0"/>
                <w:numId w:val="29"/>
              </w:numPr>
              <w:jc w:val="left"/>
            </w:pPr>
            <w:r w:rsidRPr="005904C2">
              <w:t>State (number of campaigns in each state/territory)</w:t>
            </w:r>
          </w:p>
        </w:tc>
        <w:tc>
          <w:tcPr>
            <w:tcW w:w="992" w:type="dxa"/>
            <w:tcBorders>
              <w:top w:val="single" w:sz="4" w:space="0" w:color="auto"/>
              <w:left w:val="single" w:sz="4" w:space="0" w:color="auto"/>
              <w:bottom w:val="single" w:sz="4" w:space="0" w:color="auto"/>
              <w:right w:val="single" w:sz="4" w:space="0" w:color="auto"/>
            </w:tcBorders>
          </w:tcPr>
          <w:p w:rsidR="005904C2" w:rsidRDefault="005904C2" w:rsidP="0091757C">
            <w:pPr>
              <w:pStyle w:val="TableTextRight0"/>
            </w:pPr>
            <w:r>
              <w:t>2</w:t>
            </w:r>
          </w:p>
        </w:tc>
        <w:tc>
          <w:tcPr>
            <w:tcW w:w="929" w:type="dxa"/>
            <w:tcBorders>
              <w:top w:val="single" w:sz="4" w:space="0" w:color="auto"/>
              <w:left w:val="single" w:sz="4" w:space="0" w:color="auto"/>
              <w:bottom w:val="single" w:sz="4" w:space="0" w:color="auto"/>
              <w:right w:val="single" w:sz="4" w:space="0" w:color="auto"/>
            </w:tcBorders>
          </w:tcPr>
          <w:p w:rsidR="005904C2" w:rsidRDefault="005904C2" w:rsidP="0091757C">
            <w:pPr>
              <w:pStyle w:val="TableTextRight0"/>
            </w:pPr>
            <w:r>
              <w:t>2</w:t>
            </w:r>
          </w:p>
        </w:tc>
        <w:tc>
          <w:tcPr>
            <w:tcW w:w="926" w:type="dxa"/>
            <w:tcBorders>
              <w:top w:val="single" w:sz="4" w:space="0" w:color="auto"/>
              <w:left w:val="single" w:sz="4" w:space="0" w:color="auto"/>
              <w:bottom w:val="single" w:sz="4" w:space="0" w:color="auto"/>
              <w:right w:val="single" w:sz="4" w:space="0" w:color="auto"/>
            </w:tcBorders>
          </w:tcPr>
          <w:p w:rsidR="005904C2" w:rsidRDefault="005904C2" w:rsidP="0091757C">
            <w:pPr>
              <w:pStyle w:val="TableTextRight0"/>
            </w:pPr>
            <w:r>
              <w:t>2</w:t>
            </w:r>
          </w:p>
        </w:tc>
        <w:tc>
          <w:tcPr>
            <w:tcW w:w="926" w:type="dxa"/>
            <w:tcBorders>
              <w:top w:val="single" w:sz="4" w:space="0" w:color="auto"/>
              <w:left w:val="single" w:sz="4" w:space="0" w:color="auto"/>
              <w:bottom w:val="single" w:sz="4" w:space="0" w:color="auto"/>
              <w:right w:val="single" w:sz="4" w:space="0" w:color="auto"/>
            </w:tcBorders>
          </w:tcPr>
          <w:p w:rsidR="005904C2" w:rsidRDefault="005904C2" w:rsidP="0091757C">
            <w:pPr>
              <w:pStyle w:val="TableTextRight0"/>
            </w:pPr>
            <w:r>
              <w:t>2</w:t>
            </w:r>
          </w:p>
        </w:tc>
        <w:tc>
          <w:tcPr>
            <w:tcW w:w="926" w:type="dxa"/>
            <w:tcBorders>
              <w:top w:val="single" w:sz="4" w:space="0" w:color="auto"/>
              <w:left w:val="single" w:sz="4" w:space="0" w:color="auto"/>
              <w:bottom w:val="single" w:sz="4" w:space="0" w:color="auto"/>
              <w:right w:val="single" w:sz="4" w:space="0" w:color="auto"/>
            </w:tcBorders>
          </w:tcPr>
          <w:p w:rsidR="005904C2" w:rsidRDefault="005904C2" w:rsidP="0091757C">
            <w:pPr>
              <w:pStyle w:val="TableTextRight0"/>
            </w:pPr>
            <w:r>
              <w:t>2</w:t>
            </w:r>
          </w:p>
        </w:tc>
      </w:tr>
      <w:tr w:rsidR="005904C2" w:rsidTr="00076C71">
        <w:tc>
          <w:tcPr>
            <w:tcW w:w="2660" w:type="dxa"/>
            <w:tcBorders>
              <w:top w:val="single" w:sz="4" w:space="0" w:color="auto"/>
            </w:tcBorders>
          </w:tcPr>
          <w:p w:rsidR="005904C2" w:rsidRPr="005904C2" w:rsidRDefault="005904C2" w:rsidP="005904C2">
            <w:pPr>
              <w:pStyle w:val="TableText"/>
              <w:jc w:val="left"/>
            </w:pPr>
            <w:r w:rsidRPr="005904C2">
              <w:t>Investigations into complaints about breaches of federal agreements or awards completed within 90 days (percentage of total complaints)</w:t>
            </w:r>
          </w:p>
        </w:tc>
        <w:tc>
          <w:tcPr>
            <w:tcW w:w="992" w:type="dxa"/>
            <w:tcBorders>
              <w:top w:val="single" w:sz="4" w:space="0" w:color="auto"/>
            </w:tcBorders>
          </w:tcPr>
          <w:p w:rsidR="005904C2" w:rsidRDefault="005904C2" w:rsidP="005904C2">
            <w:pPr>
              <w:pStyle w:val="TableTextRight0"/>
            </w:pPr>
            <w:r>
              <w:t>80</w:t>
            </w:r>
          </w:p>
        </w:tc>
        <w:tc>
          <w:tcPr>
            <w:tcW w:w="929" w:type="dxa"/>
            <w:tcBorders>
              <w:top w:val="single" w:sz="4" w:space="0" w:color="auto"/>
            </w:tcBorders>
          </w:tcPr>
          <w:p w:rsidR="005904C2" w:rsidRDefault="005904C2" w:rsidP="005904C2">
            <w:pPr>
              <w:pStyle w:val="TableTextRight0"/>
            </w:pPr>
            <w:r>
              <w:t>80</w:t>
            </w:r>
          </w:p>
        </w:tc>
        <w:tc>
          <w:tcPr>
            <w:tcW w:w="926" w:type="dxa"/>
            <w:tcBorders>
              <w:top w:val="single" w:sz="4" w:space="0" w:color="auto"/>
            </w:tcBorders>
          </w:tcPr>
          <w:p w:rsidR="005904C2" w:rsidRDefault="005904C2" w:rsidP="005904C2">
            <w:pPr>
              <w:pStyle w:val="TableTextRight0"/>
            </w:pPr>
            <w:r>
              <w:t>80</w:t>
            </w:r>
          </w:p>
        </w:tc>
        <w:tc>
          <w:tcPr>
            <w:tcW w:w="926" w:type="dxa"/>
            <w:tcBorders>
              <w:top w:val="single" w:sz="4" w:space="0" w:color="auto"/>
            </w:tcBorders>
          </w:tcPr>
          <w:p w:rsidR="005904C2" w:rsidRDefault="005904C2" w:rsidP="005904C2">
            <w:pPr>
              <w:pStyle w:val="TableTextRight0"/>
            </w:pPr>
            <w:r>
              <w:t>80</w:t>
            </w:r>
          </w:p>
        </w:tc>
        <w:tc>
          <w:tcPr>
            <w:tcW w:w="926" w:type="dxa"/>
            <w:tcBorders>
              <w:top w:val="single" w:sz="4" w:space="0" w:color="auto"/>
            </w:tcBorders>
          </w:tcPr>
          <w:p w:rsidR="005904C2" w:rsidRDefault="005904C2" w:rsidP="005904C2">
            <w:pPr>
              <w:pStyle w:val="TableTextRight0"/>
            </w:pPr>
            <w:r>
              <w:t>80</w:t>
            </w:r>
          </w:p>
        </w:tc>
      </w:tr>
      <w:tr w:rsidR="005904C2" w:rsidTr="00076C71">
        <w:tc>
          <w:tcPr>
            <w:tcW w:w="2660" w:type="dxa"/>
          </w:tcPr>
          <w:p w:rsidR="005904C2" w:rsidRPr="005904C2" w:rsidRDefault="005904C2" w:rsidP="005904C2">
            <w:pPr>
              <w:pStyle w:val="TableText"/>
              <w:jc w:val="left"/>
            </w:pPr>
            <w:r w:rsidRPr="005904C2">
              <w:t>Calls to the Contact Centre resolved at the first point of contact (percentage of total calls)</w:t>
            </w:r>
          </w:p>
        </w:tc>
        <w:tc>
          <w:tcPr>
            <w:tcW w:w="992" w:type="dxa"/>
          </w:tcPr>
          <w:p w:rsidR="005904C2" w:rsidRDefault="005904C2" w:rsidP="005904C2">
            <w:pPr>
              <w:pStyle w:val="TableTextRight0"/>
            </w:pPr>
            <w:r>
              <w:t>80</w:t>
            </w:r>
          </w:p>
        </w:tc>
        <w:tc>
          <w:tcPr>
            <w:tcW w:w="929" w:type="dxa"/>
          </w:tcPr>
          <w:p w:rsidR="005904C2" w:rsidRDefault="005904C2" w:rsidP="005904C2">
            <w:pPr>
              <w:pStyle w:val="TableTextRight0"/>
            </w:pPr>
            <w:r>
              <w:t>80</w:t>
            </w:r>
          </w:p>
        </w:tc>
        <w:tc>
          <w:tcPr>
            <w:tcW w:w="926" w:type="dxa"/>
          </w:tcPr>
          <w:p w:rsidR="005904C2" w:rsidRDefault="005904C2" w:rsidP="005904C2">
            <w:pPr>
              <w:pStyle w:val="TableTextRight0"/>
            </w:pPr>
            <w:r>
              <w:t>80</w:t>
            </w:r>
          </w:p>
        </w:tc>
        <w:tc>
          <w:tcPr>
            <w:tcW w:w="926" w:type="dxa"/>
          </w:tcPr>
          <w:p w:rsidR="005904C2" w:rsidRDefault="005904C2" w:rsidP="005904C2">
            <w:pPr>
              <w:pStyle w:val="TableTextRight0"/>
            </w:pPr>
            <w:r>
              <w:t>80</w:t>
            </w:r>
          </w:p>
        </w:tc>
        <w:tc>
          <w:tcPr>
            <w:tcW w:w="926" w:type="dxa"/>
          </w:tcPr>
          <w:p w:rsidR="005904C2" w:rsidRDefault="005904C2" w:rsidP="005904C2">
            <w:pPr>
              <w:pStyle w:val="TableTextRight0"/>
            </w:pPr>
            <w:r>
              <w:t>80</w:t>
            </w:r>
          </w:p>
        </w:tc>
      </w:tr>
      <w:tr w:rsidR="005904C2" w:rsidTr="00076C71">
        <w:tc>
          <w:tcPr>
            <w:tcW w:w="2660" w:type="dxa"/>
          </w:tcPr>
          <w:p w:rsidR="005904C2" w:rsidRPr="005904C2" w:rsidRDefault="005904C2" w:rsidP="005904C2">
            <w:pPr>
              <w:pStyle w:val="TableText"/>
              <w:jc w:val="left"/>
            </w:pPr>
            <w:r w:rsidRPr="005904C2">
              <w:t>Availability of Contact Centre services (percentage of availability during advertised hours)</w:t>
            </w:r>
          </w:p>
        </w:tc>
        <w:tc>
          <w:tcPr>
            <w:tcW w:w="992" w:type="dxa"/>
          </w:tcPr>
          <w:p w:rsidR="005904C2" w:rsidRDefault="005904C2" w:rsidP="005904C2">
            <w:pPr>
              <w:pStyle w:val="TableTextRight0"/>
            </w:pPr>
            <w:r>
              <w:t>99</w:t>
            </w:r>
          </w:p>
        </w:tc>
        <w:tc>
          <w:tcPr>
            <w:tcW w:w="929" w:type="dxa"/>
          </w:tcPr>
          <w:p w:rsidR="005904C2" w:rsidRDefault="005904C2" w:rsidP="005904C2">
            <w:pPr>
              <w:pStyle w:val="TableTextRight0"/>
            </w:pPr>
            <w:r>
              <w:t>99</w:t>
            </w:r>
          </w:p>
        </w:tc>
        <w:tc>
          <w:tcPr>
            <w:tcW w:w="926" w:type="dxa"/>
          </w:tcPr>
          <w:p w:rsidR="005904C2" w:rsidRDefault="005904C2" w:rsidP="005904C2">
            <w:pPr>
              <w:pStyle w:val="TableTextRight0"/>
            </w:pPr>
            <w:r>
              <w:t>99</w:t>
            </w:r>
          </w:p>
        </w:tc>
        <w:tc>
          <w:tcPr>
            <w:tcW w:w="926" w:type="dxa"/>
          </w:tcPr>
          <w:p w:rsidR="005904C2" w:rsidRDefault="005904C2" w:rsidP="005904C2">
            <w:pPr>
              <w:pStyle w:val="TableTextRight0"/>
            </w:pPr>
            <w:r>
              <w:t>99</w:t>
            </w:r>
          </w:p>
        </w:tc>
        <w:tc>
          <w:tcPr>
            <w:tcW w:w="926" w:type="dxa"/>
          </w:tcPr>
          <w:p w:rsidR="005904C2" w:rsidRDefault="005904C2" w:rsidP="005904C2">
            <w:pPr>
              <w:pStyle w:val="TableTextRight0"/>
            </w:pPr>
            <w:r>
              <w:t>99</w:t>
            </w:r>
          </w:p>
        </w:tc>
      </w:tr>
      <w:tr w:rsidR="00E14B6C" w:rsidTr="00076C71">
        <w:tc>
          <w:tcPr>
            <w:tcW w:w="2660" w:type="dxa"/>
          </w:tcPr>
          <w:p w:rsidR="005904C2" w:rsidRPr="005904C2" w:rsidRDefault="005904C2" w:rsidP="005904C2">
            <w:pPr>
              <w:pStyle w:val="TableText"/>
              <w:jc w:val="left"/>
            </w:pPr>
            <w:r w:rsidRPr="005904C2">
              <w:t>Availability of Website (time available as a percentage of total time)</w:t>
            </w:r>
          </w:p>
        </w:tc>
        <w:tc>
          <w:tcPr>
            <w:tcW w:w="992" w:type="dxa"/>
          </w:tcPr>
          <w:p w:rsidR="005904C2" w:rsidRDefault="005904C2" w:rsidP="005904C2">
            <w:pPr>
              <w:pStyle w:val="TableTextRight0"/>
            </w:pPr>
            <w:r>
              <w:t>99</w:t>
            </w:r>
          </w:p>
        </w:tc>
        <w:tc>
          <w:tcPr>
            <w:tcW w:w="929" w:type="dxa"/>
          </w:tcPr>
          <w:p w:rsidR="005904C2" w:rsidRDefault="005904C2" w:rsidP="005904C2">
            <w:pPr>
              <w:pStyle w:val="TableTextRight0"/>
            </w:pPr>
            <w:r>
              <w:t>99</w:t>
            </w:r>
          </w:p>
        </w:tc>
        <w:tc>
          <w:tcPr>
            <w:tcW w:w="926" w:type="dxa"/>
          </w:tcPr>
          <w:p w:rsidR="005904C2" w:rsidRDefault="005904C2" w:rsidP="005904C2">
            <w:pPr>
              <w:pStyle w:val="TableTextRight0"/>
            </w:pPr>
            <w:r>
              <w:t>99</w:t>
            </w:r>
          </w:p>
        </w:tc>
        <w:tc>
          <w:tcPr>
            <w:tcW w:w="926" w:type="dxa"/>
          </w:tcPr>
          <w:p w:rsidR="005904C2" w:rsidRDefault="005904C2" w:rsidP="005904C2">
            <w:pPr>
              <w:pStyle w:val="TableTextRight0"/>
            </w:pPr>
            <w:r>
              <w:t>99</w:t>
            </w:r>
          </w:p>
        </w:tc>
        <w:tc>
          <w:tcPr>
            <w:tcW w:w="926" w:type="dxa"/>
          </w:tcPr>
          <w:p w:rsidR="005904C2" w:rsidRDefault="005904C2" w:rsidP="005904C2">
            <w:pPr>
              <w:pStyle w:val="TableTextRight0"/>
            </w:pPr>
            <w:r>
              <w:t>99</w:t>
            </w:r>
          </w:p>
        </w:tc>
      </w:tr>
    </w:tbl>
    <w:p w:rsidR="00F64B73" w:rsidRDefault="00F64B73" w:rsidP="007F3CCF">
      <w:pPr>
        <w:pStyle w:val="Heading2"/>
        <w:rPr>
          <w:rFonts w:cs="Arial"/>
        </w:rPr>
      </w:pPr>
      <w:r>
        <w:rPr>
          <w:rFonts w:cs="Arial"/>
        </w:rPr>
        <w:br w:type="page"/>
      </w:r>
    </w:p>
    <w:p w:rsidR="00A004B5" w:rsidRPr="00DD5E1B" w:rsidRDefault="00A004B5" w:rsidP="00DD5E1B">
      <w:pPr>
        <w:pStyle w:val="Heading2"/>
      </w:pPr>
      <w:r w:rsidRPr="00DD5E1B">
        <w:lastRenderedPageBreak/>
        <w:t>Section 3: Explanatory tables and budgeted financial statements</w:t>
      </w:r>
    </w:p>
    <w:p w:rsidR="00A81D60" w:rsidRDefault="00A81D60" w:rsidP="00A81D60">
      <w:r>
        <w:t>Section 3 presents explanatory tables and budgeted financial statements which provide a comprehensive snapshot of entity finances for the 2015–16</w:t>
      </w:r>
      <w:r>
        <w:rPr>
          <w:color w:val="00B050"/>
        </w:rPr>
        <w:t xml:space="preserve"> </w:t>
      </w:r>
      <w:r>
        <w:t xml:space="preserve">budget </w:t>
      </w:r>
      <w:proofErr w:type="gramStart"/>
      <w:r>
        <w:t>year</w:t>
      </w:r>
      <w:proofErr w:type="gramEnd"/>
      <w:r>
        <w:t>. It explains how budget plans are incorporated into the financial statements and provides further details of the reconciliation between appropriations and programme expenses, movements in administered funds, special accounts and government indigenous expenditure.</w:t>
      </w:r>
    </w:p>
    <w:p w:rsidR="00A004B5" w:rsidRPr="00AA2983" w:rsidRDefault="00A004B5" w:rsidP="007F3CCF">
      <w:pPr>
        <w:pStyle w:val="Heading3"/>
        <w:rPr>
          <w:rFonts w:cs="Arial"/>
        </w:rPr>
      </w:pPr>
      <w:r w:rsidRPr="00AA2983">
        <w:rPr>
          <w:rFonts w:cs="Arial"/>
        </w:rPr>
        <w:t>3.1</w:t>
      </w:r>
      <w:r w:rsidRPr="00AA2983">
        <w:rPr>
          <w:rFonts w:cs="Arial"/>
        </w:rPr>
        <w:tab/>
        <w:t>Explanatory tables</w:t>
      </w:r>
    </w:p>
    <w:p w:rsidR="00A004B5" w:rsidRPr="00AA2983" w:rsidRDefault="00A004B5" w:rsidP="00DD5E1B">
      <w:pPr>
        <w:pStyle w:val="Heading4"/>
      </w:pPr>
      <w:r w:rsidRPr="00AA2983">
        <w:t>3.1.1</w:t>
      </w:r>
      <w:r w:rsidRPr="00AA2983">
        <w:tab/>
        <w:t xml:space="preserve">Movement of </w:t>
      </w:r>
      <w:r w:rsidRPr="00DD5E1B">
        <w:t>administered</w:t>
      </w:r>
      <w:r w:rsidRPr="00AA2983">
        <w:t xml:space="preserve"> funds between years</w:t>
      </w:r>
    </w:p>
    <w:p w:rsidR="00A004B5" w:rsidRDefault="00A004B5" w:rsidP="00DD5E1B">
      <w:r w:rsidRPr="00AA2983">
        <w:t>The Fair Work Ombudsman</w:t>
      </w:r>
      <w:r>
        <w:t xml:space="preserve"> has no </w:t>
      </w:r>
      <w:r w:rsidRPr="00AA2983">
        <w:t>administered funds appropriations</w:t>
      </w:r>
      <w:r>
        <w:t>.  For this reason Table 3.1.1 is not presented.</w:t>
      </w:r>
    </w:p>
    <w:p w:rsidR="00A004B5" w:rsidRPr="00AA2983" w:rsidRDefault="00A004B5" w:rsidP="007F3CCF">
      <w:pPr>
        <w:pStyle w:val="Heading4"/>
        <w:rPr>
          <w:rFonts w:cs="Arial"/>
        </w:rPr>
      </w:pPr>
      <w:r w:rsidRPr="00AA2983">
        <w:rPr>
          <w:rFonts w:cs="Arial"/>
        </w:rPr>
        <w:t>3.1.2</w:t>
      </w:r>
      <w:r w:rsidRPr="00AA2983">
        <w:rPr>
          <w:rFonts w:cs="Arial"/>
        </w:rPr>
        <w:tab/>
        <w:t>Special Accounts</w:t>
      </w:r>
    </w:p>
    <w:p w:rsidR="00A004B5" w:rsidRDefault="00A004B5" w:rsidP="00DD5E1B">
      <w:r w:rsidRPr="00AA2983">
        <w:t>The Fair Work Ombudsman</w:t>
      </w:r>
      <w:r>
        <w:t xml:space="preserve"> has no Special Accounts.  For this reason Table 3.1.2 is not presented.</w:t>
      </w:r>
    </w:p>
    <w:p w:rsidR="00A004B5" w:rsidRPr="00AA2983" w:rsidRDefault="00A004B5" w:rsidP="007F3CCF">
      <w:pPr>
        <w:pStyle w:val="Heading4"/>
        <w:rPr>
          <w:rFonts w:cs="Arial"/>
        </w:rPr>
      </w:pPr>
      <w:r w:rsidRPr="00AA2983">
        <w:rPr>
          <w:rFonts w:cs="Arial"/>
        </w:rPr>
        <w:t>3.1.3</w:t>
      </w:r>
      <w:r w:rsidRPr="00AA2983">
        <w:rPr>
          <w:rFonts w:cs="Arial"/>
        </w:rPr>
        <w:tab/>
        <w:t xml:space="preserve">Australian </w:t>
      </w:r>
      <w:r>
        <w:rPr>
          <w:rFonts w:cs="Arial"/>
        </w:rPr>
        <w:t>Government</w:t>
      </w:r>
      <w:r w:rsidRPr="00AA2983">
        <w:rPr>
          <w:rFonts w:cs="Arial"/>
        </w:rPr>
        <w:t xml:space="preserve"> Indigenous </w:t>
      </w:r>
      <w:r w:rsidR="00A81D60">
        <w:rPr>
          <w:rFonts w:cs="Arial"/>
        </w:rPr>
        <w:t>e</w:t>
      </w:r>
      <w:r w:rsidRPr="00AA2983">
        <w:rPr>
          <w:rFonts w:cs="Arial"/>
        </w:rPr>
        <w:t>xpenditure</w:t>
      </w:r>
    </w:p>
    <w:p w:rsidR="00A004B5" w:rsidRPr="00AA2983" w:rsidRDefault="00A004B5" w:rsidP="00DD5E1B">
      <w:r w:rsidRPr="00AA2983">
        <w:t xml:space="preserve">The Fair Work Ombudsman has no </w:t>
      </w:r>
      <w:r w:rsidR="00A81D60">
        <w:t>Australian Government Indigenous expenditure</w:t>
      </w:r>
      <w:r>
        <w:t>. For this reason Table 3.1.3 is not presented.</w:t>
      </w:r>
    </w:p>
    <w:p w:rsidR="00A004B5" w:rsidRDefault="00A004B5" w:rsidP="007F3CCF">
      <w:pPr>
        <w:spacing w:after="0"/>
        <w:rPr>
          <w:rFonts w:ascii="Arial" w:hAnsi="Arial" w:cs="Arial"/>
          <w:b/>
          <w:smallCaps/>
          <w:sz w:val="26"/>
        </w:rPr>
      </w:pPr>
      <w:r>
        <w:rPr>
          <w:rFonts w:cs="Arial"/>
        </w:rPr>
        <w:br w:type="page"/>
      </w:r>
    </w:p>
    <w:p w:rsidR="00A004B5" w:rsidRPr="00AA2983" w:rsidRDefault="00A004B5" w:rsidP="007F3CCF">
      <w:pPr>
        <w:pStyle w:val="Heading3"/>
        <w:rPr>
          <w:rFonts w:cs="Arial"/>
        </w:rPr>
      </w:pPr>
      <w:r w:rsidRPr="00AA2983">
        <w:rPr>
          <w:rFonts w:cs="Arial"/>
        </w:rPr>
        <w:lastRenderedPageBreak/>
        <w:t>3.2</w:t>
      </w:r>
      <w:r w:rsidRPr="00AA2983">
        <w:rPr>
          <w:rFonts w:cs="Arial"/>
        </w:rPr>
        <w:tab/>
        <w:t>Budgeted financial statements</w:t>
      </w:r>
    </w:p>
    <w:p w:rsidR="00A004B5" w:rsidRPr="00AA2983" w:rsidRDefault="00A004B5" w:rsidP="007F3CCF">
      <w:pPr>
        <w:pStyle w:val="Heading4"/>
        <w:rPr>
          <w:rFonts w:cs="Arial"/>
        </w:rPr>
      </w:pPr>
      <w:r w:rsidRPr="00AA2983">
        <w:rPr>
          <w:rFonts w:cs="Arial"/>
        </w:rPr>
        <w:t>3.2.1</w:t>
      </w:r>
      <w:r w:rsidRPr="00AA2983">
        <w:rPr>
          <w:rFonts w:cs="Arial"/>
        </w:rPr>
        <w:tab/>
        <w:t>Differences in agency resourcing and financial statements</w:t>
      </w:r>
    </w:p>
    <w:p w:rsidR="00A004B5" w:rsidRPr="00AA2983" w:rsidRDefault="00A004B5" w:rsidP="00DD5E1B">
      <w:r>
        <w:t>The Agency Resource Statement (Table 1.1) details the total appropriation available to an agency from all sources. For departmental operating appropriations (outputs) this includes carry-forward amounts as well as amounts appropriated at Budget.  As agencies incur and are funded for future liabilities and employee entitlements, the total amount of departmental operating appropriation available to an agency is unlikely to be fully utilised in the Budget year.  The difference between the agency resource statement and the sum of all payments made at the departmental outputs level is the expected carry-forward amount of resources for the 2014–15 Budget year, including amounts related to meeting future employee entitlement obligations.</w:t>
      </w:r>
    </w:p>
    <w:p w:rsidR="00A004B5" w:rsidRPr="00AA2983" w:rsidRDefault="00A004B5" w:rsidP="007F3CCF">
      <w:pPr>
        <w:pStyle w:val="Heading4"/>
        <w:rPr>
          <w:rFonts w:cs="Arial"/>
        </w:rPr>
      </w:pPr>
      <w:r w:rsidRPr="00AA2983">
        <w:rPr>
          <w:rFonts w:cs="Arial"/>
        </w:rPr>
        <w:t>3.2.2</w:t>
      </w:r>
      <w:r w:rsidRPr="00AA2983">
        <w:rPr>
          <w:rFonts w:cs="Arial"/>
        </w:rPr>
        <w:tab/>
        <w:t>Analysis of budgeted financial statements</w:t>
      </w:r>
    </w:p>
    <w:p w:rsidR="00A004B5" w:rsidRPr="00AA2983" w:rsidRDefault="00A004B5" w:rsidP="00DD5E1B">
      <w:r w:rsidRPr="00AA2983">
        <w:t>The Fair Work Ombudsman is budgeting for a</w:t>
      </w:r>
      <w:r>
        <w:t xml:space="preserve">n operating loss equal to the unappropriated depreciation and amortisation expense of $10.6 million for the 2015–16 financial </w:t>
      </w:r>
      <w:proofErr w:type="gramStart"/>
      <w:r>
        <w:t>year</w:t>
      </w:r>
      <w:proofErr w:type="gramEnd"/>
      <w:r>
        <w:t>.</w:t>
      </w:r>
    </w:p>
    <w:p w:rsidR="00A004B5" w:rsidRPr="00AA2983" w:rsidRDefault="00A004B5" w:rsidP="00DD5E1B">
      <w:r w:rsidRPr="00AA2983">
        <w:t>Total revenue</w:t>
      </w:r>
      <w:r>
        <w:t>s are estimated to be $111.</w:t>
      </w:r>
      <w:r w:rsidR="00B364D0">
        <w:t>2</w:t>
      </w:r>
      <w:r>
        <w:t xml:space="preserve"> million</w:t>
      </w:r>
      <w:r w:rsidRPr="00AA2983">
        <w:t xml:space="preserve"> and </w:t>
      </w:r>
      <w:r>
        <w:t xml:space="preserve">total </w:t>
      </w:r>
      <w:r w:rsidRPr="00AA2983">
        <w:t>expenses $</w:t>
      </w:r>
      <w:r>
        <w:t>122.0</w:t>
      </w:r>
      <w:r w:rsidR="00076C71">
        <w:t> </w:t>
      </w:r>
      <w:r>
        <w:t>million.</w:t>
      </w:r>
      <w:r w:rsidRPr="00AA2983">
        <w:t xml:space="preserve"> </w:t>
      </w:r>
    </w:p>
    <w:p w:rsidR="00A004B5" w:rsidRPr="00AA2983" w:rsidRDefault="00A004B5" w:rsidP="00DD5E1B">
      <w:r w:rsidRPr="00AA2983">
        <w:t xml:space="preserve">Total assets </w:t>
      </w:r>
      <w:r>
        <w:t>at the end of the</w:t>
      </w:r>
      <w:r w:rsidRPr="00AA2983">
        <w:t xml:space="preserve"> 20</w:t>
      </w:r>
      <w:r>
        <w:t>15–</w:t>
      </w:r>
      <w:r w:rsidRPr="00AA2983">
        <w:t>1</w:t>
      </w:r>
      <w:r>
        <w:t>6</w:t>
      </w:r>
      <w:r w:rsidRPr="00AA2983">
        <w:t xml:space="preserve"> </w:t>
      </w:r>
      <w:r>
        <w:t xml:space="preserve">financial </w:t>
      </w:r>
      <w:proofErr w:type="gramStart"/>
      <w:r>
        <w:t>year</w:t>
      </w:r>
      <w:proofErr w:type="gramEnd"/>
      <w:r>
        <w:t xml:space="preserve"> </w:t>
      </w:r>
      <w:r w:rsidRPr="00AA2983">
        <w:t>are estimated to be $</w:t>
      </w:r>
      <w:r>
        <w:t>95.8 million.</w:t>
      </w:r>
      <w:r w:rsidRPr="00AA2983">
        <w:t xml:space="preserve"> The majority of the assets represent receivables (appropriations receivable)</w:t>
      </w:r>
      <w:r>
        <w:t xml:space="preserve"> and property fit outs</w:t>
      </w:r>
      <w:r w:rsidRPr="00AA2983">
        <w:t xml:space="preserve">. Asset acquisitions are </w:t>
      </w:r>
      <w:r>
        <w:t>planned</w:t>
      </w:r>
      <w:r w:rsidRPr="00AA2983">
        <w:t xml:space="preserve"> in I</w:t>
      </w:r>
      <w:r>
        <w:t xml:space="preserve">nformation </w:t>
      </w:r>
      <w:r w:rsidRPr="00AA2983">
        <w:t>T</w:t>
      </w:r>
      <w:r>
        <w:t>echnology equipment and systems</w:t>
      </w:r>
      <w:r w:rsidRPr="00AA2983">
        <w:t xml:space="preserve"> and on office accommodation fit outs.</w:t>
      </w:r>
    </w:p>
    <w:p w:rsidR="00A004B5" w:rsidRPr="00AA2983" w:rsidRDefault="00A004B5" w:rsidP="00DD5E1B">
      <w:r w:rsidRPr="00AA2983">
        <w:t>Total liabilities for 20</w:t>
      </w:r>
      <w:r>
        <w:t>15–</w:t>
      </w:r>
      <w:r w:rsidRPr="00AA2983">
        <w:t>1</w:t>
      </w:r>
      <w:r w:rsidR="00A413AD">
        <w:t>6</w:t>
      </w:r>
      <w:r w:rsidRPr="00AA2983">
        <w:t xml:space="preserve"> are estimated at $</w:t>
      </w:r>
      <w:r>
        <w:t xml:space="preserve">36.1 million. </w:t>
      </w:r>
      <w:r w:rsidRPr="00AA2983">
        <w:t>The largest liability item is accrued employee entitlements.</w:t>
      </w:r>
    </w:p>
    <w:p w:rsidR="00A004B5" w:rsidRPr="00AA2983" w:rsidRDefault="00A004B5" w:rsidP="007F3CCF">
      <w:pPr>
        <w:pStyle w:val="Heading4"/>
        <w:rPr>
          <w:rFonts w:cs="Arial"/>
        </w:rPr>
      </w:pPr>
      <w:r w:rsidRPr="00AA2983">
        <w:rPr>
          <w:rFonts w:cs="Arial"/>
        </w:rPr>
        <w:br w:type="page"/>
      </w:r>
      <w:r w:rsidRPr="00AA2983">
        <w:rPr>
          <w:rFonts w:cs="Arial"/>
        </w:rPr>
        <w:lastRenderedPageBreak/>
        <w:t>3.2.3</w:t>
      </w:r>
      <w:r w:rsidRPr="00AA2983">
        <w:rPr>
          <w:rFonts w:cs="Arial"/>
        </w:rPr>
        <w:tab/>
        <w:t>Budgeted financial statements tables</w:t>
      </w:r>
    </w:p>
    <w:p w:rsidR="00A004B5" w:rsidRPr="00A103BD" w:rsidRDefault="00A004B5" w:rsidP="00A103BD">
      <w:pPr>
        <w:pStyle w:val="TableHeading"/>
      </w:pPr>
      <w:r w:rsidRPr="00A103BD">
        <w:t>Table 3.2.1: Comprehensive income statement (showing net cost of services)</w:t>
      </w:r>
      <w:r w:rsidR="0096278C">
        <w:t xml:space="preserve"> </w:t>
      </w:r>
      <w:r w:rsidR="009F52B8">
        <w:t>for the period ended 30 June</w:t>
      </w:r>
    </w:p>
    <w:p w:rsidR="00A004B5" w:rsidRDefault="005D1C3B" w:rsidP="00A06502">
      <w:pPr>
        <w:pStyle w:val="TableGraphic"/>
        <w:rPr>
          <w:rStyle w:val="TableHeadingChar"/>
        </w:rPr>
      </w:pPr>
      <w:r>
        <w:pict>
          <v:shape id="_x0000_i1906" type="#_x0000_t75" style="width:359.35pt;height:318.7pt">
            <v:imagedata r:id="rId24" o:title=""/>
          </v:shape>
        </w:pict>
      </w:r>
      <w:r w:rsidR="00A004B5" w:rsidRPr="00AA2983">
        <w:rPr>
          <w:rFonts w:cs="Arial"/>
        </w:rPr>
        <w:br w:type="page"/>
      </w:r>
      <w:r w:rsidR="00A004B5" w:rsidRPr="00A06502">
        <w:rPr>
          <w:rStyle w:val="TableHeadingChar"/>
        </w:rPr>
        <w:lastRenderedPageBreak/>
        <w:t>Table 3.2.1: Comprehensive income statement (showing net cost of services)</w:t>
      </w:r>
      <w:r w:rsidR="0096278C">
        <w:rPr>
          <w:rStyle w:val="TableHeadingChar"/>
        </w:rPr>
        <w:t xml:space="preserve"> </w:t>
      </w:r>
      <w:r w:rsidR="009F52B8">
        <w:rPr>
          <w:rStyle w:val="TableHeadingChar"/>
        </w:rPr>
        <w:t>for the period ended 30 June</w:t>
      </w:r>
      <w:r w:rsidR="00A004B5" w:rsidRPr="00A06502">
        <w:rPr>
          <w:rStyle w:val="TableHeadingChar"/>
        </w:rPr>
        <w:t xml:space="preserve"> (continued)</w:t>
      </w:r>
    </w:p>
    <w:p w:rsidR="00076C71" w:rsidRPr="00076C71" w:rsidRDefault="00076C71" w:rsidP="00076C71">
      <w:pPr>
        <w:pStyle w:val="TableHeading"/>
      </w:pPr>
      <w:r w:rsidRPr="00076C71">
        <w:t>Note: Impact of net cash appropriation arrangements</w:t>
      </w:r>
    </w:p>
    <w:p w:rsidR="00A004B5" w:rsidRDefault="005D1C3B" w:rsidP="00076C71">
      <w:pPr>
        <w:pStyle w:val="FootnoteText"/>
      </w:pPr>
      <w:r>
        <w:pict>
          <v:shape id="_x0000_i1907" type="#_x0000_t75" style="width:359.35pt;height:129.6pt">
            <v:imagedata r:id="rId25" o:title=""/>
          </v:shape>
        </w:pict>
      </w:r>
    </w:p>
    <w:p w:rsidR="00A004B5" w:rsidRPr="00A06502" w:rsidRDefault="00A004B5" w:rsidP="00A06502">
      <w:pPr>
        <w:pStyle w:val="FootnoteText"/>
      </w:pPr>
      <w:r w:rsidRPr="00A06502">
        <w:rPr>
          <w:vertAlign w:val="superscript"/>
        </w:rPr>
        <w:t>1</w:t>
      </w:r>
      <w:r>
        <w:t xml:space="preserve"> </w:t>
      </w:r>
      <w:r w:rsidRPr="00A06502">
        <w:t xml:space="preserve">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w:t>
      </w:r>
      <w:proofErr w:type="spellStart"/>
      <w:r w:rsidRPr="00A06502">
        <w:t>DCB</w:t>
      </w:r>
      <w:proofErr w:type="spellEnd"/>
      <w:r w:rsidRPr="00A06502">
        <w:t xml:space="preserve">) provided through Bill 1 equity appropriations. For information regarding </w:t>
      </w:r>
      <w:proofErr w:type="spellStart"/>
      <w:r w:rsidRPr="00A06502">
        <w:t>DCBs</w:t>
      </w:r>
      <w:proofErr w:type="spellEnd"/>
      <w:r w:rsidRPr="00A06502">
        <w:t>, please refer to Table 3.2.5 Departmental Capital Budget Statement.</w:t>
      </w:r>
    </w:p>
    <w:p w:rsidR="00A004B5" w:rsidRPr="00A06502" w:rsidRDefault="00A004B5" w:rsidP="00A06502">
      <w:pPr>
        <w:pStyle w:val="FootnoteText"/>
      </w:pPr>
      <w:proofErr w:type="gramStart"/>
      <w:r w:rsidRPr="00A06502">
        <w:t>Prepared on Australian Accounting Standards basis.</w:t>
      </w:r>
      <w:proofErr w:type="gramEnd"/>
    </w:p>
    <w:p w:rsidR="00A004B5" w:rsidRDefault="00A004B5" w:rsidP="007F3CCF">
      <w:pPr>
        <w:pStyle w:val="TableHeading"/>
        <w:rPr>
          <w:rFonts w:cs="Arial"/>
        </w:rPr>
      </w:pPr>
      <w:r>
        <w:rPr>
          <w:rFonts w:cs="Arial"/>
        </w:rPr>
        <w:br w:type="page"/>
      </w:r>
    </w:p>
    <w:p w:rsidR="00A004B5" w:rsidRPr="00AA2983" w:rsidRDefault="00A004B5" w:rsidP="007F3CCF">
      <w:pPr>
        <w:pStyle w:val="TableHeading"/>
        <w:rPr>
          <w:rFonts w:cs="Arial"/>
        </w:rPr>
      </w:pPr>
      <w:r w:rsidRPr="00AA2983">
        <w:rPr>
          <w:rFonts w:cs="Arial"/>
        </w:rPr>
        <w:lastRenderedPageBreak/>
        <w:t>Table 3.2.2: Budgeted departmental balan</w:t>
      </w:r>
      <w:r>
        <w:rPr>
          <w:rFonts w:cs="Arial"/>
        </w:rPr>
        <w:t xml:space="preserve">ce sheet </w:t>
      </w:r>
      <w:r w:rsidRPr="00AA2983">
        <w:rPr>
          <w:rFonts w:cs="Arial"/>
        </w:rPr>
        <w:t>(as at 30 June)</w:t>
      </w:r>
    </w:p>
    <w:p w:rsidR="00A004B5" w:rsidRDefault="005D1C3B" w:rsidP="00A06502">
      <w:pPr>
        <w:pStyle w:val="TableGraphic"/>
      </w:pPr>
      <w:r>
        <w:pict>
          <v:shape id="_x0000_i1908" type="#_x0000_t75" style="width:358.75pt;height:289.25pt">
            <v:imagedata r:id="rId26" o:title=""/>
          </v:shape>
        </w:pict>
      </w:r>
    </w:p>
    <w:p w:rsidR="00A004B5" w:rsidRDefault="00A004B5" w:rsidP="00A103BD">
      <w:pPr>
        <w:pStyle w:val="FootnoteText"/>
      </w:pPr>
      <w:r>
        <w:br w:type="page"/>
      </w:r>
    </w:p>
    <w:p w:rsidR="00A004B5" w:rsidRPr="00AA2983" w:rsidRDefault="00A004B5" w:rsidP="00A06502">
      <w:pPr>
        <w:pStyle w:val="TableHeading"/>
        <w:rPr>
          <w:rFonts w:cs="Arial"/>
        </w:rPr>
      </w:pPr>
      <w:r w:rsidRPr="00AA2983">
        <w:rPr>
          <w:rFonts w:cs="Arial"/>
        </w:rPr>
        <w:lastRenderedPageBreak/>
        <w:t>Table 3.2.2: Budgeted departmental balan</w:t>
      </w:r>
      <w:r>
        <w:rPr>
          <w:rFonts w:cs="Arial"/>
        </w:rPr>
        <w:t xml:space="preserve">ce sheet </w:t>
      </w:r>
      <w:r w:rsidRPr="00AA2983">
        <w:rPr>
          <w:rFonts w:cs="Arial"/>
        </w:rPr>
        <w:t>(as at 30 June)</w:t>
      </w:r>
      <w:r>
        <w:rPr>
          <w:rFonts w:cs="Arial"/>
        </w:rPr>
        <w:t xml:space="preserve"> (continued)</w:t>
      </w:r>
    </w:p>
    <w:p w:rsidR="00A004B5" w:rsidRDefault="005D1C3B" w:rsidP="00B364D0">
      <w:pPr>
        <w:pStyle w:val="TableGraphic"/>
      </w:pPr>
      <w:r>
        <w:pict>
          <v:shape id="_x0000_i1909" type="#_x0000_t75" style="width:358.75pt;height:126.45pt">
            <v:imagedata r:id="rId27" o:title=""/>
          </v:shape>
        </w:pict>
      </w:r>
    </w:p>
    <w:p w:rsidR="00B364D0" w:rsidRPr="00B364D0" w:rsidRDefault="00B364D0" w:rsidP="00B364D0">
      <w:pPr>
        <w:pStyle w:val="FootnoteText"/>
      </w:pPr>
    </w:p>
    <w:p w:rsidR="00A004B5" w:rsidRPr="00FB7AB2" w:rsidRDefault="00A004B5" w:rsidP="00A06502">
      <w:pPr>
        <w:pStyle w:val="FootnoteText"/>
        <w:rPr>
          <w:rFonts w:cs="Arial"/>
          <w:sz w:val="14"/>
          <w:szCs w:val="14"/>
        </w:rPr>
      </w:pPr>
      <w:r w:rsidRPr="00FB7AB2">
        <w:t>*</w:t>
      </w:r>
      <w:r w:rsidRPr="00FB7AB2">
        <w:tab/>
        <w:t>'Equity' is the residual interest in assets after deduction of liabilities.</w:t>
      </w:r>
    </w:p>
    <w:p w:rsidR="00A004B5" w:rsidRPr="00A103BD" w:rsidRDefault="00A004B5" w:rsidP="00A06502">
      <w:pPr>
        <w:pStyle w:val="FootnoteText"/>
      </w:pPr>
      <w:proofErr w:type="gramStart"/>
      <w:r w:rsidRPr="00A103BD">
        <w:t>Prepared on Australian Accounting Standards basis.</w:t>
      </w:r>
      <w:proofErr w:type="gramEnd"/>
    </w:p>
    <w:p w:rsidR="00A004B5" w:rsidRPr="00AA2983" w:rsidRDefault="00A004B5" w:rsidP="007F3CCF">
      <w:pPr>
        <w:pStyle w:val="TableHeading"/>
        <w:spacing w:before="0" w:after="0"/>
        <w:rPr>
          <w:rFonts w:cs="Arial"/>
        </w:rPr>
      </w:pPr>
      <w:r w:rsidRPr="00AA2983">
        <w:rPr>
          <w:rFonts w:cs="Arial"/>
        </w:rPr>
        <w:br w:type="page"/>
      </w:r>
      <w:r w:rsidRPr="00AA2983">
        <w:rPr>
          <w:rFonts w:cs="Arial"/>
        </w:rPr>
        <w:lastRenderedPageBreak/>
        <w:t>Table 3.2.3: Departmental statement of changes in equity — summary of movement (Budget year 20</w:t>
      </w:r>
      <w:r>
        <w:rPr>
          <w:rFonts w:cs="Arial"/>
        </w:rPr>
        <w:t>15–</w:t>
      </w:r>
      <w:r w:rsidRPr="00AA2983">
        <w:rPr>
          <w:rFonts w:cs="Arial"/>
        </w:rPr>
        <w:t>1</w:t>
      </w:r>
      <w:r>
        <w:rPr>
          <w:rFonts w:cs="Arial"/>
        </w:rPr>
        <w:t>6</w:t>
      </w:r>
      <w:r w:rsidRPr="00AA2983">
        <w:rPr>
          <w:rFonts w:cs="Arial"/>
        </w:rPr>
        <w:t>)</w:t>
      </w:r>
    </w:p>
    <w:p w:rsidR="00A004B5" w:rsidRPr="000825C3" w:rsidRDefault="005D1C3B" w:rsidP="00A06502">
      <w:pPr>
        <w:pStyle w:val="FootnoteText"/>
      </w:pPr>
      <w:r>
        <w:pict>
          <v:shape id="_x0000_i1910" type="#_x0000_t75" style="width:365.65pt;height:191.6pt">
            <v:imagedata r:id="rId28" o:title=""/>
          </v:shape>
        </w:pict>
      </w:r>
    </w:p>
    <w:p w:rsidR="00A004B5" w:rsidRPr="00EF6112" w:rsidRDefault="00A004B5" w:rsidP="00A06502">
      <w:pPr>
        <w:pStyle w:val="FootnoteText"/>
      </w:pPr>
      <w:proofErr w:type="gramStart"/>
      <w:r w:rsidRPr="00EF6112">
        <w:t>Prepared on Australian Accounting Standards basis.</w:t>
      </w:r>
      <w:proofErr w:type="gramEnd"/>
    </w:p>
    <w:p w:rsidR="00A004B5" w:rsidRPr="00AA2983" w:rsidRDefault="00A004B5" w:rsidP="007F3CCF">
      <w:pPr>
        <w:pStyle w:val="TableHeading"/>
        <w:rPr>
          <w:rFonts w:cs="Arial"/>
        </w:rPr>
      </w:pPr>
      <w:r w:rsidRPr="00AA2983">
        <w:rPr>
          <w:rFonts w:cs="Arial"/>
        </w:rPr>
        <w:br w:type="page"/>
      </w:r>
      <w:r w:rsidRPr="00AA2983">
        <w:rPr>
          <w:rFonts w:cs="Arial"/>
        </w:rPr>
        <w:lastRenderedPageBreak/>
        <w:t>Table 3.2.4: Budgeted departmental statement of cash flows</w:t>
      </w:r>
      <w:r>
        <w:rPr>
          <w:rFonts w:cs="Arial"/>
        </w:rPr>
        <w:t xml:space="preserve"> </w:t>
      </w:r>
      <w:r w:rsidRPr="00AA2983">
        <w:rPr>
          <w:rFonts w:cs="Arial"/>
        </w:rPr>
        <w:t>(for the period ended 30 June)</w:t>
      </w:r>
    </w:p>
    <w:p w:rsidR="00F64B73" w:rsidRDefault="005D1C3B" w:rsidP="00A06502">
      <w:pPr>
        <w:pStyle w:val="TableGraphic"/>
      </w:pPr>
      <w:r>
        <w:pict>
          <v:shape id="_x0000_i1911" type="#_x0000_t75" style="width:345.6pt;height:291.75pt">
            <v:imagedata r:id="rId29" o:title=""/>
          </v:shape>
        </w:pict>
      </w:r>
    </w:p>
    <w:p w:rsidR="00A004B5" w:rsidRDefault="00A004B5" w:rsidP="00A06502">
      <w:pPr>
        <w:pStyle w:val="TableGraphic"/>
      </w:pPr>
      <w:r>
        <w:br w:type="page"/>
      </w:r>
    </w:p>
    <w:p w:rsidR="00A004B5" w:rsidRPr="000825C3" w:rsidRDefault="00A004B5" w:rsidP="00A06502">
      <w:pPr>
        <w:pStyle w:val="TableHeading"/>
      </w:pPr>
      <w:r w:rsidRPr="00AA2983">
        <w:lastRenderedPageBreak/>
        <w:t>Table 3.2.4: Budgeted departmental statement of cash flows</w:t>
      </w:r>
      <w:r>
        <w:t xml:space="preserve"> </w:t>
      </w:r>
      <w:r w:rsidRPr="00AA2983">
        <w:t>(for the period ended 30 June)</w:t>
      </w:r>
      <w:r>
        <w:t xml:space="preserve"> (continued)</w:t>
      </w:r>
    </w:p>
    <w:p w:rsidR="00A004B5" w:rsidRPr="00137F45" w:rsidRDefault="005D1C3B" w:rsidP="0096278C">
      <w:pPr>
        <w:pStyle w:val="TableGraphic"/>
      </w:pPr>
      <w:r>
        <w:pict>
          <v:shape id="_x0000_i1912" type="#_x0000_t75" style="width:352.5pt;height:196.6pt">
            <v:imagedata r:id="rId30" o:title=""/>
          </v:shape>
        </w:pict>
      </w:r>
    </w:p>
    <w:p w:rsidR="00076C71" w:rsidRDefault="00076C71" w:rsidP="00A06502">
      <w:pPr>
        <w:pStyle w:val="FootnoteText"/>
      </w:pPr>
    </w:p>
    <w:p w:rsidR="00A004B5" w:rsidRPr="009A36E5" w:rsidRDefault="00A004B5" w:rsidP="00A06502">
      <w:pPr>
        <w:pStyle w:val="FootnoteText"/>
      </w:pPr>
      <w:proofErr w:type="gramStart"/>
      <w:r w:rsidRPr="009A36E5">
        <w:t>Prepared on Australian Accounting Standards basis.</w:t>
      </w:r>
      <w:proofErr w:type="gramEnd"/>
    </w:p>
    <w:p w:rsidR="00A004B5" w:rsidRDefault="00A004B5" w:rsidP="007F3CCF">
      <w:pPr>
        <w:pStyle w:val="TableHeading"/>
        <w:rPr>
          <w:rFonts w:cs="Arial"/>
        </w:rPr>
      </w:pPr>
      <w:r>
        <w:rPr>
          <w:rFonts w:cs="Arial"/>
        </w:rPr>
        <w:br w:type="page"/>
      </w:r>
    </w:p>
    <w:p w:rsidR="00A004B5" w:rsidRPr="00AA2983" w:rsidRDefault="00A004B5" w:rsidP="007F3CCF">
      <w:pPr>
        <w:pStyle w:val="TableHeading"/>
        <w:rPr>
          <w:rFonts w:cs="Arial"/>
        </w:rPr>
      </w:pPr>
      <w:r w:rsidRPr="00AA2983">
        <w:rPr>
          <w:rFonts w:cs="Arial"/>
        </w:rPr>
        <w:lastRenderedPageBreak/>
        <w:t>Table 3.2.5: Departmental capital budget statement</w:t>
      </w:r>
      <w:r w:rsidR="009F52B8">
        <w:rPr>
          <w:rFonts w:cs="Arial"/>
        </w:rPr>
        <w:t xml:space="preserve"> (for the period ended 30 June)</w:t>
      </w:r>
    </w:p>
    <w:p w:rsidR="00A004B5" w:rsidRDefault="005D1C3B" w:rsidP="00474747">
      <w:pPr>
        <w:pStyle w:val="TableGraphic"/>
      </w:pPr>
      <w:r>
        <w:pict>
          <v:shape id="_x0000_i1913" type="#_x0000_t75" style="width:359.35pt;height:232.9pt">
            <v:imagedata r:id="rId31" o:title=""/>
          </v:shape>
        </w:pict>
      </w:r>
    </w:p>
    <w:p w:rsidR="00474747" w:rsidRPr="00474747" w:rsidRDefault="00474747" w:rsidP="00474747">
      <w:pPr>
        <w:pStyle w:val="FootnoteText"/>
      </w:pPr>
    </w:p>
    <w:p w:rsidR="00A004B5" w:rsidRDefault="00A004B5" w:rsidP="00A06502">
      <w:pPr>
        <w:pStyle w:val="FootnoteText"/>
      </w:pPr>
      <w:r w:rsidRPr="00A06502">
        <w:rPr>
          <w:vertAlign w:val="superscript"/>
        </w:rPr>
        <w:t>1</w:t>
      </w:r>
      <w:r>
        <w:t xml:space="preserve"> Does not include annual finance lease costs. Include purchases from current and previous years' Departmental Capital Budgets (</w:t>
      </w:r>
      <w:proofErr w:type="spellStart"/>
      <w:r>
        <w:t>DCBs</w:t>
      </w:r>
      <w:proofErr w:type="spellEnd"/>
      <w:r>
        <w:t>).</w:t>
      </w:r>
    </w:p>
    <w:p w:rsidR="00AF47A1" w:rsidRDefault="00A004B5" w:rsidP="00AF47A1">
      <w:pPr>
        <w:pStyle w:val="FootnoteText"/>
      </w:pPr>
      <w:r w:rsidRPr="00A06502">
        <w:rPr>
          <w:vertAlign w:val="superscript"/>
        </w:rPr>
        <w:t>2</w:t>
      </w:r>
      <w:r>
        <w:t xml:space="preserve"> Includes the following sources of funding:</w:t>
      </w:r>
    </w:p>
    <w:p w:rsidR="00A004B5" w:rsidRDefault="00AF47A1" w:rsidP="00AF47A1">
      <w:pPr>
        <w:pStyle w:val="FootnoteText"/>
      </w:pPr>
      <w:r>
        <w:tab/>
      </w:r>
      <w:r w:rsidR="00A004B5">
        <w:t xml:space="preserve">- </w:t>
      </w:r>
      <w:proofErr w:type="gramStart"/>
      <w:r w:rsidR="00A004B5">
        <w:t>current</w:t>
      </w:r>
      <w:proofErr w:type="gramEnd"/>
      <w:r w:rsidR="00A004B5">
        <w:t xml:space="preserve"> Bill 1 and prior year Act 1/3/5 appropriations (</w:t>
      </w:r>
      <w:r w:rsidR="00A413AD">
        <w:t xml:space="preserve">excluding amounts from the </w:t>
      </w:r>
      <w:proofErr w:type="spellStart"/>
      <w:r w:rsidR="00A413AD">
        <w:t>DCB</w:t>
      </w:r>
      <w:proofErr w:type="spellEnd"/>
      <w:r w:rsidR="00A413AD">
        <w:t>)</w:t>
      </w:r>
    </w:p>
    <w:p w:rsidR="00A004B5" w:rsidRDefault="00A004B5" w:rsidP="00A06502">
      <w:pPr>
        <w:pStyle w:val="FootnoteText"/>
      </w:pPr>
      <w:r>
        <w:t xml:space="preserve"> </w:t>
      </w:r>
      <w:r w:rsidR="00063E48">
        <w:tab/>
      </w:r>
      <w:r w:rsidR="00A413AD">
        <w:t xml:space="preserve">- </w:t>
      </w:r>
      <w:proofErr w:type="gramStart"/>
      <w:r w:rsidR="00A413AD">
        <w:t>donations</w:t>
      </w:r>
      <w:proofErr w:type="gramEnd"/>
      <w:r w:rsidR="00A413AD">
        <w:t xml:space="preserve"> and contributions</w:t>
      </w:r>
    </w:p>
    <w:p w:rsidR="00A004B5" w:rsidRDefault="00063E48" w:rsidP="00A06502">
      <w:pPr>
        <w:pStyle w:val="FootnoteText"/>
      </w:pPr>
      <w:r>
        <w:t xml:space="preserve"> </w:t>
      </w:r>
      <w:r>
        <w:tab/>
      </w:r>
      <w:r w:rsidR="00A413AD">
        <w:t xml:space="preserve">- </w:t>
      </w:r>
      <w:proofErr w:type="gramStart"/>
      <w:r w:rsidR="00A413AD">
        <w:t>gifts</w:t>
      </w:r>
      <w:proofErr w:type="gramEnd"/>
    </w:p>
    <w:p w:rsidR="00A004B5" w:rsidRDefault="00063E48" w:rsidP="00A06502">
      <w:pPr>
        <w:pStyle w:val="FootnoteText"/>
      </w:pPr>
      <w:r>
        <w:t xml:space="preserve"> </w:t>
      </w:r>
      <w:r>
        <w:tab/>
      </w:r>
      <w:r w:rsidR="00A413AD">
        <w:t xml:space="preserve">- </w:t>
      </w:r>
      <w:proofErr w:type="gramStart"/>
      <w:r w:rsidR="00A413AD">
        <w:t>internally</w:t>
      </w:r>
      <w:proofErr w:type="gramEnd"/>
      <w:r w:rsidR="00A413AD">
        <w:t xml:space="preserve"> developed assets</w:t>
      </w:r>
    </w:p>
    <w:p w:rsidR="00A004B5" w:rsidRDefault="00063E48" w:rsidP="00A06502">
      <w:pPr>
        <w:pStyle w:val="FootnoteText"/>
      </w:pPr>
      <w:r>
        <w:t xml:space="preserve"> </w:t>
      </w:r>
      <w:r>
        <w:tab/>
      </w:r>
      <w:r w:rsidR="00A004B5">
        <w:t xml:space="preserve">- </w:t>
      </w:r>
      <w:proofErr w:type="gramStart"/>
      <w:r w:rsidR="00A004B5">
        <w:t>s</w:t>
      </w:r>
      <w:proofErr w:type="gramEnd"/>
      <w:r w:rsidR="00A004B5">
        <w:t xml:space="preserve"> </w:t>
      </w:r>
      <w:r w:rsidR="00A413AD">
        <w:t>74 Retained revenue receipts</w:t>
      </w:r>
    </w:p>
    <w:p w:rsidR="00A004B5" w:rsidRPr="00AA2983" w:rsidRDefault="00063E48" w:rsidP="00A06502">
      <w:pPr>
        <w:pStyle w:val="FootnoteText"/>
      </w:pPr>
      <w:r>
        <w:tab/>
      </w:r>
      <w:r w:rsidR="00A004B5">
        <w:t xml:space="preserve">- </w:t>
      </w:r>
      <w:proofErr w:type="gramStart"/>
      <w:r w:rsidR="00A004B5">
        <w:t>proceeds</w:t>
      </w:r>
      <w:proofErr w:type="gramEnd"/>
      <w:r w:rsidR="00A004B5">
        <w:t xml:space="preserve"> from the sale of assets.</w:t>
      </w:r>
    </w:p>
    <w:p w:rsidR="00A004B5" w:rsidRPr="00A103BD" w:rsidRDefault="00A004B5" w:rsidP="00A103BD">
      <w:pPr>
        <w:pStyle w:val="FootnoteText"/>
      </w:pPr>
      <w:proofErr w:type="gramStart"/>
      <w:r w:rsidRPr="00A103BD">
        <w:t>Prepared on Australian Accounting Standards basis.</w:t>
      </w:r>
      <w:proofErr w:type="gramEnd"/>
    </w:p>
    <w:p w:rsidR="00A004B5" w:rsidRPr="00AA2983" w:rsidRDefault="00A004B5" w:rsidP="007F3CCF">
      <w:pPr>
        <w:pStyle w:val="TableHeading"/>
        <w:rPr>
          <w:rFonts w:cs="Arial"/>
        </w:rPr>
      </w:pPr>
      <w:r w:rsidRPr="00AA2983">
        <w:rPr>
          <w:rFonts w:cs="Arial"/>
        </w:rPr>
        <w:br w:type="page"/>
      </w:r>
      <w:r w:rsidRPr="00AA2983">
        <w:rPr>
          <w:rFonts w:cs="Arial"/>
        </w:rPr>
        <w:lastRenderedPageBreak/>
        <w:t xml:space="preserve">Table 3.2.6: Statement of </w:t>
      </w:r>
      <w:r>
        <w:rPr>
          <w:rFonts w:cs="Arial"/>
        </w:rPr>
        <w:t>a</w:t>
      </w:r>
      <w:r w:rsidRPr="00AA2983">
        <w:rPr>
          <w:rFonts w:cs="Arial"/>
        </w:rPr>
        <w:t>sset</w:t>
      </w:r>
      <w:r>
        <w:rPr>
          <w:rFonts w:cs="Arial"/>
        </w:rPr>
        <w:t xml:space="preserve"> m</w:t>
      </w:r>
      <w:r w:rsidRPr="00AA2983">
        <w:rPr>
          <w:rFonts w:cs="Arial"/>
        </w:rPr>
        <w:t xml:space="preserve">ovements </w:t>
      </w:r>
      <w:r w:rsidR="009F52B8">
        <w:rPr>
          <w:rFonts w:cs="Arial"/>
        </w:rPr>
        <w:t>(Budget year 2015–16)</w:t>
      </w:r>
    </w:p>
    <w:p w:rsidR="00A004B5" w:rsidRDefault="005D1C3B" w:rsidP="007F3CCF">
      <w:pPr>
        <w:pStyle w:val="TableGraphic"/>
      </w:pPr>
      <w:r>
        <w:pict>
          <v:shape id="_x0000_i1914" type="#_x0000_t75" style="width:347.5pt;height:213.5pt">
            <v:imagedata r:id="rId32" o:title=""/>
          </v:shape>
        </w:pict>
      </w:r>
    </w:p>
    <w:p w:rsidR="00076C71" w:rsidRPr="00076C71" w:rsidRDefault="00076C71" w:rsidP="00076C71">
      <w:pPr>
        <w:pStyle w:val="FootnoteText"/>
      </w:pPr>
    </w:p>
    <w:p w:rsidR="00A004B5" w:rsidRPr="00076C71" w:rsidRDefault="00A004B5" w:rsidP="00076C71">
      <w:pPr>
        <w:pStyle w:val="FootnoteText"/>
      </w:pPr>
      <w:proofErr w:type="gramStart"/>
      <w:r w:rsidRPr="00076C71">
        <w:rPr>
          <w:vertAlign w:val="superscript"/>
        </w:rPr>
        <w:t>1</w:t>
      </w:r>
      <w:r w:rsidRPr="00076C71">
        <w:t xml:space="preserve"> "Appropriation equity"</w:t>
      </w:r>
      <w:proofErr w:type="gramEnd"/>
      <w:r w:rsidRPr="00076C71">
        <w:t xml:space="preserve"> refers to equity injections appropriations provided through Appropriation Bill (No. 2) 2015-16, including </w:t>
      </w:r>
      <w:proofErr w:type="spellStart"/>
      <w:r w:rsidRPr="00076C71">
        <w:t>CDABs</w:t>
      </w:r>
      <w:proofErr w:type="spellEnd"/>
      <w:r w:rsidRPr="00076C71">
        <w:t>.</w:t>
      </w:r>
    </w:p>
    <w:p w:rsidR="00A004B5" w:rsidRDefault="00A004B5" w:rsidP="00A103BD">
      <w:pPr>
        <w:pStyle w:val="FootnoteText"/>
      </w:pPr>
      <w:proofErr w:type="gramStart"/>
      <w:r w:rsidRPr="009A36E5">
        <w:t>Prepared on Australian Accounting Standards basis.</w:t>
      </w:r>
      <w:proofErr w:type="gramEnd"/>
    </w:p>
    <w:p w:rsidR="00A004B5" w:rsidRPr="00AA2983" w:rsidRDefault="00A004B5" w:rsidP="007F3CCF">
      <w:pPr>
        <w:pStyle w:val="TableHeading"/>
        <w:rPr>
          <w:rFonts w:cs="Arial"/>
        </w:rPr>
      </w:pPr>
      <w:r>
        <w:rPr>
          <w:rFonts w:cs="Arial"/>
          <w:sz w:val="14"/>
          <w:szCs w:val="14"/>
        </w:rPr>
        <w:br w:type="page"/>
      </w:r>
      <w:r w:rsidRPr="00AA2983">
        <w:rPr>
          <w:rFonts w:cs="Arial"/>
        </w:rPr>
        <w:lastRenderedPageBreak/>
        <w:t xml:space="preserve">Table 3.2.7: Schedule of budgeted income and expenses administered on behalf of </w:t>
      </w:r>
      <w:r>
        <w:rPr>
          <w:rFonts w:cs="Arial"/>
        </w:rPr>
        <w:t>Government</w:t>
      </w:r>
      <w:r w:rsidRPr="00AA2983">
        <w:rPr>
          <w:rFonts w:cs="Arial"/>
        </w:rPr>
        <w:t xml:space="preserve"> (for the period ended 30 June)</w:t>
      </w:r>
    </w:p>
    <w:p w:rsidR="00A004B5" w:rsidRDefault="005D1C3B" w:rsidP="00BE27C7">
      <w:pPr>
        <w:pStyle w:val="TableGraphic"/>
      </w:pPr>
      <w:r>
        <w:pict>
          <v:shape id="_x0000_i1915" type="#_x0000_t75" style="width:357.5pt;height:204.1pt">
            <v:imagedata r:id="rId33" o:title=""/>
          </v:shape>
        </w:pict>
      </w:r>
    </w:p>
    <w:p w:rsidR="00076C71" w:rsidRPr="00B364D0" w:rsidRDefault="00076C71" w:rsidP="00B364D0">
      <w:pPr>
        <w:pStyle w:val="FootnoteText"/>
      </w:pPr>
    </w:p>
    <w:p w:rsidR="00A004B5" w:rsidRPr="00A103BD" w:rsidRDefault="00A004B5" w:rsidP="0096278C">
      <w:pPr>
        <w:pStyle w:val="FootnoteText"/>
      </w:pPr>
      <w:proofErr w:type="gramStart"/>
      <w:r w:rsidRPr="00A103BD">
        <w:t>Prepared on Australian Accounting Standards basis.</w:t>
      </w:r>
      <w:proofErr w:type="gramEnd"/>
    </w:p>
    <w:p w:rsidR="00A004B5" w:rsidRDefault="00A004B5" w:rsidP="007F3CCF">
      <w:pPr>
        <w:pStyle w:val="TableHeading"/>
        <w:rPr>
          <w:rFonts w:cs="Arial"/>
        </w:rPr>
      </w:pPr>
      <w:r>
        <w:rPr>
          <w:rFonts w:cs="Arial"/>
        </w:rPr>
        <w:br w:type="page"/>
      </w:r>
    </w:p>
    <w:p w:rsidR="00A004B5" w:rsidRPr="00AA2983" w:rsidRDefault="00A004B5" w:rsidP="007F3CCF">
      <w:pPr>
        <w:pStyle w:val="TableHeading"/>
        <w:rPr>
          <w:rFonts w:cs="Arial"/>
        </w:rPr>
      </w:pPr>
      <w:r w:rsidRPr="00AA2983">
        <w:rPr>
          <w:rFonts w:cs="Arial"/>
        </w:rPr>
        <w:lastRenderedPageBreak/>
        <w:t xml:space="preserve">Table 3.2.8: Schedule of budgeted assets and liabilities administered on behalf of </w:t>
      </w:r>
      <w:r>
        <w:rPr>
          <w:rFonts w:cs="Arial"/>
        </w:rPr>
        <w:t>Government</w:t>
      </w:r>
      <w:r w:rsidRPr="00AA2983">
        <w:rPr>
          <w:rFonts w:cs="Arial"/>
        </w:rPr>
        <w:t xml:space="preserve"> (as at 30 June)</w:t>
      </w:r>
    </w:p>
    <w:p w:rsidR="00A004B5" w:rsidRDefault="005D1C3B" w:rsidP="00BE27C7">
      <w:pPr>
        <w:pStyle w:val="TableGraphic"/>
        <w:rPr>
          <w:noProof/>
        </w:rPr>
      </w:pPr>
      <w:r>
        <w:pict>
          <v:shape id="_x0000_i1916" type="#_x0000_t75" style="width:357.5pt;height:189.1pt">
            <v:imagedata r:id="rId34" o:title=""/>
          </v:shape>
        </w:pict>
      </w:r>
    </w:p>
    <w:p w:rsidR="00076C71" w:rsidRDefault="00076C71" w:rsidP="00076C71">
      <w:pPr>
        <w:pStyle w:val="FootnoteText"/>
      </w:pPr>
    </w:p>
    <w:p w:rsidR="00A004B5" w:rsidRPr="00AA2983" w:rsidRDefault="00A004B5" w:rsidP="00BE27C7">
      <w:pPr>
        <w:pStyle w:val="TableHeading"/>
      </w:pPr>
      <w:proofErr w:type="gramStart"/>
      <w:r w:rsidRPr="0096278C">
        <w:rPr>
          <w:rStyle w:val="FootnoteTextChar"/>
          <w:b w:val="0"/>
        </w:rPr>
        <w:t>Prepared on Australian Accounting Standards basis.</w:t>
      </w:r>
      <w:proofErr w:type="gramEnd"/>
      <w:r w:rsidRPr="00AA2983">
        <w:br w:type="page"/>
      </w:r>
      <w:r w:rsidRPr="00BE27C7">
        <w:lastRenderedPageBreak/>
        <w:t>Table 3.2.9: Schedule of budgeted administered cash flows (for the period ended 30 June)</w:t>
      </w:r>
    </w:p>
    <w:p w:rsidR="00A004B5" w:rsidRDefault="005D1C3B" w:rsidP="00474747">
      <w:pPr>
        <w:pStyle w:val="FootnoteText"/>
      </w:pPr>
      <w:r>
        <w:pict>
          <v:shape id="_x0000_i1917" type="#_x0000_t75" style="width:363.75pt;height:387.55pt">
            <v:imagedata r:id="rId35" o:title=""/>
          </v:shape>
        </w:pict>
      </w:r>
    </w:p>
    <w:p w:rsidR="00A004B5" w:rsidRPr="009A36E5" w:rsidRDefault="00A004B5" w:rsidP="00BE27C7">
      <w:pPr>
        <w:pStyle w:val="FootnoteText"/>
      </w:pPr>
      <w:proofErr w:type="gramStart"/>
      <w:r w:rsidRPr="009A36E5">
        <w:t>Prepared on Australian Accounting Standards basis.</w:t>
      </w:r>
      <w:proofErr w:type="gramEnd"/>
    </w:p>
    <w:p w:rsidR="00C258F6" w:rsidRDefault="00C258F6" w:rsidP="007F3CCF">
      <w:pPr>
        <w:pStyle w:val="TableHeading"/>
        <w:rPr>
          <w:rFonts w:cs="Arial"/>
          <w:highlight w:val="yellow"/>
        </w:rPr>
      </w:pPr>
      <w:r>
        <w:rPr>
          <w:rFonts w:cs="Arial"/>
          <w:highlight w:val="yellow"/>
        </w:rPr>
        <w:br w:type="page"/>
      </w:r>
    </w:p>
    <w:p w:rsidR="00A004B5" w:rsidRPr="009A36E5" w:rsidRDefault="00A004B5" w:rsidP="007F3CCF">
      <w:pPr>
        <w:pStyle w:val="TableHeading"/>
        <w:rPr>
          <w:rFonts w:cs="Arial"/>
        </w:rPr>
      </w:pPr>
      <w:r w:rsidRPr="00C258F6">
        <w:rPr>
          <w:rFonts w:cs="Arial"/>
        </w:rPr>
        <w:lastRenderedPageBreak/>
        <w:t xml:space="preserve">Table 3.2.10: </w:t>
      </w:r>
      <w:r w:rsidR="00C258F6" w:rsidRPr="00C258F6">
        <w:rPr>
          <w:rFonts w:cs="Arial"/>
        </w:rPr>
        <w:t>Administered capital budget statement (for the period ended 30 June)</w:t>
      </w:r>
    </w:p>
    <w:p w:rsidR="00C258F6" w:rsidRDefault="00A004B5" w:rsidP="00A103BD">
      <w:r w:rsidRPr="009A36E5">
        <w:t xml:space="preserve">The </w:t>
      </w:r>
      <w:r>
        <w:t>Fair Work Ombudsman</w:t>
      </w:r>
      <w:r w:rsidRPr="009A36E5">
        <w:t xml:space="preserve"> has no administered </w:t>
      </w:r>
      <w:r w:rsidR="00C258F6">
        <w:t>capital budget</w:t>
      </w:r>
      <w:r w:rsidRPr="009A36E5">
        <w:t>.</w:t>
      </w:r>
      <w:r w:rsidR="0096278C">
        <w:t xml:space="preserve"> For this reason Table 3.2.10 is not presented.</w:t>
      </w:r>
    </w:p>
    <w:p w:rsidR="00C258F6" w:rsidRDefault="00C258F6" w:rsidP="00C258F6">
      <w:pPr>
        <w:pStyle w:val="TableHeading"/>
      </w:pPr>
      <w:r>
        <w:t>Table 3.2.11 S</w:t>
      </w:r>
      <w:r w:rsidRPr="00C258F6">
        <w:t>tatement of administered asset movements (Budget year 2015</w:t>
      </w:r>
      <w:r>
        <w:t>–</w:t>
      </w:r>
      <w:r w:rsidRPr="00C258F6">
        <w:t xml:space="preserve">16) </w:t>
      </w:r>
    </w:p>
    <w:p w:rsidR="00C258F6" w:rsidRDefault="00C258F6" w:rsidP="00C258F6">
      <w:r w:rsidRPr="009A36E5">
        <w:t xml:space="preserve">The </w:t>
      </w:r>
      <w:r>
        <w:t>Fair Work Ombudsman</w:t>
      </w:r>
      <w:r w:rsidRPr="009A36E5">
        <w:t xml:space="preserve"> has no administered </w:t>
      </w:r>
      <w:r>
        <w:t xml:space="preserve">non-financial </w:t>
      </w:r>
      <w:r w:rsidRPr="009A36E5">
        <w:t>assets.</w:t>
      </w:r>
      <w:r>
        <w:t xml:space="preserve"> For this reason Table 3.2.1</w:t>
      </w:r>
      <w:r w:rsidR="00257133">
        <w:t>1</w:t>
      </w:r>
      <w:r>
        <w:t xml:space="preserve"> is not presented.</w:t>
      </w:r>
    </w:p>
    <w:p w:rsidR="00A004B5" w:rsidRPr="00AA2983" w:rsidRDefault="00A004B5" w:rsidP="00C258F6">
      <w:pPr>
        <w:pStyle w:val="TableHeading"/>
      </w:pPr>
      <w:r w:rsidRPr="00AA2983">
        <w:br w:type="page"/>
      </w:r>
    </w:p>
    <w:p w:rsidR="00A004B5" w:rsidRPr="00AA2983" w:rsidRDefault="00A004B5" w:rsidP="007F3CCF">
      <w:pPr>
        <w:pStyle w:val="Heading4"/>
        <w:rPr>
          <w:rFonts w:cs="Arial"/>
        </w:rPr>
      </w:pPr>
      <w:r w:rsidRPr="00AA2983">
        <w:rPr>
          <w:rFonts w:cs="Arial"/>
        </w:rPr>
        <w:lastRenderedPageBreak/>
        <w:t>3.2.4</w:t>
      </w:r>
      <w:r w:rsidRPr="00AA2983">
        <w:rPr>
          <w:rFonts w:cs="Arial"/>
        </w:rPr>
        <w:tab/>
        <w:t>Notes to the financial statements</w:t>
      </w:r>
    </w:p>
    <w:p w:rsidR="00A004B5" w:rsidRPr="00AA2983" w:rsidRDefault="00A004B5" w:rsidP="00A103BD">
      <w:pPr>
        <w:pStyle w:val="Heading5"/>
      </w:pPr>
      <w:r w:rsidRPr="00AA2983">
        <w:t>Accounting Policy</w:t>
      </w:r>
    </w:p>
    <w:p w:rsidR="00A004B5" w:rsidRPr="00AA2983" w:rsidRDefault="00A004B5" w:rsidP="00A103BD">
      <w:r w:rsidRPr="00AA2983">
        <w:t xml:space="preserve">The budgeted financial statements have been prepared in accordance with the requirements of the Finance Minister’s Orders issued </w:t>
      </w:r>
      <w:r>
        <w:t>by the Minister for Finance</w:t>
      </w:r>
      <w:r w:rsidRPr="00AA2983">
        <w:t>.</w:t>
      </w:r>
    </w:p>
    <w:p w:rsidR="00A004B5" w:rsidRPr="00AA2983" w:rsidRDefault="00A004B5" w:rsidP="00A103BD">
      <w:r w:rsidRPr="00AA2983">
        <w:t>The statements have been prepared:</w:t>
      </w:r>
    </w:p>
    <w:p w:rsidR="00A004B5" w:rsidRPr="00AA2983" w:rsidRDefault="00A004B5" w:rsidP="00B02162">
      <w:pPr>
        <w:pStyle w:val="Bullets"/>
        <w:spacing w:before="120" w:after="120"/>
      </w:pPr>
      <w:r>
        <w:t>on an accrual accounting basis</w:t>
      </w:r>
    </w:p>
    <w:p w:rsidR="00A004B5" w:rsidRPr="00AA2983" w:rsidRDefault="00A004B5" w:rsidP="00B02162">
      <w:pPr>
        <w:pStyle w:val="Bullets"/>
        <w:spacing w:before="120" w:after="120"/>
      </w:pPr>
      <w:r w:rsidRPr="00AA2983">
        <w:t>in compliance with Australian Accounting Standards</w:t>
      </w:r>
      <w:r>
        <w:t xml:space="preserve"> and Australian Equivalents to International Financial Reporting Standards</w:t>
      </w:r>
      <w:r w:rsidRPr="00AA2983">
        <w:t xml:space="preserve"> (</w:t>
      </w:r>
      <w:proofErr w:type="spellStart"/>
      <w:r w:rsidRPr="00AA2983">
        <w:t>AEIFRS</w:t>
      </w:r>
      <w:proofErr w:type="spellEnd"/>
      <w:r w:rsidRPr="00AA2983">
        <w:t>) and other authoritative pronouncements of the Australian Accounting Standards Board and the Consensus Views of the Urgent Issues Group.</w:t>
      </w:r>
    </w:p>
    <w:p w:rsidR="00A004B5" w:rsidRPr="00AA2983" w:rsidRDefault="00A004B5" w:rsidP="00A103BD">
      <w:pPr>
        <w:pStyle w:val="Heading5"/>
      </w:pPr>
      <w:r w:rsidRPr="00AA2983">
        <w:t xml:space="preserve">Agency Revenue from </w:t>
      </w:r>
      <w:r>
        <w:t>Government</w:t>
      </w:r>
    </w:p>
    <w:p w:rsidR="00A004B5" w:rsidRPr="00AA2983" w:rsidRDefault="00A004B5" w:rsidP="00A103BD">
      <w:r>
        <w:t>Revenue from Government</w:t>
      </w:r>
      <w:r w:rsidRPr="00AA2983">
        <w:t xml:space="preserve"> represents the purchase of outputs from the Fair Work Ombudsman by the </w:t>
      </w:r>
      <w:r>
        <w:t>Government</w:t>
      </w:r>
      <w:r w:rsidRPr="00AA2983">
        <w:t xml:space="preserve">. </w:t>
      </w:r>
    </w:p>
    <w:p w:rsidR="00A004B5" w:rsidRPr="00AA2983" w:rsidRDefault="00A004B5" w:rsidP="00A103BD">
      <w:pPr>
        <w:pStyle w:val="Heading5"/>
      </w:pPr>
      <w:r w:rsidRPr="00AA2983">
        <w:t xml:space="preserve">Agency </w:t>
      </w:r>
      <w:r>
        <w:t>Revenue – Own Source Income</w:t>
      </w:r>
    </w:p>
    <w:p w:rsidR="00A004B5" w:rsidRPr="00AA2983" w:rsidRDefault="00A004B5" w:rsidP="00A103BD">
      <w:r w:rsidRPr="00AA2983">
        <w:t>Revenue from the sale of goods and services is recognised upon the delivery of the goods or services to customers.</w:t>
      </w:r>
    </w:p>
    <w:p w:rsidR="00A004B5" w:rsidRPr="00AA2983" w:rsidRDefault="00A004B5" w:rsidP="00A103BD">
      <w:pPr>
        <w:pStyle w:val="Heading5"/>
      </w:pPr>
      <w:r w:rsidRPr="00AA2983">
        <w:t>Agency Expenses – Employee</w:t>
      </w:r>
      <w:r>
        <w:t xml:space="preserve"> Benefits</w:t>
      </w:r>
    </w:p>
    <w:p w:rsidR="00A004B5" w:rsidRPr="00AA2983" w:rsidRDefault="00A004B5" w:rsidP="00A103BD">
      <w:r w:rsidRPr="00AA2983">
        <w:t>This item represents payments made and net increases or decreases in entitlements owed to employees for their services provided in the financial year.</w:t>
      </w:r>
    </w:p>
    <w:p w:rsidR="00A004B5" w:rsidRPr="00AA2983" w:rsidRDefault="00A004B5" w:rsidP="00A103BD">
      <w:pPr>
        <w:pStyle w:val="Heading5"/>
      </w:pPr>
      <w:r w:rsidRPr="00AA2983">
        <w:t xml:space="preserve">Agency Expenses – Suppliers </w:t>
      </w:r>
    </w:p>
    <w:p w:rsidR="00A004B5" w:rsidRPr="00AA2983" w:rsidRDefault="00A004B5" w:rsidP="00A103BD">
      <w:r w:rsidRPr="00AA2983">
        <w:t>This item represents payments to suppliers for goods and services.</w:t>
      </w:r>
    </w:p>
    <w:p w:rsidR="00A004B5" w:rsidRPr="00AA2983" w:rsidRDefault="00A004B5" w:rsidP="00A103BD">
      <w:pPr>
        <w:pStyle w:val="Heading5"/>
      </w:pPr>
      <w:r w:rsidRPr="00AA2983">
        <w:t>Agency Expenses – Depreciation and Amortisation</w:t>
      </w:r>
    </w:p>
    <w:p w:rsidR="00A004B5" w:rsidRPr="00AA2983" w:rsidRDefault="00A004B5" w:rsidP="00A103BD">
      <w:r w:rsidRPr="00AA2983">
        <w:t>Property, plant, equipment and intangible assets are written-off to their estimated residual values over their estimated useful lives to the Fair Work Ombudsman using, in all cases, the straight-line method of depreciation.</w:t>
      </w:r>
    </w:p>
    <w:p w:rsidR="00A004B5" w:rsidRPr="00AA2983" w:rsidRDefault="00A004B5" w:rsidP="00A103BD">
      <w:r w:rsidRPr="00AA2983">
        <w:t xml:space="preserve">Computing equipment assets are depreciated over their useful lives which are between three and seven years. Office machines are depreciated over five years (20 per cent). Leasehold improvements are amortised on a straight-line basis over the lesser of the estimated useful life of the improvements or the unexpired period of the lease.  </w:t>
      </w:r>
    </w:p>
    <w:p w:rsidR="00A004B5" w:rsidRPr="00AA2983" w:rsidRDefault="00A004B5" w:rsidP="00A103BD">
      <w:r w:rsidRPr="00AA2983">
        <w:lastRenderedPageBreak/>
        <w:t>Forward estimates of depreciation expense are made using forecasts of net capital acquisition requirements over the forward years.</w:t>
      </w:r>
    </w:p>
    <w:p w:rsidR="00A004B5" w:rsidRPr="00AA2983" w:rsidRDefault="00A004B5" w:rsidP="00A103BD">
      <w:pPr>
        <w:pStyle w:val="Heading5"/>
      </w:pPr>
      <w:r w:rsidRPr="00AA2983">
        <w:t>Agency Assets – Financial Assets – Cash</w:t>
      </w:r>
    </w:p>
    <w:p w:rsidR="00A004B5" w:rsidRPr="00AA2983" w:rsidRDefault="00A004B5" w:rsidP="00A103BD">
      <w:r w:rsidRPr="00AA2983">
        <w:t>Cash represents notes and coins held and deposits at call with a bank or financial institution.</w:t>
      </w:r>
    </w:p>
    <w:p w:rsidR="00A004B5" w:rsidRPr="00AA2983" w:rsidRDefault="00A004B5" w:rsidP="00A103BD">
      <w:pPr>
        <w:pStyle w:val="Heading5"/>
      </w:pPr>
      <w:r w:rsidRPr="00AA2983">
        <w:t xml:space="preserve">Agency Assets – Financial Assets – Receivables </w:t>
      </w:r>
    </w:p>
    <w:p w:rsidR="00A004B5" w:rsidRPr="00AA2983" w:rsidRDefault="00A004B5" w:rsidP="00A103BD">
      <w:r w:rsidRPr="00AA2983">
        <w:t>Receivables represent amounts owing to the Fair Work Ombudsman for goods and services it has provided to external parties and cash reserves held in the Official Public Account.</w:t>
      </w:r>
    </w:p>
    <w:p w:rsidR="00A004B5" w:rsidRPr="00AA2983" w:rsidRDefault="00A004B5" w:rsidP="00A103BD">
      <w:pPr>
        <w:pStyle w:val="Heading5"/>
      </w:pPr>
      <w:r w:rsidRPr="00AA2983">
        <w:t>Agency Assets – Non-Financial Assets</w:t>
      </w:r>
    </w:p>
    <w:p w:rsidR="00A004B5" w:rsidRPr="00AA2983" w:rsidRDefault="00A004B5" w:rsidP="00A103BD">
      <w:r w:rsidRPr="00AA2983">
        <w:t>These items represent future economic benefits that the Fair Work Ombudsman will consume in producing outputs. Apart from re-valued assets, the reported value represents the purchase price paid less depreciation incurred to date in using that asset.</w:t>
      </w:r>
    </w:p>
    <w:p w:rsidR="00A004B5" w:rsidRPr="00AA2983" w:rsidRDefault="00A004B5" w:rsidP="00A103BD">
      <w:r w:rsidRPr="00AA2983">
        <w:t>Infrastructure, plant and equipment is initially brought to account at cost, except for purchases costing less than $2,000, which are expensed in the year of acquisition (other than where they form part of a group of similar items which are significant in total).</w:t>
      </w:r>
    </w:p>
    <w:p w:rsidR="00A004B5" w:rsidRPr="00AA2983" w:rsidRDefault="00A004B5" w:rsidP="00A103BD">
      <w:r w:rsidRPr="00AA2983">
        <w:t>Internally developed or purchased computer software, disclosed in the Departmental Balance Sheet as intangibles, is expensed in the year of acquisition except for purchased software costing more than $2,000 or for internally developed software costing more than $200,000 which are capitalised at cost.</w:t>
      </w:r>
    </w:p>
    <w:p w:rsidR="00A004B5" w:rsidRPr="00AA2983" w:rsidRDefault="00A004B5" w:rsidP="00A103BD">
      <w:r w:rsidRPr="00AA2983">
        <w:t>Land and buildings (leasehold improvements) are initially brought to account at cost, except for purchases costing less than $2,000, which are expensed in the year of acquisition.  The Fair Work Ombudsman annually reassesses and adjusts the values of land and buildings (leasehold improvements), infrastructure, plant and equipment.</w:t>
      </w:r>
    </w:p>
    <w:p w:rsidR="00A004B5" w:rsidRPr="00AA2983" w:rsidRDefault="00A004B5" w:rsidP="00A103BD">
      <w:pPr>
        <w:pStyle w:val="Heading5"/>
      </w:pPr>
      <w:r w:rsidRPr="00AA2983">
        <w:t xml:space="preserve">Agency Liabilities – Provisions – Employees </w:t>
      </w:r>
    </w:p>
    <w:p w:rsidR="00A004B5" w:rsidRPr="00AA2983" w:rsidRDefault="00A004B5" w:rsidP="00A103BD">
      <w:r w:rsidRPr="00AA2983">
        <w:t>Provision has been made for the Fair Work Ombudsman’s liability for employee entitlements arising from services rendered by employees to balance date. This liability encompasses unpaid wages and salaries, annual and long service leave. No provision is made for sick leave.</w:t>
      </w:r>
    </w:p>
    <w:p w:rsidR="00A004B5" w:rsidRPr="00AA2983" w:rsidRDefault="00A004B5" w:rsidP="00A103BD">
      <w:r w:rsidRPr="00AA2983">
        <w:t>The liability for leave expected to be settled within 12 months has been measured at the nominal amount.</w:t>
      </w:r>
    </w:p>
    <w:p w:rsidR="00A004B5" w:rsidRPr="00AA2983" w:rsidRDefault="00A004B5" w:rsidP="00A103BD">
      <w:r w:rsidRPr="00AA2983">
        <w:t xml:space="preserve">Other employee entitlements payable later than one year have been estimated at the present value of the expected future cash outflows in relation to those </w:t>
      </w:r>
      <w:r w:rsidRPr="00AA2983">
        <w:lastRenderedPageBreak/>
        <w:t>entitlements. Attrition rates and pay rises through promotion and wage/salary agreements have been taken into account in calculating the provision for employee entitlements.</w:t>
      </w:r>
    </w:p>
    <w:p w:rsidR="00A004B5" w:rsidRPr="00AA2983" w:rsidRDefault="00A004B5" w:rsidP="00A103BD">
      <w:pPr>
        <w:pStyle w:val="Heading5"/>
      </w:pPr>
      <w:r w:rsidRPr="00AA2983">
        <w:t>Agency Liabilities – Payables – Suppliers</w:t>
      </w:r>
    </w:p>
    <w:p w:rsidR="00A004B5" w:rsidRPr="00AA2983" w:rsidRDefault="00A004B5" w:rsidP="00A103BD">
      <w:r w:rsidRPr="00AA2983">
        <w:t>This item mainly comprises trade creditors and operating lease rentals.</w:t>
      </w:r>
    </w:p>
    <w:p w:rsidR="00A004B5" w:rsidRPr="00AA2983" w:rsidRDefault="00A004B5" w:rsidP="00A103BD">
      <w:pPr>
        <w:pStyle w:val="Heading5"/>
      </w:pPr>
      <w:r w:rsidRPr="00AA2983">
        <w:t>Administered Non-Taxation Revenue – Other Sources</w:t>
      </w:r>
    </w:p>
    <w:p w:rsidR="00A004B5" w:rsidRPr="00AA2983" w:rsidRDefault="00A004B5" w:rsidP="00A103BD">
      <w:r w:rsidRPr="00AA2983">
        <w:t xml:space="preserve">This revenue </w:t>
      </w:r>
      <w:r>
        <w:t xml:space="preserve">comprises </w:t>
      </w:r>
      <w:r w:rsidRPr="00AA2983">
        <w:t xml:space="preserve">court awarded penalties relating to breaches of the </w:t>
      </w:r>
      <w:r>
        <w:rPr>
          <w:i/>
        </w:rPr>
        <w:t xml:space="preserve">Fair </w:t>
      </w:r>
      <w:r w:rsidRPr="00AA2983">
        <w:rPr>
          <w:i/>
        </w:rPr>
        <w:t xml:space="preserve">Work Act </w:t>
      </w:r>
      <w:r>
        <w:rPr>
          <w:i/>
        </w:rPr>
        <w:t>200</w:t>
      </w:r>
      <w:r w:rsidRPr="00AA2983">
        <w:rPr>
          <w:i/>
        </w:rPr>
        <w:t>9</w:t>
      </w:r>
      <w:r>
        <w:t xml:space="preserve"> and other relevant legislation</w:t>
      </w:r>
      <w:r w:rsidRPr="00AA2983">
        <w:t xml:space="preserve">. The penalties are administered by the Fair Work Ombudsman on behalf of </w:t>
      </w:r>
      <w:r w:rsidR="00DF70FB">
        <w:t>g</w:t>
      </w:r>
      <w:r>
        <w:t>overnment</w:t>
      </w:r>
      <w:r w:rsidRPr="00AA2983">
        <w:t>.</w:t>
      </w:r>
    </w:p>
    <w:p w:rsidR="00A004B5" w:rsidRPr="00AA2983" w:rsidRDefault="00A004B5" w:rsidP="00A103BD">
      <w:pPr>
        <w:pStyle w:val="Heading5"/>
      </w:pPr>
      <w:r w:rsidRPr="00AA2983">
        <w:t xml:space="preserve">Administered Assets – Financial Assets – Receivables </w:t>
      </w:r>
    </w:p>
    <w:p w:rsidR="00A004B5" w:rsidRPr="00AA2983" w:rsidRDefault="00A004B5" w:rsidP="00A103BD">
      <w:r w:rsidRPr="00AA2983">
        <w:t xml:space="preserve">These assets comprise receivables relating to court awarded penalties for breaches of the </w:t>
      </w:r>
      <w:r>
        <w:rPr>
          <w:i/>
        </w:rPr>
        <w:t xml:space="preserve">Fair </w:t>
      </w:r>
      <w:r w:rsidRPr="00AA2983">
        <w:rPr>
          <w:i/>
        </w:rPr>
        <w:t xml:space="preserve">Work Act </w:t>
      </w:r>
      <w:r>
        <w:rPr>
          <w:i/>
        </w:rPr>
        <w:t>200</w:t>
      </w:r>
      <w:r w:rsidRPr="00AA2983">
        <w:rPr>
          <w:i/>
        </w:rPr>
        <w:t>9</w:t>
      </w:r>
      <w:r>
        <w:t xml:space="preserve"> and other relevant legislation</w:t>
      </w:r>
      <w:r w:rsidRPr="00AA2983">
        <w:t xml:space="preserve">. The penalties are administered by the Fair Work Ombudsman on behalf of </w:t>
      </w:r>
      <w:r w:rsidR="00DF70FB">
        <w:t>g</w:t>
      </w:r>
      <w:r>
        <w:t>overnment</w:t>
      </w:r>
      <w:r w:rsidRPr="00AA2983">
        <w:t xml:space="preserve">. </w:t>
      </w:r>
    </w:p>
    <w:p w:rsidR="00A004B5" w:rsidRPr="00AA2983" w:rsidRDefault="00A004B5" w:rsidP="00A103BD">
      <w:pPr>
        <w:pStyle w:val="Heading5"/>
      </w:pPr>
      <w:r w:rsidRPr="00AA2983">
        <w:t>Administered Cash Flows</w:t>
      </w:r>
    </w:p>
    <w:p w:rsidR="00A004B5" w:rsidRDefault="00A004B5">
      <w:r w:rsidRPr="00AA2983">
        <w:t xml:space="preserve">These cash flows relate to court awarded penalties for breaches of the </w:t>
      </w:r>
      <w:r>
        <w:rPr>
          <w:i/>
        </w:rPr>
        <w:t xml:space="preserve">Fair </w:t>
      </w:r>
      <w:r w:rsidRPr="00AA2983">
        <w:rPr>
          <w:i/>
        </w:rPr>
        <w:t xml:space="preserve">Work Act </w:t>
      </w:r>
      <w:r>
        <w:rPr>
          <w:i/>
        </w:rPr>
        <w:t>200</w:t>
      </w:r>
      <w:r w:rsidRPr="00AA2983">
        <w:rPr>
          <w:i/>
        </w:rPr>
        <w:t>9</w:t>
      </w:r>
      <w:r>
        <w:t xml:space="preserve"> and other relevant legislation</w:t>
      </w:r>
      <w:r w:rsidRPr="00AA2983">
        <w:t xml:space="preserve">. The penalties are administered by the Fair Work Ombudsman on behalf of </w:t>
      </w:r>
      <w:r w:rsidR="00DF70FB">
        <w:t>g</w:t>
      </w:r>
      <w:r>
        <w:t>overnment</w:t>
      </w:r>
      <w:r w:rsidRPr="00AA2983">
        <w:t xml:space="preserve"> and are paid directly into the Consolidated Revenue Fund.</w:t>
      </w:r>
    </w:p>
    <w:p w:rsidR="0061082C" w:rsidRPr="00805EDE" w:rsidRDefault="0061082C" w:rsidP="00AB1A63">
      <w:pPr>
        <w:pStyle w:val="Department"/>
        <w:spacing w:before="1320"/>
      </w:pPr>
      <w:bookmarkStart w:id="1" w:name="_GoBack"/>
      <w:bookmarkEnd w:id="0"/>
      <w:bookmarkEnd w:id="1"/>
    </w:p>
    <w:sectPr w:rsidR="0061082C" w:rsidRPr="00805EDE" w:rsidSect="00AB1A63">
      <w:headerReference w:type="even" r:id="rId36"/>
      <w:headerReference w:type="default" r:id="rId37"/>
      <w:headerReference w:type="first" r:id="rId38"/>
      <w:type w:val="oddPage"/>
      <w:pgSz w:w="9979" w:h="14175" w:code="259"/>
      <w:pgMar w:top="1418" w:right="1418" w:bottom="1418" w:left="1418" w:header="680"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EE4" w:rsidRDefault="00470EE4" w:rsidP="00C07DEC">
      <w:r>
        <w:separator/>
      </w:r>
    </w:p>
    <w:p w:rsidR="00470EE4" w:rsidRDefault="00470EE4"/>
  </w:endnote>
  <w:endnote w:type="continuationSeparator" w:id="0">
    <w:p w:rsidR="00470EE4" w:rsidRDefault="00470EE4" w:rsidP="00C07DEC">
      <w:r>
        <w:continuationSeparator/>
      </w:r>
    </w:p>
    <w:p w:rsidR="00470EE4" w:rsidRDefault="00470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Light">
    <w:panose1 w:val="00000000000000000000"/>
    <w:charset w:val="00"/>
    <w:family w:val="swiss"/>
    <w:notTrueType/>
    <w:pitch w:val="default"/>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9999999">
    <w:altName w:val="Times New Roman"/>
    <w:panose1 w:val="00000000000000000000"/>
    <w:charset w:val="00"/>
    <w:family w:val="roman"/>
    <w:notTrueType/>
    <w:pitch w:val="default"/>
  </w:font>
  <w:font w:name="Arial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298800"/>
      <w:docPartObj>
        <w:docPartGallery w:val="Page Numbers (Bottom of Page)"/>
        <w:docPartUnique/>
      </w:docPartObj>
    </w:sdtPr>
    <w:sdtEndPr>
      <w:rPr>
        <w:noProof/>
      </w:rPr>
    </w:sdtEndPr>
    <w:sdtContent>
      <w:p w:rsidR="00AB1A63" w:rsidRDefault="00AB1A63">
        <w:pPr>
          <w:pStyle w:val="Footer"/>
        </w:pPr>
        <w:r>
          <w:fldChar w:fldCharType="begin"/>
        </w:r>
        <w:r>
          <w:instrText xml:space="preserve"> PAGE   \* MERGEFORMAT </w:instrText>
        </w:r>
        <w:r>
          <w:fldChar w:fldCharType="separate"/>
        </w:r>
        <w:r>
          <w:rPr>
            <w:noProof/>
          </w:rPr>
          <w:t>178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592404"/>
      <w:docPartObj>
        <w:docPartGallery w:val="Page Numbers (Bottom of Page)"/>
        <w:docPartUnique/>
      </w:docPartObj>
    </w:sdtPr>
    <w:sdtEndPr>
      <w:rPr>
        <w:noProof/>
      </w:rPr>
    </w:sdtEndPr>
    <w:sdtContent>
      <w:p w:rsidR="00AB1A63" w:rsidRDefault="00AB1A63">
        <w:pPr>
          <w:pStyle w:val="Footer"/>
        </w:pPr>
        <w:r>
          <w:fldChar w:fldCharType="begin"/>
        </w:r>
        <w:r>
          <w:instrText xml:space="preserve"> PAGE   \* MERGEFORMAT </w:instrText>
        </w:r>
        <w:r>
          <w:fldChar w:fldCharType="separate"/>
        </w:r>
        <w:r>
          <w:rPr>
            <w:noProof/>
          </w:rPr>
          <w:t>179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445051"/>
      <w:docPartObj>
        <w:docPartGallery w:val="Page Numbers (Bottom of Page)"/>
        <w:docPartUnique/>
      </w:docPartObj>
    </w:sdtPr>
    <w:sdtEndPr>
      <w:rPr>
        <w:noProof/>
      </w:rPr>
    </w:sdtEndPr>
    <w:sdtContent>
      <w:p w:rsidR="00470EE4" w:rsidRDefault="00470EE4">
        <w:pPr>
          <w:pStyle w:val="Footer"/>
        </w:pPr>
        <w:r>
          <w:fldChar w:fldCharType="begin"/>
        </w:r>
        <w:r>
          <w:instrText xml:space="preserve"> PAGE   \* MERGEFORMAT </w:instrText>
        </w:r>
        <w:r>
          <w:fldChar w:fldCharType="separate"/>
        </w:r>
        <w:r w:rsidR="00AB1A63">
          <w:rPr>
            <w:noProof/>
          </w:rPr>
          <w:t>153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EE4" w:rsidRDefault="00470EE4" w:rsidP="00C07DEC">
      <w:r>
        <w:separator/>
      </w:r>
    </w:p>
    <w:p w:rsidR="00470EE4" w:rsidRDefault="00470EE4"/>
  </w:footnote>
  <w:footnote w:type="continuationSeparator" w:id="0">
    <w:p w:rsidR="00470EE4" w:rsidRDefault="00470EE4" w:rsidP="00C07DEC">
      <w:r>
        <w:continuationSeparator/>
      </w:r>
    </w:p>
    <w:p w:rsidR="00470EE4" w:rsidRDefault="00470E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E4" w:rsidRDefault="00470EE4" w:rsidP="002D71FB">
    <w:pPr>
      <w:pStyle w:val="HeaderOd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63" w:rsidRPr="00F10D71" w:rsidRDefault="00AB1A63" w:rsidP="00AB1A63">
    <w:pPr>
      <w:pStyle w:val="HeaderEven"/>
    </w:pPr>
    <w:proofErr w:type="spellStart"/>
    <w:r>
      <w:t>FWO</w:t>
    </w:r>
    <w:proofErr w:type="spellEnd"/>
    <w:r>
      <w:t xml:space="preserve"> Budget Statements 2015–16</w:t>
    </w:r>
  </w:p>
  <w:p w:rsidR="00470EE4" w:rsidRPr="00AB1A63" w:rsidRDefault="00470EE4" w:rsidP="00AB1A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A63" w:rsidRPr="00F10D71" w:rsidRDefault="00AB1A63" w:rsidP="00AB1A63">
    <w:pPr>
      <w:pStyle w:val="HeaderOdd"/>
    </w:pPr>
    <w:proofErr w:type="spellStart"/>
    <w:r>
      <w:t>FWO</w:t>
    </w:r>
    <w:proofErr w:type="spellEnd"/>
    <w:r>
      <w:t xml:space="preserve"> Budget Statements 2015–16</w:t>
    </w:r>
  </w:p>
  <w:p w:rsidR="00470EE4" w:rsidRPr="00AB1A63" w:rsidRDefault="00470EE4" w:rsidP="00AB1A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E4" w:rsidRPr="00F10D71" w:rsidRDefault="00AB1A63" w:rsidP="00F10D71">
    <w:pPr>
      <w:pStyle w:val="HeaderOdd"/>
    </w:pPr>
    <w:proofErr w:type="spellStart"/>
    <w:r>
      <w:t>FWO</w:t>
    </w:r>
    <w:proofErr w:type="spellEnd"/>
    <w:r>
      <w:t xml:space="preserve"> Budget Statements 2015–16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768F83C"/>
    <w:lvl w:ilvl="0">
      <w:start w:val="1"/>
      <w:numFmt w:val="decimal"/>
      <w:pStyle w:val="ListNumber"/>
      <w:lvlText w:val="%1."/>
      <w:lvlJc w:val="left"/>
      <w:pPr>
        <w:tabs>
          <w:tab w:val="num" w:pos="360"/>
        </w:tabs>
        <w:ind w:left="360" w:hanging="360"/>
      </w:pPr>
    </w:lvl>
  </w:abstractNum>
  <w:abstractNum w:abstractNumId="1">
    <w:nsid w:val="00F73062"/>
    <w:multiLevelType w:val="hybridMultilevel"/>
    <w:tmpl w:val="62024918"/>
    <w:lvl w:ilvl="0" w:tplc="F058F4A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1775260"/>
    <w:multiLevelType w:val="multilevel"/>
    <w:tmpl w:val="7B0E2326"/>
    <w:lvl w:ilvl="0">
      <w:start w:val="1"/>
      <w:numFmt w:val="bullet"/>
      <w:lvlText w:val=""/>
      <w:lvlJc w:val="left"/>
      <w:pPr>
        <w:ind w:left="360" w:hanging="360"/>
      </w:pPr>
      <w:rPr>
        <w:rFonts w:ascii="Wingdings" w:hAnsi="Wingdings" w:hint="default"/>
        <w:color w:val="165788"/>
        <w:sz w:val="20"/>
        <w:vertAlign w:val="baseline"/>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3">
    <w:nsid w:val="02D607FA"/>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363B0F"/>
    <w:multiLevelType w:val="hybridMultilevel"/>
    <w:tmpl w:val="01764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7">
    <w:nsid w:val="16641DF2"/>
    <w:multiLevelType w:val="hybridMultilevel"/>
    <w:tmpl w:val="F42AA848"/>
    <w:lvl w:ilvl="0" w:tplc="7F847DE4">
      <w:start w:val="1"/>
      <w:numFmt w:val="decimal"/>
      <w:pStyle w:val="numberedpara"/>
      <w:lvlText w:val="%1."/>
      <w:lvlJc w:val="right"/>
      <w:pPr>
        <w:tabs>
          <w:tab w:val="num" w:pos="1134"/>
        </w:tabs>
        <w:ind w:left="567" w:hanging="567"/>
      </w:pPr>
      <w:rPr>
        <w:rFonts w:ascii="Calibri" w:hAnsi="Calibri" w:hint="default"/>
        <w:b w:val="0"/>
        <w:i w:val="0"/>
        <w:color w:val="auto"/>
        <w:sz w:val="22"/>
      </w:rPr>
    </w:lvl>
    <w:lvl w:ilvl="1" w:tplc="0C090005">
      <w:start w:val="1"/>
      <w:numFmt w:val="bullet"/>
      <w:lvlText w:val=""/>
      <w:lvlJc w:val="left"/>
      <w:pPr>
        <w:tabs>
          <w:tab w:val="num" w:pos="1440"/>
        </w:tabs>
        <w:ind w:left="1440" w:hanging="360"/>
      </w:pPr>
      <w:rPr>
        <w:rFonts w:ascii="Wingdings" w:hAnsi="Wingdings" w:hint="default"/>
        <w:b w:val="0"/>
        <w:i w:val="0"/>
        <w:color w:val="auto"/>
        <w:sz w:val="22"/>
      </w:rPr>
    </w:lvl>
    <w:lvl w:ilvl="2" w:tplc="0C09001B" w:tentative="1">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rPr>
        <w:rFonts w:hint="default"/>
        <w:b w:val="0"/>
        <w:i w:val="0"/>
        <w:color w:val="auto"/>
        <w:sz w:val="22"/>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1B8C0A8D"/>
    <w:multiLevelType w:val="hybridMultilevel"/>
    <w:tmpl w:val="6080A7FC"/>
    <w:lvl w:ilvl="0" w:tplc="F0BAC8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0244AB9"/>
    <w:multiLevelType w:val="hybridMultilevel"/>
    <w:tmpl w:val="B9FEE43E"/>
    <w:lvl w:ilvl="0" w:tplc="ADA05F0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B56203"/>
    <w:multiLevelType w:val="multilevel"/>
    <w:tmpl w:val="533E0A06"/>
    <w:lvl w:ilvl="0">
      <w:start w:val="1"/>
      <w:numFmt w:val="bullet"/>
      <w:lvlText w:val="–"/>
      <w:lvlJc w:val="left"/>
      <w:pPr>
        <w:tabs>
          <w:tab w:val="num" w:pos="720"/>
        </w:tabs>
        <w:ind w:left="720" w:hanging="360"/>
      </w:pPr>
      <w:rPr>
        <w:rFonts w:ascii="Frutiger-Light" w:eastAsia="Times New Roman" w:hAnsi="Frutiger-Light" w:cs="Frutiger-Light" w:hint="default"/>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11">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316C2C4D"/>
    <w:multiLevelType w:val="multilevel"/>
    <w:tmpl w:val="53041CA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6">
    <w:nsid w:val="434154AB"/>
    <w:multiLevelType w:val="hybridMultilevel"/>
    <w:tmpl w:val="DCF64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8">
    <w:nsid w:val="564608A1"/>
    <w:multiLevelType w:val="hybridMultilevel"/>
    <w:tmpl w:val="61883960"/>
    <w:lvl w:ilvl="0" w:tplc="377E58B0">
      <w:start w:val="1"/>
      <w:numFmt w:val="bullet"/>
      <w:pStyle w:val="Tabletextbulle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nsid w:val="5C395225"/>
    <w:multiLevelType w:val="multilevel"/>
    <w:tmpl w:val="19B6AE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0777C05"/>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1AC4D20"/>
    <w:multiLevelType w:val="hybridMultilevel"/>
    <w:tmpl w:val="753A8D6A"/>
    <w:lvl w:ilvl="0" w:tplc="0C090001">
      <w:start w:val="1"/>
      <w:numFmt w:val="bullet"/>
      <w:lvlText w:val=""/>
      <w:lvlJc w:val="left"/>
      <w:pPr>
        <w:ind w:left="2160" w:hanging="360"/>
      </w:pPr>
      <w:rPr>
        <w:rFonts w:ascii="Symbol" w:hAnsi="Symbol" w:hint="default"/>
      </w:rPr>
    </w:lvl>
    <w:lvl w:ilvl="1" w:tplc="0C090001">
      <w:start w:val="1"/>
      <w:numFmt w:val="bullet"/>
      <w:lvlText w:val=""/>
      <w:lvlJc w:val="left"/>
      <w:pPr>
        <w:ind w:left="2880" w:hanging="360"/>
      </w:pPr>
      <w:rPr>
        <w:rFonts w:ascii="Symbol" w:hAnsi="Symbol"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3">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nsid w:val="6B3F2938"/>
    <w:multiLevelType w:val="hybridMultilevel"/>
    <w:tmpl w:val="59AA5A10"/>
    <w:lvl w:ilvl="0" w:tplc="45567906">
      <w:numFmt w:val="bullet"/>
      <w:lvlText w:val="-"/>
      <w:lvlJc w:val="left"/>
      <w:pPr>
        <w:ind w:left="720" w:hanging="360"/>
      </w:pPr>
      <w:rPr>
        <w:rFonts w:ascii="Book Antiqua" w:eastAsia="Times New Roman" w:hAnsi="Book Antiqu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D080F86"/>
    <w:multiLevelType w:val="hybridMultilevel"/>
    <w:tmpl w:val="BDECA758"/>
    <w:lvl w:ilvl="0" w:tplc="75A01A1A">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7">
    <w:nsid w:val="7609771A"/>
    <w:multiLevelType w:val="hybridMultilevel"/>
    <w:tmpl w:val="9C503E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7"/>
  </w:num>
  <w:num w:numId="2">
    <w:abstractNumId w:val="5"/>
  </w:num>
  <w:num w:numId="3">
    <w:abstractNumId w:val="23"/>
  </w:num>
  <w:num w:numId="4">
    <w:abstractNumId w:val="15"/>
    <w:lvlOverride w:ilvl="0">
      <w:startOverride w:val="1"/>
    </w:lvlOverride>
  </w:num>
  <w:num w:numId="5">
    <w:abstractNumId w:val="26"/>
  </w:num>
  <w:num w:numId="6">
    <w:abstractNumId w:val="11"/>
  </w:num>
  <w:num w:numId="7">
    <w:abstractNumId w:val="19"/>
  </w:num>
  <w:num w:numId="8">
    <w:abstractNumId w:val="14"/>
  </w:num>
  <w:num w:numId="9">
    <w:abstractNumId w:val="3"/>
  </w:num>
  <w:num w:numId="10">
    <w:abstractNumId w:val="21"/>
  </w:num>
  <w:num w:numId="11">
    <w:abstractNumId w:val="0"/>
  </w:num>
  <w:num w:numId="12">
    <w:abstractNumId w:val="15"/>
    <w:lvlOverride w:ilvl="0">
      <w:startOverride w:val="1"/>
    </w:lvlOverride>
  </w:num>
  <w:num w:numId="13">
    <w:abstractNumId w:val="13"/>
  </w:num>
  <w:num w:numId="14">
    <w:abstractNumId w:val="7"/>
  </w:num>
  <w:num w:numId="15">
    <w:abstractNumId w:val="16"/>
  </w:num>
  <w:num w:numId="16">
    <w:abstractNumId w:val="20"/>
  </w:num>
  <w:num w:numId="1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8"/>
  </w:num>
  <w:num w:numId="23">
    <w:abstractNumId w:val="12"/>
  </w:num>
  <w:num w:numId="24">
    <w:abstractNumId w:val="22"/>
  </w:num>
  <w:num w:numId="25">
    <w:abstractNumId w:val="10"/>
  </w:num>
  <w:num w:numId="26">
    <w:abstractNumId w:val="2"/>
  </w:num>
  <w:num w:numId="27">
    <w:abstractNumId w:val="8"/>
  </w:num>
  <w:num w:numId="28">
    <w:abstractNumId w:val="25"/>
  </w:num>
  <w:num w:numId="29">
    <w:abstractNumId w:val="24"/>
  </w:num>
  <w:num w:numId="30">
    <w:abstractNumId w:val="13"/>
  </w:num>
  <w:num w:numId="3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0"/>
  <w:displayHorizont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0C3"/>
    <w:rsid w:val="0000390C"/>
    <w:rsid w:val="00003AC4"/>
    <w:rsid w:val="00006AE4"/>
    <w:rsid w:val="0000711B"/>
    <w:rsid w:val="00012BB0"/>
    <w:rsid w:val="00013D25"/>
    <w:rsid w:val="0001438C"/>
    <w:rsid w:val="0001500C"/>
    <w:rsid w:val="00016D95"/>
    <w:rsid w:val="00017619"/>
    <w:rsid w:val="00020567"/>
    <w:rsid w:val="000216BF"/>
    <w:rsid w:val="00021DA6"/>
    <w:rsid w:val="000220B0"/>
    <w:rsid w:val="000300D7"/>
    <w:rsid w:val="00030FDA"/>
    <w:rsid w:val="00034610"/>
    <w:rsid w:val="00036095"/>
    <w:rsid w:val="000364F3"/>
    <w:rsid w:val="000369AC"/>
    <w:rsid w:val="0003724F"/>
    <w:rsid w:val="000402FE"/>
    <w:rsid w:val="000413D4"/>
    <w:rsid w:val="00042D00"/>
    <w:rsid w:val="00042FDD"/>
    <w:rsid w:val="00045667"/>
    <w:rsid w:val="00054A04"/>
    <w:rsid w:val="00054CC3"/>
    <w:rsid w:val="0005600E"/>
    <w:rsid w:val="00056260"/>
    <w:rsid w:val="0005722F"/>
    <w:rsid w:val="00060890"/>
    <w:rsid w:val="00063C44"/>
    <w:rsid w:val="00063CE1"/>
    <w:rsid w:val="00063E48"/>
    <w:rsid w:val="00065053"/>
    <w:rsid w:val="000655E4"/>
    <w:rsid w:val="000656AD"/>
    <w:rsid w:val="00065C71"/>
    <w:rsid w:val="00066BBA"/>
    <w:rsid w:val="00067B6F"/>
    <w:rsid w:val="00067E1D"/>
    <w:rsid w:val="0007064C"/>
    <w:rsid w:val="00070C05"/>
    <w:rsid w:val="000712EE"/>
    <w:rsid w:val="000725C0"/>
    <w:rsid w:val="00074CE6"/>
    <w:rsid w:val="00076C71"/>
    <w:rsid w:val="00077277"/>
    <w:rsid w:val="0007743A"/>
    <w:rsid w:val="00080069"/>
    <w:rsid w:val="00080F4F"/>
    <w:rsid w:val="00082159"/>
    <w:rsid w:val="0008304E"/>
    <w:rsid w:val="0008449F"/>
    <w:rsid w:val="000924A7"/>
    <w:rsid w:val="00094B28"/>
    <w:rsid w:val="00096DEE"/>
    <w:rsid w:val="00097063"/>
    <w:rsid w:val="000A1A89"/>
    <w:rsid w:val="000A1C91"/>
    <w:rsid w:val="000A24C4"/>
    <w:rsid w:val="000A3288"/>
    <w:rsid w:val="000A345B"/>
    <w:rsid w:val="000A372A"/>
    <w:rsid w:val="000A395D"/>
    <w:rsid w:val="000A56A5"/>
    <w:rsid w:val="000A5C86"/>
    <w:rsid w:val="000A6897"/>
    <w:rsid w:val="000A6DBE"/>
    <w:rsid w:val="000B09C1"/>
    <w:rsid w:val="000B0FE3"/>
    <w:rsid w:val="000B1FC4"/>
    <w:rsid w:val="000B2404"/>
    <w:rsid w:val="000B36D8"/>
    <w:rsid w:val="000B3B7D"/>
    <w:rsid w:val="000C19EF"/>
    <w:rsid w:val="000C2A22"/>
    <w:rsid w:val="000C2D7D"/>
    <w:rsid w:val="000C3B86"/>
    <w:rsid w:val="000C6A39"/>
    <w:rsid w:val="000C6FB8"/>
    <w:rsid w:val="000D13E5"/>
    <w:rsid w:val="000D43DE"/>
    <w:rsid w:val="000D58A1"/>
    <w:rsid w:val="000E0A85"/>
    <w:rsid w:val="000E39B7"/>
    <w:rsid w:val="000E68E3"/>
    <w:rsid w:val="000E6DDB"/>
    <w:rsid w:val="000E74A6"/>
    <w:rsid w:val="000F03B1"/>
    <w:rsid w:val="000F08AE"/>
    <w:rsid w:val="000F2D33"/>
    <w:rsid w:val="000F43F4"/>
    <w:rsid w:val="000F440E"/>
    <w:rsid w:val="000F6647"/>
    <w:rsid w:val="000F73B7"/>
    <w:rsid w:val="000F7E7B"/>
    <w:rsid w:val="001002F8"/>
    <w:rsid w:val="00101440"/>
    <w:rsid w:val="00102654"/>
    <w:rsid w:val="001028CC"/>
    <w:rsid w:val="001045F9"/>
    <w:rsid w:val="0010472B"/>
    <w:rsid w:val="0010657F"/>
    <w:rsid w:val="001114A3"/>
    <w:rsid w:val="00112D0F"/>
    <w:rsid w:val="001133E0"/>
    <w:rsid w:val="00115DE5"/>
    <w:rsid w:val="001163D6"/>
    <w:rsid w:val="0011726A"/>
    <w:rsid w:val="0012022D"/>
    <w:rsid w:val="00120B5E"/>
    <w:rsid w:val="00121EB0"/>
    <w:rsid w:val="0012228D"/>
    <w:rsid w:val="00123218"/>
    <w:rsid w:val="00123925"/>
    <w:rsid w:val="00124758"/>
    <w:rsid w:val="00126641"/>
    <w:rsid w:val="001272CD"/>
    <w:rsid w:val="001305B1"/>
    <w:rsid w:val="00131EA7"/>
    <w:rsid w:val="001322AD"/>
    <w:rsid w:val="00133B4E"/>
    <w:rsid w:val="00133D3A"/>
    <w:rsid w:val="001352EE"/>
    <w:rsid w:val="00135505"/>
    <w:rsid w:val="00135CC8"/>
    <w:rsid w:val="00136827"/>
    <w:rsid w:val="001370C2"/>
    <w:rsid w:val="001375D4"/>
    <w:rsid w:val="00143E88"/>
    <w:rsid w:val="001455D8"/>
    <w:rsid w:val="0014790A"/>
    <w:rsid w:val="00151183"/>
    <w:rsid w:val="00151ABB"/>
    <w:rsid w:val="00152B79"/>
    <w:rsid w:val="0015428F"/>
    <w:rsid w:val="00154447"/>
    <w:rsid w:val="001549BE"/>
    <w:rsid w:val="00154CDE"/>
    <w:rsid w:val="00154F5B"/>
    <w:rsid w:val="001612BE"/>
    <w:rsid w:val="00161DAC"/>
    <w:rsid w:val="00162B55"/>
    <w:rsid w:val="00162D8B"/>
    <w:rsid w:val="001638E9"/>
    <w:rsid w:val="00164B49"/>
    <w:rsid w:val="00165824"/>
    <w:rsid w:val="00166F90"/>
    <w:rsid w:val="00171A85"/>
    <w:rsid w:val="00174565"/>
    <w:rsid w:val="00175BB3"/>
    <w:rsid w:val="00176AAA"/>
    <w:rsid w:val="00176E2D"/>
    <w:rsid w:val="00177A9A"/>
    <w:rsid w:val="001808A4"/>
    <w:rsid w:val="001815A5"/>
    <w:rsid w:val="0018383E"/>
    <w:rsid w:val="00186850"/>
    <w:rsid w:val="001904A5"/>
    <w:rsid w:val="001923C8"/>
    <w:rsid w:val="001939FF"/>
    <w:rsid w:val="00193C99"/>
    <w:rsid w:val="00194DE8"/>
    <w:rsid w:val="00197990"/>
    <w:rsid w:val="001A0106"/>
    <w:rsid w:val="001A02CB"/>
    <w:rsid w:val="001A11DB"/>
    <w:rsid w:val="001A33F4"/>
    <w:rsid w:val="001A5E2D"/>
    <w:rsid w:val="001A6256"/>
    <w:rsid w:val="001A6F29"/>
    <w:rsid w:val="001A72AC"/>
    <w:rsid w:val="001A789B"/>
    <w:rsid w:val="001B029D"/>
    <w:rsid w:val="001B03CC"/>
    <w:rsid w:val="001B0C75"/>
    <w:rsid w:val="001B44C2"/>
    <w:rsid w:val="001B4EC1"/>
    <w:rsid w:val="001B659F"/>
    <w:rsid w:val="001B6BD9"/>
    <w:rsid w:val="001B7399"/>
    <w:rsid w:val="001B7655"/>
    <w:rsid w:val="001B7BAD"/>
    <w:rsid w:val="001B7F09"/>
    <w:rsid w:val="001C1166"/>
    <w:rsid w:val="001C1F6A"/>
    <w:rsid w:val="001C261E"/>
    <w:rsid w:val="001C3AC7"/>
    <w:rsid w:val="001C7B78"/>
    <w:rsid w:val="001D0BA6"/>
    <w:rsid w:val="001D1942"/>
    <w:rsid w:val="001D1DDB"/>
    <w:rsid w:val="001D4CAA"/>
    <w:rsid w:val="001D53EA"/>
    <w:rsid w:val="001D6851"/>
    <w:rsid w:val="001D6F7C"/>
    <w:rsid w:val="001E105C"/>
    <w:rsid w:val="001E12A5"/>
    <w:rsid w:val="001E1EDB"/>
    <w:rsid w:val="001E3A18"/>
    <w:rsid w:val="001E6DBA"/>
    <w:rsid w:val="001E717D"/>
    <w:rsid w:val="001E71F5"/>
    <w:rsid w:val="001E7D86"/>
    <w:rsid w:val="001F377B"/>
    <w:rsid w:val="001F3CF9"/>
    <w:rsid w:val="001F4807"/>
    <w:rsid w:val="001F55E5"/>
    <w:rsid w:val="001F5CB9"/>
    <w:rsid w:val="001F76C4"/>
    <w:rsid w:val="00200DC3"/>
    <w:rsid w:val="0020214A"/>
    <w:rsid w:val="00204A87"/>
    <w:rsid w:val="002050B0"/>
    <w:rsid w:val="00205D80"/>
    <w:rsid w:val="0021093F"/>
    <w:rsid w:val="002133CA"/>
    <w:rsid w:val="0021361F"/>
    <w:rsid w:val="00215783"/>
    <w:rsid w:val="0021644B"/>
    <w:rsid w:val="00216DC9"/>
    <w:rsid w:val="00217CA0"/>
    <w:rsid w:val="002202EB"/>
    <w:rsid w:val="00220FCF"/>
    <w:rsid w:val="00221705"/>
    <w:rsid w:val="00221D97"/>
    <w:rsid w:val="00223C87"/>
    <w:rsid w:val="00224BA9"/>
    <w:rsid w:val="0022552E"/>
    <w:rsid w:val="00227458"/>
    <w:rsid w:val="00232729"/>
    <w:rsid w:val="002329C3"/>
    <w:rsid w:val="002332AE"/>
    <w:rsid w:val="002333C2"/>
    <w:rsid w:val="00234040"/>
    <w:rsid w:val="002357B2"/>
    <w:rsid w:val="00235D67"/>
    <w:rsid w:val="00244D22"/>
    <w:rsid w:val="002454A5"/>
    <w:rsid w:val="00246329"/>
    <w:rsid w:val="00246C09"/>
    <w:rsid w:val="00247262"/>
    <w:rsid w:val="002528B9"/>
    <w:rsid w:val="002539DC"/>
    <w:rsid w:val="0025616B"/>
    <w:rsid w:val="00257133"/>
    <w:rsid w:val="00257FF4"/>
    <w:rsid w:val="002608CE"/>
    <w:rsid w:val="0026279C"/>
    <w:rsid w:val="00262CD3"/>
    <w:rsid w:val="00265289"/>
    <w:rsid w:val="00266613"/>
    <w:rsid w:val="00266CBF"/>
    <w:rsid w:val="00266D1A"/>
    <w:rsid w:val="00266EDF"/>
    <w:rsid w:val="00266FE9"/>
    <w:rsid w:val="00272396"/>
    <w:rsid w:val="00274689"/>
    <w:rsid w:val="0027481A"/>
    <w:rsid w:val="0027614D"/>
    <w:rsid w:val="002762BF"/>
    <w:rsid w:val="0027651A"/>
    <w:rsid w:val="0027654F"/>
    <w:rsid w:val="0028081A"/>
    <w:rsid w:val="00281CF6"/>
    <w:rsid w:val="0028309A"/>
    <w:rsid w:val="0028359B"/>
    <w:rsid w:val="00285757"/>
    <w:rsid w:val="002857FE"/>
    <w:rsid w:val="00292D6A"/>
    <w:rsid w:val="0029312A"/>
    <w:rsid w:val="0029325C"/>
    <w:rsid w:val="00293B2D"/>
    <w:rsid w:val="002960B7"/>
    <w:rsid w:val="00296662"/>
    <w:rsid w:val="00297824"/>
    <w:rsid w:val="002A0877"/>
    <w:rsid w:val="002A153F"/>
    <w:rsid w:val="002A34B0"/>
    <w:rsid w:val="002A3770"/>
    <w:rsid w:val="002A40DC"/>
    <w:rsid w:val="002A4D8B"/>
    <w:rsid w:val="002A5329"/>
    <w:rsid w:val="002A5C2D"/>
    <w:rsid w:val="002A61E5"/>
    <w:rsid w:val="002A6AE8"/>
    <w:rsid w:val="002A7FC8"/>
    <w:rsid w:val="002B0A81"/>
    <w:rsid w:val="002B0C48"/>
    <w:rsid w:val="002B15C8"/>
    <w:rsid w:val="002B1CE7"/>
    <w:rsid w:val="002B2AF9"/>
    <w:rsid w:val="002B2F0F"/>
    <w:rsid w:val="002B595D"/>
    <w:rsid w:val="002B5F6A"/>
    <w:rsid w:val="002B779E"/>
    <w:rsid w:val="002B7D6F"/>
    <w:rsid w:val="002B7D78"/>
    <w:rsid w:val="002C0552"/>
    <w:rsid w:val="002C25D0"/>
    <w:rsid w:val="002C280B"/>
    <w:rsid w:val="002C2DB0"/>
    <w:rsid w:val="002C44C3"/>
    <w:rsid w:val="002C75B0"/>
    <w:rsid w:val="002C7703"/>
    <w:rsid w:val="002C7A63"/>
    <w:rsid w:val="002D0153"/>
    <w:rsid w:val="002D1631"/>
    <w:rsid w:val="002D403A"/>
    <w:rsid w:val="002D4262"/>
    <w:rsid w:val="002D71FB"/>
    <w:rsid w:val="002E1064"/>
    <w:rsid w:val="002E1531"/>
    <w:rsid w:val="002E2D3E"/>
    <w:rsid w:val="002E323F"/>
    <w:rsid w:val="002E7CFB"/>
    <w:rsid w:val="002F1B12"/>
    <w:rsid w:val="002F591B"/>
    <w:rsid w:val="002F7B47"/>
    <w:rsid w:val="00300013"/>
    <w:rsid w:val="003006F8"/>
    <w:rsid w:val="00300BF2"/>
    <w:rsid w:val="003016F7"/>
    <w:rsid w:val="003027C1"/>
    <w:rsid w:val="0030537F"/>
    <w:rsid w:val="00305718"/>
    <w:rsid w:val="00305EC5"/>
    <w:rsid w:val="00306107"/>
    <w:rsid w:val="0030779E"/>
    <w:rsid w:val="003077B8"/>
    <w:rsid w:val="003077EB"/>
    <w:rsid w:val="003111F8"/>
    <w:rsid w:val="0031204A"/>
    <w:rsid w:val="0031272B"/>
    <w:rsid w:val="003127D3"/>
    <w:rsid w:val="003146BF"/>
    <w:rsid w:val="00315435"/>
    <w:rsid w:val="00316341"/>
    <w:rsid w:val="00317E2D"/>
    <w:rsid w:val="00317F8C"/>
    <w:rsid w:val="0032038C"/>
    <w:rsid w:val="00325C5E"/>
    <w:rsid w:val="0032738E"/>
    <w:rsid w:val="00330433"/>
    <w:rsid w:val="00331C5F"/>
    <w:rsid w:val="00333074"/>
    <w:rsid w:val="00333223"/>
    <w:rsid w:val="00333EC6"/>
    <w:rsid w:val="003364C1"/>
    <w:rsid w:val="00337F82"/>
    <w:rsid w:val="00337FAC"/>
    <w:rsid w:val="00340640"/>
    <w:rsid w:val="00340BE5"/>
    <w:rsid w:val="003427DA"/>
    <w:rsid w:val="003435D6"/>
    <w:rsid w:val="003458E0"/>
    <w:rsid w:val="00345CCD"/>
    <w:rsid w:val="00347351"/>
    <w:rsid w:val="003511CE"/>
    <w:rsid w:val="00351909"/>
    <w:rsid w:val="00352BE0"/>
    <w:rsid w:val="0035333E"/>
    <w:rsid w:val="003538F0"/>
    <w:rsid w:val="003555D5"/>
    <w:rsid w:val="00357DAE"/>
    <w:rsid w:val="00361259"/>
    <w:rsid w:val="00361429"/>
    <w:rsid w:val="00362AA7"/>
    <w:rsid w:val="003705BF"/>
    <w:rsid w:val="00370935"/>
    <w:rsid w:val="00375E52"/>
    <w:rsid w:val="00377721"/>
    <w:rsid w:val="00377F81"/>
    <w:rsid w:val="00382234"/>
    <w:rsid w:val="0038672F"/>
    <w:rsid w:val="00386882"/>
    <w:rsid w:val="00386BC9"/>
    <w:rsid w:val="00386F24"/>
    <w:rsid w:val="0039053D"/>
    <w:rsid w:val="003914D7"/>
    <w:rsid w:val="0039449C"/>
    <w:rsid w:val="00397C94"/>
    <w:rsid w:val="003A0290"/>
    <w:rsid w:val="003A25BB"/>
    <w:rsid w:val="003B0963"/>
    <w:rsid w:val="003B0D03"/>
    <w:rsid w:val="003B1F0A"/>
    <w:rsid w:val="003B2C1F"/>
    <w:rsid w:val="003B48BF"/>
    <w:rsid w:val="003B51BB"/>
    <w:rsid w:val="003B5533"/>
    <w:rsid w:val="003B5A85"/>
    <w:rsid w:val="003B71EE"/>
    <w:rsid w:val="003B7621"/>
    <w:rsid w:val="003C13A6"/>
    <w:rsid w:val="003C1EB4"/>
    <w:rsid w:val="003C664E"/>
    <w:rsid w:val="003C7CD7"/>
    <w:rsid w:val="003D00D4"/>
    <w:rsid w:val="003D1E47"/>
    <w:rsid w:val="003D3C14"/>
    <w:rsid w:val="003D4557"/>
    <w:rsid w:val="003D52D2"/>
    <w:rsid w:val="003D543D"/>
    <w:rsid w:val="003D59FD"/>
    <w:rsid w:val="003E10B8"/>
    <w:rsid w:val="003E122D"/>
    <w:rsid w:val="003E13F5"/>
    <w:rsid w:val="003E4E15"/>
    <w:rsid w:val="003E5AE8"/>
    <w:rsid w:val="003F07EE"/>
    <w:rsid w:val="003F0F41"/>
    <w:rsid w:val="003F29F2"/>
    <w:rsid w:val="003F47DF"/>
    <w:rsid w:val="003F604C"/>
    <w:rsid w:val="003F7E20"/>
    <w:rsid w:val="00405E90"/>
    <w:rsid w:val="004065CE"/>
    <w:rsid w:val="0040728F"/>
    <w:rsid w:val="004105DD"/>
    <w:rsid w:val="00410DCE"/>
    <w:rsid w:val="004119C3"/>
    <w:rsid w:val="0041404E"/>
    <w:rsid w:val="0041429D"/>
    <w:rsid w:val="00414E1F"/>
    <w:rsid w:val="004168D4"/>
    <w:rsid w:val="0041765C"/>
    <w:rsid w:val="00420837"/>
    <w:rsid w:val="00421EEC"/>
    <w:rsid w:val="0042255C"/>
    <w:rsid w:val="00422933"/>
    <w:rsid w:val="00422F4B"/>
    <w:rsid w:val="004248B4"/>
    <w:rsid w:val="00424C66"/>
    <w:rsid w:val="0042526D"/>
    <w:rsid w:val="004254A2"/>
    <w:rsid w:val="00426D71"/>
    <w:rsid w:val="00427538"/>
    <w:rsid w:val="00430256"/>
    <w:rsid w:val="00431395"/>
    <w:rsid w:val="00431BF1"/>
    <w:rsid w:val="004342F8"/>
    <w:rsid w:val="00434A2F"/>
    <w:rsid w:val="004373DF"/>
    <w:rsid w:val="0044083A"/>
    <w:rsid w:val="004408FA"/>
    <w:rsid w:val="004418CD"/>
    <w:rsid w:val="0044552A"/>
    <w:rsid w:val="00451501"/>
    <w:rsid w:val="004528D0"/>
    <w:rsid w:val="00452907"/>
    <w:rsid w:val="00454564"/>
    <w:rsid w:val="004562E5"/>
    <w:rsid w:val="00457BC3"/>
    <w:rsid w:val="0046034D"/>
    <w:rsid w:val="004611B1"/>
    <w:rsid w:val="00462272"/>
    <w:rsid w:val="0046390C"/>
    <w:rsid w:val="00465D4E"/>
    <w:rsid w:val="004669BA"/>
    <w:rsid w:val="00467BDD"/>
    <w:rsid w:val="004701B4"/>
    <w:rsid w:val="00470EE4"/>
    <w:rsid w:val="004717F6"/>
    <w:rsid w:val="00474747"/>
    <w:rsid w:val="0047481E"/>
    <w:rsid w:val="00474918"/>
    <w:rsid w:val="00475EAF"/>
    <w:rsid w:val="004811D5"/>
    <w:rsid w:val="004815F8"/>
    <w:rsid w:val="00481E32"/>
    <w:rsid w:val="004831ED"/>
    <w:rsid w:val="004836A7"/>
    <w:rsid w:val="004847B4"/>
    <w:rsid w:val="00484921"/>
    <w:rsid w:val="00486614"/>
    <w:rsid w:val="00487E11"/>
    <w:rsid w:val="00487FB8"/>
    <w:rsid w:val="00490D96"/>
    <w:rsid w:val="004919D4"/>
    <w:rsid w:val="00491FB2"/>
    <w:rsid w:val="0049212C"/>
    <w:rsid w:val="00495C39"/>
    <w:rsid w:val="004A1224"/>
    <w:rsid w:val="004A175C"/>
    <w:rsid w:val="004A1AE3"/>
    <w:rsid w:val="004A247B"/>
    <w:rsid w:val="004A28C5"/>
    <w:rsid w:val="004A660C"/>
    <w:rsid w:val="004A6B44"/>
    <w:rsid w:val="004B0B19"/>
    <w:rsid w:val="004B0DB2"/>
    <w:rsid w:val="004B353D"/>
    <w:rsid w:val="004B37A7"/>
    <w:rsid w:val="004B4426"/>
    <w:rsid w:val="004B5F2A"/>
    <w:rsid w:val="004B74B2"/>
    <w:rsid w:val="004C1399"/>
    <w:rsid w:val="004C1C09"/>
    <w:rsid w:val="004C289A"/>
    <w:rsid w:val="004C2A0C"/>
    <w:rsid w:val="004C2A17"/>
    <w:rsid w:val="004C4CAE"/>
    <w:rsid w:val="004C5507"/>
    <w:rsid w:val="004D1E1A"/>
    <w:rsid w:val="004D23A9"/>
    <w:rsid w:val="004D29F5"/>
    <w:rsid w:val="004D2F90"/>
    <w:rsid w:val="004D7804"/>
    <w:rsid w:val="004D79C9"/>
    <w:rsid w:val="004E2825"/>
    <w:rsid w:val="004E3079"/>
    <w:rsid w:val="004E62E4"/>
    <w:rsid w:val="004F0E90"/>
    <w:rsid w:val="004F0F5B"/>
    <w:rsid w:val="004F22B8"/>
    <w:rsid w:val="004F2437"/>
    <w:rsid w:val="004F45F0"/>
    <w:rsid w:val="004F4624"/>
    <w:rsid w:val="004F5573"/>
    <w:rsid w:val="004F634F"/>
    <w:rsid w:val="0050141B"/>
    <w:rsid w:val="00502638"/>
    <w:rsid w:val="005029BC"/>
    <w:rsid w:val="005048E3"/>
    <w:rsid w:val="00504C3F"/>
    <w:rsid w:val="00505A77"/>
    <w:rsid w:val="00505CB3"/>
    <w:rsid w:val="005067C7"/>
    <w:rsid w:val="00506EB0"/>
    <w:rsid w:val="0050798C"/>
    <w:rsid w:val="0051030F"/>
    <w:rsid w:val="005136CD"/>
    <w:rsid w:val="00514B1A"/>
    <w:rsid w:val="00514B24"/>
    <w:rsid w:val="00517384"/>
    <w:rsid w:val="00521860"/>
    <w:rsid w:val="005222CC"/>
    <w:rsid w:val="00522622"/>
    <w:rsid w:val="005257C4"/>
    <w:rsid w:val="00525AB1"/>
    <w:rsid w:val="005267FB"/>
    <w:rsid w:val="00527492"/>
    <w:rsid w:val="005277F5"/>
    <w:rsid w:val="005307E9"/>
    <w:rsid w:val="005310C1"/>
    <w:rsid w:val="00531224"/>
    <w:rsid w:val="00532994"/>
    <w:rsid w:val="005329BE"/>
    <w:rsid w:val="00532D12"/>
    <w:rsid w:val="00533206"/>
    <w:rsid w:val="00533442"/>
    <w:rsid w:val="00533515"/>
    <w:rsid w:val="00534AC0"/>
    <w:rsid w:val="00535557"/>
    <w:rsid w:val="0053606A"/>
    <w:rsid w:val="005369C0"/>
    <w:rsid w:val="00540D82"/>
    <w:rsid w:val="00541254"/>
    <w:rsid w:val="00542BA5"/>
    <w:rsid w:val="00545573"/>
    <w:rsid w:val="00547EB8"/>
    <w:rsid w:val="00552FC2"/>
    <w:rsid w:val="00553DA2"/>
    <w:rsid w:val="00555623"/>
    <w:rsid w:val="005562DC"/>
    <w:rsid w:val="00556725"/>
    <w:rsid w:val="00557A85"/>
    <w:rsid w:val="00560562"/>
    <w:rsid w:val="005606B5"/>
    <w:rsid w:val="00562BAD"/>
    <w:rsid w:val="00566181"/>
    <w:rsid w:val="005708BD"/>
    <w:rsid w:val="00574906"/>
    <w:rsid w:val="00574E9E"/>
    <w:rsid w:val="005752BC"/>
    <w:rsid w:val="0057622F"/>
    <w:rsid w:val="00577977"/>
    <w:rsid w:val="00581D30"/>
    <w:rsid w:val="00584245"/>
    <w:rsid w:val="00584D80"/>
    <w:rsid w:val="005863FB"/>
    <w:rsid w:val="00586535"/>
    <w:rsid w:val="00586BB5"/>
    <w:rsid w:val="00586DFB"/>
    <w:rsid w:val="005904C2"/>
    <w:rsid w:val="005905BC"/>
    <w:rsid w:val="00590B75"/>
    <w:rsid w:val="00590DAA"/>
    <w:rsid w:val="00591D74"/>
    <w:rsid w:val="005922E6"/>
    <w:rsid w:val="00592349"/>
    <w:rsid w:val="00596F3F"/>
    <w:rsid w:val="00597EEF"/>
    <w:rsid w:val="005A1C4E"/>
    <w:rsid w:val="005A3678"/>
    <w:rsid w:val="005A390C"/>
    <w:rsid w:val="005A426B"/>
    <w:rsid w:val="005A4A1A"/>
    <w:rsid w:val="005A5084"/>
    <w:rsid w:val="005A61D3"/>
    <w:rsid w:val="005A7E70"/>
    <w:rsid w:val="005B40E8"/>
    <w:rsid w:val="005B6DAA"/>
    <w:rsid w:val="005B7314"/>
    <w:rsid w:val="005B7D8B"/>
    <w:rsid w:val="005C03F6"/>
    <w:rsid w:val="005C0475"/>
    <w:rsid w:val="005C1569"/>
    <w:rsid w:val="005C225D"/>
    <w:rsid w:val="005C4604"/>
    <w:rsid w:val="005C4BEE"/>
    <w:rsid w:val="005C6E74"/>
    <w:rsid w:val="005C781C"/>
    <w:rsid w:val="005D1C3B"/>
    <w:rsid w:val="005D3254"/>
    <w:rsid w:val="005D330E"/>
    <w:rsid w:val="005D3528"/>
    <w:rsid w:val="005D49A6"/>
    <w:rsid w:val="005D7A35"/>
    <w:rsid w:val="005E034F"/>
    <w:rsid w:val="005E09A7"/>
    <w:rsid w:val="005E198B"/>
    <w:rsid w:val="005E19D9"/>
    <w:rsid w:val="005E1D35"/>
    <w:rsid w:val="005E2A31"/>
    <w:rsid w:val="005E35E8"/>
    <w:rsid w:val="005E36B9"/>
    <w:rsid w:val="005E442F"/>
    <w:rsid w:val="005E5519"/>
    <w:rsid w:val="005E61D8"/>
    <w:rsid w:val="005E7E2C"/>
    <w:rsid w:val="005F29CD"/>
    <w:rsid w:val="005F3175"/>
    <w:rsid w:val="005F3436"/>
    <w:rsid w:val="005F3BBD"/>
    <w:rsid w:val="005F4739"/>
    <w:rsid w:val="005F642B"/>
    <w:rsid w:val="005F67FC"/>
    <w:rsid w:val="006018F6"/>
    <w:rsid w:val="006026E1"/>
    <w:rsid w:val="00603A90"/>
    <w:rsid w:val="00605163"/>
    <w:rsid w:val="006065BF"/>
    <w:rsid w:val="00606F86"/>
    <w:rsid w:val="006070EA"/>
    <w:rsid w:val="00607ABE"/>
    <w:rsid w:val="00607F53"/>
    <w:rsid w:val="006103D0"/>
    <w:rsid w:val="0061082C"/>
    <w:rsid w:val="00611EAE"/>
    <w:rsid w:val="0061364A"/>
    <w:rsid w:val="00613BEA"/>
    <w:rsid w:val="0061402C"/>
    <w:rsid w:val="00615113"/>
    <w:rsid w:val="0061595F"/>
    <w:rsid w:val="00616179"/>
    <w:rsid w:val="0061675B"/>
    <w:rsid w:val="0062052B"/>
    <w:rsid w:val="00621A86"/>
    <w:rsid w:val="00623401"/>
    <w:rsid w:val="00625C40"/>
    <w:rsid w:val="006274B3"/>
    <w:rsid w:val="00627E7C"/>
    <w:rsid w:val="00631369"/>
    <w:rsid w:val="00632481"/>
    <w:rsid w:val="0063262D"/>
    <w:rsid w:val="00634AD9"/>
    <w:rsid w:val="00637BBD"/>
    <w:rsid w:val="00640D17"/>
    <w:rsid w:val="00642768"/>
    <w:rsid w:val="00646ACE"/>
    <w:rsid w:val="006474C0"/>
    <w:rsid w:val="00647927"/>
    <w:rsid w:val="00652B9B"/>
    <w:rsid w:val="00653743"/>
    <w:rsid w:val="00653DD9"/>
    <w:rsid w:val="00654E6A"/>
    <w:rsid w:val="00657486"/>
    <w:rsid w:val="006575F3"/>
    <w:rsid w:val="006576C3"/>
    <w:rsid w:val="00660871"/>
    <w:rsid w:val="00662809"/>
    <w:rsid w:val="00664E08"/>
    <w:rsid w:val="0066774D"/>
    <w:rsid w:val="00667F42"/>
    <w:rsid w:val="00671284"/>
    <w:rsid w:val="006727FC"/>
    <w:rsid w:val="00673906"/>
    <w:rsid w:val="006765BC"/>
    <w:rsid w:val="00676E5B"/>
    <w:rsid w:val="00677D6B"/>
    <w:rsid w:val="00680795"/>
    <w:rsid w:val="00680D8F"/>
    <w:rsid w:val="00682713"/>
    <w:rsid w:val="00683579"/>
    <w:rsid w:val="006854CE"/>
    <w:rsid w:val="006863EC"/>
    <w:rsid w:val="0068790B"/>
    <w:rsid w:val="006941DD"/>
    <w:rsid w:val="0069466B"/>
    <w:rsid w:val="006952FA"/>
    <w:rsid w:val="006956FF"/>
    <w:rsid w:val="006A009F"/>
    <w:rsid w:val="006A2332"/>
    <w:rsid w:val="006A257C"/>
    <w:rsid w:val="006A2615"/>
    <w:rsid w:val="006A499D"/>
    <w:rsid w:val="006A5866"/>
    <w:rsid w:val="006A7B57"/>
    <w:rsid w:val="006B0F54"/>
    <w:rsid w:val="006B415B"/>
    <w:rsid w:val="006B4C95"/>
    <w:rsid w:val="006B4CBA"/>
    <w:rsid w:val="006B5F82"/>
    <w:rsid w:val="006C2E46"/>
    <w:rsid w:val="006C3185"/>
    <w:rsid w:val="006C3544"/>
    <w:rsid w:val="006C4E45"/>
    <w:rsid w:val="006C5EE1"/>
    <w:rsid w:val="006C61B1"/>
    <w:rsid w:val="006D0669"/>
    <w:rsid w:val="006D3771"/>
    <w:rsid w:val="006D440A"/>
    <w:rsid w:val="006D592F"/>
    <w:rsid w:val="006D62BE"/>
    <w:rsid w:val="006D7B71"/>
    <w:rsid w:val="006D7EDC"/>
    <w:rsid w:val="006E0006"/>
    <w:rsid w:val="006E0DF6"/>
    <w:rsid w:val="006E1BDE"/>
    <w:rsid w:val="006E336C"/>
    <w:rsid w:val="006E3B9E"/>
    <w:rsid w:val="006E4A27"/>
    <w:rsid w:val="006E5828"/>
    <w:rsid w:val="006E6BB9"/>
    <w:rsid w:val="006E784F"/>
    <w:rsid w:val="006F0B4F"/>
    <w:rsid w:val="006F26BA"/>
    <w:rsid w:val="006F2DF3"/>
    <w:rsid w:val="006F2DF9"/>
    <w:rsid w:val="006F3653"/>
    <w:rsid w:val="006F3C6F"/>
    <w:rsid w:val="006F3DB7"/>
    <w:rsid w:val="006F41C6"/>
    <w:rsid w:val="006F5DD9"/>
    <w:rsid w:val="006F6FA2"/>
    <w:rsid w:val="007001D0"/>
    <w:rsid w:val="00700CE3"/>
    <w:rsid w:val="00701498"/>
    <w:rsid w:val="00701E70"/>
    <w:rsid w:val="007036AE"/>
    <w:rsid w:val="00704F47"/>
    <w:rsid w:val="007072C2"/>
    <w:rsid w:val="0070746B"/>
    <w:rsid w:val="007075CA"/>
    <w:rsid w:val="0071151E"/>
    <w:rsid w:val="00711571"/>
    <w:rsid w:val="0071482B"/>
    <w:rsid w:val="00714C8F"/>
    <w:rsid w:val="00715214"/>
    <w:rsid w:val="00715A32"/>
    <w:rsid w:val="00716F57"/>
    <w:rsid w:val="00721409"/>
    <w:rsid w:val="007221A2"/>
    <w:rsid w:val="00722364"/>
    <w:rsid w:val="00722935"/>
    <w:rsid w:val="00727815"/>
    <w:rsid w:val="00730E31"/>
    <w:rsid w:val="00732561"/>
    <w:rsid w:val="00734C7A"/>
    <w:rsid w:val="00734E06"/>
    <w:rsid w:val="00735844"/>
    <w:rsid w:val="00736E9D"/>
    <w:rsid w:val="007373FA"/>
    <w:rsid w:val="0074063F"/>
    <w:rsid w:val="00740EF1"/>
    <w:rsid w:val="00744DBD"/>
    <w:rsid w:val="00745398"/>
    <w:rsid w:val="00750451"/>
    <w:rsid w:val="00753890"/>
    <w:rsid w:val="007561F0"/>
    <w:rsid w:val="00756632"/>
    <w:rsid w:val="0075754A"/>
    <w:rsid w:val="00760554"/>
    <w:rsid w:val="0076083D"/>
    <w:rsid w:val="00761DC2"/>
    <w:rsid w:val="0076273D"/>
    <w:rsid w:val="00762B1E"/>
    <w:rsid w:val="007652E7"/>
    <w:rsid w:val="00766434"/>
    <w:rsid w:val="00770E10"/>
    <w:rsid w:val="00771E5C"/>
    <w:rsid w:val="00772107"/>
    <w:rsid w:val="00774A83"/>
    <w:rsid w:val="00775146"/>
    <w:rsid w:val="0077566D"/>
    <w:rsid w:val="00776097"/>
    <w:rsid w:val="007766A5"/>
    <w:rsid w:val="00776E39"/>
    <w:rsid w:val="00780082"/>
    <w:rsid w:val="0078016D"/>
    <w:rsid w:val="00782098"/>
    <w:rsid w:val="0078228A"/>
    <w:rsid w:val="00786724"/>
    <w:rsid w:val="007900CB"/>
    <w:rsid w:val="00790E9B"/>
    <w:rsid w:val="007917E7"/>
    <w:rsid w:val="007927C6"/>
    <w:rsid w:val="0079348E"/>
    <w:rsid w:val="0079405B"/>
    <w:rsid w:val="0079506B"/>
    <w:rsid w:val="007A05F4"/>
    <w:rsid w:val="007A0BB9"/>
    <w:rsid w:val="007A1D73"/>
    <w:rsid w:val="007A4023"/>
    <w:rsid w:val="007A5258"/>
    <w:rsid w:val="007A5A94"/>
    <w:rsid w:val="007A68C1"/>
    <w:rsid w:val="007A6C47"/>
    <w:rsid w:val="007B2D54"/>
    <w:rsid w:val="007B31F7"/>
    <w:rsid w:val="007B347F"/>
    <w:rsid w:val="007B5A98"/>
    <w:rsid w:val="007B5E30"/>
    <w:rsid w:val="007C2270"/>
    <w:rsid w:val="007C27D4"/>
    <w:rsid w:val="007C4CCE"/>
    <w:rsid w:val="007C570A"/>
    <w:rsid w:val="007C7D49"/>
    <w:rsid w:val="007D1D99"/>
    <w:rsid w:val="007D4D2A"/>
    <w:rsid w:val="007D763D"/>
    <w:rsid w:val="007E00B1"/>
    <w:rsid w:val="007E0749"/>
    <w:rsid w:val="007E2717"/>
    <w:rsid w:val="007E2F87"/>
    <w:rsid w:val="007E334F"/>
    <w:rsid w:val="007E3D27"/>
    <w:rsid w:val="007E5D39"/>
    <w:rsid w:val="007E66C8"/>
    <w:rsid w:val="007E67BD"/>
    <w:rsid w:val="007E6BBD"/>
    <w:rsid w:val="007F06E1"/>
    <w:rsid w:val="007F3983"/>
    <w:rsid w:val="007F3CCF"/>
    <w:rsid w:val="007F517F"/>
    <w:rsid w:val="007F6391"/>
    <w:rsid w:val="007F6FB8"/>
    <w:rsid w:val="007F7481"/>
    <w:rsid w:val="007F76FF"/>
    <w:rsid w:val="007F7970"/>
    <w:rsid w:val="007F7EB7"/>
    <w:rsid w:val="00801491"/>
    <w:rsid w:val="008015A7"/>
    <w:rsid w:val="00803099"/>
    <w:rsid w:val="00804AAA"/>
    <w:rsid w:val="0081066B"/>
    <w:rsid w:val="00810809"/>
    <w:rsid w:val="00810E5B"/>
    <w:rsid w:val="00812350"/>
    <w:rsid w:val="00812741"/>
    <w:rsid w:val="008128E3"/>
    <w:rsid w:val="00815871"/>
    <w:rsid w:val="00820CF4"/>
    <w:rsid w:val="00821789"/>
    <w:rsid w:val="0082180B"/>
    <w:rsid w:val="00825D4F"/>
    <w:rsid w:val="00825E25"/>
    <w:rsid w:val="00826EF2"/>
    <w:rsid w:val="00830017"/>
    <w:rsid w:val="00830DC9"/>
    <w:rsid w:val="00833A6A"/>
    <w:rsid w:val="00833E2F"/>
    <w:rsid w:val="008368F3"/>
    <w:rsid w:val="0083698F"/>
    <w:rsid w:val="00837959"/>
    <w:rsid w:val="008400A8"/>
    <w:rsid w:val="0084156A"/>
    <w:rsid w:val="008427B1"/>
    <w:rsid w:val="008449FF"/>
    <w:rsid w:val="00844BE8"/>
    <w:rsid w:val="0084534D"/>
    <w:rsid w:val="0084601D"/>
    <w:rsid w:val="00846C73"/>
    <w:rsid w:val="0085161D"/>
    <w:rsid w:val="00855597"/>
    <w:rsid w:val="00855780"/>
    <w:rsid w:val="00856178"/>
    <w:rsid w:val="00856C69"/>
    <w:rsid w:val="008570AB"/>
    <w:rsid w:val="00857477"/>
    <w:rsid w:val="00862545"/>
    <w:rsid w:val="00863118"/>
    <w:rsid w:val="00863170"/>
    <w:rsid w:val="008636B4"/>
    <w:rsid w:val="00865A76"/>
    <w:rsid w:val="0086730B"/>
    <w:rsid w:val="008679E6"/>
    <w:rsid w:val="00867A0F"/>
    <w:rsid w:val="00871811"/>
    <w:rsid w:val="0087253E"/>
    <w:rsid w:val="00872E1F"/>
    <w:rsid w:val="00873942"/>
    <w:rsid w:val="00877F83"/>
    <w:rsid w:val="00880558"/>
    <w:rsid w:val="00881CB8"/>
    <w:rsid w:val="00885DA2"/>
    <w:rsid w:val="00886342"/>
    <w:rsid w:val="008875DE"/>
    <w:rsid w:val="0089092F"/>
    <w:rsid w:val="00896961"/>
    <w:rsid w:val="00896FF4"/>
    <w:rsid w:val="008A0E85"/>
    <w:rsid w:val="008A1DDE"/>
    <w:rsid w:val="008A371D"/>
    <w:rsid w:val="008A41CA"/>
    <w:rsid w:val="008A519D"/>
    <w:rsid w:val="008A5443"/>
    <w:rsid w:val="008A55A8"/>
    <w:rsid w:val="008A5F01"/>
    <w:rsid w:val="008A6B66"/>
    <w:rsid w:val="008B0969"/>
    <w:rsid w:val="008B11D0"/>
    <w:rsid w:val="008B4464"/>
    <w:rsid w:val="008B49F6"/>
    <w:rsid w:val="008B4BF2"/>
    <w:rsid w:val="008B50B8"/>
    <w:rsid w:val="008B56E5"/>
    <w:rsid w:val="008B5AFD"/>
    <w:rsid w:val="008B605C"/>
    <w:rsid w:val="008B6650"/>
    <w:rsid w:val="008B7A4E"/>
    <w:rsid w:val="008C1506"/>
    <w:rsid w:val="008C15EB"/>
    <w:rsid w:val="008C27C5"/>
    <w:rsid w:val="008C2D30"/>
    <w:rsid w:val="008C68EF"/>
    <w:rsid w:val="008C6C92"/>
    <w:rsid w:val="008C77F7"/>
    <w:rsid w:val="008D0AE4"/>
    <w:rsid w:val="008D1847"/>
    <w:rsid w:val="008D1B0D"/>
    <w:rsid w:val="008D2F52"/>
    <w:rsid w:val="008D6B57"/>
    <w:rsid w:val="008D74C3"/>
    <w:rsid w:val="008D7DFC"/>
    <w:rsid w:val="008E00FD"/>
    <w:rsid w:val="008E07C6"/>
    <w:rsid w:val="008E33EA"/>
    <w:rsid w:val="008E4180"/>
    <w:rsid w:val="008E5DFF"/>
    <w:rsid w:val="008E5F84"/>
    <w:rsid w:val="008E6A1B"/>
    <w:rsid w:val="008F0EA9"/>
    <w:rsid w:val="008F1B1E"/>
    <w:rsid w:val="008F2B7E"/>
    <w:rsid w:val="008F411D"/>
    <w:rsid w:val="008F4D31"/>
    <w:rsid w:val="008F53F5"/>
    <w:rsid w:val="008F5AFC"/>
    <w:rsid w:val="008F5FF0"/>
    <w:rsid w:val="008F61F2"/>
    <w:rsid w:val="008F63BC"/>
    <w:rsid w:val="008F7F78"/>
    <w:rsid w:val="00900316"/>
    <w:rsid w:val="0090122A"/>
    <w:rsid w:val="0090394F"/>
    <w:rsid w:val="00904EF2"/>
    <w:rsid w:val="009054D3"/>
    <w:rsid w:val="00907B9D"/>
    <w:rsid w:val="00910CFA"/>
    <w:rsid w:val="009125D2"/>
    <w:rsid w:val="00913F86"/>
    <w:rsid w:val="00915E3F"/>
    <w:rsid w:val="0091757C"/>
    <w:rsid w:val="0092099E"/>
    <w:rsid w:val="0092273F"/>
    <w:rsid w:val="009238F1"/>
    <w:rsid w:val="009249B4"/>
    <w:rsid w:val="009260C6"/>
    <w:rsid w:val="00926716"/>
    <w:rsid w:val="00926ED2"/>
    <w:rsid w:val="009270DB"/>
    <w:rsid w:val="0093491F"/>
    <w:rsid w:val="00935DF7"/>
    <w:rsid w:val="00935E14"/>
    <w:rsid w:val="009361DA"/>
    <w:rsid w:val="00942454"/>
    <w:rsid w:val="00946968"/>
    <w:rsid w:val="00950DB5"/>
    <w:rsid w:val="00951BD3"/>
    <w:rsid w:val="009559F2"/>
    <w:rsid w:val="00957310"/>
    <w:rsid w:val="0095750D"/>
    <w:rsid w:val="0096278C"/>
    <w:rsid w:val="00962B8F"/>
    <w:rsid w:val="00964464"/>
    <w:rsid w:val="00965665"/>
    <w:rsid w:val="0096632E"/>
    <w:rsid w:val="009669E1"/>
    <w:rsid w:val="00966D4F"/>
    <w:rsid w:val="00971F52"/>
    <w:rsid w:val="0097202E"/>
    <w:rsid w:val="00972E0B"/>
    <w:rsid w:val="009732CE"/>
    <w:rsid w:val="009748F0"/>
    <w:rsid w:val="00974A7C"/>
    <w:rsid w:val="0097587B"/>
    <w:rsid w:val="009766FE"/>
    <w:rsid w:val="00977715"/>
    <w:rsid w:val="009778EF"/>
    <w:rsid w:val="00980439"/>
    <w:rsid w:val="00982444"/>
    <w:rsid w:val="00982BA7"/>
    <w:rsid w:val="00982D92"/>
    <w:rsid w:val="00982F10"/>
    <w:rsid w:val="009834A0"/>
    <w:rsid w:val="009843A8"/>
    <w:rsid w:val="00984993"/>
    <w:rsid w:val="0098697A"/>
    <w:rsid w:val="009875EE"/>
    <w:rsid w:val="00987E22"/>
    <w:rsid w:val="00993EA1"/>
    <w:rsid w:val="0099496C"/>
    <w:rsid w:val="00996569"/>
    <w:rsid w:val="009A057B"/>
    <w:rsid w:val="009A06F0"/>
    <w:rsid w:val="009A14DE"/>
    <w:rsid w:val="009A7BC2"/>
    <w:rsid w:val="009B187D"/>
    <w:rsid w:val="009B1897"/>
    <w:rsid w:val="009B1BB7"/>
    <w:rsid w:val="009B3DA6"/>
    <w:rsid w:val="009B48D4"/>
    <w:rsid w:val="009B5B95"/>
    <w:rsid w:val="009B7FD2"/>
    <w:rsid w:val="009C0992"/>
    <w:rsid w:val="009C0C48"/>
    <w:rsid w:val="009C1830"/>
    <w:rsid w:val="009C23DA"/>
    <w:rsid w:val="009C24B3"/>
    <w:rsid w:val="009C2C09"/>
    <w:rsid w:val="009C2E5A"/>
    <w:rsid w:val="009C4583"/>
    <w:rsid w:val="009C6214"/>
    <w:rsid w:val="009C7B18"/>
    <w:rsid w:val="009C7B91"/>
    <w:rsid w:val="009C7C48"/>
    <w:rsid w:val="009C7D55"/>
    <w:rsid w:val="009C7F52"/>
    <w:rsid w:val="009D07F2"/>
    <w:rsid w:val="009D1884"/>
    <w:rsid w:val="009D24A3"/>
    <w:rsid w:val="009D3665"/>
    <w:rsid w:val="009D373E"/>
    <w:rsid w:val="009D3C84"/>
    <w:rsid w:val="009D4D3C"/>
    <w:rsid w:val="009D6969"/>
    <w:rsid w:val="009D7470"/>
    <w:rsid w:val="009D7A58"/>
    <w:rsid w:val="009E0BAE"/>
    <w:rsid w:val="009E0CED"/>
    <w:rsid w:val="009E17A2"/>
    <w:rsid w:val="009E26C0"/>
    <w:rsid w:val="009E2D23"/>
    <w:rsid w:val="009E4043"/>
    <w:rsid w:val="009E43C1"/>
    <w:rsid w:val="009F3BA0"/>
    <w:rsid w:val="009F3F5D"/>
    <w:rsid w:val="009F4B3E"/>
    <w:rsid w:val="009F4CB9"/>
    <w:rsid w:val="009F52B8"/>
    <w:rsid w:val="009F6F42"/>
    <w:rsid w:val="009F7924"/>
    <w:rsid w:val="00A004B5"/>
    <w:rsid w:val="00A01C02"/>
    <w:rsid w:val="00A05113"/>
    <w:rsid w:val="00A054DC"/>
    <w:rsid w:val="00A06502"/>
    <w:rsid w:val="00A069AE"/>
    <w:rsid w:val="00A10389"/>
    <w:rsid w:val="00A103BD"/>
    <w:rsid w:val="00A10AD7"/>
    <w:rsid w:val="00A1133E"/>
    <w:rsid w:val="00A11888"/>
    <w:rsid w:val="00A11E62"/>
    <w:rsid w:val="00A11E8F"/>
    <w:rsid w:val="00A12369"/>
    <w:rsid w:val="00A14357"/>
    <w:rsid w:val="00A1524F"/>
    <w:rsid w:val="00A1525F"/>
    <w:rsid w:val="00A15E63"/>
    <w:rsid w:val="00A167D9"/>
    <w:rsid w:val="00A17672"/>
    <w:rsid w:val="00A176BD"/>
    <w:rsid w:val="00A200E6"/>
    <w:rsid w:val="00A20C5D"/>
    <w:rsid w:val="00A20D02"/>
    <w:rsid w:val="00A239CC"/>
    <w:rsid w:val="00A23BC2"/>
    <w:rsid w:val="00A24BB8"/>
    <w:rsid w:val="00A279AC"/>
    <w:rsid w:val="00A30C5D"/>
    <w:rsid w:val="00A310F1"/>
    <w:rsid w:val="00A34480"/>
    <w:rsid w:val="00A35FAA"/>
    <w:rsid w:val="00A40163"/>
    <w:rsid w:val="00A409BC"/>
    <w:rsid w:val="00A413AD"/>
    <w:rsid w:val="00A41422"/>
    <w:rsid w:val="00A42F6D"/>
    <w:rsid w:val="00A443F8"/>
    <w:rsid w:val="00A44612"/>
    <w:rsid w:val="00A44720"/>
    <w:rsid w:val="00A44A92"/>
    <w:rsid w:val="00A51337"/>
    <w:rsid w:val="00A540A5"/>
    <w:rsid w:val="00A54248"/>
    <w:rsid w:val="00A55B6F"/>
    <w:rsid w:val="00A609D3"/>
    <w:rsid w:val="00A619B5"/>
    <w:rsid w:val="00A6388E"/>
    <w:rsid w:val="00A70398"/>
    <w:rsid w:val="00A709AD"/>
    <w:rsid w:val="00A733CB"/>
    <w:rsid w:val="00A751AD"/>
    <w:rsid w:val="00A775CF"/>
    <w:rsid w:val="00A77853"/>
    <w:rsid w:val="00A77FAF"/>
    <w:rsid w:val="00A80C87"/>
    <w:rsid w:val="00A81D60"/>
    <w:rsid w:val="00A83241"/>
    <w:rsid w:val="00A84503"/>
    <w:rsid w:val="00A8782F"/>
    <w:rsid w:val="00A90C74"/>
    <w:rsid w:val="00A9167D"/>
    <w:rsid w:val="00A919E7"/>
    <w:rsid w:val="00A9293A"/>
    <w:rsid w:val="00A92D25"/>
    <w:rsid w:val="00A943E1"/>
    <w:rsid w:val="00A94689"/>
    <w:rsid w:val="00A94DDB"/>
    <w:rsid w:val="00A96349"/>
    <w:rsid w:val="00A965CD"/>
    <w:rsid w:val="00AA27AA"/>
    <w:rsid w:val="00AA2DF3"/>
    <w:rsid w:val="00AA50BC"/>
    <w:rsid w:val="00AA70B4"/>
    <w:rsid w:val="00AB0B01"/>
    <w:rsid w:val="00AB1A63"/>
    <w:rsid w:val="00AB24E7"/>
    <w:rsid w:val="00AB3237"/>
    <w:rsid w:val="00AB3A2D"/>
    <w:rsid w:val="00AB75AE"/>
    <w:rsid w:val="00AB76EC"/>
    <w:rsid w:val="00AB7933"/>
    <w:rsid w:val="00AB7A09"/>
    <w:rsid w:val="00AB7C05"/>
    <w:rsid w:val="00AC13C9"/>
    <w:rsid w:val="00AC3D18"/>
    <w:rsid w:val="00AD10CF"/>
    <w:rsid w:val="00AD2FC0"/>
    <w:rsid w:val="00AD35EA"/>
    <w:rsid w:val="00AD3BC7"/>
    <w:rsid w:val="00AD4967"/>
    <w:rsid w:val="00AD562E"/>
    <w:rsid w:val="00AD5B1B"/>
    <w:rsid w:val="00AD6DB9"/>
    <w:rsid w:val="00AE2459"/>
    <w:rsid w:val="00AE29C2"/>
    <w:rsid w:val="00AE3D23"/>
    <w:rsid w:val="00AE4EC8"/>
    <w:rsid w:val="00AE5D9F"/>
    <w:rsid w:val="00AE5F15"/>
    <w:rsid w:val="00AE61C0"/>
    <w:rsid w:val="00AE76C9"/>
    <w:rsid w:val="00AF0C7E"/>
    <w:rsid w:val="00AF0EB2"/>
    <w:rsid w:val="00AF1167"/>
    <w:rsid w:val="00AF2221"/>
    <w:rsid w:val="00AF2791"/>
    <w:rsid w:val="00AF32F0"/>
    <w:rsid w:val="00AF3811"/>
    <w:rsid w:val="00AF418D"/>
    <w:rsid w:val="00AF47A1"/>
    <w:rsid w:val="00AF560E"/>
    <w:rsid w:val="00AF6220"/>
    <w:rsid w:val="00AF70EE"/>
    <w:rsid w:val="00AF7618"/>
    <w:rsid w:val="00B00B01"/>
    <w:rsid w:val="00B02162"/>
    <w:rsid w:val="00B04550"/>
    <w:rsid w:val="00B04964"/>
    <w:rsid w:val="00B061AE"/>
    <w:rsid w:val="00B06ACC"/>
    <w:rsid w:val="00B10605"/>
    <w:rsid w:val="00B10F95"/>
    <w:rsid w:val="00B12331"/>
    <w:rsid w:val="00B15B71"/>
    <w:rsid w:val="00B21941"/>
    <w:rsid w:val="00B21E61"/>
    <w:rsid w:val="00B21EB4"/>
    <w:rsid w:val="00B22F29"/>
    <w:rsid w:val="00B233F5"/>
    <w:rsid w:val="00B23F55"/>
    <w:rsid w:val="00B24916"/>
    <w:rsid w:val="00B2691D"/>
    <w:rsid w:val="00B26C44"/>
    <w:rsid w:val="00B273B4"/>
    <w:rsid w:val="00B27820"/>
    <w:rsid w:val="00B30944"/>
    <w:rsid w:val="00B33F4D"/>
    <w:rsid w:val="00B364D0"/>
    <w:rsid w:val="00B36B81"/>
    <w:rsid w:val="00B37148"/>
    <w:rsid w:val="00B42B56"/>
    <w:rsid w:val="00B460B5"/>
    <w:rsid w:val="00B47F4C"/>
    <w:rsid w:val="00B51526"/>
    <w:rsid w:val="00B56B78"/>
    <w:rsid w:val="00B60F6F"/>
    <w:rsid w:val="00B60FAC"/>
    <w:rsid w:val="00B61348"/>
    <w:rsid w:val="00B617F3"/>
    <w:rsid w:val="00B61A52"/>
    <w:rsid w:val="00B6230B"/>
    <w:rsid w:val="00B64DE4"/>
    <w:rsid w:val="00B65221"/>
    <w:rsid w:val="00B676B8"/>
    <w:rsid w:val="00B70C9E"/>
    <w:rsid w:val="00B71222"/>
    <w:rsid w:val="00B7358B"/>
    <w:rsid w:val="00B7388C"/>
    <w:rsid w:val="00B73E0D"/>
    <w:rsid w:val="00B830A1"/>
    <w:rsid w:val="00B83705"/>
    <w:rsid w:val="00B83CA0"/>
    <w:rsid w:val="00B84243"/>
    <w:rsid w:val="00B85C34"/>
    <w:rsid w:val="00B86625"/>
    <w:rsid w:val="00B876C0"/>
    <w:rsid w:val="00B9211B"/>
    <w:rsid w:val="00B93884"/>
    <w:rsid w:val="00B94638"/>
    <w:rsid w:val="00B94A65"/>
    <w:rsid w:val="00B94ADF"/>
    <w:rsid w:val="00B94BF8"/>
    <w:rsid w:val="00B94FB4"/>
    <w:rsid w:val="00B95D2D"/>
    <w:rsid w:val="00B9676C"/>
    <w:rsid w:val="00BA0966"/>
    <w:rsid w:val="00BA0CC9"/>
    <w:rsid w:val="00BA0F2F"/>
    <w:rsid w:val="00BA1DE1"/>
    <w:rsid w:val="00BA1ED1"/>
    <w:rsid w:val="00BA2F8D"/>
    <w:rsid w:val="00BA379F"/>
    <w:rsid w:val="00BA6777"/>
    <w:rsid w:val="00BB2A98"/>
    <w:rsid w:val="00BB2B07"/>
    <w:rsid w:val="00BB3AB5"/>
    <w:rsid w:val="00BB3DA8"/>
    <w:rsid w:val="00BB498B"/>
    <w:rsid w:val="00BB6D23"/>
    <w:rsid w:val="00BB721D"/>
    <w:rsid w:val="00BB7455"/>
    <w:rsid w:val="00BC2C65"/>
    <w:rsid w:val="00BC3CAB"/>
    <w:rsid w:val="00BC42CE"/>
    <w:rsid w:val="00BC6702"/>
    <w:rsid w:val="00BC78AD"/>
    <w:rsid w:val="00BD210E"/>
    <w:rsid w:val="00BE27C7"/>
    <w:rsid w:val="00BE70B3"/>
    <w:rsid w:val="00BE7D58"/>
    <w:rsid w:val="00BF0270"/>
    <w:rsid w:val="00BF0E14"/>
    <w:rsid w:val="00BF164E"/>
    <w:rsid w:val="00BF23C3"/>
    <w:rsid w:val="00BF5548"/>
    <w:rsid w:val="00BF6D42"/>
    <w:rsid w:val="00BF74F7"/>
    <w:rsid w:val="00BF7ED9"/>
    <w:rsid w:val="00C008F0"/>
    <w:rsid w:val="00C00AA5"/>
    <w:rsid w:val="00C03A93"/>
    <w:rsid w:val="00C07DEC"/>
    <w:rsid w:val="00C1005F"/>
    <w:rsid w:val="00C107D2"/>
    <w:rsid w:val="00C10E26"/>
    <w:rsid w:val="00C11F05"/>
    <w:rsid w:val="00C11F2F"/>
    <w:rsid w:val="00C12D0A"/>
    <w:rsid w:val="00C15DEF"/>
    <w:rsid w:val="00C171AB"/>
    <w:rsid w:val="00C20E76"/>
    <w:rsid w:val="00C23647"/>
    <w:rsid w:val="00C2476F"/>
    <w:rsid w:val="00C258F6"/>
    <w:rsid w:val="00C2641F"/>
    <w:rsid w:val="00C3009E"/>
    <w:rsid w:val="00C31E81"/>
    <w:rsid w:val="00C3239B"/>
    <w:rsid w:val="00C326DA"/>
    <w:rsid w:val="00C3324A"/>
    <w:rsid w:val="00C337D5"/>
    <w:rsid w:val="00C342CD"/>
    <w:rsid w:val="00C34390"/>
    <w:rsid w:val="00C34C59"/>
    <w:rsid w:val="00C359BA"/>
    <w:rsid w:val="00C36775"/>
    <w:rsid w:val="00C41D55"/>
    <w:rsid w:val="00C428E6"/>
    <w:rsid w:val="00C42D37"/>
    <w:rsid w:val="00C431A3"/>
    <w:rsid w:val="00C44BE3"/>
    <w:rsid w:val="00C44C1D"/>
    <w:rsid w:val="00C45579"/>
    <w:rsid w:val="00C52077"/>
    <w:rsid w:val="00C53EF2"/>
    <w:rsid w:val="00C55846"/>
    <w:rsid w:val="00C6305B"/>
    <w:rsid w:val="00C63C1F"/>
    <w:rsid w:val="00C63ED7"/>
    <w:rsid w:val="00C64E0C"/>
    <w:rsid w:val="00C66B65"/>
    <w:rsid w:val="00C74126"/>
    <w:rsid w:val="00C7418D"/>
    <w:rsid w:val="00C74C39"/>
    <w:rsid w:val="00C74DA9"/>
    <w:rsid w:val="00C753CE"/>
    <w:rsid w:val="00C7638D"/>
    <w:rsid w:val="00C763EA"/>
    <w:rsid w:val="00C778F7"/>
    <w:rsid w:val="00C8049D"/>
    <w:rsid w:val="00C85E77"/>
    <w:rsid w:val="00C866BE"/>
    <w:rsid w:val="00C8748F"/>
    <w:rsid w:val="00C87FB8"/>
    <w:rsid w:val="00C906D1"/>
    <w:rsid w:val="00C91CF4"/>
    <w:rsid w:val="00C92123"/>
    <w:rsid w:val="00C93B2B"/>
    <w:rsid w:val="00C95374"/>
    <w:rsid w:val="00C95596"/>
    <w:rsid w:val="00C95850"/>
    <w:rsid w:val="00C95B85"/>
    <w:rsid w:val="00C97F24"/>
    <w:rsid w:val="00CA0B5E"/>
    <w:rsid w:val="00CA0F4F"/>
    <w:rsid w:val="00CA2F21"/>
    <w:rsid w:val="00CA3214"/>
    <w:rsid w:val="00CA35EE"/>
    <w:rsid w:val="00CA450E"/>
    <w:rsid w:val="00CA4819"/>
    <w:rsid w:val="00CA49A3"/>
    <w:rsid w:val="00CA600B"/>
    <w:rsid w:val="00CA662C"/>
    <w:rsid w:val="00CA709C"/>
    <w:rsid w:val="00CA7BA1"/>
    <w:rsid w:val="00CB16FA"/>
    <w:rsid w:val="00CB1F59"/>
    <w:rsid w:val="00CB4589"/>
    <w:rsid w:val="00CB54F0"/>
    <w:rsid w:val="00CB62C0"/>
    <w:rsid w:val="00CB795F"/>
    <w:rsid w:val="00CB797D"/>
    <w:rsid w:val="00CC0486"/>
    <w:rsid w:val="00CC0B67"/>
    <w:rsid w:val="00CC1B1A"/>
    <w:rsid w:val="00CC4867"/>
    <w:rsid w:val="00CC5AB0"/>
    <w:rsid w:val="00CC5ED2"/>
    <w:rsid w:val="00CC7ED8"/>
    <w:rsid w:val="00CC7F08"/>
    <w:rsid w:val="00CD1BF3"/>
    <w:rsid w:val="00CD29A5"/>
    <w:rsid w:val="00CD3382"/>
    <w:rsid w:val="00CD4601"/>
    <w:rsid w:val="00CD6ED1"/>
    <w:rsid w:val="00CE0085"/>
    <w:rsid w:val="00CE0472"/>
    <w:rsid w:val="00CE2B6C"/>
    <w:rsid w:val="00CE2C1A"/>
    <w:rsid w:val="00CE3F53"/>
    <w:rsid w:val="00CE4134"/>
    <w:rsid w:val="00CE558E"/>
    <w:rsid w:val="00CE7933"/>
    <w:rsid w:val="00CF2C6F"/>
    <w:rsid w:val="00CF3254"/>
    <w:rsid w:val="00CF4131"/>
    <w:rsid w:val="00CF5085"/>
    <w:rsid w:val="00D00382"/>
    <w:rsid w:val="00D0086A"/>
    <w:rsid w:val="00D02EF1"/>
    <w:rsid w:val="00D05127"/>
    <w:rsid w:val="00D055DE"/>
    <w:rsid w:val="00D05719"/>
    <w:rsid w:val="00D07A8D"/>
    <w:rsid w:val="00D1024D"/>
    <w:rsid w:val="00D120BF"/>
    <w:rsid w:val="00D143EC"/>
    <w:rsid w:val="00D1741D"/>
    <w:rsid w:val="00D174C3"/>
    <w:rsid w:val="00D17D15"/>
    <w:rsid w:val="00D17E55"/>
    <w:rsid w:val="00D2179B"/>
    <w:rsid w:val="00D22699"/>
    <w:rsid w:val="00D2316C"/>
    <w:rsid w:val="00D24FF4"/>
    <w:rsid w:val="00D30A84"/>
    <w:rsid w:val="00D30CBA"/>
    <w:rsid w:val="00D323B5"/>
    <w:rsid w:val="00D327B7"/>
    <w:rsid w:val="00D36333"/>
    <w:rsid w:val="00D37B68"/>
    <w:rsid w:val="00D37C36"/>
    <w:rsid w:val="00D428B3"/>
    <w:rsid w:val="00D43447"/>
    <w:rsid w:val="00D44D21"/>
    <w:rsid w:val="00D459CF"/>
    <w:rsid w:val="00D46A7B"/>
    <w:rsid w:val="00D50C9B"/>
    <w:rsid w:val="00D5165C"/>
    <w:rsid w:val="00D518B3"/>
    <w:rsid w:val="00D549BF"/>
    <w:rsid w:val="00D551E1"/>
    <w:rsid w:val="00D55763"/>
    <w:rsid w:val="00D5708A"/>
    <w:rsid w:val="00D576B5"/>
    <w:rsid w:val="00D57849"/>
    <w:rsid w:val="00D60439"/>
    <w:rsid w:val="00D6199A"/>
    <w:rsid w:val="00D655F5"/>
    <w:rsid w:val="00D6661E"/>
    <w:rsid w:val="00D70BF5"/>
    <w:rsid w:val="00D70EB2"/>
    <w:rsid w:val="00D715EF"/>
    <w:rsid w:val="00D75924"/>
    <w:rsid w:val="00D75DD0"/>
    <w:rsid w:val="00D7602E"/>
    <w:rsid w:val="00D76996"/>
    <w:rsid w:val="00D7743F"/>
    <w:rsid w:val="00D77A83"/>
    <w:rsid w:val="00D81071"/>
    <w:rsid w:val="00D816B5"/>
    <w:rsid w:val="00D82879"/>
    <w:rsid w:val="00D83B82"/>
    <w:rsid w:val="00D84105"/>
    <w:rsid w:val="00D85D3F"/>
    <w:rsid w:val="00D87479"/>
    <w:rsid w:val="00D9150D"/>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B10A8"/>
    <w:rsid w:val="00DB2D39"/>
    <w:rsid w:val="00DB4C98"/>
    <w:rsid w:val="00DB584E"/>
    <w:rsid w:val="00DB69D9"/>
    <w:rsid w:val="00DB6D87"/>
    <w:rsid w:val="00DC32EC"/>
    <w:rsid w:val="00DC4099"/>
    <w:rsid w:val="00DC4790"/>
    <w:rsid w:val="00DC6737"/>
    <w:rsid w:val="00DD051E"/>
    <w:rsid w:val="00DD0BA0"/>
    <w:rsid w:val="00DD5E1B"/>
    <w:rsid w:val="00DD7B40"/>
    <w:rsid w:val="00DD7CC1"/>
    <w:rsid w:val="00DE117E"/>
    <w:rsid w:val="00DE1987"/>
    <w:rsid w:val="00DE2A71"/>
    <w:rsid w:val="00DE36CF"/>
    <w:rsid w:val="00DE42BA"/>
    <w:rsid w:val="00DE4CD1"/>
    <w:rsid w:val="00DE50C2"/>
    <w:rsid w:val="00DE566F"/>
    <w:rsid w:val="00DE5DF9"/>
    <w:rsid w:val="00DE5E0C"/>
    <w:rsid w:val="00DF0728"/>
    <w:rsid w:val="00DF1ADC"/>
    <w:rsid w:val="00DF2249"/>
    <w:rsid w:val="00DF30D5"/>
    <w:rsid w:val="00DF363A"/>
    <w:rsid w:val="00DF4173"/>
    <w:rsid w:val="00DF4C9E"/>
    <w:rsid w:val="00DF61C8"/>
    <w:rsid w:val="00DF6323"/>
    <w:rsid w:val="00DF6B26"/>
    <w:rsid w:val="00DF70FB"/>
    <w:rsid w:val="00DF744E"/>
    <w:rsid w:val="00E00258"/>
    <w:rsid w:val="00E01B7C"/>
    <w:rsid w:val="00E054BA"/>
    <w:rsid w:val="00E05967"/>
    <w:rsid w:val="00E06F9F"/>
    <w:rsid w:val="00E10D3F"/>
    <w:rsid w:val="00E121DD"/>
    <w:rsid w:val="00E14195"/>
    <w:rsid w:val="00E14B6C"/>
    <w:rsid w:val="00E15A7E"/>
    <w:rsid w:val="00E1675C"/>
    <w:rsid w:val="00E16977"/>
    <w:rsid w:val="00E16BE1"/>
    <w:rsid w:val="00E17DAB"/>
    <w:rsid w:val="00E20628"/>
    <w:rsid w:val="00E2103B"/>
    <w:rsid w:val="00E2256F"/>
    <w:rsid w:val="00E22A07"/>
    <w:rsid w:val="00E23015"/>
    <w:rsid w:val="00E26003"/>
    <w:rsid w:val="00E273FF"/>
    <w:rsid w:val="00E27685"/>
    <w:rsid w:val="00E27B91"/>
    <w:rsid w:val="00E30FE2"/>
    <w:rsid w:val="00E37BA9"/>
    <w:rsid w:val="00E42411"/>
    <w:rsid w:val="00E42C8A"/>
    <w:rsid w:val="00E4345C"/>
    <w:rsid w:val="00E43965"/>
    <w:rsid w:val="00E43E3B"/>
    <w:rsid w:val="00E4452C"/>
    <w:rsid w:val="00E4582E"/>
    <w:rsid w:val="00E45DA0"/>
    <w:rsid w:val="00E46611"/>
    <w:rsid w:val="00E46AB8"/>
    <w:rsid w:val="00E473B3"/>
    <w:rsid w:val="00E51F1C"/>
    <w:rsid w:val="00E536F4"/>
    <w:rsid w:val="00E54185"/>
    <w:rsid w:val="00E551F8"/>
    <w:rsid w:val="00E55963"/>
    <w:rsid w:val="00E55ABA"/>
    <w:rsid w:val="00E5604F"/>
    <w:rsid w:val="00E56782"/>
    <w:rsid w:val="00E6158E"/>
    <w:rsid w:val="00E62B36"/>
    <w:rsid w:val="00E62DF5"/>
    <w:rsid w:val="00E647C8"/>
    <w:rsid w:val="00E64C02"/>
    <w:rsid w:val="00E67C82"/>
    <w:rsid w:val="00E702CE"/>
    <w:rsid w:val="00E70F0A"/>
    <w:rsid w:val="00E731D7"/>
    <w:rsid w:val="00E73765"/>
    <w:rsid w:val="00E73D4B"/>
    <w:rsid w:val="00E74ACE"/>
    <w:rsid w:val="00E77ADE"/>
    <w:rsid w:val="00E77C06"/>
    <w:rsid w:val="00E82607"/>
    <w:rsid w:val="00E831F7"/>
    <w:rsid w:val="00E835D7"/>
    <w:rsid w:val="00E84AB4"/>
    <w:rsid w:val="00E855E0"/>
    <w:rsid w:val="00E860B7"/>
    <w:rsid w:val="00E8780D"/>
    <w:rsid w:val="00E9027A"/>
    <w:rsid w:val="00E90AEC"/>
    <w:rsid w:val="00E95527"/>
    <w:rsid w:val="00E95DB8"/>
    <w:rsid w:val="00E95E3B"/>
    <w:rsid w:val="00E97527"/>
    <w:rsid w:val="00EA186C"/>
    <w:rsid w:val="00EA5A9E"/>
    <w:rsid w:val="00EA6556"/>
    <w:rsid w:val="00EA6842"/>
    <w:rsid w:val="00EB04C4"/>
    <w:rsid w:val="00EB1B80"/>
    <w:rsid w:val="00EB4175"/>
    <w:rsid w:val="00EB4C26"/>
    <w:rsid w:val="00EB5127"/>
    <w:rsid w:val="00EB53F2"/>
    <w:rsid w:val="00EB7803"/>
    <w:rsid w:val="00EC0295"/>
    <w:rsid w:val="00EC0454"/>
    <w:rsid w:val="00EC19FA"/>
    <w:rsid w:val="00EC5F86"/>
    <w:rsid w:val="00EC7F52"/>
    <w:rsid w:val="00ED0940"/>
    <w:rsid w:val="00ED25CE"/>
    <w:rsid w:val="00ED3A55"/>
    <w:rsid w:val="00ED402C"/>
    <w:rsid w:val="00ED6081"/>
    <w:rsid w:val="00EE0455"/>
    <w:rsid w:val="00EE0ACF"/>
    <w:rsid w:val="00EE2749"/>
    <w:rsid w:val="00EE37DE"/>
    <w:rsid w:val="00EE67C5"/>
    <w:rsid w:val="00EE79BD"/>
    <w:rsid w:val="00EE7C90"/>
    <w:rsid w:val="00EF1185"/>
    <w:rsid w:val="00EF18EF"/>
    <w:rsid w:val="00EF4031"/>
    <w:rsid w:val="00F01FF7"/>
    <w:rsid w:val="00F05908"/>
    <w:rsid w:val="00F10305"/>
    <w:rsid w:val="00F1076B"/>
    <w:rsid w:val="00F10D71"/>
    <w:rsid w:val="00F11B9B"/>
    <w:rsid w:val="00F11D20"/>
    <w:rsid w:val="00F120D0"/>
    <w:rsid w:val="00F13E0D"/>
    <w:rsid w:val="00F20B6E"/>
    <w:rsid w:val="00F20FF5"/>
    <w:rsid w:val="00F23729"/>
    <w:rsid w:val="00F248EC"/>
    <w:rsid w:val="00F24BCF"/>
    <w:rsid w:val="00F24C64"/>
    <w:rsid w:val="00F25C8D"/>
    <w:rsid w:val="00F25E56"/>
    <w:rsid w:val="00F2639B"/>
    <w:rsid w:val="00F276EE"/>
    <w:rsid w:val="00F3255F"/>
    <w:rsid w:val="00F32576"/>
    <w:rsid w:val="00F32C53"/>
    <w:rsid w:val="00F3510E"/>
    <w:rsid w:val="00F35B8D"/>
    <w:rsid w:val="00F373DC"/>
    <w:rsid w:val="00F37EF3"/>
    <w:rsid w:val="00F403D6"/>
    <w:rsid w:val="00F40782"/>
    <w:rsid w:val="00F41A99"/>
    <w:rsid w:val="00F422EF"/>
    <w:rsid w:val="00F42894"/>
    <w:rsid w:val="00F45CF2"/>
    <w:rsid w:val="00F47B25"/>
    <w:rsid w:val="00F51346"/>
    <w:rsid w:val="00F5235B"/>
    <w:rsid w:val="00F53C43"/>
    <w:rsid w:val="00F54947"/>
    <w:rsid w:val="00F54F7B"/>
    <w:rsid w:val="00F560DC"/>
    <w:rsid w:val="00F56916"/>
    <w:rsid w:val="00F56AD0"/>
    <w:rsid w:val="00F56CB1"/>
    <w:rsid w:val="00F626C2"/>
    <w:rsid w:val="00F63B53"/>
    <w:rsid w:val="00F63F85"/>
    <w:rsid w:val="00F64B73"/>
    <w:rsid w:val="00F65819"/>
    <w:rsid w:val="00F67A6B"/>
    <w:rsid w:val="00F72D23"/>
    <w:rsid w:val="00F7379B"/>
    <w:rsid w:val="00F74CB0"/>
    <w:rsid w:val="00F75495"/>
    <w:rsid w:val="00F765EB"/>
    <w:rsid w:val="00F81CE4"/>
    <w:rsid w:val="00F8404E"/>
    <w:rsid w:val="00F8673B"/>
    <w:rsid w:val="00F87B5B"/>
    <w:rsid w:val="00F908F8"/>
    <w:rsid w:val="00F92442"/>
    <w:rsid w:val="00F926C8"/>
    <w:rsid w:val="00F9308B"/>
    <w:rsid w:val="00F97D2D"/>
    <w:rsid w:val="00FA023B"/>
    <w:rsid w:val="00FA05A4"/>
    <w:rsid w:val="00FA30C2"/>
    <w:rsid w:val="00FA63B6"/>
    <w:rsid w:val="00FA64DF"/>
    <w:rsid w:val="00FA7135"/>
    <w:rsid w:val="00FA71DC"/>
    <w:rsid w:val="00FA784C"/>
    <w:rsid w:val="00FB045A"/>
    <w:rsid w:val="00FB06E1"/>
    <w:rsid w:val="00FB0CA2"/>
    <w:rsid w:val="00FB308D"/>
    <w:rsid w:val="00FB5FF4"/>
    <w:rsid w:val="00FB6216"/>
    <w:rsid w:val="00FB6912"/>
    <w:rsid w:val="00FC00DD"/>
    <w:rsid w:val="00FC0675"/>
    <w:rsid w:val="00FC1239"/>
    <w:rsid w:val="00FC1247"/>
    <w:rsid w:val="00FC157A"/>
    <w:rsid w:val="00FC1C66"/>
    <w:rsid w:val="00FC1F17"/>
    <w:rsid w:val="00FC3CD4"/>
    <w:rsid w:val="00FC46B2"/>
    <w:rsid w:val="00FC4944"/>
    <w:rsid w:val="00FC5E29"/>
    <w:rsid w:val="00FD1B30"/>
    <w:rsid w:val="00FD3D3E"/>
    <w:rsid w:val="00FD4377"/>
    <w:rsid w:val="00FD5051"/>
    <w:rsid w:val="00FD5958"/>
    <w:rsid w:val="00FD5A0F"/>
    <w:rsid w:val="00FD5B76"/>
    <w:rsid w:val="00FD756D"/>
    <w:rsid w:val="00FD7972"/>
    <w:rsid w:val="00FD7A9E"/>
    <w:rsid w:val="00FE059A"/>
    <w:rsid w:val="00FE0781"/>
    <w:rsid w:val="00FE158E"/>
    <w:rsid w:val="00FE29AF"/>
    <w:rsid w:val="00FE4BF0"/>
    <w:rsid w:val="00FE54AE"/>
    <w:rsid w:val="00FF2339"/>
    <w:rsid w:val="00FF2430"/>
    <w:rsid w:val="00FF26B9"/>
    <w:rsid w:val="00FF33AA"/>
    <w:rsid w:val="00FF371D"/>
    <w:rsid w:val="00FF637D"/>
    <w:rsid w:val="00FF64CF"/>
    <w:rsid w:val="00FF6999"/>
    <w:rsid w:val="00FF6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162"/>
    <w:pPr>
      <w:spacing w:before="80" w:after="80"/>
    </w:pPr>
    <w:rPr>
      <w:rFonts w:ascii="Book Antiqua" w:hAnsi="Book Antiqua"/>
    </w:rPr>
  </w:style>
  <w:style w:type="paragraph" w:styleId="Heading1">
    <w:name w:val="heading 1"/>
    <w:basedOn w:val="HeadingBase"/>
    <w:next w:val="Normal"/>
    <w:link w:val="Heading1Char"/>
    <w:qFormat/>
    <w:rsid w:val="007F3CCF"/>
    <w:pPr>
      <w:spacing w:after="240"/>
      <w:jc w:val="center"/>
      <w:outlineLvl w:val="0"/>
    </w:pPr>
    <w:rPr>
      <w:rFonts w:ascii="Arial Bold" w:hAnsi="Arial Bold"/>
      <w:b/>
      <w:smallCaps/>
      <w:kern w:val="28"/>
      <w:sz w:val="34"/>
    </w:rPr>
  </w:style>
  <w:style w:type="paragraph" w:styleId="Heading2">
    <w:name w:val="heading 2"/>
    <w:basedOn w:val="HeadingBase"/>
    <w:next w:val="Normal"/>
    <w:link w:val="Heading2Char"/>
    <w:qFormat/>
    <w:rsid w:val="00FC157A"/>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2256F"/>
    <w:pPr>
      <w:spacing w:before="240" w:after="60" w:line="360" w:lineRule="auto"/>
      <w:outlineLvl w:val="4"/>
    </w:pPr>
    <w:rPr>
      <w:b/>
      <w:bCs/>
      <w:iCs/>
      <w:sz w:val="21"/>
      <w:szCs w:val="26"/>
    </w:rPr>
  </w:style>
  <w:style w:type="paragraph" w:styleId="Heading6">
    <w:name w:val="heading 6"/>
    <w:basedOn w:val="HeadingBase"/>
    <w:next w:val="Normal"/>
    <w:qFormat/>
    <w:rsid w:val="001D4CAA"/>
    <w:pPr>
      <w:spacing w:after="120"/>
      <w:outlineLvl w:val="5"/>
    </w:pPr>
    <w:rPr>
      <w:b/>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FC157A"/>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link w:val="DashChar"/>
    <w:rsid w:val="008636B4"/>
    <w:pPr>
      <w:numPr>
        <w:ilvl w:val="1"/>
        <w:numId w:val="2"/>
      </w:numPr>
      <w:ind w:left="568"/>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style>
  <w:style w:type="paragraph" w:customStyle="1" w:styleId="TableGraphic">
    <w:name w:val="Table Graphic"/>
    <w:basedOn w:val="Normal"/>
    <w:next w:val="Normal"/>
    <w:rsid w:val="00EC5F86"/>
    <w:pPr>
      <w:spacing w:after="0"/>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pPr>
    <w:rPr>
      <w:rFonts w:ascii="Arial" w:hAnsi="Arial"/>
      <w:sz w:val="16"/>
    </w:rPr>
  </w:style>
  <w:style w:type="paragraph" w:customStyle="1" w:styleId="TableTextBase">
    <w:name w:val="Table Text Base"/>
    <w:basedOn w:val="Normal"/>
    <w:link w:val="TableTextBaseChar"/>
    <w:rsid w:val="00FE158E"/>
    <w:pPr>
      <w:spacing w:before="60" w:after="60"/>
    </w:pPr>
    <w:rPr>
      <w:sz w:val="18"/>
    </w:rPr>
  </w:style>
  <w:style w:type="paragraph" w:customStyle="1" w:styleId="TableColumnHeadingBase">
    <w:name w:val="Table Column Heading Base"/>
    <w:basedOn w:val="Normal"/>
    <w:rsid w:val="00EC5F86"/>
    <w:pPr>
      <w:spacing w:before="60" w:after="60"/>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76273D"/>
    <w:pPr>
      <w:spacing w:before="120" w:after="120"/>
    </w:pPr>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B21E61"/>
    <w:pPr>
      <w:tabs>
        <w:tab w:val="center" w:pos="4153"/>
        <w:tab w:val="right" w:pos="8306"/>
      </w:tabs>
    </w:pPr>
    <w:rPr>
      <w:rFonts w:ascii="Book Antiqua" w:hAnsi="Book Antiqua"/>
      <w:sz w:val="18"/>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rsid w:val="00EC5F86"/>
    <w:rPr>
      <w:sz w:val="16"/>
      <w:szCs w:val="16"/>
    </w:rPr>
  </w:style>
  <w:style w:type="paragraph" w:styleId="CommentText">
    <w:name w:val="annotation text"/>
    <w:basedOn w:val="Normal"/>
    <w:link w:val="CommentTextChar"/>
    <w:uiPriority w:val="99"/>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aliases w:val="Footnote text"/>
    <w:uiPriority w:val="99"/>
    <w:rsid w:val="00EC5F86"/>
    <w:rPr>
      <w:vertAlign w:val="superscript"/>
    </w:rPr>
  </w:style>
  <w:style w:type="paragraph" w:styleId="FootnoteText">
    <w:name w:val="footnote text"/>
    <w:basedOn w:val="Normal"/>
    <w:link w:val="FootnoteTextChar"/>
    <w:rsid w:val="00070C05"/>
    <w:pPr>
      <w:tabs>
        <w:tab w:val="left" w:pos="284"/>
      </w:tabs>
      <w:ind w:left="113" w:hanging="113"/>
    </w:pPr>
    <w:rPr>
      <w:sz w:val="16"/>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after="20"/>
      <w:jc w:val="center"/>
    </w:pPr>
    <w:rPr>
      <w:rFonts w:ascii="Arial" w:hAnsi="Arial"/>
      <w:b/>
    </w:rPr>
  </w:style>
  <w:style w:type="table" w:styleId="TableGrid">
    <w:name w:val="Table Grid"/>
    <w:basedOn w:val="TableNormal"/>
    <w:uiPriority w:val="59"/>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7F3CCF"/>
    <w:pPr>
      <w:spacing w:after="0"/>
      <w:jc w:val="center"/>
    </w:pPr>
    <w:rPr>
      <w:rFonts w:ascii="Arial Bold" w:hAnsi="Arial Bold"/>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pPr>
    <w:rPr>
      <w:b/>
      <w:sz w:val="22"/>
    </w:rPr>
  </w:style>
  <w:style w:type="paragraph" w:customStyle="1" w:styleId="TableColumnOutgroupSubheading">
    <w:name w:val="Table Column Outgroup Subheading"/>
    <w:basedOn w:val="Normal"/>
    <w:rsid w:val="00EC5F86"/>
    <w:pPr>
      <w:spacing w:before="60"/>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FC157A"/>
    <w:rPr>
      <w:rFonts w:ascii="Arial" w:hAnsi="Arial"/>
      <w:b/>
    </w:rPr>
  </w:style>
  <w:style w:type="character" w:customStyle="1" w:styleId="TableTextBaseChar">
    <w:name w:val="Table Text Base Char"/>
    <w:link w:val="TableTextBase"/>
    <w:rsid w:val="00FE158E"/>
    <w:rPr>
      <w:rFonts w:ascii="Book Antiqua" w:hAnsi="Book Antiqua"/>
      <w:sz w:val="18"/>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line="280" w:lineRule="exact"/>
    </w:pPr>
    <w:rPr>
      <w:rFonts w:ascii="Arial" w:hAnsi="Arial" w:cs="Arial"/>
      <w:b/>
    </w:rPr>
  </w:style>
  <w:style w:type="paragraph" w:customStyle="1" w:styleId="ProgramHeading">
    <w:name w:val="Program Heading"/>
    <w:basedOn w:val="HeadingBase"/>
    <w:rsid w:val="00E82607"/>
    <w:pPr>
      <w:pBdr>
        <w:top w:val="single" w:sz="2" w:space="3" w:color="auto"/>
        <w:left w:val="single" w:sz="2" w:space="4" w:color="auto"/>
        <w:bottom w:val="single" w:sz="2" w:space="3" w:color="auto"/>
        <w:right w:val="single" w:sz="2" w:space="4"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B21E61"/>
    <w:rPr>
      <w:rFonts w:ascii="Book Antiqua" w:hAnsi="Book Antiqua"/>
      <w:sz w:val="18"/>
    </w:rPr>
  </w:style>
  <w:style w:type="character" w:styleId="Strong">
    <w:name w:val="Strong"/>
    <w:qFormat/>
    <w:rsid w:val="00B2691D"/>
    <w:rPr>
      <w:b/>
      <w:bCs/>
    </w:rPr>
  </w:style>
  <w:style w:type="paragraph" w:customStyle="1" w:styleId="Tabletextjustified0">
    <w:name w:val="Table text justified"/>
    <w:basedOn w:val="Normal"/>
    <w:semiHidden/>
    <w:rsid w:val="008A41CA"/>
    <w:pPr>
      <w:spacing w:before="100" w:after="100" w:line="250" w:lineRule="exact"/>
    </w:pPr>
    <w:rPr>
      <w:rFonts w:ascii="Arial" w:hAnsi="Arial" w:cs="Arial"/>
      <w:sz w:val="18"/>
    </w:rPr>
  </w:style>
  <w:style w:type="paragraph" w:customStyle="1" w:styleId="Bullets">
    <w:name w:val="Bullets"/>
    <w:basedOn w:val="Normal"/>
    <w:link w:val="BulletsChar"/>
    <w:qFormat/>
    <w:rsid w:val="002357B2"/>
    <w:pPr>
      <w:numPr>
        <w:numId w:val="13"/>
      </w:numPr>
      <w:spacing w:before="60" w:after="60"/>
    </w:pPr>
    <w:rPr>
      <w:rFonts w:cs="Arial"/>
      <w:color w:val="000000"/>
      <w:szCs w:val="16"/>
      <w:lang w:eastAsia="en-US"/>
    </w:rPr>
  </w:style>
  <w:style w:type="character" w:customStyle="1" w:styleId="BulletsChar">
    <w:name w:val="Bullets Char"/>
    <w:link w:val="Bullets"/>
    <w:locked/>
    <w:rsid w:val="002357B2"/>
    <w:rPr>
      <w:rFonts w:ascii="Book Antiqua" w:hAnsi="Book Antiqua" w:cs="Arial"/>
      <w:color w:val="000000"/>
      <w:szCs w:val="16"/>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locked/>
    <w:rsid w:val="0001500C"/>
    <w:rPr>
      <w:rFonts w:ascii="Calibri" w:eastAsia="Calibri" w:hAnsi="Calibri"/>
      <w:sz w:val="22"/>
      <w:szCs w:val="22"/>
      <w:lang w:val="en-US" w:eastAsia="en-US"/>
    </w:rPr>
  </w:style>
  <w:style w:type="paragraph" w:customStyle="1" w:styleId="TableName">
    <w:name w:val="TableName"/>
    <w:basedOn w:val="Normal"/>
    <w:link w:val="TableNameChar"/>
    <w:rsid w:val="00C64E0C"/>
    <w:pPr>
      <w:keepNext/>
      <w:spacing w:after="0"/>
    </w:pPr>
    <w:rPr>
      <w:b/>
      <w:lang w:eastAsia="en-US"/>
    </w:rPr>
  </w:style>
  <w:style w:type="character" w:customStyle="1" w:styleId="DashChar">
    <w:name w:val="Dash Char"/>
    <w:link w:val="Dash"/>
    <w:rsid w:val="008636B4"/>
    <w:rPr>
      <w:rFonts w:ascii="Book Antiqua" w:hAnsi="Book Antiqua"/>
    </w:rPr>
  </w:style>
  <w:style w:type="character" w:customStyle="1" w:styleId="Heading4Char">
    <w:name w:val="Heading 4 Char"/>
    <w:basedOn w:val="DefaultParagraphFont"/>
    <w:link w:val="Heading4"/>
    <w:rsid w:val="0001500C"/>
    <w:rPr>
      <w:rFonts w:ascii="Arial" w:hAnsi="Arial"/>
      <w:b/>
      <w:sz w:val="22"/>
    </w:rPr>
  </w:style>
  <w:style w:type="character" w:customStyle="1" w:styleId="FootnoteTextChar">
    <w:name w:val="Footnote Text Char"/>
    <w:basedOn w:val="DefaultParagraphFont"/>
    <w:link w:val="FootnoteText"/>
    <w:rsid w:val="00070C05"/>
    <w:rPr>
      <w:rFonts w:ascii="Book Antiqua" w:hAnsi="Book Antiqua"/>
      <w:sz w:val="16"/>
    </w:rPr>
  </w:style>
  <w:style w:type="paragraph" w:customStyle="1" w:styleId="TableText">
    <w:name w:val="TableText"/>
    <w:next w:val="Normal"/>
    <w:link w:val="TableTextChar"/>
    <w:rsid w:val="00227458"/>
    <w:pPr>
      <w:widowControl w:val="0"/>
      <w:tabs>
        <w:tab w:val="left" w:pos="113"/>
      </w:tabs>
      <w:spacing w:before="10" w:after="10"/>
    </w:pPr>
    <w:rPr>
      <w:rFonts w:ascii="Book Antiqua" w:hAnsi="Book Antiqua" w:cs="Arial"/>
      <w:color w:val="000000"/>
      <w:sz w:val="18"/>
      <w:szCs w:val="16"/>
      <w:lang w:eastAsia="en-US"/>
    </w:rPr>
  </w:style>
  <w:style w:type="character" w:customStyle="1" w:styleId="TableTextChar">
    <w:name w:val="TableText Char"/>
    <w:basedOn w:val="DefaultParagraphFont"/>
    <w:link w:val="TableText"/>
    <w:rsid w:val="00227458"/>
    <w:rPr>
      <w:rFonts w:ascii="Book Antiqua" w:hAnsi="Book Antiqua" w:cs="Arial"/>
      <w:color w:val="000000"/>
      <w:sz w:val="18"/>
      <w:szCs w:val="16"/>
      <w:lang w:eastAsia="en-US"/>
    </w:rPr>
  </w:style>
  <w:style w:type="paragraph" w:customStyle="1" w:styleId="TableTextBold">
    <w:name w:val="TableTextBold"/>
    <w:basedOn w:val="TableText"/>
    <w:link w:val="TableTextBoldChar"/>
    <w:rsid w:val="0001500C"/>
    <w:rPr>
      <w:b/>
      <w:bCs/>
    </w:rPr>
  </w:style>
  <w:style w:type="character" w:customStyle="1" w:styleId="TableTextBoldChar">
    <w:name w:val="TableTextBold Char"/>
    <w:basedOn w:val="TableTextChar"/>
    <w:link w:val="TableTextBold"/>
    <w:rsid w:val="0001500C"/>
    <w:rPr>
      <w:rFonts w:ascii="Book Antiqua" w:hAnsi="Book Antiqua" w:cs="Arial"/>
      <w:b/>
      <w:bCs/>
      <w:color w:val="000000"/>
      <w:sz w:val="18"/>
      <w:szCs w:val="16"/>
      <w:lang w:eastAsia="en-US"/>
    </w:rPr>
  </w:style>
  <w:style w:type="paragraph" w:customStyle="1" w:styleId="TableTextRight0">
    <w:name w:val="TableTextRight"/>
    <w:basedOn w:val="TableText"/>
    <w:link w:val="TableTextRightChar"/>
    <w:rsid w:val="005904C2"/>
    <w:pPr>
      <w:jc w:val="right"/>
    </w:pPr>
  </w:style>
  <w:style w:type="paragraph" w:customStyle="1" w:styleId="numberedpara">
    <w:name w:val="numbered para"/>
    <w:basedOn w:val="Normal"/>
    <w:rsid w:val="0001500C"/>
    <w:pPr>
      <w:keepLines/>
      <w:numPr>
        <w:numId w:val="14"/>
      </w:numPr>
      <w:spacing w:after="0"/>
    </w:pPr>
    <w:rPr>
      <w:rFonts w:ascii="Calibri" w:hAnsi="Calibri"/>
      <w:sz w:val="22"/>
      <w:szCs w:val="16"/>
      <w:lang w:eastAsia="en-US"/>
    </w:rPr>
  </w:style>
  <w:style w:type="paragraph" w:customStyle="1" w:styleId="TableTextBoldRight">
    <w:name w:val="TableTextBoldRight"/>
    <w:basedOn w:val="TableTextBold"/>
    <w:link w:val="TableTextBoldRightChar"/>
    <w:rsid w:val="0001500C"/>
    <w:pPr>
      <w:spacing w:before="20" w:after="20"/>
      <w:jc w:val="right"/>
    </w:pPr>
  </w:style>
  <w:style w:type="character" w:customStyle="1" w:styleId="TableNameChar">
    <w:name w:val="TableName Char"/>
    <w:basedOn w:val="DefaultParagraphFont"/>
    <w:link w:val="TableName"/>
    <w:locked/>
    <w:rsid w:val="00C64E0C"/>
    <w:rPr>
      <w:rFonts w:ascii="Book Antiqua" w:hAnsi="Book Antiqua"/>
      <w:b/>
      <w:lang w:eastAsia="en-US"/>
    </w:rPr>
  </w:style>
  <w:style w:type="character" w:customStyle="1" w:styleId="TableTextBoldRightChar">
    <w:name w:val="TableTextBoldRight Char"/>
    <w:basedOn w:val="TableTextBoldChar"/>
    <w:link w:val="TableTextBoldRight"/>
    <w:locked/>
    <w:rsid w:val="0001500C"/>
    <w:rPr>
      <w:rFonts w:ascii="Book Antiqua" w:hAnsi="Book Antiqua" w:cs="Arial"/>
      <w:b/>
      <w:bCs/>
      <w:color w:val="000000"/>
      <w:sz w:val="18"/>
      <w:szCs w:val="16"/>
      <w:lang w:eastAsia="en-US"/>
    </w:rPr>
  </w:style>
  <w:style w:type="character" w:customStyle="1" w:styleId="TableTextRightChar">
    <w:name w:val="TableTextRight Char"/>
    <w:basedOn w:val="TableTextChar"/>
    <w:link w:val="TableTextRight0"/>
    <w:rsid w:val="005904C2"/>
    <w:rPr>
      <w:rFonts w:ascii="Book Antiqua" w:hAnsi="Book Antiqua" w:cs="Arial"/>
      <w:color w:val="000000"/>
      <w:sz w:val="18"/>
      <w:szCs w:val="16"/>
      <w:lang w:eastAsia="en-US"/>
    </w:rPr>
  </w:style>
  <w:style w:type="paragraph" w:customStyle="1" w:styleId="Footnote">
    <w:name w:val="Footnote"/>
    <w:rsid w:val="0028309A"/>
    <w:pPr>
      <w:tabs>
        <w:tab w:val="left" w:pos="284"/>
      </w:tabs>
    </w:pPr>
    <w:rPr>
      <w:rFonts w:ascii="Book Antiqua" w:hAnsi="Book Antiqua"/>
      <w:color w:val="000000"/>
      <w:sz w:val="16"/>
      <w:lang w:eastAsia="en-US"/>
    </w:rPr>
  </w:style>
  <w:style w:type="paragraph" w:customStyle="1" w:styleId="StyleTableTextItalicBoldNotItalic">
    <w:name w:val="Style TableText Italic + Bold Not Italic"/>
    <w:basedOn w:val="Normal"/>
    <w:rsid w:val="0001500C"/>
    <w:pPr>
      <w:tabs>
        <w:tab w:val="left" w:pos="113"/>
      </w:tabs>
      <w:spacing w:after="20"/>
    </w:pPr>
    <w:rPr>
      <w:rFonts w:cs="Arial"/>
      <w:b/>
      <w:bCs/>
      <w:color w:val="000000"/>
      <w:sz w:val="18"/>
      <w:szCs w:val="16"/>
      <w:lang w:eastAsia="en-US"/>
    </w:rPr>
  </w:style>
  <w:style w:type="paragraph" w:customStyle="1" w:styleId="ProgramHeading0">
    <w:name w:val="ProgramHeading"/>
    <w:rsid w:val="009B3DA6"/>
    <w:pPr>
      <w:spacing w:before="60" w:after="60"/>
    </w:pPr>
    <w:rPr>
      <w:rFonts w:ascii="Book Antiqua" w:hAnsi="Book Antiqua"/>
      <w:b/>
      <w:sz w:val="22"/>
      <w:lang w:eastAsia="en-US"/>
    </w:rPr>
  </w:style>
  <w:style w:type="paragraph" w:customStyle="1" w:styleId="TableChartFootnote">
    <w:name w:val="TableChart Footnote"/>
    <w:basedOn w:val="Normal"/>
    <w:next w:val="Normal"/>
    <w:rsid w:val="002B2AF9"/>
    <w:pPr>
      <w:tabs>
        <w:tab w:val="left" w:pos="567"/>
      </w:tabs>
      <w:spacing w:after="0"/>
      <w:ind w:left="567" w:hanging="567"/>
    </w:pPr>
    <w:rPr>
      <w:rFonts w:cs="Arial"/>
      <w:color w:val="000000"/>
      <w:sz w:val="16"/>
      <w:szCs w:val="24"/>
      <w:lang w:eastAsia="en-US"/>
    </w:rPr>
  </w:style>
  <w:style w:type="character" w:customStyle="1" w:styleId="Heading2Char">
    <w:name w:val="Heading 2 Char"/>
    <w:basedOn w:val="DefaultParagraphFont"/>
    <w:link w:val="Heading2"/>
    <w:rsid w:val="00FC157A"/>
    <w:rPr>
      <w:rFonts w:ascii="Arial" w:hAnsi="Arial"/>
      <w:sz w:val="30"/>
    </w:rPr>
  </w:style>
  <w:style w:type="character" w:customStyle="1" w:styleId="Heading1Char">
    <w:name w:val="Heading 1 Char"/>
    <w:basedOn w:val="DefaultParagraphFont"/>
    <w:link w:val="Heading1"/>
    <w:rsid w:val="007F3CCF"/>
    <w:rPr>
      <w:rFonts w:ascii="Arial Bold" w:hAnsi="Arial Bold"/>
      <w:b/>
      <w:smallCaps/>
      <w:kern w:val="28"/>
      <w:sz w:val="34"/>
    </w:rPr>
  </w:style>
  <w:style w:type="character" w:customStyle="1" w:styleId="Heading5Char">
    <w:name w:val="Heading 5 Char"/>
    <w:basedOn w:val="DefaultParagraphFont"/>
    <w:link w:val="Heading5"/>
    <w:rsid w:val="00E2256F"/>
    <w:rPr>
      <w:rFonts w:ascii="Arial" w:hAnsi="Arial"/>
      <w:b/>
      <w:bCs/>
      <w:iCs/>
      <w:sz w:val="21"/>
      <w:szCs w:val="26"/>
    </w:rPr>
  </w:style>
  <w:style w:type="paragraph" w:customStyle="1" w:styleId="ChartandTableFootnotenumbered">
    <w:name w:val="Chart and Table Footnote numbered"/>
    <w:basedOn w:val="Normal"/>
    <w:next w:val="Normal"/>
    <w:rsid w:val="002E2D3E"/>
    <w:pPr>
      <w:keepNext/>
      <w:spacing w:after="0"/>
      <w:ind w:left="502" w:hanging="360"/>
    </w:pPr>
    <w:rPr>
      <w:rFonts w:ascii="Arial" w:hAnsi="Arial"/>
      <w:sz w:val="16"/>
    </w:rPr>
  </w:style>
  <w:style w:type="paragraph" w:styleId="ListNumber">
    <w:name w:val="List Number"/>
    <w:basedOn w:val="Normal"/>
    <w:rsid w:val="00804AAA"/>
    <w:pPr>
      <w:numPr>
        <w:numId w:val="11"/>
      </w:numPr>
      <w:contextualSpacing/>
    </w:pPr>
  </w:style>
  <w:style w:type="character" w:styleId="Emphasis">
    <w:name w:val="Emphasis"/>
    <w:uiPriority w:val="20"/>
    <w:qFormat/>
    <w:rsid w:val="00560562"/>
    <w:rPr>
      <w:rFonts w:cs="Times New Roman"/>
      <w:i/>
      <w:iCs/>
    </w:rPr>
  </w:style>
  <w:style w:type="paragraph" w:styleId="Revision">
    <w:name w:val="Revision"/>
    <w:hidden/>
    <w:uiPriority w:val="99"/>
    <w:semiHidden/>
    <w:rsid w:val="00D518B3"/>
    <w:rPr>
      <w:rFonts w:ascii="Book Antiqua" w:hAnsi="Book Antiqua"/>
    </w:rPr>
  </w:style>
  <w:style w:type="paragraph" w:customStyle="1" w:styleId="Tabletextbullets">
    <w:name w:val="Tabletext bullets"/>
    <w:basedOn w:val="TableText"/>
    <w:qFormat/>
    <w:rsid w:val="00B23F55"/>
    <w:pPr>
      <w:numPr>
        <w:numId w:val="22"/>
      </w:numPr>
      <w:spacing w:line="260" w:lineRule="exact"/>
      <w:ind w:left="470" w:hanging="357"/>
    </w:pPr>
    <w:rPr>
      <w:rFonts w:eastAsia="Book Antiq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162"/>
    <w:pPr>
      <w:spacing w:before="80" w:after="80"/>
    </w:pPr>
    <w:rPr>
      <w:rFonts w:ascii="Book Antiqua" w:hAnsi="Book Antiqua"/>
    </w:rPr>
  </w:style>
  <w:style w:type="paragraph" w:styleId="Heading1">
    <w:name w:val="heading 1"/>
    <w:basedOn w:val="HeadingBase"/>
    <w:next w:val="Normal"/>
    <w:link w:val="Heading1Char"/>
    <w:qFormat/>
    <w:rsid w:val="007F3CCF"/>
    <w:pPr>
      <w:spacing w:after="240"/>
      <w:jc w:val="center"/>
      <w:outlineLvl w:val="0"/>
    </w:pPr>
    <w:rPr>
      <w:rFonts w:ascii="Arial Bold" w:hAnsi="Arial Bold"/>
      <w:b/>
      <w:smallCaps/>
      <w:kern w:val="28"/>
      <w:sz w:val="34"/>
    </w:rPr>
  </w:style>
  <w:style w:type="paragraph" w:styleId="Heading2">
    <w:name w:val="heading 2"/>
    <w:basedOn w:val="HeadingBase"/>
    <w:next w:val="Normal"/>
    <w:link w:val="Heading2Char"/>
    <w:qFormat/>
    <w:rsid w:val="00FC157A"/>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2256F"/>
    <w:pPr>
      <w:spacing w:before="240" w:after="60" w:line="360" w:lineRule="auto"/>
      <w:outlineLvl w:val="4"/>
    </w:pPr>
    <w:rPr>
      <w:b/>
      <w:bCs/>
      <w:iCs/>
      <w:sz w:val="21"/>
      <w:szCs w:val="26"/>
    </w:rPr>
  </w:style>
  <w:style w:type="paragraph" w:styleId="Heading6">
    <w:name w:val="heading 6"/>
    <w:basedOn w:val="HeadingBase"/>
    <w:next w:val="Normal"/>
    <w:qFormat/>
    <w:rsid w:val="001D4CAA"/>
    <w:pPr>
      <w:spacing w:after="120"/>
      <w:outlineLvl w:val="5"/>
    </w:pPr>
    <w:rPr>
      <w:b/>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FC157A"/>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link w:val="DashChar"/>
    <w:rsid w:val="008636B4"/>
    <w:pPr>
      <w:numPr>
        <w:ilvl w:val="1"/>
        <w:numId w:val="2"/>
      </w:numPr>
      <w:ind w:left="568"/>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style>
  <w:style w:type="paragraph" w:customStyle="1" w:styleId="TableGraphic">
    <w:name w:val="Table Graphic"/>
    <w:basedOn w:val="Normal"/>
    <w:next w:val="Normal"/>
    <w:rsid w:val="00EC5F86"/>
    <w:pPr>
      <w:spacing w:after="0"/>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pPr>
    <w:rPr>
      <w:rFonts w:ascii="Arial" w:hAnsi="Arial"/>
      <w:sz w:val="16"/>
    </w:rPr>
  </w:style>
  <w:style w:type="paragraph" w:customStyle="1" w:styleId="TableTextBase">
    <w:name w:val="Table Text Base"/>
    <w:basedOn w:val="Normal"/>
    <w:link w:val="TableTextBaseChar"/>
    <w:rsid w:val="00FE158E"/>
    <w:pPr>
      <w:spacing w:before="60" w:after="60"/>
    </w:pPr>
    <w:rPr>
      <w:sz w:val="18"/>
    </w:rPr>
  </w:style>
  <w:style w:type="paragraph" w:customStyle="1" w:styleId="TableColumnHeadingBase">
    <w:name w:val="Table Column Heading Base"/>
    <w:basedOn w:val="Normal"/>
    <w:rsid w:val="00EC5F86"/>
    <w:pPr>
      <w:spacing w:before="60" w:after="60"/>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76273D"/>
    <w:pPr>
      <w:spacing w:before="120" w:after="120"/>
    </w:pPr>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B21E61"/>
    <w:pPr>
      <w:tabs>
        <w:tab w:val="center" w:pos="4153"/>
        <w:tab w:val="right" w:pos="8306"/>
      </w:tabs>
    </w:pPr>
    <w:rPr>
      <w:rFonts w:ascii="Book Antiqua" w:hAnsi="Book Antiqua"/>
      <w:sz w:val="18"/>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rsid w:val="00EC5F86"/>
    <w:rPr>
      <w:sz w:val="16"/>
      <w:szCs w:val="16"/>
    </w:rPr>
  </w:style>
  <w:style w:type="paragraph" w:styleId="CommentText">
    <w:name w:val="annotation text"/>
    <w:basedOn w:val="Normal"/>
    <w:link w:val="CommentTextChar"/>
    <w:uiPriority w:val="99"/>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aliases w:val="Footnote text"/>
    <w:uiPriority w:val="99"/>
    <w:rsid w:val="00EC5F86"/>
    <w:rPr>
      <w:vertAlign w:val="superscript"/>
    </w:rPr>
  </w:style>
  <w:style w:type="paragraph" w:styleId="FootnoteText">
    <w:name w:val="footnote text"/>
    <w:basedOn w:val="Normal"/>
    <w:link w:val="FootnoteTextChar"/>
    <w:rsid w:val="00070C05"/>
    <w:pPr>
      <w:tabs>
        <w:tab w:val="left" w:pos="284"/>
      </w:tabs>
      <w:ind w:left="113" w:hanging="113"/>
    </w:pPr>
    <w:rPr>
      <w:sz w:val="16"/>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after="20"/>
      <w:jc w:val="center"/>
    </w:pPr>
    <w:rPr>
      <w:rFonts w:ascii="Arial" w:hAnsi="Arial"/>
      <w:b/>
    </w:rPr>
  </w:style>
  <w:style w:type="table" w:styleId="TableGrid">
    <w:name w:val="Table Grid"/>
    <w:basedOn w:val="TableNormal"/>
    <w:uiPriority w:val="59"/>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7F3CCF"/>
    <w:pPr>
      <w:spacing w:after="0"/>
      <w:jc w:val="center"/>
    </w:pPr>
    <w:rPr>
      <w:rFonts w:ascii="Arial Bold" w:hAnsi="Arial Bold"/>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pPr>
    <w:rPr>
      <w:b/>
      <w:sz w:val="22"/>
    </w:rPr>
  </w:style>
  <w:style w:type="paragraph" w:customStyle="1" w:styleId="TableColumnOutgroupSubheading">
    <w:name w:val="Table Column Outgroup Subheading"/>
    <w:basedOn w:val="Normal"/>
    <w:rsid w:val="00EC5F86"/>
    <w:pPr>
      <w:spacing w:before="60"/>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FC157A"/>
    <w:rPr>
      <w:rFonts w:ascii="Arial" w:hAnsi="Arial"/>
      <w:b/>
    </w:rPr>
  </w:style>
  <w:style w:type="character" w:customStyle="1" w:styleId="TableTextBaseChar">
    <w:name w:val="Table Text Base Char"/>
    <w:link w:val="TableTextBase"/>
    <w:rsid w:val="00FE158E"/>
    <w:rPr>
      <w:rFonts w:ascii="Book Antiqua" w:hAnsi="Book Antiqua"/>
      <w:sz w:val="18"/>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line="280" w:lineRule="exact"/>
    </w:pPr>
    <w:rPr>
      <w:rFonts w:ascii="Arial" w:hAnsi="Arial" w:cs="Arial"/>
      <w:b/>
    </w:rPr>
  </w:style>
  <w:style w:type="paragraph" w:customStyle="1" w:styleId="ProgramHeading">
    <w:name w:val="Program Heading"/>
    <w:basedOn w:val="HeadingBase"/>
    <w:rsid w:val="00E82607"/>
    <w:pPr>
      <w:pBdr>
        <w:top w:val="single" w:sz="2" w:space="3" w:color="auto"/>
        <w:left w:val="single" w:sz="2" w:space="4" w:color="auto"/>
        <w:bottom w:val="single" w:sz="2" w:space="3" w:color="auto"/>
        <w:right w:val="single" w:sz="2" w:space="4"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B21E61"/>
    <w:rPr>
      <w:rFonts w:ascii="Book Antiqua" w:hAnsi="Book Antiqua"/>
      <w:sz w:val="18"/>
    </w:rPr>
  </w:style>
  <w:style w:type="character" w:styleId="Strong">
    <w:name w:val="Strong"/>
    <w:qFormat/>
    <w:rsid w:val="00B2691D"/>
    <w:rPr>
      <w:b/>
      <w:bCs/>
    </w:rPr>
  </w:style>
  <w:style w:type="paragraph" w:customStyle="1" w:styleId="Tabletextjustified0">
    <w:name w:val="Table text justified"/>
    <w:basedOn w:val="Normal"/>
    <w:semiHidden/>
    <w:rsid w:val="008A41CA"/>
    <w:pPr>
      <w:spacing w:before="100" w:after="100" w:line="250" w:lineRule="exact"/>
    </w:pPr>
    <w:rPr>
      <w:rFonts w:ascii="Arial" w:hAnsi="Arial" w:cs="Arial"/>
      <w:sz w:val="18"/>
    </w:rPr>
  </w:style>
  <w:style w:type="paragraph" w:customStyle="1" w:styleId="Bullets">
    <w:name w:val="Bullets"/>
    <w:basedOn w:val="Normal"/>
    <w:link w:val="BulletsChar"/>
    <w:qFormat/>
    <w:rsid w:val="002357B2"/>
    <w:pPr>
      <w:numPr>
        <w:numId w:val="13"/>
      </w:numPr>
      <w:spacing w:before="60" w:after="60"/>
    </w:pPr>
    <w:rPr>
      <w:rFonts w:cs="Arial"/>
      <w:color w:val="000000"/>
      <w:szCs w:val="16"/>
      <w:lang w:eastAsia="en-US"/>
    </w:rPr>
  </w:style>
  <w:style w:type="character" w:customStyle="1" w:styleId="BulletsChar">
    <w:name w:val="Bullets Char"/>
    <w:link w:val="Bullets"/>
    <w:locked/>
    <w:rsid w:val="002357B2"/>
    <w:rPr>
      <w:rFonts w:ascii="Book Antiqua" w:hAnsi="Book Antiqua" w:cs="Arial"/>
      <w:color w:val="000000"/>
      <w:szCs w:val="16"/>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locked/>
    <w:rsid w:val="0001500C"/>
    <w:rPr>
      <w:rFonts w:ascii="Calibri" w:eastAsia="Calibri" w:hAnsi="Calibri"/>
      <w:sz w:val="22"/>
      <w:szCs w:val="22"/>
      <w:lang w:val="en-US" w:eastAsia="en-US"/>
    </w:rPr>
  </w:style>
  <w:style w:type="paragraph" w:customStyle="1" w:styleId="TableName">
    <w:name w:val="TableName"/>
    <w:basedOn w:val="Normal"/>
    <w:link w:val="TableNameChar"/>
    <w:rsid w:val="00C64E0C"/>
    <w:pPr>
      <w:keepNext/>
      <w:spacing w:after="0"/>
    </w:pPr>
    <w:rPr>
      <w:b/>
      <w:lang w:eastAsia="en-US"/>
    </w:rPr>
  </w:style>
  <w:style w:type="character" w:customStyle="1" w:styleId="DashChar">
    <w:name w:val="Dash Char"/>
    <w:link w:val="Dash"/>
    <w:rsid w:val="008636B4"/>
    <w:rPr>
      <w:rFonts w:ascii="Book Antiqua" w:hAnsi="Book Antiqua"/>
    </w:rPr>
  </w:style>
  <w:style w:type="character" w:customStyle="1" w:styleId="Heading4Char">
    <w:name w:val="Heading 4 Char"/>
    <w:basedOn w:val="DefaultParagraphFont"/>
    <w:link w:val="Heading4"/>
    <w:rsid w:val="0001500C"/>
    <w:rPr>
      <w:rFonts w:ascii="Arial" w:hAnsi="Arial"/>
      <w:b/>
      <w:sz w:val="22"/>
    </w:rPr>
  </w:style>
  <w:style w:type="character" w:customStyle="1" w:styleId="FootnoteTextChar">
    <w:name w:val="Footnote Text Char"/>
    <w:basedOn w:val="DefaultParagraphFont"/>
    <w:link w:val="FootnoteText"/>
    <w:rsid w:val="00070C05"/>
    <w:rPr>
      <w:rFonts w:ascii="Book Antiqua" w:hAnsi="Book Antiqua"/>
      <w:sz w:val="16"/>
    </w:rPr>
  </w:style>
  <w:style w:type="paragraph" w:customStyle="1" w:styleId="TableText">
    <w:name w:val="TableText"/>
    <w:next w:val="Normal"/>
    <w:link w:val="TableTextChar"/>
    <w:rsid w:val="00227458"/>
    <w:pPr>
      <w:widowControl w:val="0"/>
      <w:tabs>
        <w:tab w:val="left" w:pos="113"/>
      </w:tabs>
      <w:spacing w:before="10" w:after="10"/>
    </w:pPr>
    <w:rPr>
      <w:rFonts w:ascii="Book Antiqua" w:hAnsi="Book Antiqua" w:cs="Arial"/>
      <w:color w:val="000000"/>
      <w:sz w:val="18"/>
      <w:szCs w:val="16"/>
      <w:lang w:eastAsia="en-US"/>
    </w:rPr>
  </w:style>
  <w:style w:type="character" w:customStyle="1" w:styleId="TableTextChar">
    <w:name w:val="TableText Char"/>
    <w:basedOn w:val="DefaultParagraphFont"/>
    <w:link w:val="TableText"/>
    <w:rsid w:val="00227458"/>
    <w:rPr>
      <w:rFonts w:ascii="Book Antiqua" w:hAnsi="Book Antiqua" w:cs="Arial"/>
      <w:color w:val="000000"/>
      <w:sz w:val="18"/>
      <w:szCs w:val="16"/>
      <w:lang w:eastAsia="en-US"/>
    </w:rPr>
  </w:style>
  <w:style w:type="paragraph" w:customStyle="1" w:styleId="TableTextBold">
    <w:name w:val="TableTextBold"/>
    <w:basedOn w:val="TableText"/>
    <w:link w:val="TableTextBoldChar"/>
    <w:rsid w:val="0001500C"/>
    <w:rPr>
      <w:b/>
      <w:bCs/>
    </w:rPr>
  </w:style>
  <w:style w:type="character" w:customStyle="1" w:styleId="TableTextBoldChar">
    <w:name w:val="TableTextBold Char"/>
    <w:basedOn w:val="TableTextChar"/>
    <w:link w:val="TableTextBold"/>
    <w:rsid w:val="0001500C"/>
    <w:rPr>
      <w:rFonts w:ascii="Book Antiqua" w:hAnsi="Book Antiqua" w:cs="Arial"/>
      <w:b/>
      <w:bCs/>
      <w:color w:val="000000"/>
      <w:sz w:val="18"/>
      <w:szCs w:val="16"/>
      <w:lang w:eastAsia="en-US"/>
    </w:rPr>
  </w:style>
  <w:style w:type="paragraph" w:customStyle="1" w:styleId="TableTextRight0">
    <w:name w:val="TableTextRight"/>
    <w:basedOn w:val="TableText"/>
    <w:link w:val="TableTextRightChar"/>
    <w:rsid w:val="005904C2"/>
    <w:pPr>
      <w:jc w:val="right"/>
    </w:pPr>
  </w:style>
  <w:style w:type="paragraph" w:customStyle="1" w:styleId="numberedpara">
    <w:name w:val="numbered para"/>
    <w:basedOn w:val="Normal"/>
    <w:rsid w:val="0001500C"/>
    <w:pPr>
      <w:keepLines/>
      <w:numPr>
        <w:numId w:val="14"/>
      </w:numPr>
      <w:spacing w:after="0"/>
    </w:pPr>
    <w:rPr>
      <w:rFonts w:ascii="Calibri" w:hAnsi="Calibri"/>
      <w:sz w:val="22"/>
      <w:szCs w:val="16"/>
      <w:lang w:eastAsia="en-US"/>
    </w:rPr>
  </w:style>
  <w:style w:type="paragraph" w:customStyle="1" w:styleId="TableTextBoldRight">
    <w:name w:val="TableTextBoldRight"/>
    <w:basedOn w:val="TableTextBold"/>
    <w:link w:val="TableTextBoldRightChar"/>
    <w:rsid w:val="0001500C"/>
    <w:pPr>
      <w:spacing w:before="20" w:after="20"/>
      <w:jc w:val="right"/>
    </w:pPr>
  </w:style>
  <w:style w:type="character" w:customStyle="1" w:styleId="TableNameChar">
    <w:name w:val="TableName Char"/>
    <w:basedOn w:val="DefaultParagraphFont"/>
    <w:link w:val="TableName"/>
    <w:locked/>
    <w:rsid w:val="00C64E0C"/>
    <w:rPr>
      <w:rFonts w:ascii="Book Antiqua" w:hAnsi="Book Antiqua"/>
      <w:b/>
      <w:lang w:eastAsia="en-US"/>
    </w:rPr>
  </w:style>
  <w:style w:type="character" w:customStyle="1" w:styleId="TableTextBoldRightChar">
    <w:name w:val="TableTextBoldRight Char"/>
    <w:basedOn w:val="TableTextBoldChar"/>
    <w:link w:val="TableTextBoldRight"/>
    <w:locked/>
    <w:rsid w:val="0001500C"/>
    <w:rPr>
      <w:rFonts w:ascii="Book Antiqua" w:hAnsi="Book Antiqua" w:cs="Arial"/>
      <w:b/>
      <w:bCs/>
      <w:color w:val="000000"/>
      <w:sz w:val="18"/>
      <w:szCs w:val="16"/>
      <w:lang w:eastAsia="en-US"/>
    </w:rPr>
  </w:style>
  <w:style w:type="character" w:customStyle="1" w:styleId="TableTextRightChar">
    <w:name w:val="TableTextRight Char"/>
    <w:basedOn w:val="TableTextChar"/>
    <w:link w:val="TableTextRight0"/>
    <w:rsid w:val="005904C2"/>
    <w:rPr>
      <w:rFonts w:ascii="Book Antiqua" w:hAnsi="Book Antiqua" w:cs="Arial"/>
      <w:color w:val="000000"/>
      <w:sz w:val="18"/>
      <w:szCs w:val="16"/>
      <w:lang w:eastAsia="en-US"/>
    </w:rPr>
  </w:style>
  <w:style w:type="paragraph" w:customStyle="1" w:styleId="Footnote">
    <w:name w:val="Footnote"/>
    <w:rsid w:val="0028309A"/>
    <w:pPr>
      <w:tabs>
        <w:tab w:val="left" w:pos="284"/>
      </w:tabs>
    </w:pPr>
    <w:rPr>
      <w:rFonts w:ascii="Book Antiqua" w:hAnsi="Book Antiqua"/>
      <w:color w:val="000000"/>
      <w:sz w:val="16"/>
      <w:lang w:eastAsia="en-US"/>
    </w:rPr>
  </w:style>
  <w:style w:type="paragraph" w:customStyle="1" w:styleId="StyleTableTextItalicBoldNotItalic">
    <w:name w:val="Style TableText Italic + Bold Not Italic"/>
    <w:basedOn w:val="Normal"/>
    <w:rsid w:val="0001500C"/>
    <w:pPr>
      <w:tabs>
        <w:tab w:val="left" w:pos="113"/>
      </w:tabs>
      <w:spacing w:after="20"/>
    </w:pPr>
    <w:rPr>
      <w:rFonts w:cs="Arial"/>
      <w:b/>
      <w:bCs/>
      <w:color w:val="000000"/>
      <w:sz w:val="18"/>
      <w:szCs w:val="16"/>
      <w:lang w:eastAsia="en-US"/>
    </w:rPr>
  </w:style>
  <w:style w:type="paragraph" w:customStyle="1" w:styleId="ProgramHeading0">
    <w:name w:val="ProgramHeading"/>
    <w:rsid w:val="009B3DA6"/>
    <w:pPr>
      <w:spacing w:before="60" w:after="60"/>
    </w:pPr>
    <w:rPr>
      <w:rFonts w:ascii="Book Antiqua" w:hAnsi="Book Antiqua"/>
      <w:b/>
      <w:sz w:val="22"/>
      <w:lang w:eastAsia="en-US"/>
    </w:rPr>
  </w:style>
  <w:style w:type="paragraph" w:customStyle="1" w:styleId="TableChartFootnote">
    <w:name w:val="TableChart Footnote"/>
    <w:basedOn w:val="Normal"/>
    <w:next w:val="Normal"/>
    <w:rsid w:val="002B2AF9"/>
    <w:pPr>
      <w:tabs>
        <w:tab w:val="left" w:pos="567"/>
      </w:tabs>
      <w:spacing w:after="0"/>
      <w:ind w:left="567" w:hanging="567"/>
    </w:pPr>
    <w:rPr>
      <w:rFonts w:cs="Arial"/>
      <w:color w:val="000000"/>
      <w:sz w:val="16"/>
      <w:szCs w:val="24"/>
      <w:lang w:eastAsia="en-US"/>
    </w:rPr>
  </w:style>
  <w:style w:type="character" w:customStyle="1" w:styleId="Heading2Char">
    <w:name w:val="Heading 2 Char"/>
    <w:basedOn w:val="DefaultParagraphFont"/>
    <w:link w:val="Heading2"/>
    <w:rsid w:val="00FC157A"/>
    <w:rPr>
      <w:rFonts w:ascii="Arial" w:hAnsi="Arial"/>
      <w:sz w:val="30"/>
    </w:rPr>
  </w:style>
  <w:style w:type="character" w:customStyle="1" w:styleId="Heading1Char">
    <w:name w:val="Heading 1 Char"/>
    <w:basedOn w:val="DefaultParagraphFont"/>
    <w:link w:val="Heading1"/>
    <w:rsid w:val="007F3CCF"/>
    <w:rPr>
      <w:rFonts w:ascii="Arial Bold" w:hAnsi="Arial Bold"/>
      <w:b/>
      <w:smallCaps/>
      <w:kern w:val="28"/>
      <w:sz w:val="34"/>
    </w:rPr>
  </w:style>
  <w:style w:type="character" w:customStyle="1" w:styleId="Heading5Char">
    <w:name w:val="Heading 5 Char"/>
    <w:basedOn w:val="DefaultParagraphFont"/>
    <w:link w:val="Heading5"/>
    <w:rsid w:val="00E2256F"/>
    <w:rPr>
      <w:rFonts w:ascii="Arial" w:hAnsi="Arial"/>
      <w:b/>
      <w:bCs/>
      <w:iCs/>
      <w:sz w:val="21"/>
      <w:szCs w:val="26"/>
    </w:rPr>
  </w:style>
  <w:style w:type="paragraph" w:customStyle="1" w:styleId="ChartandTableFootnotenumbered">
    <w:name w:val="Chart and Table Footnote numbered"/>
    <w:basedOn w:val="Normal"/>
    <w:next w:val="Normal"/>
    <w:rsid w:val="002E2D3E"/>
    <w:pPr>
      <w:keepNext/>
      <w:spacing w:after="0"/>
      <w:ind w:left="502" w:hanging="360"/>
    </w:pPr>
    <w:rPr>
      <w:rFonts w:ascii="Arial" w:hAnsi="Arial"/>
      <w:sz w:val="16"/>
    </w:rPr>
  </w:style>
  <w:style w:type="paragraph" w:styleId="ListNumber">
    <w:name w:val="List Number"/>
    <w:basedOn w:val="Normal"/>
    <w:rsid w:val="00804AAA"/>
    <w:pPr>
      <w:numPr>
        <w:numId w:val="11"/>
      </w:numPr>
      <w:contextualSpacing/>
    </w:pPr>
  </w:style>
  <w:style w:type="character" w:styleId="Emphasis">
    <w:name w:val="Emphasis"/>
    <w:uiPriority w:val="20"/>
    <w:qFormat/>
    <w:rsid w:val="00560562"/>
    <w:rPr>
      <w:rFonts w:cs="Times New Roman"/>
      <w:i/>
      <w:iCs/>
    </w:rPr>
  </w:style>
  <w:style w:type="paragraph" w:styleId="Revision">
    <w:name w:val="Revision"/>
    <w:hidden/>
    <w:uiPriority w:val="99"/>
    <w:semiHidden/>
    <w:rsid w:val="00D518B3"/>
    <w:rPr>
      <w:rFonts w:ascii="Book Antiqua" w:hAnsi="Book Antiqua"/>
    </w:rPr>
  </w:style>
  <w:style w:type="paragraph" w:customStyle="1" w:styleId="Tabletextbullets">
    <w:name w:val="Tabletext bullets"/>
    <w:basedOn w:val="TableText"/>
    <w:qFormat/>
    <w:rsid w:val="00B23F55"/>
    <w:pPr>
      <w:numPr>
        <w:numId w:val="22"/>
      </w:numPr>
      <w:spacing w:line="260" w:lineRule="exact"/>
      <w:ind w:left="470" w:hanging="357"/>
    </w:pPr>
    <w:rPr>
      <w:rFonts w:eastAsia="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0817">
      <w:bodyDiv w:val="1"/>
      <w:marLeft w:val="0"/>
      <w:marRight w:val="0"/>
      <w:marTop w:val="0"/>
      <w:marBottom w:val="0"/>
      <w:divBdr>
        <w:top w:val="none" w:sz="0" w:space="0" w:color="auto"/>
        <w:left w:val="none" w:sz="0" w:space="0" w:color="auto"/>
        <w:bottom w:val="none" w:sz="0" w:space="0" w:color="auto"/>
        <w:right w:val="none" w:sz="0" w:space="0" w:color="auto"/>
      </w:divBdr>
    </w:div>
    <w:div w:id="7559161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3299543">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7907606">
      <w:bodyDiv w:val="1"/>
      <w:marLeft w:val="0"/>
      <w:marRight w:val="0"/>
      <w:marTop w:val="0"/>
      <w:marBottom w:val="0"/>
      <w:divBdr>
        <w:top w:val="none" w:sz="0" w:space="0" w:color="auto"/>
        <w:left w:val="none" w:sz="0" w:space="0" w:color="auto"/>
        <w:bottom w:val="none" w:sz="0" w:space="0" w:color="auto"/>
        <w:right w:val="none" w:sz="0" w:space="0" w:color="auto"/>
      </w:divBdr>
    </w:div>
    <w:div w:id="244190858">
      <w:bodyDiv w:val="1"/>
      <w:marLeft w:val="0"/>
      <w:marRight w:val="0"/>
      <w:marTop w:val="0"/>
      <w:marBottom w:val="0"/>
      <w:divBdr>
        <w:top w:val="none" w:sz="0" w:space="0" w:color="auto"/>
        <w:left w:val="none" w:sz="0" w:space="0" w:color="auto"/>
        <w:bottom w:val="none" w:sz="0" w:space="0" w:color="auto"/>
        <w:right w:val="none" w:sz="0" w:space="0" w:color="auto"/>
      </w:divBdr>
    </w:div>
    <w:div w:id="26472917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27901457">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24230627">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8862616">
      <w:bodyDiv w:val="1"/>
      <w:marLeft w:val="0"/>
      <w:marRight w:val="0"/>
      <w:marTop w:val="0"/>
      <w:marBottom w:val="0"/>
      <w:divBdr>
        <w:top w:val="none" w:sz="0" w:space="0" w:color="auto"/>
        <w:left w:val="none" w:sz="0" w:space="0" w:color="auto"/>
        <w:bottom w:val="none" w:sz="0" w:space="0" w:color="auto"/>
        <w:right w:val="none" w:sz="0" w:space="0" w:color="auto"/>
      </w:divBdr>
    </w:div>
    <w:div w:id="484442528">
      <w:bodyDiv w:val="1"/>
      <w:marLeft w:val="0"/>
      <w:marRight w:val="0"/>
      <w:marTop w:val="0"/>
      <w:marBottom w:val="0"/>
      <w:divBdr>
        <w:top w:val="none" w:sz="0" w:space="0" w:color="auto"/>
        <w:left w:val="none" w:sz="0" w:space="0" w:color="auto"/>
        <w:bottom w:val="none" w:sz="0" w:space="0" w:color="auto"/>
        <w:right w:val="none" w:sz="0" w:space="0" w:color="auto"/>
      </w:divBdr>
    </w:div>
    <w:div w:id="488328089">
      <w:bodyDiv w:val="1"/>
      <w:marLeft w:val="0"/>
      <w:marRight w:val="0"/>
      <w:marTop w:val="0"/>
      <w:marBottom w:val="0"/>
      <w:divBdr>
        <w:top w:val="none" w:sz="0" w:space="0" w:color="auto"/>
        <w:left w:val="none" w:sz="0" w:space="0" w:color="auto"/>
        <w:bottom w:val="none" w:sz="0" w:space="0" w:color="auto"/>
        <w:right w:val="none" w:sz="0" w:space="0" w:color="auto"/>
      </w:divBdr>
    </w:div>
    <w:div w:id="490289626">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6699198">
      <w:bodyDiv w:val="1"/>
      <w:marLeft w:val="0"/>
      <w:marRight w:val="0"/>
      <w:marTop w:val="0"/>
      <w:marBottom w:val="0"/>
      <w:divBdr>
        <w:top w:val="none" w:sz="0" w:space="0" w:color="auto"/>
        <w:left w:val="none" w:sz="0" w:space="0" w:color="auto"/>
        <w:bottom w:val="none" w:sz="0" w:space="0" w:color="auto"/>
        <w:right w:val="none" w:sz="0" w:space="0" w:color="auto"/>
      </w:divBdr>
    </w:div>
    <w:div w:id="518473141">
      <w:bodyDiv w:val="1"/>
      <w:marLeft w:val="0"/>
      <w:marRight w:val="0"/>
      <w:marTop w:val="0"/>
      <w:marBottom w:val="0"/>
      <w:divBdr>
        <w:top w:val="none" w:sz="0" w:space="0" w:color="auto"/>
        <w:left w:val="none" w:sz="0" w:space="0" w:color="auto"/>
        <w:bottom w:val="none" w:sz="0" w:space="0" w:color="auto"/>
        <w:right w:val="none" w:sz="0" w:space="0" w:color="auto"/>
      </w:divBdr>
    </w:div>
    <w:div w:id="560290841">
      <w:bodyDiv w:val="1"/>
      <w:marLeft w:val="0"/>
      <w:marRight w:val="0"/>
      <w:marTop w:val="0"/>
      <w:marBottom w:val="0"/>
      <w:divBdr>
        <w:top w:val="none" w:sz="0" w:space="0" w:color="auto"/>
        <w:left w:val="none" w:sz="0" w:space="0" w:color="auto"/>
        <w:bottom w:val="none" w:sz="0" w:space="0" w:color="auto"/>
        <w:right w:val="none" w:sz="0" w:space="0" w:color="auto"/>
      </w:divBdr>
    </w:div>
    <w:div w:id="562182569">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62661858">
      <w:bodyDiv w:val="1"/>
      <w:marLeft w:val="0"/>
      <w:marRight w:val="0"/>
      <w:marTop w:val="0"/>
      <w:marBottom w:val="0"/>
      <w:divBdr>
        <w:top w:val="none" w:sz="0" w:space="0" w:color="auto"/>
        <w:left w:val="none" w:sz="0" w:space="0" w:color="auto"/>
        <w:bottom w:val="none" w:sz="0" w:space="0" w:color="auto"/>
        <w:right w:val="none" w:sz="0" w:space="0" w:color="auto"/>
      </w:divBdr>
    </w:div>
    <w:div w:id="672952980">
      <w:bodyDiv w:val="1"/>
      <w:marLeft w:val="0"/>
      <w:marRight w:val="0"/>
      <w:marTop w:val="0"/>
      <w:marBottom w:val="0"/>
      <w:divBdr>
        <w:top w:val="none" w:sz="0" w:space="0" w:color="auto"/>
        <w:left w:val="none" w:sz="0" w:space="0" w:color="auto"/>
        <w:bottom w:val="none" w:sz="0" w:space="0" w:color="auto"/>
        <w:right w:val="none" w:sz="0" w:space="0" w:color="auto"/>
      </w:divBdr>
    </w:div>
    <w:div w:id="770008206">
      <w:bodyDiv w:val="1"/>
      <w:marLeft w:val="0"/>
      <w:marRight w:val="0"/>
      <w:marTop w:val="0"/>
      <w:marBottom w:val="0"/>
      <w:divBdr>
        <w:top w:val="none" w:sz="0" w:space="0" w:color="auto"/>
        <w:left w:val="none" w:sz="0" w:space="0" w:color="auto"/>
        <w:bottom w:val="none" w:sz="0" w:space="0" w:color="auto"/>
        <w:right w:val="none" w:sz="0" w:space="0" w:color="auto"/>
      </w:divBdr>
    </w:div>
    <w:div w:id="777062192">
      <w:bodyDiv w:val="1"/>
      <w:marLeft w:val="0"/>
      <w:marRight w:val="0"/>
      <w:marTop w:val="0"/>
      <w:marBottom w:val="0"/>
      <w:divBdr>
        <w:top w:val="none" w:sz="0" w:space="0" w:color="auto"/>
        <w:left w:val="none" w:sz="0" w:space="0" w:color="auto"/>
        <w:bottom w:val="none" w:sz="0" w:space="0" w:color="auto"/>
        <w:right w:val="none" w:sz="0" w:space="0" w:color="auto"/>
      </w:divBdr>
    </w:div>
    <w:div w:id="806969405">
      <w:bodyDiv w:val="1"/>
      <w:marLeft w:val="0"/>
      <w:marRight w:val="0"/>
      <w:marTop w:val="0"/>
      <w:marBottom w:val="0"/>
      <w:divBdr>
        <w:top w:val="none" w:sz="0" w:space="0" w:color="auto"/>
        <w:left w:val="none" w:sz="0" w:space="0" w:color="auto"/>
        <w:bottom w:val="none" w:sz="0" w:space="0" w:color="auto"/>
        <w:right w:val="none" w:sz="0" w:space="0" w:color="auto"/>
      </w:divBdr>
    </w:div>
    <w:div w:id="83480173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4105140">
      <w:bodyDiv w:val="1"/>
      <w:marLeft w:val="0"/>
      <w:marRight w:val="0"/>
      <w:marTop w:val="0"/>
      <w:marBottom w:val="0"/>
      <w:divBdr>
        <w:top w:val="none" w:sz="0" w:space="0" w:color="auto"/>
        <w:left w:val="none" w:sz="0" w:space="0" w:color="auto"/>
        <w:bottom w:val="none" w:sz="0" w:space="0" w:color="auto"/>
        <w:right w:val="none" w:sz="0" w:space="0" w:color="auto"/>
      </w:divBdr>
    </w:div>
    <w:div w:id="891043121">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6595212">
      <w:bodyDiv w:val="1"/>
      <w:marLeft w:val="0"/>
      <w:marRight w:val="0"/>
      <w:marTop w:val="0"/>
      <w:marBottom w:val="0"/>
      <w:divBdr>
        <w:top w:val="none" w:sz="0" w:space="0" w:color="auto"/>
        <w:left w:val="none" w:sz="0" w:space="0" w:color="auto"/>
        <w:bottom w:val="none" w:sz="0" w:space="0" w:color="auto"/>
        <w:right w:val="none" w:sz="0" w:space="0" w:color="auto"/>
      </w:divBdr>
    </w:div>
    <w:div w:id="951208136">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6059982">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0491000">
      <w:bodyDiv w:val="1"/>
      <w:marLeft w:val="0"/>
      <w:marRight w:val="0"/>
      <w:marTop w:val="0"/>
      <w:marBottom w:val="0"/>
      <w:divBdr>
        <w:top w:val="none" w:sz="0" w:space="0" w:color="auto"/>
        <w:left w:val="none" w:sz="0" w:space="0" w:color="auto"/>
        <w:bottom w:val="none" w:sz="0" w:space="0" w:color="auto"/>
        <w:right w:val="none" w:sz="0" w:space="0" w:color="auto"/>
      </w:divBdr>
    </w:div>
    <w:div w:id="1033264412">
      <w:bodyDiv w:val="1"/>
      <w:marLeft w:val="0"/>
      <w:marRight w:val="0"/>
      <w:marTop w:val="0"/>
      <w:marBottom w:val="0"/>
      <w:divBdr>
        <w:top w:val="none" w:sz="0" w:space="0" w:color="auto"/>
        <w:left w:val="none" w:sz="0" w:space="0" w:color="auto"/>
        <w:bottom w:val="none" w:sz="0" w:space="0" w:color="auto"/>
        <w:right w:val="none" w:sz="0" w:space="0" w:color="auto"/>
      </w:divBdr>
    </w:div>
    <w:div w:id="1034385787">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77291722">
      <w:bodyDiv w:val="1"/>
      <w:marLeft w:val="0"/>
      <w:marRight w:val="0"/>
      <w:marTop w:val="0"/>
      <w:marBottom w:val="0"/>
      <w:divBdr>
        <w:top w:val="none" w:sz="0" w:space="0" w:color="auto"/>
        <w:left w:val="none" w:sz="0" w:space="0" w:color="auto"/>
        <w:bottom w:val="none" w:sz="0" w:space="0" w:color="auto"/>
        <w:right w:val="none" w:sz="0" w:space="0" w:color="auto"/>
      </w:divBdr>
    </w:div>
    <w:div w:id="1084454225">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1492192">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68907234">
      <w:bodyDiv w:val="1"/>
      <w:marLeft w:val="0"/>
      <w:marRight w:val="0"/>
      <w:marTop w:val="0"/>
      <w:marBottom w:val="0"/>
      <w:divBdr>
        <w:top w:val="none" w:sz="0" w:space="0" w:color="auto"/>
        <w:left w:val="none" w:sz="0" w:space="0" w:color="auto"/>
        <w:bottom w:val="none" w:sz="0" w:space="0" w:color="auto"/>
        <w:right w:val="none" w:sz="0" w:space="0" w:color="auto"/>
      </w:divBdr>
    </w:div>
    <w:div w:id="1169829722">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12464609">
      <w:bodyDiv w:val="1"/>
      <w:marLeft w:val="0"/>
      <w:marRight w:val="0"/>
      <w:marTop w:val="0"/>
      <w:marBottom w:val="0"/>
      <w:divBdr>
        <w:top w:val="none" w:sz="0" w:space="0" w:color="auto"/>
        <w:left w:val="none" w:sz="0" w:space="0" w:color="auto"/>
        <w:bottom w:val="none" w:sz="0" w:space="0" w:color="auto"/>
        <w:right w:val="none" w:sz="0" w:space="0" w:color="auto"/>
      </w:divBdr>
    </w:div>
    <w:div w:id="1439712824">
      <w:bodyDiv w:val="1"/>
      <w:marLeft w:val="0"/>
      <w:marRight w:val="0"/>
      <w:marTop w:val="0"/>
      <w:marBottom w:val="0"/>
      <w:divBdr>
        <w:top w:val="none" w:sz="0" w:space="0" w:color="auto"/>
        <w:left w:val="none" w:sz="0" w:space="0" w:color="auto"/>
        <w:bottom w:val="none" w:sz="0" w:space="0" w:color="auto"/>
        <w:right w:val="none" w:sz="0" w:space="0" w:color="auto"/>
      </w:divBdr>
    </w:div>
    <w:div w:id="1440880016">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0780601">
      <w:bodyDiv w:val="1"/>
      <w:marLeft w:val="0"/>
      <w:marRight w:val="0"/>
      <w:marTop w:val="0"/>
      <w:marBottom w:val="0"/>
      <w:divBdr>
        <w:top w:val="none" w:sz="0" w:space="0" w:color="auto"/>
        <w:left w:val="none" w:sz="0" w:space="0" w:color="auto"/>
        <w:bottom w:val="none" w:sz="0" w:space="0" w:color="auto"/>
        <w:right w:val="none" w:sz="0" w:space="0" w:color="auto"/>
      </w:divBdr>
    </w:div>
    <w:div w:id="1486315374">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40126747">
      <w:bodyDiv w:val="1"/>
      <w:marLeft w:val="0"/>
      <w:marRight w:val="0"/>
      <w:marTop w:val="0"/>
      <w:marBottom w:val="0"/>
      <w:divBdr>
        <w:top w:val="none" w:sz="0" w:space="0" w:color="auto"/>
        <w:left w:val="none" w:sz="0" w:space="0" w:color="auto"/>
        <w:bottom w:val="none" w:sz="0" w:space="0" w:color="auto"/>
        <w:right w:val="none" w:sz="0" w:space="0" w:color="auto"/>
      </w:divBdr>
    </w:div>
    <w:div w:id="155905213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91448729">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15423711">
      <w:bodyDiv w:val="1"/>
      <w:marLeft w:val="0"/>
      <w:marRight w:val="0"/>
      <w:marTop w:val="0"/>
      <w:marBottom w:val="0"/>
      <w:divBdr>
        <w:top w:val="none" w:sz="0" w:space="0" w:color="auto"/>
        <w:left w:val="none" w:sz="0" w:space="0" w:color="auto"/>
        <w:bottom w:val="none" w:sz="0" w:space="0" w:color="auto"/>
        <w:right w:val="none" w:sz="0" w:space="0" w:color="auto"/>
      </w:divBdr>
    </w:div>
    <w:div w:id="1717271516">
      <w:bodyDiv w:val="1"/>
      <w:marLeft w:val="0"/>
      <w:marRight w:val="0"/>
      <w:marTop w:val="0"/>
      <w:marBottom w:val="0"/>
      <w:divBdr>
        <w:top w:val="none" w:sz="0" w:space="0" w:color="auto"/>
        <w:left w:val="none" w:sz="0" w:space="0" w:color="auto"/>
        <w:bottom w:val="none" w:sz="0" w:space="0" w:color="auto"/>
        <w:right w:val="none" w:sz="0" w:space="0" w:color="auto"/>
      </w:divBdr>
    </w:div>
    <w:div w:id="172336650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9057596">
      <w:bodyDiv w:val="1"/>
      <w:marLeft w:val="0"/>
      <w:marRight w:val="0"/>
      <w:marTop w:val="0"/>
      <w:marBottom w:val="0"/>
      <w:divBdr>
        <w:top w:val="none" w:sz="0" w:space="0" w:color="auto"/>
        <w:left w:val="none" w:sz="0" w:space="0" w:color="auto"/>
        <w:bottom w:val="none" w:sz="0" w:space="0" w:color="auto"/>
        <w:right w:val="none" w:sz="0" w:space="0" w:color="auto"/>
      </w:divBdr>
    </w:div>
    <w:div w:id="181942312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29397929">
      <w:bodyDiv w:val="1"/>
      <w:marLeft w:val="0"/>
      <w:marRight w:val="0"/>
      <w:marTop w:val="0"/>
      <w:marBottom w:val="0"/>
      <w:divBdr>
        <w:top w:val="none" w:sz="0" w:space="0" w:color="auto"/>
        <w:left w:val="none" w:sz="0" w:space="0" w:color="auto"/>
        <w:bottom w:val="none" w:sz="0" w:space="0" w:color="auto"/>
        <w:right w:val="none" w:sz="0" w:space="0" w:color="auto"/>
      </w:divBdr>
    </w:div>
    <w:div w:id="1831096857">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50089625">
      <w:bodyDiv w:val="1"/>
      <w:marLeft w:val="0"/>
      <w:marRight w:val="0"/>
      <w:marTop w:val="0"/>
      <w:marBottom w:val="0"/>
      <w:divBdr>
        <w:top w:val="none" w:sz="0" w:space="0" w:color="auto"/>
        <w:left w:val="none" w:sz="0" w:space="0" w:color="auto"/>
        <w:bottom w:val="none" w:sz="0" w:space="0" w:color="auto"/>
        <w:right w:val="none" w:sz="0" w:space="0" w:color="auto"/>
      </w:divBdr>
    </w:div>
    <w:div w:id="1950431733">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7103367">
      <w:bodyDiv w:val="1"/>
      <w:marLeft w:val="0"/>
      <w:marRight w:val="0"/>
      <w:marTop w:val="0"/>
      <w:marBottom w:val="0"/>
      <w:divBdr>
        <w:top w:val="none" w:sz="0" w:space="0" w:color="auto"/>
        <w:left w:val="none" w:sz="0" w:space="0" w:color="auto"/>
        <w:bottom w:val="none" w:sz="0" w:space="0" w:color="auto"/>
        <w:right w:val="none" w:sz="0" w:space="0" w:color="auto"/>
      </w:divBdr>
    </w:div>
    <w:div w:id="1980574342">
      <w:bodyDiv w:val="1"/>
      <w:marLeft w:val="0"/>
      <w:marRight w:val="0"/>
      <w:marTop w:val="0"/>
      <w:marBottom w:val="0"/>
      <w:divBdr>
        <w:top w:val="none" w:sz="0" w:space="0" w:color="auto"/>
        <w:left w:val="none" w:sz="0" w:space="0" w:color="auto"/>
        <w:bottom w:val="none" w:sz="0" w:space="0" w:color="auto"/>
        <w:right w:val="none" w:sz="0" w:space="0" w:color="auto"/>
      </w:divBdr>
    </w:div>
    <w:div w:id="1999843145">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9.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image" Target="media/image17.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image" Target="media/image14.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5354E2C1A1800A409D686EE5B476D455" ma:contentTypeVersion="11" ma:contentTypeDescription="" ma:contentTypeScope="" ma:versionID="6a8e13556158ed0b49c7399d91712fdb">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825bfe1b75efa0a7f08aa0a0f7cea6a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 xmlns="eb47d8b7-fefc-4923-b53c-9685ba6b7210">2014CSSG-727-287</_dlc_DocId>
    <_dlc_DocIdUrl xmlns="eb47d8b7-fefc-4923-b53c-9685ba6b7210">
      <Url>http://tweb/sites/cssg/mcd/pubs/pt/_layouts/15/DocIdRedir.aspx?ID=2014CSSG-727-287</Url>
      <Description>2014CSSG-727-287</Description>
    </_dlc_DocIdUrl>
  </documentManagement>
</p:properties>
</file>

<file path=customXml/item3.xml><?xml version="1.0" encoding="utf-8"?>
<?mso-contentType ?>
<p:Policy xmlns:p="office.server.policy" id="" local="true">
  <p:Name>Treasury Document Audit Policy</p:Name>
  <p:Description/>
  <p:Statement/>
  <p:PolicyItems>
    <p:PolicyItem featureId="Microsoft.Office.RecordsManagement.PolicyFeatures.PolicyAudit" staticId="0x010100605AAC981168BE40A9BD548B81A50DF6|1757814118" UniqueId="dfcffb86-ae69-48ff-b02e-2c46fcd97350">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E1FFA-4035-472C-9EAE-D6E0B316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B04FC-F1E0-47BD-B08E-FBED5ED909D7}">
  <ds:schemaRefs>
    <ds:schemaRef ds:uri="http://purl.org/dc/dcmitype/"/>
    <ds:schemaRef ds:uri="eb47d8b7-fefc-4923-b53c-9685ba6b7210"/>
    <ds:schemaRef ds:uri="http://purl.org/dc/terms/"/>
    <ds:schemaRef ds:uri="http://schemas.microsoft.com/office/2006/metadata/properties"/>
    <ds:schemaRef ds:uri="http://purl.org/dc/elements/1.1/"/>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783EF23-FDE9-4BC4-9D0E-C386C25B28C2}">
  <ds:schemaRefs>
    <ds:schemaRef ds:uri="office.server.policy"/>
  </ds:schemaRefs>
</ds:datastoreItem>
</file>

<file path=customXml/itemProps4.xml><?xml version="1.0" encoding="utf-8"?>
<ds:datastoreItem xmlns:ds="http://schemas.openxmlformats.org/officeDocument/2006/customXml" ds:itemID="{EB1A982B-6B2C-43FC-A1C9-BD2FE7FBE2F0}">
  <ds:schemaRefs>
    <ds:schemaRef ds:uri="http://schemas.microsoft.com/sharepoint/v3/contenttype/forms"/>
  </ds:schemaRefs>
</ds:datastoreItem>
</file>

<file path=customXml/itemProps5.xml><?xml version="1.0" encoding="utf-8"?>
<ds:datastoreItem xmlns:ds="http://schemas.openxmlformats.org/officeDocument/2006/customXml" ds:itemID="{855133F8-EFF4-4823-BD43-293BB1C3CD60}">
  <ds:schemaRefs>
    <ds:schemaRef ds:uri="http://schemas.microsoft.com/sharepoint/events"/>
  </ds:schemaRefs>
</ds:datastoreItem>
</file>

<file path=customXml/itemProps6.xml><?xml version="1.0" encoding="utf-8"?>
<ds:datastoreItem xmlns:ds="http://schemas.openxmlformats.org/officeDocument/2006/customXml" ds:itemID="{A9969A44-28A8-42D2-BFA9-DFB5EB642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5</TotalTime>
  <Pages>31</Pages>
  <Words>2736</Words>
  <Characters>16231</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PORTFOLIO</vt:lpstr>
    </vt:vector>
  </TitlesOfParts>
  <Company>The Treasury</Company>
  <LinksUpToDate>false</LinksUpToDate>
  <CharactersWithSpaces>18930</CharactersWithSpaces>
  <SharedDoc>false</SharedDoc>
  <HLinks>
    <vt:vector size="24" baseType="variant">
      <vt:variant>
        <vt:i4>7471148</vt:i4>
      </vt:variant>
      <vt:variant>
        <vt:i4>25</vt:i4>
      </vt:variant>
      <vt:variant>
        <vt:i4>0</vt:i4>
      </vt:variant>
      <vt:variant>
        <vt:i4>5</vt:i4>
      </vt:variant>
      <vt:variant>
        <vt:lpwstr>http://www.itsanhonour.gov.au/</vt:lpwstr>
      </vt:variant>
      <vt:variant>
        <vt:lpwstr/>
      </vt:variant>
      <vt:variant>
        <vt:i4>5111827</vt:i4>
      </vt:variant>
      <vt:variant>
        <vt:i4>10</vt:i4>
      </vt:variant>
      <vt:variant>
        <vt:i4>0</vt:i4>
      </vt:variant>
      <vt:variant>
        <vt:i4>5</vt:i4>
      </vt:variant>
      <vt:variant>
        <vt:lpwstr>http://creativecommons.org/licenses/by/3.0/au/deed.en</vt:lpwstr>
      </vt:variant>
      <vt:variant>
        <vt:lpwstr/>
      </vt:variant>
      <vt:variant>
        <vt:i4>2687028</vt:i4>
      </vt:variant>
      <vt:variant>
        <vt:i4>5</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dc:title>
  <dc:creator>Publications Team</dc:creator>
  <cp:keywords>[SEC=UNCLASSIFIED:For-Official-Use-Only]</cp:keywords>
  <cp:lastModifiedBy>Danielle Wills</cp:lastModifiedBy>
  <cp:revision>3</cp:revision>
  <cp:lastPrinted>2015-05-10T10:06:00Z</cp:lastPrinted>
  <dcterms:created xsi:type="dcterms:W3CDTF">2015-05-12T01:29:00Z</dcterms:created>
  <dcterms:modified xsi:type="dcterms:W3CDTF">2015-05-12T01:34:00Z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0x010100605AAC981168BE40A9BD548B81A50DF6005354E2C1A1800A409D686EE5B476D455</vt:lpwstr>
  </property>
  <property fmtid="{D5CDD505-2E9C-101B-9397-08002B2CF9AE}" pid="5" name="TSYRecordClass">
    <vt:lpwstr>75;#AE-20337-Destroy 7 years after action completed|668ae28e-5138-4c7c-82db-1c8c6afc81a6</vt:lpwstr>
  </property>
  <property fmtid="{D5CDD505-2E9C-101B-9397-08002B2CF9AE}" pid="6" name="_dlc_DocIdItemGuid">
    <vt:lpwstr>f2062dbe-9663-4abe-8923-d8e886ea0b01</vt:lpwstr>
  </property>
  <property fmtid="{D5CDD505-2E9C-101B-9397-08002B2CF9AE}" pid="7" name="PM_SecurityClassification">
    <vt:lpwstr>UNCLASSIFIED</vt:lpwstr>
  </property>
  <property fmtid="{D5CDD505-2E9C-101B-9397-08002B2CF9AE}" pid="8" name="PM_Qualifier">
    <vt:lpwstr>For-Official-Use-Only</vt:lpwstr>
  </property>
  <property fmtid="{D5CDD505-2E9C-101B-9397-08002B2CF9AE}" pid="9" name="PM_DisplayValueSecClassificationWithQualifier">
    <vt:lpwstr>UNCLASSIFIED For Official Use Only</vt:lpwstr>
  </property>
  <property fmtid="{D5CDD505-2E9C-101B-9397-08002B2CF9AE}" pid="10" name="PM_InsertionValue">
    <vt:lpwstr>UNCLASSIFIED\r\nFor Official Use Only</vt:lpwstr>
  </property>
  <property fmtid="{D5CDD505-2E9C-101B-9397-08002B2CF9AE}" pid="11" name="PM_Originator_Hash_SHA1">
    <vt:lpwstr>87980400D64ED6E33B0A0B3DFC2C760DBF70338E</vt:lpwstr>
  </property>
  <property fmtid="{D5CDD505-2E9C-101B-9397-08002B2CF9AE}" pid="12" name="PM_Hash_Version">
    <vt:lpwstr>2014.1</vt:lpwstr>
  </property>
  <property fmtid="{D5CDD505-2E9C-101B-9397-08002B2CF9AE}" pid="13" name="PM_Hash_Salt">
    <vt:lpwstr>F3BE3457296DFAD237F045E81A5F23E4</vt:lpwstr>
  </property>
  <property fmtid="{D5CDD505-2E9C-101B-9397-08002B2CF9AE}" pid="14" name="PM_Hash_SHA1">
    <vt:lpwstr>0BE7312E49DA4DD3C38D9ED326BD98FF68B50930</vt:lpwstr>
  </property>
</Properties>
</file>