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908964546"/>
        <w:docPartObj>
          <w:docPartGallery w:val="Cover Pages"/>
          <w:docPartUnique/>
        </w:docPartObj>
      </w:sdtPr>
      <w:sdtEndPr>
        <w:rPr>
          <w:rFonts w:asciiTheme="minorHAnsi" w:hAnsiTheme="minorHAnsi"/>
          <w:sz w:val="32"/>
          <w:szCs w:val="32"/>
        </w:rPr>
      </w:sdtEndPr>
      <w:sdtContent>
        <w:p w:rsidR="00BC1878" w:rsidRDefault="00BC1878">
          <w:r>
            <w:rPr>
              <w:noProof/>
              <w:lang w:eastAsia="en-AU"/>
            </w:rPr>
            <mc:AlternateContent>
              <mc:Choice Requires="wps">
                <w:drawing>
                  <wp:anchor distT="0" distB="0" distL="114300" distR="114300" simplePos="0" relativeHeight="251659264" behindDoc="0" locked="0" layoutInCell="1" allowOverlap="1" wp14:anchorId="55CDAEA9" wp14:editId="4EB26182">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252328" w:rsidRDefault="00252328">
                                    <w:pPr>
                                      <w:pStyle w:val="Title"/>
                                      <w:pBdr>
                                        <w:bottom w:val="none" w:sz="0" w:space="0" w:color="auto"/>
                                      </w:pBdr>
                                      <w:jc w:val="right"/>
                                      <w:rPr>
                                        <w:caps/>
                                        <w:color w:val="FFFFFF" w:themeColor="background1"/>
                                        <w:sz w:val="72"/>
                                        <w:szCs w:val="72"/>
                                      </w:rPr>
                                    </w:pPr>
                                    <w:r>
                                      <w:rPr>
                                        <w:caps/>
                                        <w:color w:val="FFFFFF" w:themeColor="background1"/>
                                        <w:sz w:val="72"/>
                                        <w:szCs w:val="72"/>
                                      </w:rPr>
                                      <w:t>seacare scheme review</w:t>
                                    </w:r>
                                  </w:p>
                                </w:sdtContent>
                              </w:sdt>
                              <w:p w:rsidR="00252328" w:rsidRDefault="00252328">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252328" w:rsidRDefault="00252328">
                                    <w:pPr>
                                      <w:spacing w:before="240"/>
                                      <w:ind w:left="1008"/>
                                      <w:jc w:val="right"/>
                                      <w:rPr>
                                        <w:color w:val="FFFFFF" w:themeColor="background1"/>
                                      </w:rPr>
                                    </w:pPr>
                                    <w:r>
                                      <w:rPr>
                                        <w:color w:val="FFFFFF" w:themeColor="background1"/>
                                        <w:sz w:val="21"/>
                                        <w:szCs w:val="21"/>
                                      </w:rPr>
                                      <w:t>This discussion paper provides information for interested persons and illustrates the type of matters that they may wish to raise in their written submissions or discussions with the Review.</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252328" w:rsidRDefault="00252328">
                              <w:pPr>
                                <w:pStyle w:val="Title"/>
                                <w:pBdr>
                                  <w:bottom w:val="none" w:sz="0" w:space="0" w:color="auto"/>
                                </w:pBdr>
                                <w:jc w:val="right"/>
                                <w:rPr>
                                  <w:caps/>
                                  <w:color w:val="FFFFFF" w:themeColor="background1"/>
                                  <w:sz w:val="72"/>
                                  <w:szCs w:val="72"/>
                                </w:rPr>
                              </w:pPr>
                              <w:r>
                                <w:rPr>
                                  <w:caps/>
                                  <w:color w:val="FFFFFF" w:themeColor="background1"/>
                                  <w:sz w:val="72"/>
                                  <w:szCs w:val="72"/>
                                </w:rPr>
                                <w:t>seacare scheme review</w:t>
                              </w:r>
                            </w:p>
                          </w:sdtContent>
                        </w:sdt>
                        <w:p w:rsidR="00252328" w:rsidRDefault="00252328">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252328" w:rsidRDefault="00252328">
                              <w:pPr>
                                <w:spacing w:before="240"/>
                                <w:ind w:left="1008"/>
                                <w:jc w:val="right"/>
                                <w:rPr>
                                  <w:color w:val="FFFFFF" w:themeColor="background1"/>
                                </w:rPr>
                              </w:pPr>
                              <w:r>
                                <w:rPr>
                                  <w:color w:val="FFFFFF" w:themeColor="background1"/>
                                  <w:sz w:val="21"/>
                                  <w:szCs w:val="21"/>
                                </w:rPr>
                                <w:t>This discussion paper provides information for interested persons and illustrates the type of matters that they may wish to raise in their written submissions or discussions with the Review.</w:t>
                              </w:r>
                            </w:p>
                          </w:sdtContent>
                        </w:sdt>
                      </w:txbxContent>
                    </v:textbox>
                    <w10:wrap anchorx="page" anchory="page"/>
                  </v:rect>
                </w:pict>
              </mc:Fallback>
            </mc:AlternateContent>
          </w:r>
          <w:r>
            <w:rPr>
              <w:noProof/>
              <w:lang w:eastAsia="en-AU"/>
            </w:rPr>
            <mc:AlternateContent>
              <mc:Choice Requires="wps">
                <w:drawing>
                  <wp:anchor distT="0" distB="0" distL="114300" distR="114300" simplePos="0" relativeHeight="251660288" behindDoc="0" locked="0" layoutInCell="1" allowOverlap="1" wp14:anchorId="2C53A972" wp14:editId="20983F80">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252328" w:rsidRDefault="00252328">
                                    <w:pPr>
                                      <w:pStyle w:val="Subtitle"/>
                                      <w:rPr>
                                        <w:color w:val="FFFFFF" w:themeColor="background1"/>
                                      </w:rPr>
                                    </w:pPr>
                                    <w:r>
                                      <w:rPr>
                                        <w:color w:val="FFFFFF" w:themeColor="background1"/>
                                      </w:rPr>
                                      <w:t>Discussion Paper</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252328" w:rsidRDefault="00252328">
                              <w:pPr>
                                <w:pStyle w:val="Subtitle"/>
                                <w:rPr>
                                  <w:color w:val="FFFFFF" w:themeColor="background1"/>
                                </w:rPr>
                              </w:pPr>
                              <w:r>
                                <w:rPr>
                                  <w:color w:val="FFFFFF" w:themeColor="background1"/>
                                </w:rPr>
                                <w:t>Discussion Paper</w:t>
                              </w:r>
                            </w:p>
                          </w:sdtContent>
                        </w:sdt>
                      </w:txbxContent>
                    </v:textbox>
                    <w10:wrap anchorx="page" anchory="page"/>
                  </v:rect>
                </w:pict>
              </mc:Fallback>
            </mc:AlternateContent>
          </w:r>
        </w:p>
        <w:p w:rsidR="00BC1878" w:rsidRDefault="00BC1878"/>
        <w:p w:rsidR="00BC1878" w:rsidRDefault="00BC1878">
          <w:pPr>
            <w:spacing w:after="200" w:line="276" w:lineRule="auto"/>
            <w:rPr>
              <w:rFonts w:asciiTheme="minorHAnsi" w:hAnsiTheme="minorHAnsi"/>
              <w:sz w:val="32"/>
              <w:szCs w:val="32"/>
            </w:rPr>
          </w:pPr>
          <w:r>
            <w:rPr>
              <w:rFonts w:asciiTheme="minorHAnsi" w:hAnsiTheme="minorHAnsi"/>
              <w:sz w:val="32"/>
              <w:szCs w:val="32"/>
            </w:rPr>
            <w:br w:type="page"/>
          </w:r>
        </w:p>
      </w:sdtContent>
    </w:sdt>
    <w:p w:rsidR="005B7717" w:rsidRPr="008B0669" w:rsidRDefault="00013B92" w:rsidP="00013B92">
      <w:pPr>
        <w:tabs>
          <w:tab w:val="center" w:pos="5386"/>
          <w:tab w:val="left" w:pos="9573"/>
        </w:tabs>
        <w:rPr>
          <w:rFonts w:asciiTheme="minorHAnsi" w:hAnsiTheme="minorHAnsi"/>
          <w:sz w:val="32"/>
          <w:szCs w:val="32"/>
        </w:rPr>
      </w:pPr>
      <w:r w:rsidRPr="008B0669">
        <w:rPr>
          <w:rFonts w:asciiTheme="minorHAnsi" w:hAnsiTheme="minorHAnsi"/>
          <w:sz w:val="32"/>
          <w:szCs w:val="32"/>
        </w:rPr>
        <w:lastRenderedPageBreak/>
        <w:tab/>
      </w:r>
      <w:r w:rsidR="005B7717" w:rsidRPr="008B0669">
        <w:rPr>
          <w:rFonts w:asciiTheme="minorHAnsi" w:hAnsiTheme="minorHAnsi"/>
          <w:sz w:val="32"/>
          <w:szCs w:val="32"/>
        </w:rPr>
        <w:t>Seacare Scheme Review – Discussion Paper</w:t>
      </w:r>
      <w:r w:rsidRPr="008B0669">
        <w:rPr>
          <w:rFonts w:asciiTheme="minorHAnsi" w:hAnsiTheme="minorHAnsi"/>
          <w:sz w:val="32"/>
          <w:szCs w:val="32"/>
        </w:rPr>
        <w:tab/>
      </w:r>
    </w:p>
    <w:p w:rsidR="00EE1AD0" w:rsidRPr="008B0669" w:rsidRDefault="00EE1AD0" w:rsidP="006202B0">
      <w:pPr>
        <w:pStyle w:val="NormalWeb"/>
        <w:shd w:val="clear" w:color="auto" w:fill="FFFFFF"/>
        <w:spacing w:before="0" w:after="0"/>
        <w:ind w:left="576" w:right="576"/>
        <w:rPr>
          <w:rFonts w:asciiTheme="minorHAnsi" w:hAnsiTheme="minorHAnsi" w:cs="Arial"/>
        </w:rPr>
      </w:pPr>
    </w:p>
    <w:sdt>
      <w:sdtPr>
        <w:rPr>
          <w:rFonts w:asciiTheme="minorHAnsi" w:eastAsia="Calibri" w:hAnsiTheme="minorHAnsi" w:cs="Arial"/>
          <w:b w:val="0"/>
          <w:bCs w:val="0"/>
          <w:color w:val="auto"/>
          <w:sz w:val="22"/>
          <w:szCs w:val="22"/>
          <w:lang w:val="en-AU" w:eastAsia="en-US"/>
        </w:rPr>
        <w:id w:val="-14771147"/>
        <w:docPartObj>
          <w:docPartGallery w:val="Table of Contents"/>
          <w:docPartUnique/>
        </w:docPartObj>
      </w:sdtPr>
      <w:sdtEndPr>
        <w:rPr>
          <w:noProof/>
        </w:rPr>
      </w:sdtEndPr>
      <w:sdtContent>
        <w:p w:rsidR="00116B09" w:rsidRPr="008B0669" w:rsidRDefault="00116B09" w:rsidP="002E255C">
          <w:pPr>
            <w:pStyle w:val="TOCHeading"/>
            <w:spacing w:before="0" w:line="240" w:lineRule="auto"/>
            <w:ind w:left="720"/>
            <w:rPr>
              <w:rFonts w:asciiTheme="minorHAnsi" w:hAnsiTheme="minorHAnsi" w:cs="Arial"/>
              <w:b w:val="0"/>
              <w:color w:val="auto"/>
            </w:rPr>
          </w:pPr>
          <w:r w:rsidRPr="008B0669">
            <w:rPr>
              <w:rFonts w:asciiTheme="minorHAnsi" w:hAnsiTheme="minorHAnsi" w:cs="Arial"/>
              <w:b w:val="0"/>
              <w:color w:val="auto"/>
            </w:rPr>
            <w:t>Contents</w:t>
          </w:r>
        </w:p>
        <w:p w:rsidR="000C5FF0" w:rsidRPr="008B0669" w:rsidRDefault="000C5FF0" w:rsidP="002E255C">
          <w:pPr>
            <w:rPr>
              <w:rFonts w:asciiTheme="minorHAnsi" w:hAnsiTheme="minorHAnsi"/>
              <w:lang w:val="en-US" w:eastAsia="ja-JP"/>
            </w:rPr>
          </w:pPr>
        </w:p>
        <w:p w:rsidR="008837E5" w:rsidRDefault="00116B09">
          <w:pPr>
            <w:pStyle w:val="TOC2"/>
            <w:rPr>
              <w:rFonts w:asciiTheme="minorHAnsi" w:eastAsiaTheme="minorEastAsia" w:hAnsiTheme="minorHAnsi" w:cstheme="minorBidi"/>
              <w:noProof/>
              <w:lang w:val="en-US"/>
            </w:rPr>
          </w:pPr>
          <w:r w:rsidRPr="008B0669">
            <w:rPr>
              <w:rFonts w:asciiTheme="minorHAnsi" w:hAnsiTheme="minorHAnsi"/>
            </w:rPr>
            <w:fldChar w:fldCharType="begin"/>
          </w:r>
          <w:r w:rsidRPr="008B0669">
            <w:rPr>
              <w:rFonts w:asciiTheme="minorHAnsi" w:hAnsiTheme="minorHAnsi"/>
            </w:rPr>
            <w:instrText xml:space="preserve"> TOC \o "1-3" \h \z \u </w:instrText>
          </w:r>
          <w:r w:rsidRPr="008B0669">
            <w:rPr>
              <w:rFonts w:asciiTheme="minorHAnsi" w:hAnsiTheme="minorHAnsi"/>
            </w:rPr>
            <w:fldChar w:fldCharType="separate"/>
          </w:r>
          <w:hyperlink w:anchor="_Toc341014931" w:history="1">
            <w:r w:rsidR="008837E5" w:rsidRPr="00C741A8">
              <w:rPr>
                <w:rStyle w:val="Hyperlink"/>
                <w:noProof/>
              </w:rPr>
              <w:t>Introduction</w:t>
            </w:r>
            <w:r w:rsidR="008837E5">
              <w:rPr>
                <w:noProof/>
                <w:webHidden/>
              </w:rPr>
              <w:tab/>
            </w:r>
            <w:r w:rsidR="008837E5">
              <w:rPr>
                <w:noProof/>
                <w:webHidden/>
              </w:rPr>
              <w:fldChar w:fldCharType="begin"/>
            </w:r>
            <w:r w:rsidR="008837E5">
              <w:rPr>
                <w:noProof/>
                <w:webHidden/>
              </w:rPr>
              <w:instrText xml:space="preserve"> PAGEREF _Toc341014931 \h </w:instrText>
            </w:r>
            <w:r w:rsidR="008837E5">
              <w:rPr>
                <w:noProof/>
                <w:webHidden/>
              </w:rPr>
            </w:r>
            <w:r w:rsidR="008837E5">
              <w:rPr>
                <w:noProof/>
                <w:webHidden/>
              </w:rPr>
              <w:fldChar w:fldCharType="separate"/>
            </w:r>
            <w:r w:rsidR="00733E1A">
              <w:rPr>
                <w:noProof/>
                <w:webHidden/>
              </w:rPr>
              <w:t>2</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2" w:history="1">
            <w:r w:rsidR="008837E5" w:rsidRPr="00C741A8">
              <w:rPr>
                <w:rStyle w:val="Hyperlink"/>
                <w:noProof/>
              </w:rPr>
              <w:t>Terms of reference</w:t>
            </w:r>
            <w:r w:rsidR="008837E5">
              <w:rPr>
                <w:noProof/>
                <w:webHidden/>
              </w:rPr>
              <w:tab/>
            </w:r>
            <w:r w:rsidR="008837E5">
              <w:rPr>
                <w:noProof/>
                <w:webHidden/>
              </w:rPr>
              <w:fldChar w:fldCharType="begin"/>
            </w:r>
            <w:r w:rsidR="008837E5">
              <w:rPr>
                <w:noProof/>
                <w:webHidden/>
              </w:rPr>
              <w:instrText xml:space="preserve"> PAGEREF _Toc341014932 \h </w:instrText>
            </w:r>
            <w:r w:rsidR="008837E5">
              <w:rPr>
                <w:noProof/>
                <w:webHidden/>
              </w:rPr>
            </w:r>
            <w:r w:rsidR="008837E5">
              <w:rPr>
                <w:noProof/>
                <w:webHidden/>
              </w:rPr>
              <w:fldChar w:fldCharType="separate"/>
            </w:r>
            <w:r>
              <w:rPr>
                <w:noProof/>
                <w:webHidden/>
              </w:rPr>
              <w:t>3</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3" w:history="1">
            <w:r w:rsidR="008837E5" w:rsidRPr="00C741A8">
              <w:rPr>
                <w:rStyle w:val="Hyperlink"/>
                <w:noProof/>
              </w:rPr>
              <w:t>Purpose of this discussion paper</w:t>
            </w:r>
            <w:r w:rsidR="008837E5">
              <w:rPr>
                <w:noProof/>
                <w:webHidden/>
              </w:rPr>
              <w:tab/>
            </w:r>
            <w:r w:rsidR="008837E5">
              <w:rPr>
                <w:noProof/>
                <w:webHidden/>
              </w:rPr>
              <w:fldChar w:fldCharType="begin"/>
            </w:r>
            <w:r w:rsidR="008837E5">
              <w:rPr>
                <w:noProof/>
                <w:webHidden/>
              </w:rPr>
              <w:instrText xml:space="preserve"> PAGEREF _Toc341014933 \h </w:instrText>
            </w:r>
            <w:r w:rsidR="008837E5">
              <w:rPr>
                <w:noProof/>
                <w:webHidden/>
              </w:rPr>
            </w:r>
            <w:r w:rsidR="008837E5">
              <w:rPr>
                <w:noProof/>
                <w:webHidden/>
              </w:rPr>
              <w:fldChar w:fldCharType="separate"/>
            </w:r>
            <w:r>
              <w:rPr>
                <w:noProof/>
                <w:webHidden/>
              </w:rPr>
              <w:t>4</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4" w:history="1">
            <w:r w:rsidR="008837E5" w:rsidRPr="00C741A8">
              <w:rPr>
                <w:rStyle w:val="Hyperlink"/>
                <w:noProof/>
              </w:rPr>
              <w:t>Overview of the maritime industry subject to Australian regulation</w:t>
            </w:r>
            <w:r w:rsidR="008837E5">
              <w:rPr>
                <w:noProof/>
                <w:webHidden/>
              </w:rPr>
              <w:tab/>
            </w:r>
            <w:r w:rsidR="008837E5">
              <w:rPr>
                <w:noProof/>
                <w:webHidden/>
              </w:rPr>
              <w:fldChar w:fldCharType="begin"/>
            </w:r>
            <w:r w:rsidR="008837E5">
              <w:rPr>
                <w:noProof/>
                <w:webHidden/>
              </w:rPr>
              <w:instrText xml:space="preserve"> PAGEREF _Toc341014934 \h </w:instrText>
            </w:r>
            <w:r w:rsidR="008837E5">
              <w:rPr>
                <w:noProof/>
                <w:webHidden/>
              </w:rPr>
            </w:r>
            <w:r w:rsidR="008837E5">
              <w:rPr>
                <w:noProof/>
                <w:webHidden/>
              </w:rPr>
              <w:fldChar w:fldCharType="separate"/>
            </w:r>
            <w:r>
              <w:rPr>
                <w:noProof/>
                <w:webHidden/>
              </w:rPr>
              <w:t>4</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5" w:history="1">
            <w:r w:rsidR="008837E5" w:rsidRPr="00C741A8">
              <w:rPr>
                <w:rStyle w:val="Hyperlink"/>
                <w:noProof/>
              </w:rPr>
              <w:t>Performance of the Seacare scheme</w:t>
            </w:r>
            <w:r w:rsidR="008837E5">
              <w:rPr>
                <w:noProof/>
                <w:webHidden/>
              </w:rPr>
              <w:tab/>
            </w:r>
            <w:r w:rsidR="008837E5">
              <w:rPr>
                <w:noProof/>
                <w:webHidden/>
              </w:rPr>
              <w:fldChar w:fldCharType="begin"/>
            </w:r>
            <w:r w:rsidR="008837E5">
              <w:rPr>
                <w:noProof/>
                <w:webHidden/>
              </w:rPr>
              <w:instrText xml:space="preserve"> PAGEREF _Toc341014935 \h </w:instrText>
            </w:r>
            <w:r w:rsidR="008837E5">
              <w:rPr>
                <w:noProof/>
                <w:webHidden/>
              </w:rPr>
            </w:r>
            <w:r w:rsidR="008837E5">
              <w:rPr>
                <w:noProof/>
                <w:webHidden/>
              </w:rPr>
              <w:fldChar w:fldCharType="separate"/>
            </w:r>
            <w:r>
              <w:rPr>
                <w:noProof/>
                <w:webHidden/>
              </w:rPr>
              <w:t>5</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6" w:history="1">
            <w:r w:rsidR="008837E5" w:rsidRPr="00C741A8">
              <w:rPr>
                <w:rStyle w:val="Hyperlink"/>
                <w:noProof/>
              </w:rPr>
              <w:t>DISCUSSION OF ISSUES UNDER THE TERMS OF REFERENCE</w:t>
            </w:r>
            <w:r w:rsidR="008837E5">
              <w:rPr>
                <w:noProof/>
                <w:webHidden/>
              </w:rPr>
              <w:tab/>
            </w:r>
            <w:r w:rsidR="008837E5">
              <w:rPr>
                <w:noProof/>
                <w:webHidden/>
              </w:rPr>
              <w:fldChar w:fldCharType="begin"/>
            </w:r>
            <w:r w:rsidR="008837E5">
              <w:rPr>
                <w:noProof/>
                <w:webHidden/>
              </w:rPr>
              <w:instrText xml:space="preserve"> PAGEREF _Toc341014936 \h </w:instrText>
            </w:r>
            <w:r w:rsidR="008837E5">
              <w:rPr>
                <w:noProof/>
                <w:webHidden/>
              </w:rPr>
            </w:r>
            <w:r w:rsidR="008837E5">
              <w:rPr>
                <w:noProof/>
                <w:webHidden/>
              </w:rPr>
              <w:fldChar w:fldCharType="separate"/>
            </w:r>
            <w:r>
              <w:rPr>
                <w:noProof/>
                <w:webHidden/>
              </w:rPr>
              <w:t>7</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7" w:history="1">
            <w:r w:rsidR="008837E5" w:rsidRPr="00C741A8">
              <w:rPr>
                <w:rStyle w:val="Hyperlink"/>
                <w:noProof/>
              </w:rPr>
              <w:t>TOR 1(a) – OHS(MI) Act interaction with the OPGGS Act and State and Territory OHS schemes</w:t>
            </w:r>
            <w:r w:rsidR="008837E5">
              <w:rPr>
                <w:noProof/>
                <w:webHidden/>
              </w:rPr>
              <w:tab/>
            </w:r>
            <w:r w:rsidR="008837E5">
              <w:rPr>
                <w:noProof/>
                <w:webHidden/>
              </w:rPr>
              <w:fldChar w:fldCharType="begin"/>
            </w:r>
            <w:r w:rsidR="008837E5">
              <w:rPr>
                <w:noProof/>
                <w:webHidden/>
              </w:rPr>
              <w:instrText xml:space="preserve"> PAGEREF _Toc341014937 \h </w:instrText>
            </w:r>
            <w:r w:rsidR="008837E5">
              <w:rPr>
                <w:noProof/>
                <w:webHidden/>
              </w:rPr>
            </w:r>
            <w:r w:rsidR="008837E5">
              <w:rPr>
                <w:noProof/>
                <w:webHidden/>
              </w:rPr>
              <w:fldChar w:fldCharType="separate"/>
            </w:r>
            <w:r>
              <w:rPr>
                <w:noProof/>
                <w:webHidden/>
              </w:rPr>
              <w:t>7</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8" w:history="1">
            <w:r w:rsidR="008837E5" w:rsidRPr="00C741A8">
              <w:rPr>
                <w:rStyle w:val="Hyperlink"/>
                <w:noProof/>
              </w:rPr>
              <w:t>TOR 1(b) - Coverage of the Seacare scheme – jurisdictional Issues</w:t>
            </w:r>
            <w:r w:rsidR="008837E5">
              <w:rPr>
                <w:noProof/>
                <w:webHidden/>
              </w:rPr>
              <w:tab/>
            </w:r>
            <w:r w:rsidR="008837E5">
              <w:rPr>
                <w:noProof/>
                <w:webHidden/>
              </w:rPr>
              <w:fldChar w:fldCharType="begin"/>
            </w:r>
            <w:r w:rsidR="008837E5">
              <w:rPr>
                <w:noProof/>
                <w:webHidden/>
              </w:rPr>
              <w:instrText xml:space="preserve"> PAGEREF _Toc341014938 \h </w:instrText>
            </w:r>
            <w:r w:rsidR="008837E5">
              <w:rPr>
                <w:noProof/>
                <w:webHidden/>
              </w:rPr>
            </w:r>
            <w:r w:rsidR="008837E5">
              <w:rPr>
                <w:noProof/>
                <w:webHidden/>
              </w:rPr>
              <w:fldChar w:fldCharType="separate"/>
            </w:r>
            <w:r>
              <w:rPr>
                <w:noProof/>
                <w:webHidden/>
              </w:rPr>
              <w:t>7</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39" w:history="1">
            <w:r w:rsidR="008837E5" w:rsidRPr="00C741A8">
              <w:rPr>
                <w:rStyle w:val="Hyperlink"/>
                <w:noProof/>
              </w:rPr>
              <w:t>TOR 1(c) - Exemptions from the Seacare scheme and declarations under the Navigation Act</w:t>
            </w:r>
            <w:r w:rsidR="008837E5">
              <w:rPr>
                <w:noProof/>
                <w:webHidden/>
              </w:rPr>
              <w:tab/>
            </w:r>
            <w:r w:rsidR="008837E5">
              <w:rPr>
                <w:noProof/>
                <w:webHidden/>
              </w:rPr>
              <w:fldChar w:fldCharType="begin"/>
            </w:r>
            <w:r w:rsidR="008837E5">
              <w:rPr>
                <w:noProof/>
                <w:webHidden/>
              </w:rPr>
              <w:instrText xml:space="preserve"> PAGEREF _Toc341014939 \h </w:instrText>
            </w:r>
            <w:r w:rsidR="008837E5">
              <w:rPr>
                <w:noProof/>
                <w:webHidden/>
              </w:rPr>
            </w:r>
            <w:r w:rsidR="008837E5">
              <w:rPr>
                <w:noProof/>
                <w:webHidden/>
              </w:rPr>
              <w:fldChar w:fldCharType="separate"/>
            </w:r>
            <w:r>
              <w:rPr>
                <w:noProof/>
                <w:webHidden/>
              </w:rPr>
              <w:t>8</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0" w:history="1">
            <w:r w:rsidR="008837E5" w:rsidRPr="00C741A8">
              <w:rPr>
                <w:rStyle w:val="Hyperlink"/>
                <w:noProof/>
              </w:rPr>
              <w:t>TOR 2(a) - provisions in the legislation which need to be updated</w:t>
            </w:r>
            <w:r w:rsidR="008837E5">
              <w:rPr>
                <w:noProof/>
                <w:webHidden/>
              </w:rPr>
              <w:tab/>
            </w:r>
            <w:r w:rsidR="008837E5">
              <w:rPr>
                <w:noProof/>
                <w:webHidden/>
              </w:rPr>
              <w:fldChar w:fldCharType="begin"/>
            </w:r>
            <w:r w:rsidR="008837E5">
              <w:rPr>
                <w:noProof/>
                <w:webHidden/>
              </w:rPr>
              <w:instrText xml:space="preserve"> PAGEREF _Toc341014940 \h </w:instrText>
            </w:r>
            <w:r w:rsidR="008837E5">
              <w:rPr>
                <w:noProof/>
                <w:webHidden/>
              </w:rPr>
            </w:r>
            <w:r w:rsidR="008837E5">
              <w:rPr>
                <w:noProof/>
                <w:webHidden/>
              </w:rPr>
              <w:fldChar w:fldCharType="separate"/>
            </w:r>
            <w:r>
              <w:rPr>
                <w:noProof/>
                <w:webHidden/>
              </w:rPr>
              <w:t>9</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1" w:history="1">
            <w:r w:rsidR="008837E5" w:rsidRPr="00C741A8">
              <w:rPr>
                <w:rStyle w:val="Hyperlink"/>
                <w:noProof/>
              </w:rPr>
              <w:t>TOR 2(b) - legislative changes required to the OHS(MI) Act to ensure consistency with the model work health and safety laws.</w:t>
            </w:r>
            <w:r w:rsidR="008837E5">
              <w:rPr>
                <w:noProof/>
                <w:webHidden/>
              </w:rPr>
              <w:tab/>
            </w:r>
            <w:r w:rsidR="008837E5">
              <w:rPr>
                <w:noProof/>
                <w:webHidden/>
              </w:rPr>
              <w:fldChar w:fldCharType="begin"/>
            </w:r>
            <w:r w:rsidR="008837E5">
              <w:rPr>
                <w:noProof/>
                <w:webHidden/>
              </w:rPr>
              <w:instrText xml:space="preserve"> PAGEREF _Toc341014941 \h </w:instrText>
            </w:r>
            <w:r w:rsidR="008837E5">
              <w:rPr>
                <w:noProof/>
                <w:webHidden/>
              </w:rPr>
            </w:r>
            <w:r w:rsidR="008837E5">
              <w:rPr>
                <w:noProof/>
                <w:webHidden/>
              </w:rPr>
              <w:fldChar w:fldCharType="separate"/>
            </w:r>
            <w:r>
              <w:rPr>
                <w:noProof/>
                <w:webHidden/>
              </w:rPr>
              <w:t>10</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2" w:history="1">
            <w:r w:rsidR="008837E5" w:rsidRPr="00C741A8">
              <w:rPr>
                <w:rStyle w:val="Hyperlink"/>
                <w:noProof/>
              </w:rPr>
              <w:t>TOR 2(c) - Consistency with the Safety, Rehabilitation and Compensation Act</w:t>
            </w:r>
            <w:r w:rsidR="008837E5">
              <w:rPr>
                <w:noProof/>
                <w:webHidden/>
              </w:rPr>
              <w:tab/>
            </w:r>
            <w:r w:rsidR="008837E5">
              <w:rPr>
                <w:noProof/>
                <w:webHidden/>
              </w:rPr>
              <w:fldChar w:fldCharType="begin"/>
            </w:r>
            <w:r w:rsidR="008837E5">
              <w:rPr>
                <w:noProof/>
                <w:webHidden/>
              </w:rPr>
              <w:instrText xml:space="preserve"> PAGEREF _Toc341014942 \h </w:instrText>
            </w:r>
            <w:r w:rsidR="008837E5">
              <w:rPr>
                <w:noProof/>
                <w:webHidden/>
              </w:rPr>
            </w:r>
            <w:r w:rsidR="008837E5">
              <w:rPr>
                <w:noProof/>
                <w:webHidden/>
              </w:rPr>
              <w:fldChar w:fldCharType="separate"/>
            </w:r>
            <w:r>
              <w:rPr>
                <w:noProof/>
                <w:webHidden/>
              </w:rPr>
              <w:t>10</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3" w:history="1">
            <w:r w:rsidR="008837E5" w:rsidRPr="00C741A8">
              <w:rPr>
                <w:rStyle w:val="Hyperlink"/>
                <w:noProof/>
              </w:rPr>
              <w:t>TOR 3 - Workers’ Compensation Premium Issues</w:t>
            </w:r>
            <w:r w:rsidR="008837E5">
              <w:rPr>
                <w:noProof/>
                <w:webHidden/>
              </w:rPr>
              <w:tab/>
            </w:r>
            <w:r w:rsidR="008837E5">
              <w:rPr>
                <w:noProof/>
                <w:webHidden/>
              </w:rPr>
              <w:fldChar w:fldCharType="begin"/>
            </w:r>
            <w:r w:rsidR="008837E5">
              <w:rPr>
                <w:noProof/>
                <w:webHidden/>
              </w:rPr>
              <w:instrText xml:space="preserve"> PAGEREF _Toc341014943 \h </w:instrText>
            </w:r>
            <w:r w:rsidR="008837E5">
              <w:rPr>
                <w:noProof/>
                <w:webHidden/>
              </w:rPr>
            </w:r>
            <w:r w:rsidR="008837E5">
              <w:rPr>
                <w:noProof/>
                <w:webHidden/>
              </w:rPr>
              <w:fldChar w:fldCharType="separate"/>
            </w:r>
            <w:r>
              <w:rPr>
                <w:noProof/>
                <w:webHidden/>
              </w:rPr>
              <w:t>12</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4" w:history="1">
            <w:r w:rsidR="008837E5" w:rsidRPr="00C741A8">
              <w:rPr>
                <w:rStyle w:val="Hyperlink"/>
                <w:noProof/>
              </w:rPr>
              <w:t>TOR 4 - Governance Issues</w:t>
            </w:r>
            <w:r w:rsidR="008837E5">
              <w:rPr>
                <w:noProof/>
                <w:webHidden/>
              </w:rPr>
              <w:tab/>
            </w:r>
            <w:r w:rsidR="008837E5">
              <w:rPr>
                <w:noProof/>
                <w:webHidden/>
              </w:rPr>
              <w:fldChar w:fldCharType="begin"/>
            </w:r>
            <w:r w:rsidR="008837E5">
              <w:rPr>
                <w:noProof/>
                <w:webHidden/>
              </w:rPr>
              <w:instrText xml:space="preserve"> PAGEREF _Toc341014944 \h </w:instrText>
            </w:r>
            <w:r w:rsidR="008837E5">
              <w:rPr>
                <w:noProof/>
                <w:webHidden/>
              </w:rPr>
            </w:r>
            <w:r w:rsidR="008837E5">
              <w:rPr>
                <w:noProof/>
                <w:webHidden/>
              </w:rPr>
              <w:fldChar w:fldCharType="separate"/>
            </w:r>
            <w:r>
              <w:rPr>
                <w:noProof/>
                <w:webHidden/>
              </w:rPr>
              <w:t>13</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5" w:history="1">
            <w:r w:rsidR="008837E5" w:rsidRPr="00C741A8">
              <w:rPr>
                <w:rStyle w:val="Hyperlink"/>
                <w:noProof/>
              </w:rPr>
              <w:t>How to make a submission</w:t>
            </w:r>
            <w:r w:rsidR="008837E5">
              <w:rPr>
                <w:noProof/>
                <w:webHidden/>
              </w:rPr>
              <w:tab/>
            </w:r>
            <w:r w:rsidR="008837E5">
              <w:rPr>
                <w:noProof/>
                <w:webHidden/>
              </w:rPr>
              <w:fldChar w:fldCharType="begin"/>
            </w:r>
            <w:r w:rsidR="008837E5">
              <w:rPr>
                <w:noProof/>
                <w:webHidden/>
              </w:rPr>
              <w:instrText xml:space="preserve"> PAGEREF _Toc341014945 \h </w:instrText>
            </w:r>
            <w:r w:rsidR="008837E5">
              <w:rPr>
                <w:noProof/>
                <w:webHidden/>
              </w:rPr>
            </w:r>
            <w:r w:rsidR="008837E5">
              <w:rPr>
                <w:noProof/>
                <w:webHidden/>
              </w:rPr>
              <w:fldChar w:fldCharType="separate"/>
            </w:r>
            <w:r>
              <w:rPr>
                <w:noProof/>
                <w:webHidden/>
              </w:rPr>
              <w:t>16</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6" w:history="1">
            <w:r w:rsidR="008837E5" w:rsidRPr="00C741A8">
              <w:rPr>
                <w:rStyle w:val="Hyperlink"/>
                <w:noProof/>
              </w:rPr>
              <w:t>APPENDIX 1 – Trends in premiums under the Seacare scheme</w:t>
            </w:r>
            <w:r w:rsidR="008837E5">
              <w:rPr>
                <w:noProof/>
                <w:webHidden/>
              </w:rPr>
              <w:tab/>
            </w:r>
            <w:r w:rsidR="008837E5">
              <w:rPr>
                <w:noProof/>
                <w:webHidden/>
              </w:rPr>
              <w:fldChar w:fldCharType="begin"/>
            </w:r>
            <w:r w:rsidR="008837E5">
              <w:rPr>
                <w:noProof/>
                <w:webHidden/>
              </w:rPr>
              <w:instrText xml:space="preserve"> PAGEREF _Toc341014946 \h </w:instrText>
            </w:r>
            <w:r w:rsidR="008837E5">
              <w:rPr>
                <w:noProof/>
                <w:webHidden/>
              </w:rPr>
            </w:r>
            <w:r w:rsidR="008837E5">
              <w:rPr>
                <w:noProof/>
                <w:webHidden/>
              </w:rPr>
              <w:fldChar w:fldCharType="separate"/>
            </w:r>
            <w:r>
              <w:rPr>
                <w:noProof/>
                <w:webHidden/>
              </w:rPr>
              <w:t>17</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7" w:history="1">
            <w:r w:rsidR="008837E5" w:rsidRPr="00C741A8">
              <w:rPr>
                <w:rStyle w:val="Hyperlink"/>
                <w:noProof/>
              </w:rPr>
              <w:t>APPENDIX 2 – Application provisions of the Seafarers Act and the OHS(MI) Act</w:t>
            </w:r>
            <w:r w:rsidR="008837E5">
              <w:rPr>
                <w:noProof/>
                <w:webHidden/>
              </w:rPr>
              <w:tab/>
            </w:r>
            <w:r w:rsidR="008837E5">
              <w:rPr>
                <w:noProof/>
                <w:webHidden/>
              </w:rPr>
              <w:fldChar w:fldCharType="begin"/>
            </w:r>
            <w:r w:rsidR="008837E5">
              <w:rPr>
                <w:noProof/>
                <w:webHidden/>
              </w:rPr>
              <w:instrText xml:space="preserve"> PAGEREF _Toc341014947 \h </w:instrText>
            </w:r>
            <w:r w:rsidR="008837E5">
              <w:rPr>
                <w:noProof/>
                <w:webHidden/>
              </w:rPr>
            </w:r>
            <w:r w:rsidR="008837E5">
              <w:rPr>
                <w:noProof/>
                <w:webHidden/>
              </w:rPr>
              <w:fldChar w:fldCharType="separate"/>
            </w:r>
            <w:r>
              <w:rPr>
                <w:noProof/>
                <w:webHidden/>
              </w:rPr>
              <w:t>18</w:t>
            </w:r>
            <w:r w:rsidR="008837E5">
              <w:rPr>
                <w:noProof/>
                <w:webHidden/>
              </w:rPr>
              <w:fldChar w:fldCharType="end"/>
            </w:r>
          </w:hyperlink>
        </w:p>
        <w:p w:rsidR="008837E5" w:rsidRDefault="00733E1A">
          <w:pPr>
            <w:pStyle w:val="TOC2"/>
            <w:rPr>
              <w:rFonts w:asciiTheme="minorHAnsi" w:eastAsiaTheme="minorEastAsia" w:hAnsiTheme="minorHAnsi" w:cstheme="minorBidi"/>
              <w:noProof/>
              <w:lang w:val="en-US"/>
            </w:rPr>
          </w:pPr>
          <w:hyperlink w:anchor="_Toc341014948" w:history="1">
            <w:r w:rsidR="008837E5" w:rsidRPr="00C741A8">
              <w:rPr>
                <w:rStyle w:val="Hyperlink"/>
                <w:noProof/>
              </w:rPr>
              <w:t>APPENDIX 3 – Main differences between the OHS(MI) Act and the model WHS Act</w:t>
            </w:r>
            <w:r w:rsidR="008837E5">
              <w:rPr>
                <w:noProof/>
                <w:webHidden/>
              </w:rPr>
              <w:tab/>
            </w:r>
            <w:r w:rsidR="008837E5">
              <w:rPr>
                <w:noProof/>
                <w:webHidden/>
              </w:rPr>
              <w:fldChar w:fldCharType="begin"/>
            </w:r>
            <w:r w:rsidR="008837E5">
              <w:rPr>
                <w:noProof/>
                <w:webHidden/>
              </w:rPr>
              <w:instrText xml:space="preserve"> PAGEREF _Toc341014948 \h </w:instrText>
            </w:r>
            <w:r w:rsidR="008837E5">
              <w:rPr>
                <w:noProof/>
                <w:webHidden/>
              </w:rPr>
            </w:r>
            <w:r w:rsidR="008837E5">
              <w:rPr>
                <w:noProof/>
                <w:webHidden/>
              </w:rPr>
              <w:fldChar w:fldCharType="separate"/>
            </w:r>
            <w:r>
              <w:rPr>
                <w:noProof/>
                <w:webHidden/>
              </w:rPr>
              <w:t>20</w:t>
            </w:r>
            <w:r w:rsidR="008837E5">
              <w:rPr>
                <w:noProof/>
                <w:webHidden/>
              </w:rPr>
              <w:fldChar w:fldCharType="end"/>
            </w:r>
          </w:hyperlink>
        </w:p>
        <w:p w:rsidR="00116B09" w:rsidRPr="008B0669" w:rsidRDefault="00116B09" w:rsidP="002E255C">
          <w:pPr>
            <w:rPr>
              <w:rFonts w:asciiTheme="minorHAnsi" w:hAnsiTheme="minorHAnsi"/>
            </w:rPr>
          </w:pPr>
          <w:r w:rsidRPr="008B0669">
            <w:rPr>
              <w:rFonts w:asciiTheme="minorHAnsi" w:hAnsiTheme="minorHAnsi"/>
              <w:bCs/>
              <w:noProof/>
            </w:rPr>
            <w:fldChar w:fldCharType="end"/>
          </w:r>
        </w:p>
      </w:sdtContent>
    </w:sdt>
    <w:p w:rsidR="005450EA" w:rsidRPr="008B0669" w:rsidRDefault="005450EA" w:rsidP="002E255C">
      <w:pPr>
        <w:pStyle w:val="Heading2"/>
        <w:spacing w:before="0" w:after="0" w:line="240" w:lineRule="auto"/>
        <w:ind w:left="576"/>
        <w:rPr>
          <w:rFonts w:asciiTheme="minorHAnsi" w:hAnsiTheme="minorHAnsi" w:cs="Arial"/>
          <w:b w:val="0"/>
          <w:color w:val="auto"/>
        </w:rPr>
      </w:pPr>
    </w:p>
    <w:p w:rsidR="005450EA" w:rsidRPr="008B0669" w:rsidRDefault="005450EA" w:rsidP="002E255C">
      <w:pPr>
        <w:rPr>
          <w:rFonts w:asciiTheme="minorHAnsi" w:eastAsiaTheme="majorEastAsia" w:hAnsiTheme="minorHAnsi"/>
          <w:bCs/>
          <w:sz w:val="26"/>
          <w:szCs w:val="26"/>
        </w:rPr>
      </w:pPr>
      <w:r w:rsidRPr="008B0669">
        <w:rPr>
          <w:rFonts w:asciiTheme="minorHAnsi" w:hAnsiTheme="minorHAnsi"/>
        </w:rPr>
        <w:br w:type="page"/>
      </w:r>
    </w:p>
    <w:p w:rsidR="00C31319" w:rsidRPr="008B0669" w:rsidRDefault="00C31319" w:rsidP="00894696">
      <w:pPr>
        <w:pStyle w:val="Heading2"/>
        <w:spacing w:before="0" w:after="0"/>
        <w:ind w:left="576"/>
        <w:rPr>
          <w:rFonts w:asciiTheme="minorHAnsi" w:hAnsiTheme="minorHAnsi"/>
          <w:color w:val="auto"/>
        </w:rPr>
      </w:pPr>
      <w:bookmarkStart w:id="1" w:name="_Toc341014931"/>
      <w:r w:rsidRPr="008B0669">
        <w:rPr>
          <w:rFonts w:asciiTheme="minorHAnsi" w:hAnsiTheme="minorHAnsi"/>
          <w:color w:val="auto"/>
        </w:rPr>
        <w:lastRenderedPageBreak/>
        <w:t>Introduction</w:t>
      </w:r>
      <w:bookmarkEnd w:id="1"/>
    </w:p>
    <w:p w:rsidR="00C31319" w:rsidRPr="008B0669" w:rsidRDefault="00C31319" w:rsidP="002E255C">
      <w:pPr>
        <w:pStyle w:val="NormalWeb"/>
        <w:shd w:val="clear" w:color="auto" w:fill="FFFFFF"/>
        <w:spacing w:before="0" w:after="0"/>
        <w:ind w:left="576" w:right="576"/>
        <w:rPr>
          <w:rFonts w:asciiTheme="minorHAnsi" w:hAnsiTheme="minorHAnsi" w:cs="Arial"/>
        </w:rPr>
      </w:pPr>
    </w:p>
    <w:p w:rsidR="003F250D" w:rsidRPr="008B0669" w:rsidRDefault="003F250D"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The Australian </w:t>
      </w:r>
      <w:r w:rsidR="005D61D1">
        <w:rPr>
          <w:rFonts w:asciiTheme="minorHAnsi" w:hAnsiTheme="minorHAnsi" w:cs="Arial"/>
          <w:sz w:val="22"/>
          <w:szCs w:val="22"/>
        </w:rPr>
        <w:t>G</w:t>
      </w:r>
      <w:r w:rsidRPr="008B0669">
        <w:rPr>
          <w:rFonts w:asciiTheme="minorHAnsi" w:hAnsiTheme="minorHAnsi" w:cs="Arial"/>
          <w:sz w:val="22"/>
          <w:szCs w:val="22"/>
        </w:rPr>
        <w:t>overnment</w:t>
      </w:r>
      <w:r w:rsidR="006269B6" w:rsidRPr="008B0669">
        <w:rPr>
          <w:rFonts w:asciiTheme="minorHAnsi" w:hAnsiTheme="minorHAnsi" w:cs="Arial"/>
          <w:sz w:val="22"/>
          <w:szCs w:val="22"/>
        </w:rPr>
        <w:t>, with the support of State and Territory governments</w:t>
      </w:r>
      <w:r w:rsidR="000E6194" w:rsidRPr="008B0669">
        <w:rPr>
          <w:rFonts w:asciiTheme="minorHAnsi" w:hAnsiTheme="minorHAnsi" w:cs="Arial"/>
          <w:sz w:val="22"/>
          <w:szCs w:val="22"/>
        </w:rPr>
        <w:t xml:space="preserve"> in relevant areas</w:t>
      </w:r>
      <w:r w:rsidR="006269B6" w:rsidRPr="008B0669">
        <w:rPr>
          <w:rFonts w:asciiTheme="minorHAnsi" w:hAnsiTheme="minorHAnsi" w:cs="Arial"/>
          <w:sz w:val="22"/>
          <w:szCs w:val="22"/>
        </w:rPr>
        <w:t>,</w:t>
      </w:r>
      <w:r w:rsidRPr="008B0669">
        <w:rPr>
          <w:rFonts w:asciiTheme="minorHAnsi" w:hAnsiTheme="minorHAnsi" w:cs="Arial"/>
          <w:sz w:val="22"/>
          <w:szCs w:val="22"/>
        </w:rPr>
        <w:t xml:space="preserve"> is undertaking wide ranging </w:t>
      </w:r>
      <w:r w:rsidR="006269B6" w:rsidRPr="008B0669">
        <w:rPr>
          <w:rFonts w:asciiTheme="minorHAnsi" w:hAnsiTheme="minorHAnsi" w:cs="Arial"/>
          <w:sz w:val="22"/>
          <w:szCs w:val="22"/>
        </w:rPr>
        <w:t>r</w:t>
      </w:r>
      <w:r w:rsidRPr="008B0669">
        <w:rPr>
          <w:rFonts w:asciiTheme="minorHAnsi" w:hAnsiTheme="minorHAnsi" w:cs="Arial"/>
          <w:sz w:val="22"/>
          <w:szCs w:val="22"/>
        </w:rPr>
        <w:t xml:space="preserve">eform of the regulation of the maritime industry.  </w:t>
      </w:r>
      <w:r w:rsidR="00473723" w:rsidRPr="008B0669">
        <w:rPr>
          <w:rFonts w:asciiTheme="minorHAnsi" w:hAnsiTheme="minorHAnsi" w:cs="Arial"/>
          <w:sz w:val="22"/>
          <w:szCs w:val="22"/>
        </w:rPr>
        <w:t xml:space="preserve">The </w:t>
      </w:r>
      <w:r w:rsidR="00473723" w:rsidRPr="008B0669">
        <w:rPr>
          <w:rFonts w:asciiTheme="minorHAnsi" w:hAnsiTheme="minorHAnsi" w:cs="Arial"/>
          <w:i/>
          <w:sz w:val="22"/>
          <w:szCs w:val="22"/>
        </w:rPr>
        <w:t>Navigation Act 2012</w:t>
      </w:r>
      <w:r w:rsidR="004B2312" w:rsidRPr="008B0669">
        <w:rPr>
          <w:rFonts w:asciiTheme="minorHAnsi" w:hAnsiTheme="minorHAnsi" w:cs="Arial"/>
          <w:i/>
          <w:sz w:val="22"/>
          <w:szCs w:val="22"/>
        </w:rPr>
        <w:t xml:space="preserve"> </w:t>
      </w:r>
      <w:r w:rsidR="00473723" w:rsidRPr="008B0669">
        <w:rPr>
          <w:rFonts w:asciiTheme="minorHAnsi" w:hAnsiTheme="minorHAnsi" w:cs="Arial"/>
          <w:sz w:val="22"/>
          <w:szCs w:val="22"/>
        </w:rPr>
        <w:t xml:space="preserve">will replace the current </w:t>
      </w:r>
      <w:r w:rsidR="00473723" w:rsidRPr="008B0669">
        <w:rPr>
          <w:rFonts w:asciiTheme="minorHAnsi" w:hAnsiTheme="minorHAnsi" w:cs="Arial"/>
          <w:i/>
          <w:sz w:val="22"/>
          <w:szCs w:val="22"/>
        </w:rPr>
        <w:t>Navigation Act 1912</w:t>
      </w:r>
      <w:r w:rsidR="00473723" w:rsidRPr="008B0669">
        <w:rPr>
          <w:rFonts w:asciiTheme="minorHAnsi" w:hAnsiTheme="minorHAnsi" w:cs="Arial"/>
          <w:sz w:val="22"/>
          <w:szCs w:val="22"/>
        </w:rPr>
        <w:t xml:space="preserve">.  </w:t>
      </w:r>
      <w:r w:rsidRPr="008B0669">
        <w:rPr>
          <w:rFonts w:asciiTheme="minorHAnsi" w:hAnsiTheme="minorHAnsi" w:cs="Arial"/>
          <w:sz w:val="22"/>
          <w:szCs w:val="22"/>
        </w:rPr>
        <w:t xml:space="preserve">The </w:t>
      </w:r>
      <w:r w:rsidRPr="008B0669">
        <w:rPr>
          <w:rFonts w:asciiTheme="minorHAnsi" w:hAnsiTheme="minorHAnsi" w:cs="Arial"/>
          <w:i/>
          <w:sz w:val="22"/>
          <w:szCs w:val="22"/>
        </w:rPr>
        <w:t>Stronger Shipping for a Stronger Economy</w:t>
      </w:r>
      <w:r w:rsidRPr="008B0669">
        <w:rPr>
          <w:rFonts w:asciiTheme="minorHAnsi" w:hAnsiTheme="minorHAnsi" w:cs="Arial"/>
          <w:sz w:val="22"/>
          <w:szCs w:val="22"/>
        </w:rPr>
        <w:t xml:space="preserve"> package has four elements: tax reforms to encourage investment in Australian shipping, an improved coastal trading licensing regime, an Australian international shipping register and a Maritime Workforce Development Forum</w:t>
      </w:r>
      <w:r w:rsidR="00473723" w:rsidRPr="008B0669">
        <w:rPr>
          <w:rFonts w:asciiTheme="minorHAnsi" w:hAnsiTheme="minorHAnsi" w:cs="Arial"/>
          <w:sz w:val="22"/>
          <w:szCs w:val="22"/>
        </w:rPr>
        <w:t xml:space="preserve"> to deal with issues concerning skills in the industry. The Australian Maritime Safety Authority (</w:t>
      </w:r>
      <w:proofErr w:type="spellStart"/>
      <w:r w:rsidR="00473723" w:rsidRPr="008B0669">
        <w:rPr>
          <w:rFonts w:asciiTheme="minorHAnsi" w:hAnsiTheme="minorHAnsi" w:cs="Arial"/>
          <w:sz w:val="22"/>
          <w:szCs w:val="22"/>
        </w:rPr>
        <w:t>AMSA</w:t>
      </w:r>
      <w:proofErr w:type="spellEnd"/>
      <w:r w:rsidR="00473723" w:rsidRPr="008B0669">
        <w:rPr>
          <w:rFonts w:asciiTheme="minorHAnsi" w:hAnsiTheme="minorHAnsi" w:cs="Arial"/>
          <w:sz w:val="22"/>
          <w:szCs w:val="22"/>
        </w:rPr>
        <w:t xml:space="preserve">) is becoming the </w:t>
      </w:r>
      <w:r w:rsidR="00473723" w:rsidRPr="008B0669">
        <w:rPr>
          <w:rFonts w:asciiTheme="minorHAnsi" w:hAnsiTheme="minorHAnsi" w:cs="Arial"/>
          <w:sz w:val="22"/>
          <w:szCs w:val="22"/>
          <w:lang w:val="en"/>
        </w:rPr>
        <w:t>single national regulator for domestic commercial vessel safety in Australia.</w:t>
      </w:r>
      <w:r w:rsidR="00557963" w:rsidRPr="008B0669">
        <w:rPr>
          <w:rStyle w:val="FootnoteReference"/>
          <w:rFonts w:asciiTheme="minorHAnsi" w:hAnsiTheme="minorHAnsi" w:cs="Arial"/>
          <w:sz w:val="22"/>
          <w:szCs w:val="22"/>
          <w:lang w:val="en"/>
        </w:rPr>
        <w:footnoteReference w:id="1"/>
      </w:r>
      <w:r w:rsidR="00557963" w:rsidRPr="008B0669">
        <w:rPr>
          <w:rFonts w:asciiTheme="minorHAnsi" w:hAnsiTheme="minorHAnsi" w:cs="Arial"/>
          <w:sz w:val="22"/>
          <w:szCs w:val="22"/>
          <w:lang w:val="en"/>
        </w:rPr>
        <w:t xml:space="preserve">  In 2011, Australia ratified the </w:t>
      </w:r>
      <w:proofErr w:type="spellStart"/>
      <w:r w:rsidR="00557963" w:rsidRPr="008B0669">
        <w:rPr>
          <w:rFonts w:asciiTheme="minorHAnsi" w:hAnsiTheme="minorHAnsi" w:cs="Arial"/>
          <w:sz w:val="22"/>
          <w:szCs w:val="22"/>
          <w:lang w:val="en"/>
        </w:rPr>
        <w:t>ILO</w:t>
      </w:r>
      <w:proofErr w:type="spellEnd"/>
      <w:r w:rsidR="00557963" w:rsidRPr="008B0669">
        <w:rPr>
          <w:rFonts w:asciiTheme="minorHAnsi" w:hAnsiTheme="minorHAnsi" w:cs="Arial"/>
          <w:sz w:val="22"/>
          <w:szCs w:val="22"/>
          <w:lang w:val="en"/>
        </w:rPr>
        <w:t xml:space="preserve"> Maritime </w:t>
      </w:r>
      <w:proofErr w:type="spellStart"/>
      <w:r w:rsidR="00557963" w:rsidRPr="008B0669">
        <w:rPr>
          <w:rFonts w:asciiTheme="minorHAnsi" w:hAnsiTheme="minorHAnsi" w:cs="Arial"/>
          <w:sz w:val="22"/>
          <w:szCs w:val="22"/>
          <w:lang w:val="en"/>
        </w:rPr>
        <w:t>Labour</w:t>
      </w:r>
      <w:proofErr w:type="spellEnd"/>
      <w:r w:rsidR="00557963" w:rsidRPr="008B0669">
        <w:rPr>
          <w:rFonts w:asciiTheme="minorHAnsi" w:hAnsiTheme="minorHAnsi" w:cs="Arial"/>
          <w:sz w:val="22"/>
          <w:szCs w:val="22"/>
          <w:lang w:val="en"/>
        </w:rPr>
        <w:t xml:space="preserve"> Convention 2006.</w:t>
      </w:r>
      <w:r w:rsidR="00557963" w:rsidRPr="008B0669">
        <w:rPr>
          <w:rStyle w:val="FootnoteReference"/>
          <w:rFonts w:asciiTheme="minorHAnsi" w:hAnsiTheme="minorHAnsi" w:cs="Arial"/>
          <w:sz w:val="22"/>
          <w:szCs w:val="22"/>
          <w:lang w:val="en"/>
        </w:rPr>
        <w:footnoteReference w:id="2"/>
      </w:r>
      <w:r w:rsidR="00AD1895" w:rsidRPr="008B0669">
        <w:rPr>
          <w:rFonts w:asciiTheme="minorHAnsi" w:hAnsiTheme="minorHAnsi" w:cs="Arial"/>
          <w:sz w:val="22"/>
          <w:szCs w:val="22"/>
          <w:lang w:val="en"/>
        </w:rPr>
        <w:t xml:space="preserve">  As discussed later, the Government is developing updated safety provisions in the </w:t>
      </w:r>
      <w:r w:rsidR="00AD1895" w:rsidRPr="008B0669">
        <w:rPr>
          <w:rFonts w:asciiTheme="minorHAnsi" w:hAnsiTheme="minorHAnsi" w:cs="Arial"/>
          <w:i/>
          <w:sz w:val="22"/>
          <w:szCs w:val="22"/>
          <w:lang w:val="en"/>
        </w:rPr>
        <w:t>Offshore Petroleum and Greenhouse Gas Storage Act 2006</w:t>
      </w:r>
      <w:r w:rsidR="00AD1895" w:rsidRPr="008B0669">
        <w:rPr>
          <w:rFonts w:asciiTheme="minorHAnsi" w:hAnsiTheme="minorHAnsi" w:cs="Arial"/>
          <w:sz w:val="22"/>
          <w:szCs w:val="22"/>
          <w:lang w:val="en"/>
        </w:rPr>
        <w:t xml:space="preserve"> (OPGGS Act). </w:t>
      </w:r>
    </w:p>
    <w:p w:rsidR="00C61D01" w:rsidRPr="008B0669" w:rsidRDefault="00C61D01" w:rsidP="00C61D01">
      <w:pPr>
        <w:pStyle w:val="NormalWeb"/>
        <w:shd w:val="clear" w:color="auto" w:fill="FFFFFF"/>
        <w:spacing w:before="0" w:after="0"/>
        <w:ind w:left="936" w:right="576"/>
        <w:rPr>
          <w:rFonts w:asciiTheme="minorHAnsi" w:hAnsiTheme="minorHAnsi" w:cs="Arial"/>
          <w:sz w:val="22"/>
          <w:szCs w:val="22"/>
        </w:rPr>
      </w:pPr>
    </w:p>
    <w:p w:rsidR="00C61D01" w:rsidRPr="008B0669" w:rsidRDefault="002C5510" w:rsidP="00C61D01">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sz w:val="22"/>
          <w:szCs w:val="22"/>
        </w:rPr>
        <w:t xml:space="preserve">On 16 October 2012, the Minister for Employment and Workplace Relations, the Hon Bill Shorten MP, announced a Review of the Seacare Scheme </w:t>
      </w:r>
      <w:r w:rsidR="006E761F" w:rsidRPr="008B0669">
        <w:rPr>
          <w:rFonts w:asciiTheme="minorHAnsi" w:hAnsiTheme="minorHAnsi"/>
          <w:sz w:val="22"/>
          <w:szCs w:val="22"/>
        </w:rPr>
        <w:t>to</w:t>
      </w:r>
      <w:r w:rsidRPr="008B0669">
        <w:rPr>
          <w:rFonts w:asciiTheme="minorHAnsi" w:hAnsiTheme="minorHAnsi"/>
          <w:sz w:val="22"/>
          <w:szCs w:val="22"/>
        </w:rPr>
        <w:t xml:space="preserve"> be undertaken by Mr Robin Stewart-Crompton, assisted by a secretariat from the Department of Education, Employment and Workplace Relations</w:t>
      </w:r>
      <w:r w:rsidR="003745CF">
        <w:rPr>
          <w:rFonts w:asciiTheme="minorHAnsi" w:hAnsiTheme="minorHAnsi"/>
          <w:sz w:val="22"/>
          <w:szCs w:val="22"/>
        </w:rPr>
        <w:t xml:space="preserve"> (DEEWR)</w:t>
      </w:r>
      <w:r w:rsidRPr="008B0669">
        <w:rPr>
          <w:rFonts w:asciiTheme="minorHAnsi" w:hAnsiTheme="minorHAnsi"/>
          <w:sz w:val="22"/>
          <w:szCs w:val="22"/>
        </w:rPr>
        <w:t>.</w:t>
      </w:r>
      <w:r w:rsidRPr="008B0669">
        <w:rPr>
          <w:rStyle w:val="FootnoteReference"/>
          <w:rFonts w:asciiTheme="minorHAnsi" w:hAnsiTheme="minorHAnsi" w:cs="Arial"/>
          <w:sz w:val="22"/>
          <w:szCs w:val="22"/>
        </w:rPr>
        <w:footnoteReference w:id="3"/>
      </w:r>
      <w:r w:rsidR="00C61D01" w:rsidRPr="008B0669">
        <w:rPr>
          <w:rFonts w:asciiTheme="minorHAnsi" w:hAnsiTheme="minorHAnsi"/>
          <w:sz w:val="22"/>
          <w:szCs w:val="22"/>
        </w:rPr>
        <w:t xml:space="preserve">  The</w:t>
      </w:r>
      <w:r w:rsidR="00EB45B2" w:rsidRPr="008B0669">
        <w:rPr>
          <w:rFonts w:asciiTheme="minorHAnsi" w:hAnsiTheme="minorHAnsi"/>
          <w:sz w:val="22"/>
          <w:szCs w:val="22"/>
        </w:rPr>
        <w:t xml:space="preserve"> Minister made it clear t</w:t>
      </w:r>
      <w:r w:rsidR="00C61D01" w:rsidRPr="008B0669">
        <w:rPr>
          <w:rFonts w:asciiTheme="minorHAnsi" w:hAnsiTheme="minorHAnsi"/>
          <w:sz w:val="22"/>
          <w:szCs w:val="22"/>
        </w:rPr>
        <w:t xml:space="preserve">hat the Government believes that the </w:t>
      </w:r>
      <w:proofErr w:type="spellStart"/>
      <w:r w:rsidR="00C61D01" w:rsidRPr="008B0669">
        <w:rPr>
          <w:rFonts w:asciiTheme="minorHAnsi" w:hAnsiTheme="minorHAnsi"/>
          <w:sz w:val="22"/>
          <w:szCs w:val="22"/>
        </w:rPr>
        <w:t>Seacare</w:t>
      </w:r>
      <w:proofErr w:type="spellEnd"/>
      <w:r w:rsidR="00C61D01" w:rsidRPr="008B0669">
        <w:rPr>
          <w:rFonts w:asciiTheme="minorHAnsi" w:hAnsiTheme="minorHAnsi"/>
          <w:sz w:val="22"/>
          <w:szCs w:val="22"/>
        </w:rPr>
        <w:t xml:space="preserve"> Scheme should be best practice, and comparable to other Australian work health and safety and workers’ compensation schemes for people in the maritime industry.  It </w:t>
      </w:r>
      <w:r w:rsidR="00EB45B2" w:rsidRPr="008B0669">
        <w:rPr>
          <w:rFonts w:asciiTheme="minorHAnsi" w:hAnsiTheme="minorHAnsi"/>
          <w:sz w:val="22"/>
          <w:szCs w:val="22"/>
        </w:rPr>
        <w:t>must</w:t>
      </w:r>
      <w:r w:rsidR="00C61D01" w:rsidRPr="008B0669">
        <w:rPr>
          <w:rFonts w:asciiTheme="minorHAnsi" w:hAnsiTheme="minorHAnsi"/>
          <w:sz w:val="22"/>
          <w:szCs w:val="22"/>
        </w:rPr>
        <w:t xml:space="preserve"> provide </w:t>
      </w:r>
      <w:r w:rsidR="00C61D01" w:rsidRPr="008B0669">
        <w:rPr>
          <w:rFonts w:asciiTheme="minorHAnsi" w:eastAsiaTheme="minorEastAsia" w:hAnsiTheme="minorHAnsi"/>
          <w:sz w:val="22"/>
          <w:szCs w:val="22"/>
        </w:rPr>
        <w:t>a rigorous and harmonise</w:t>
      </w:r>
      <w:r w:rsidR="00C61D01" w:rsidRPr="008B0669">
        <w:rPr>
          <w:rFonts w:asciiTheme="minorHAnsi" w:hAnsiTheme="minorHAnsi"/>
          <w:sz w:val="22"/>
          <w:szCs w:val="22"/>
        </w:rPr>
        <w:t xml:space="preserve">d work health and safety regime, as well as </w:t>
      </w:r>
      <w:r w:rsidR="00C61D01" w:rsidRPr="008B0669">
        <w:rPr>
          <w:rFonts w:asciiTheme="minorHAnsi" w:eastAsiaTheme="minorEastAsia" w:hAnsiTheme="minorHAnsi"/>
          <w:sz w:val="22"/>
          <w:szCs w:val="22"/>
        </w:rPr>
        <w:t xml:space="preserve">fair and appropriate workers’ compensation arrangements for all workers covered by the scheme legislation.  </w:t>
      </w:r>
      <w:r w:rsidR="00EB45B2" w:rsidRPr="008B0669">
        <w:rPr>
          <w:rFonts w:asciiTheme="minorHAnsi" w:eastAsiaTheme="minorEastAsia" w:hAnsiTheme="minorHAnsi"/>
          <w:sz w:val="22"/>
          <w:szCs w:val="22"/>
        </w:rPr>
        <w:t xml:space="preserve">There is to be an ongoing effective framework for rehabilitation and compensation support to injured seafarers, </w:t>
      </w:r>
      <w:r w:rsidR="00EB45B2" w:rsidRPr="008B0669">
        <w:rPr>
          <w:rFonts w:asciiTheme="minorHAnsi" w:hAnsiTheme="minorHAnsi"/>
          <w:sz w:val="22"/>
          <w:szCs w:val="22"/>
        </w:rPr>
        <w:t>as well as</w:t>
      </w:r>
      <w:r w:rsidR="00EB45B2" w:rsidRPr="008B0669">
        <w:rPr>
          <w:rFonts w:asciiTheme="minorHAnsi" w:eastAsiaTheme="minorEastAsia" w:hAnsiTheme="minorHAnsi"/>
          <w:sz w:val="22"/>
          <w:szCs w:val="22"/>
        </w:rPr>
        <w:t xml:space="preserve"> practical, clear and consistent </w:t>
      </w:r>
      <w:r w:rsidR="005D61D1" w:rsidRPr="008B0669">
        <w:rPr>
          <w:rFonts w:asciiTheme="minorHAnsi" w:hAnsiTheme="minorHAnsi" w:cs="Arial"/>
          <w:sz w:val="22"/>
          <w:szCs w:val="22"/>
        </w:rPr>
        <w:t>occupational health and safety</w:t>
      </w:r>
      <w:r w:rsidR="005D61D1">
        <w:rPr>
          <w:rFonts w:asciiTheme="minorHAnsi" w:hAnsiTheme="minorHAnsi" w:cs="Arial"/>
          <w:sz w:val="22"/>
          <w:szCs w:val="22"/>
        </w:rPr>
        <w:t xml:space="preserve"> (OHS)</w:t>
      </w:r>
      <w:r w:rsidR="00EB45B2" w:rsidRPr="008B0669">
        <w:rPr>
          <w:rFonts w:asciiTheme="minorHAnsi" w:eastAsiaTheme="minorEastAsia" w:hAnsiTheme="minorHAnsi"/>
          <w:sz w:val="22"/>
          <w:szCs w:val="22"/>
        </w:rPr>
        <w:t xml:space="preserve"> guidance </w:t>
      </w:r>
      <w:r w:rsidR="00EB45B2" w:rsidRPr="008B0669">
        <w:rPr>
          <w:rFonts w:asciiTheme="minorHAnsi" w:hAnsiTheme="minorHAnsi"/>
          <w:sz w:val="22"/>
          <w:szCs w:val="22"/>
        </w:rPr>
        <w:t xml:space="preserve">provided to maritime operators.  </w:t>
      </w:r>
      <w:r w:rsidR="00C61D01" w:rsidRPr="008B0669">
        <w:rPr>
          <w:rFonts w:asciiTheme="minorHAnsi" w:hAnsiTheme="minorHAnsi"/>
          <w:sz w:val="22"/>
          <w:szCs w:val="22"/>
        </w:rPr>
        <w:t xml:space="preserve">The </w:t>
      </w:r>
      <w:r w:rsidR="00EB45B2" w:rsidRPr="008B0669">
        <w:rPr>
          <w:rFonts w:asciiTheme="minorHAnsi" w:hAnsiTheme="minorHAnsi"/>
          <w:sz w:val="22"/>
          <w:szCs w:val="22"/>
        </w:rPr>
        <w:t>R</w:t>
      </w:r>
      <w:r w:rsidR="00C61D01" w:rsidRPr="008B0669">
        <w:rPr>
          <w:rFonts w:asciiTheme="minorHAnsi" w:hAnsiTheme="minorHAnsi"/>
          <w:sz w:val="22"/>
          <w:szCs w:val="22"/>
        </w:rPr>
        <w:t>eview is</w:t>
      </w:r>
      <w:r w:rsidR="00C61D01" w:rsidRPr="008B0669">
        <w:rPr>
          <w:rFonts w:asciiTheme="minorHAnsi" w:eastAsiaTheme="minorEastAsia" w:hAnsiTheme="minorHAnsi"/>
          <w:sz w:val="22"/>
          <w:szCs w:val="22"/>
        </w:rPr>
        <w:t xml:space="preserve"> not to consider any reduction in existing benefits afforded to workers covered by the Seacare Scheme</w:t>
      </w:r>
      <w:r w:rsidR="00C61D01" w:rsidRPr="008B0669">
        <w:rPr>
          <w:rFonts w:asciiTheme="minorHAnsi" w:hAnsiTheme="minorHAnsi"/>
          <w:sz w:val="22"/>
          <w:szCs w:val="22"/>
        </w:rPr>
        <w:t>.</w:t>
      </w:r>
    </w:p>
    <w:p w:rsidR="002C5510" w:rsidRPr="008B0669" w:rsidRDefault="002C5510" w:rsidP="002E255C">
      <w:pPr>
        <w:pStyle w:val="NormalWeb"/>
        <w:shd w:val="clear" w:color="auto" w:fill="FFFFFF"/>
        <w:spacing w:before="0" w:after="0"/>
        <w:ind w:left="936" w:right="576"/>
        <w:rPr>
          <w:rFonts w:asciiTheme="minorHAnsi" w:hAnsiTheme="minorHAnsi" w:cs="Arial"/>
          <w:sz w:val="22"/>
          <w:szCs w:val="22"/>
        </w:rPr>
      </w:pPr>
    </w:p>
    <w:p w:rsidR="00A52B8B" w:rsidRPr="008B0669" w:rsidRDefault="00EE1AD0"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Seacare is a national scheme of OHS, rehabilitation and workers’ compensation arrangements</w:t>
      </w:r>
      <w:r w:rsidR="009223ED" w:rsidRPr="008B0669">
        <w:rPr>
          <w:rFonts w:asciiTheme="minorHAnsi" w:hAnsiTheme="minorHAnsi" w:cs="Arial"/>
          <w:sz w:val="22"/>
          <w:szCs w:val="22"/>
        </w:rPr>
        <w:t xml:space="preserve">.  </w:t>
      </w:r>
      <w:r w:rsidR="006E761F" w:rsidRPr="008B0669">
        <w:rPr>
          <w:rFonts w:asciiTheme="minorHAnsi" w:hAnsiTheme="minorHAnsi" w:cs="Arial"/>
          <w:sz w:val="22"/>
          <w:szCs w:val="22"/>
        </w:rPr>
        <w:t>It</w:t>
      </w:r>
      <w:r w:rsidR="009223ED" w:rsidRPr="008B0669">
        <w:rPr>
          <w:rFonts w:asciiTheme="minorHAnsi" w:hAnsiTheme="minorHAnsi" w:cs="Arial"/>
          <w:sz w:val="22"/>
          <w:szCs w:val="22"/>
        </w:rPr>
        <w:t xml:space="preserve"> is established</w:t>
      </w:r>
      <w:r w:rsidR="004C34AB" w:rsidRPr="008B0669">
        <w:rPr>
          <w:rFonts w:asciiTheme="minorHAnsi" w:hAnsiTheme="minorHAnsi" w:cs="Arial"/>
          <w:sz w:val="22"/>
          <w:szCs w:val="22"/>
        </w:rPr>
        <w:t xml:space="preserve"> under </w:t>
      </w:r>
      <w:r w:rsidR="0040758D" w:rsidRPr="008B0669">
        <w:rPr>
          <w:rFonts w:asciiTheme="minorHAnsi" w:hAnsiTheme="minorHAnsi" w:cs="Arial"/>
          <w:sz w:val="22"/>
          <w:szCs w:val="22"/>
        </w:rPr>
        <w:t xml:space="preserve">two principal </w:t>
      </w:r>
      <w:r w:rsidR="004C34AB" w:rsidRPr="008B0669">
        <w:rPr>
          <w:rFonts w:asciiTheme="minorHAnsi" w:hAnsiTheme="minorHAnsi" w:cs="Arial"/>
          <w:sz w:val="22"/>
          <w:szCs w:val="22"/>
        </w:rPr>
        <w:t>Commonwealth statutes</w:t>
      </w:r>
      <w:r w:rsidR="00A52B8B" w:rsidRPr="008B0669">
        <w:rPr>
          <w:rFonts w:asciiTheme="minorHAnsi" w:hAnsiTheme="minorHAnsi" w:cs="Arial"/>
          <w:sz w:val="22"/>
          <w:szCs w:val="22"/>
        </w:rPr>
        <w:t>:</w:t>
      </w:r>
      <w:r w:rsidR="004C34AB" w:rsidRPr="008B0669">
        <w:rPr>
          <w:rFonts w:asciiTheme="minorHAnsi" w:hAnsiTheme="minorHAnsi" w:cs="Arial"/>
          <w:sz w:val="22"/>
          <w:szCs w:val="22"/>
        </w:rPr>
        <w:t xml:space="preserve"> </w:t>
      </w:r>
    </w:p>
    <w:p w:rsidR="00A52B8B" w:rsidRPr="008B0669" w:rsidRDefault="00A52B8B" w:rsidP="002E255C">
      <w:pPr>
        <w:pStyle w:val="NormalWeb"/>
        <w:shd w:val="clear" w:color="auto" w:fill="FFFFFF"/>
        <w:spacing w:before="0" w:after="0"/>
        <w:ind w:left="576" w:right="576"/>
        <w:rPr>
          <w:rFonts w:asciiTheme="minorHAnsi" w:hAnsiTheme="minorHAnsi" w:cs="Arial"/>
          <w:sz w:val="22"/>
          <w:szCs w:val="22"/>
        </w:rPr>
      </w:pPr>
    </w:p>
    <w:p w:rsidR="00A52B8B" w:rsidRPr="008B0669" w:rsidRDefault="004C34AB" w:rsidP="002E255C">
      <w:pPr>
        <w:pStyle w:val="NormalWeb"/>
        <w:numPr>
          <w:ilvl w:val="0"/>
          <w:numId w:val="5"/>
        </w:numPr>
        <w:shd w:val="clear" w:color="auto" w:fill="FFFFFF"/>
        <w:spacing w:before="0" w:after="0"/>
        <w:ind w:left="1296" w:right="576"/>
        <w:rPr>
          <w:rFonts w:asciiTheme="minorHAnsi" w:hAnsiTheme="minorHAnsi" w:cs="Arial"/>
          <w:sz w:val="22"/>
          <w:szCs w:val="22"/>
        </w:rPr>
      </w:pPr>
      <w:r w:rsidRPr="008B0669">
        <w:rPr>
          <w:rFonts w:asciiTheme="minorHAnsi" w:hAnsiTheme="minorHAnsi" w:cs="Arial"/>
          <w:sz w:val="22"/>
          <w:szCs w:val="22"/>
        </w:rPr>
        <w:t xml:space="preserve">the </w:t>
      </w:r>
      <w:r w:rsidRPr="008B0669">
        <w:rPr>
          <w:rFonts w:asciiTheme="minorHAnsi" w:hAnsiTheme="minorHAnsi" w:cs="Arial"/>
          <w:i/>
          <w:sz w:val="22"/>
          <w:szCs w:val="22"/>
        </w:rPr>
        <w:t xml:space="preserve">Seafarers Rehabilitation and Compensation Act 1992 </w:t>
      </w:r>
      <w:r w:rsidRPr="008B0669">
        <w:rPr>
          <w:rFonts w:asciiTheme="minorHAnsi" w:hAnsiTheme="minorHAnsi" w:cs="Arial"/>
          <w:sz w:val="22"/>
          <w:szCs w:val="22"/>
        </w:rPr>
        <w:t>(the Seafarers Act)</w:t>
      </w:r>
      <w:r w:rsidR="00A52B8B" w:rsidRPr="008B0669">
        <w:rPr>
          <w:rFonts w:asciiTheme="minorHAnsi" w:hAnsiTheme="minorHAnsi" w:cs="Arial"/>
          <w:sz w:val="22"/>
          <w:szCs w:val="22"/>
        </w:rPr>
        <w:t>;</w:t>
      </w:r>
      <w:r w:rsidRPr="008B0669">
        <w:rPr>
          <w:rFonts w:asciiTheme="minorHAnsi" w:hAnsiTheme="minorHAnsi" w:cs="Arial"/>
          <w:sz w:val="22"/>
          <w:szCs w:val="22"/>
        </w:rPr>
        <w:t xml:space="preserve"> and </w:t>
      </w:r>
    </w:p>
    <w:p w:rsidR="00A52B8B" w:rsidRPr="008B0669" w:rsidRDefault="00A52B8B" w:rsidP="002E255C">
      <w:pPr>
        <w:pStyle w:val="NormalWeb"/>
        <w:shd w:val="clear" w:color="auto" w:fill="FFFFFF"/>
        <w:spacing w:before="0" w:after="0"/>
        <w:ind w:right="576"/>
        <w:rPr>
          <w:rFonts w:asciiTheme="minorHAnsi" w:hAnsiTheme="minorHAnsi" w:cs="Arial"/>
          <w:sz w:val="22"/>
          <w:szCs w:val="22"/>
        </w:rPr>
      </w:pPr>
    </w:p>
    <w:p w:rsidR="00A52B8B" w:rsidRPr="008B0669" w:rsidRDefault="004C34AB" w:rsidP="002E255C">
      <w:pPr>
        <w:pStyle w:val="NormalWeb"/>
        <w:numPr>
          <w:ilvl w:val="0"/>
          <w:numId w:val="5"/>
        </w:numPr>
        <w:shd w:val="clear" w:color="auto" w:fill="FFFFFF"/>
        <w:spacing w:before="0" w:after="0"/>
        <w:ind w:left="1296" w:right="576"/>
        <w:rPr>
          <w:rFonts w:asciiTheme="minorHAnsi" w:hAnsiTheme="minorHAnsi" w:cs="Arial"/>
          <w:sz w:val="22"/>
          <w:szCs w:val="22"/>
        </w:rPr>
      </w:pPr>
      <w:r w:rsidRPr="008B0669">
        <w:rPr>
          <w:rFonts w:asciiTheme="minorHAnsi" w:hAnsiTheme="minorHAnsi" w:cs="Arial"/>
          <w:sz w:val="22"/>
          <w:szCs w:val="22"/>
        </w:rPr>
        <w:t xml:space="preserve">the </w:t>
      </w:r>
      <w:r w:rsidRPr="008B0669">
        <w:rPr>
          <w:rFonts w:asciiTheme="minorHAnsi" w:hAnsiTheme="minorHAnsi" w:cs="Arial"/>
          <w:i/>
          <w:sz w:val="22"/>
          <w:szCs w:val="22"/>
        </w:rPr>
        <w:t xml:space="preserve">Occupational Health and Safety (Maritime Industry) Act 1993 </w:t>
      </w:r>
      <w:r w:rsidR="003745CF">
        <w:rPr>
          <w:rFonts w:asciiTheme="minorHAnsi" w:hAnsiTheme="minorHAnsi" w:cs="Arial"/>
          <w:sz w:val="22"/>
          <w:szCs w:val="22"/>
        </w:rPr>
        <w:t>(</w:t>
      </w:r>
      <w:r w:rsidRPr="008B0669">
        <w:rPr>
          <w:rFonts w:asciiTheme="minorHAnsi" w:hAnsiTheme="minorHAnsi" w:cs="Arial"/>
          <w:sz w:val="22"/>
          <w:szCs w:val="22"/>
        </w:rPr>
        <w:t>the OHS(MI) Act</w:t>
      </w:r>
      <w:r w:rsidR="003745CF">
        <w:rPr>
          <w:rFonts w:asciiTheme="minorHAnsi" w:hAnsiTheme="minorHAnsi" w:cs="Arial"/>
          <w:sz w:val="22"/>
          <w:szCs w:val="22"/>
        </w:rPr>
        <w:t>)</w:t>
      </w:r>
      <w:r w:rsidRPr="008B0669">
        <w:rPr>
          <w:rFonts w:asciiTheme="minorHAnsi" w:hAnsiTheme="minorHAnsi" w:cs="Arial"/>
          <w:sz w:val="22"/>
          <w:szCs w:val="22"/>
        </w:rPr>
        <w:t xml:space="preserve">, </w:t>
      </w:r>
    </w:p>
    <w:p w:rsidR="00A52B8B" w:rsidRPr="008B0669" w:rsidRDefault="00A52B8B" w:rsidP="002E255C">
      <w:pPr>
        <w:pStyle w:val="NormalWeb"/>
        <w:shd w:val="clear" w:color="auto" w:fill="FFFFFF"/>
        <w:spacing w:before="0" w:after="0"/>
        <w:ind w:left="576" w:right="576"/>
        <w:rPr>
          <w:rFonts w:asciiTheme="minorHAnsi" w:hAnsiTheme="minorHAnsi" w:cs="Arial"/>
          <w:sz w:val="22"/>
          <w:szCs w:val="22"/>
        </w:rPr>
      </w:pPr>
    </w:p>
    <w:p w:rsidR="004C34AB" w:rsidRPr="008B0669" w:rsidRDefault="004C34AB" w:rsidP="002E255C">
      <w:pPr>
        <w:pStyle w:val="NormalWeb"/>
        <w:shd w:val="clear" w:color="auto" w:fill="FFFFFF"/>
        <w:spacing w:before="0" w:after="0"/>
        <w:ind w:left="1080" w:right="576"/>
        <w:rPr>
          <w:rFonts w:asciiTheme="minorHAnsi" w:hAnsiTheme="minorHAnsi" w:cs="Arial"/>
          <w:sz w:val="22"/>
          <w:szCs w:val="22"/>
        </w:rPr>
      </w:pPr>
      <w:r w:rsidRPr="008B0669">
        <w:rPr>
          <w:rFonts w:asciiTheme="minorHAnsi" w:hAnsiTheme="minorHAnsi" w:cs="Arial"/>
          <w:sz w:val="22"/>
          <w:szCs w:val="22"/>
        </w:rPr>
        <w:t xml:space="preserve">and </w:t>
      </w:r>
      <w:r w:rsidR="00A52B8B" w:rsidRPr="008B0669">
        <w:rPr>
          <w:rFonts w:asciiTheme="minorHAnsi" w:hAnsiTheme="minorHAnsi" w:cs="Arial"/>
          <w:sz w:val="22"/>
          <w:szCs w:val="22"/>
        </w:rPr>
        <w:t xml:space="preserve">their </w:t>
      </w:r>
      <w:r w:rsidRPr="008B0669">
        <w:rPr>
          <w:rFonts w:asciiTheme="minorHAnsi" w:hAnsiTheme="minorHAnsi" w:cs="Arial"/>
          <w:sz w:val="22"/>
          <w:szCs w:val="22"/>
        </w:rPr>
        <w:t>accompanying regulations.</w:t>
      </w:r>
      <w:r w:rsidR="00BD6701" w:rsidRPr="008B0669">
        <w:rPr>
          <w:rStyle w:val="FootnoteReference"/>
          <w:rFonts w:asciiTheme="minorHAnsi" w:hAnsiTheme="minorHAnsi" w:cs="Arial"/>
          <w:sz w:val="22"/>
          <w:szCs w:val="22"/>
        </w:rPr>
        <w:footnoteReference w:id="4"/>
      </w:r>
    </w:p>
    <w:p w:rsidR="004C34AB" w:rsidRPr="008B0669" w:rsidRDefault="004C34AB" w:rsidP="002E255C">
      <w:pPr>
        <w:pStyle w:val="NormalWeb"/>
        <w:shd w:val="clear" w:color="auto" w:fill="FFFFFF"/>
        <w:spacing w:before="0" w:after="0"/>
        <w:ind w:left="576" w:right="576"/>
        <w:rPr>
          <w:rFonts w:asciiTheme="minorHAnsi" w:hAnsiTheme="minorHAnsi" w:cs="Arial"/>
          <w:sz w:val="22"/>
          <w:szCs w:val="22"/>
        </w:rPr>
      </w:pPr>
    </w:p>
    <w:p w:rsidR="009223ED" w:rsidRPr="008B0669" w:rsidRDefault="004C34AB"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The Seacare scheme </w:t>
      </w:r>
      <w:r w:rsidR="00EE1AD0" w:rsidRPr="008B0669">
        <w:rPr>
          <w:rFonts w:asciiTheme="minorHAnsi" w:hAnsiTheme="minorHAnsi" w:cs="Arial"/>
          <w:sz w:val="22"/>
          <w:szCs w:val="22"/>
        </w:rPr>
        <w:t>applies to</w:t>
      </w:r>
      <w:r w:rsidR="009223ED" w:rsidRPr="008B0669">
        <w:rPr>
          <w:rFonts w:asciiTheme="minorHAnsi" w:hAnsiTheme="minorHAnsi" w:cs="Arial"/>
          <w:sz w:val="22"/>
          <w:szCs w:val="22"/>
        </w:rPr>
        <w:t>:</w:t>
      </w:r>
      <w:r w:rsidR="00EE1AD0" w:rsidRPr="008B0669">
        <w:rPr>
          <w:rFonts w:asciiTheme="minorHAnsi" w:hAnsiTheme="minorHAnsi" w:cs="Arial"/>
          <w:sz w:val="22"/>
          <w:szCs w:val="22"/>
        </w:rPr>
        <w:t xml:space="preserve"> </w:t>
      </w:r>
    </w:p>
    <w:p w:rsidR="009223ED" w:rsidRPr="008B0669" w:rsidRDefault="009223ED" w:rsidP="002E255C">
      <w:pPr>
        <w:pStyle w:val="NormalWeb"/>
        <w:shd w:val="clear" w:color="auto" w:fill="FFFFFF"/>
        <w:spacing w:before="0" w:after="0"/>
        <w:ind w:left="576" w:right="576"/>
        <w:rPr>
          <w:rFonts w:asciiTheme="minorHAnsi" w:hAnsiTheme="minorHAnsi" w:cs="Arial"/>
          <w:sz w:val="22"/>
          <w:szCs w:val="22"/>
        </w:rPr>
      </w:pPr>
    </w:p>
    <w:p w:rsidR="00F91F33" w:rsidRPr="008B0669" w:rsidRDefault="00EE1AD0" w:rsidP="002E255C">
      <w:pPr>
        <w:pStyle w:val="NormalWeb"/>
        <w:numPr>
          <w:ilvl w:val="0"/>
          <w:numId w:val="2"/>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defined seafaring employees</w:t>
      </w:r>
      <w:r w:rsidR="004C34AB" w:rsidRPr="008B0669">
        <w:rPr>
          <w:rFonts w:asciiTheme="minorHAnsi" w:hAnsiTheme="minorHAnsi" w:cs="Arial"/>
          <w:sz w:val="22"/>
          <w:szCs w:val="22"/>
        </w:rPr>
        <w:t xml:space="preserve"> under both Acts</w:t>
      </w:r>
      <w:r w:rsidR="00F91F33" w:rsidRPr="008B0669">
        <w:rPr>
          <w:rFonts w:asciiTheme="minorHAnsi" w:hAnsiTheme="minorHAnsi" w:cs="Arial"/>
          <w:sz w:val="22"/>
          <w:szCs w:val="22"/>
        </w:rPr>
        <w:t>;</w:t>
      </w:r>
      <w:r w:rsidRPr="008B0669">
        <w:rPr>
          <w:rFonts w:asciiTheme="minorHAnsi" w:hAnsiTheme="minorHAnsi" w:cs="Arial"/>
          <w:sz w:val="22"/>
          <w:szCs w:val="22"/>
        </w:rPr>
        <w:t xml:space="preserve"> and </w:t>
      </w:r>
    </w:p>
    <w:p w:rsidR="00F91F33" w:rsidRPr="008B0669" w:rsidRDefault="00F91F33" w:rsidP="002E255C">
      <w:pPr>
        <w:pStyle w:val="NormalWeb"/>
        <w:shd w:val="clear" w:color="auto" w:fill="FFFFFF"/>
        <w:spacing w:before="0" w:after="0"/>
        <w:ind w:left="576" w:right="576"/>
        <w:rPr>
          <w:rFonts w:asciiTheme="minorHAnsi" w:hAnsiTheme="minorHAnsi" w:cs="Arial"/>
          <w:sz w:val="22"/>
          <w:szCs w:val="22"/>
        </w:rPr>
      </w:pPr>
    </w:p>
    <w:p w:rsidR="00EE1AD0" w:rsidRPr="008B0669" w:rsidRDefault="00EE1AD0" w:rsidP="002E255C">
      <w:pPr>
        <w:pStyle w:val="NormalWeb"/>
        <w:numPr>
          <w:ilvl w:val="0"/>
          <w:numId w:val="2"/>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in relation to </w:t>
      </w:r>
      <w:r w:rsidR="004C34AB" w:rsidRPr="008B0669">
        <w:rPr>
          <w:rFonts w:asciiTheme="minorHAnsi" w:hAnsiTheme="minorHAnsi" w:cs="Arial"/>
          <w:sz w:val="22"/>
          <w:szCs w:val="22"/>
        </w:rPr>
        <w:t xml:space="preserve">the </w:t>
      </w:r>
      <w:r w:rsidRPr="008B0669">
        <w:rPr>
          <w:rFonts w:asciiTheme="minorHAnsi" w:hAnsiTheme="minorHAnsi" w:cs="Arial"/>
          <w:sz w:val="22"/>
          <w:szCs w:val="22"/>
        </w:rPr>
        <w:t>OHS</w:t>
      </w:r>
      <w:r w:rsidR="004C34AB" w:rsidRPr="008B0669">
        <w:rPr>
          <w:rFonts w:asciiTheme="minorHAnsi" w:hAnsiTheme="minorHAnsi" w:cs="Arial"/>
          <w:sz w:val="22"/>
          <w:szCs w:val="22"/>
        </w:rPr>
        <w:t>(MI) Act</w:t>
      </w:r>
      <w:r w:rsidR="00F91F33" w:rsidRPr="008B0669">
        <w:rPr>
          <w:rFonts w:asciiTheme="minorHAnsi" w:hAnsiTheme="minorHAnsi" w:cs="Arial"/>
          <w:sz w:val="22"/>
          <w:szCs w:val="22"/>
        </w:rPr>
        <w:t>,</w:t>
      </w:r>
      <w:r w:rsidRPr="008B0669">
        <w:rPr>
          <w:rFonts w:asciiTheme="minorHAnsi" w:hAnsiTheme="minorHAnsi" w:cs="Arial"/>
          <w:sz w:val="22"/>
          <w:szCs w:val="22"/>
        </w:rPr>
        <w:t xml:space="preserve"> </w:t>
      </w:r>
      <w:r w:rsidR="00E04F63" w:rsidRPr="008B0669">
        <w:rPr>
          <w:rFonts w:asciiTheme="minorHAnsi" w:hAnsiTheme="minorHAnsi" w:cs="Arial"/>
          <w:sz w:val="22"/>
          <w:szCs w:val="22"/>
        </w:rPr>
        <w:t xml:space="preserve">certain employers and other </w:t>
      </w:r>
      <w:r w:rsidRPr="008B0669">
        <w:rPr>
          <w:rFonts w:asciiTheme="minorHAnsi" w:hAnsiTheme="minorHAnsi" w:cs="Arial"/>
          <w:sz w:val="22"/>
          <w:szCs w:val="22"/>
        </w:rPr>
        <w:t>third parties.</w:t>
      </w:r>
    </w:p>
    <w:p w:rsidR="00EE1AD0" w:rsidRPr="008B0669" w:rsidRDefault="00EE1AD0" w:rsidP="002E255C">
      <w:pPr>
        <w:pStyle w:val="NormalWeb"/>
        <w:shd w:val="clear" w:color="auto" w:fill="FFFFFF"/>
        <w:spacing w:before="0" w:after="0"/>
        <w:ind w:left="576" w:right="576"/>
        <w:rPr>
          <w:rFonts w:asciiTheme="minorHAnsi" w:hAnsiTheme="minorHAnsi" w:cs="Arial"/>
          <w:sz w:val="22"/>
          <w:szCs w:val="22"/>
        </w:rPr>
      </w:pPr>
    </w:p>
    <w:p w:rsidR="00EE1AD0" w:rsidRPr="008B0669" w:rsidRDefault="00EE1AD0"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The Seafarers Safety, Rehabilitation and Compensation Authority (the Seacare Authority)</w:t>
      </w:r>
      <w:r w:rsidR="004C34AB" w:rsidRPr="008B0669">
        <w:rPr>
          <w:rFonts w:asciiTheme="minorHAnsi" w:hAnsiTheme="minorHAnsi" w:cs="Arial"/>
          <w:sz w:val="22"/>
          <w:szCs w:val="22"/>
        </w:rPr>
        <w:t>, which is established under the Seafarers Act,</w:t>
      </w:r>
      <w:r w:rsidRPr="008B0669">
        <w:rPr>
          <w:rFonts w:asciiTheme="minorHAnsi" w:hAnsiTheme="minorHAnsi" w:cs="Arial"/>
          <w:sz w:val="22"/>
          <w:szCs w:val="22"/>
        </w:rPr>
        <w:t xml:space="preserve"> </w:t>
      </w:r>
      <w:r w:rsidR="00E04F63" w:rsidRPr="008B0669">
        <w:rPr>
          <w:rFonts w:asciiTheme="minorHAnsi" w:hAnsiTheme="minorHAnsi" w:cs="Arial"/>
          <w:sz w:val="22"/>
          <w:szCs w:val="22"/>
        </w:rPr>
        <w:t xml:space="preserve">oversees the scheme.  The Seacare </w:t>
      </w:r>
      <w:r w:rsidR="004C34AB" w:rsidRPr="008B0669">
        <w:rPr>
          <w:rFonts w:asciiTheme="minorHAnsi" w:hAnsiTheme="minorHAnsi" w:cs="Arial"/>
          <w:sz w:val="22"/>
          <w:szCs w:val="22"/>
        </w:rPr>
        <w:t>A</w:t>
      </w:r>
      <w:r w:rsidR="00E04F63" w:rsidRPr="008B0669">
        <w:rPr>
          <w:rFonts w:asciiTheme="minorHAnsi" w:hAnsiTheme="minorHAnsi" w:cs="Arial"/>
          <w:sz w:val="22"/>
          <w:szCs w:val="22"/>
        </w:rPr>
        <w:t>uthority consists of</w:t>
      </w:r>
      <w:r w:rsidRPr="008B0669">
        <w:rPr>
          <w:rFonts w:asciiTheme="minorHAnsi" w:hAnsiTheme="minorHAnsi" w:cs="Arial"/>
          <w:sz w:val="22"/>
          <w:szCs w:val="22"/>
        </w:rPr>
        <w:t xml:space="preserve"> an independent Chairperson and </w:t>
      </w:r>
      <w:r w:rsidR="00C31319" w:rsidRPr="008B0669">
        <w:rPr>
          <w:rFonts w:asciiTheme="minorHAnsi" w:hAnsiTheme="minorHAnsi" w:cs="Arial"/>
          <w:sz w:val="22"/>
          <w:szCs w:val="22"/>
        </w:rPr>
        <w:t xml:space="preserve">a </w:t>
      </w:r>
      <w:r w:rsidRPr="008B0669">
        <w:rPr>
          <w:rFonts w:asciiTheme="minorHAnsi" w:hAnsiTheme="minorHAnsi" w:cs="Arial"/>
          <w:sz w:val="22"/>
          <w:szCs w:val="22"/>
        </w:rPr>
        <w:t>Deputy Chairperson, the Chief Executive Officer of the Australian Maritime Safety Authority</w:t>
      </w:r>
      <w:r w:rsidR="004C34AB" w:rsidRPr="008B0669">
        <w:rPr>
          <w:rFonts w:asciiTheme="minorHAnsi" w:hAnsiTheme="minorHAnsi" w:cs="Arial"/>
          <w:sz w:val="22"/>
          <w:szCs w:val="22"/>
        </w:rPr>
        <w:t xml:space="preserve"> (</w:t>
      </w:r>
      <w:proofErr w:type="spellStart"/>
      <w:r w:rsidR="004C34AB" w:rsidRPr="008B0669">
        <w:rPr>
          <w:rFonts w:asciiTheme="minorHAnsi" w:hAnsiTheme="minorHAnsi" w:cs="Arial"/>
          <w:sz w:val="22"/>
          <w:szCs w:val="22"/>
        </w:rPr>
        <w:t>AMSA</w:t>
      </w:r>
      <w:proofErr w:type="spellEnd"/>
      <w:r w:rsidR="004C34AB" w:rsidRPr="008B0669">
        <w:rPr>
          <w:rFonts w:asciiTheme="minorHAnsi" w:hAnsiTheme="minorHAnsi" w:cs="Arial"/>
          <w:sz w:val="22"/>
          <w:szCs w:val="22"/>
        </w:rPr>
        <w:t>)</w:t>
      </w:r>
      <w:r w:rsidRPr="008B0669">
        <w:rPr>
          <w:rFonts w:asciiTheme="minorHAnsi" w:hAnsiTheme="minorHAnsi" w:cs="Arial"/>
          <w:sz w:val="22"/>
          <w:szCs w:val="22"/>
        </w:rPr>
        <w:t>, two employer representatives and two employee representatives.</w:t>
      </w:r>
      <w:r w:rsidR="004C34AB" w:rsidRPr="008B0669">
        <w:rPr>
          <w:rFonts w:asciiTheme="minorHAnsi" w:hAnsiTheme="minorHAnsi" w:cs="Arial"/>
          <w:sz w:val="22"/>
          <w:szCs w:val="22"/>
        </w:rPr>
        <w:t xml:space="preserve">  The Act sets out </w:t>
      </w:r>
      <w:r w:rsidR="000C5FF0" w:rsidRPr="008B0669">
        <w:rPr>
          <w:rFonts w:asciiTheme="minorHAnsi" w:hAnsiTheme="minorHAnsi" w:cs="Arial"/>
          <w:sz w:val="22"/>
          <w:szCs w:val="22"/>
        </w:rPr>
        <w:t>the Seacare Authority’s</w:t>
      </w:r>
      <w:r w:rsidR="004C34AB" w:rsidRPr="008B0669">
        <w:rPr>
          <w:rFonts w:asciiTheme="minorHAnsi" w:hAnsiTheme="minorHAnsi" w:cs="Arial"/>
          <w:sz w:val="22"/>
          <w:szCs w:val="22"/>
        </w:rPr>
        <w:t xml:space="preserve"> functions and powers.</w:t>
      </w:r>
    </w:p>
    <w:p w:rsidR="00EB2885" w:rsidRPr="008B0669" w:rsidRDefault="00EB2885" w:rsidP="002E255C">
      <w:pPr>
        <w:pStyle w:val="Heading2"/>
        <w:spacing w:before="0" w:after="0" w:line="240" w:lineRule="auto"/>
        <w:ind w:left="576"/>
        <w:rPr>
          <w:rFonts w:asciiTheme="minorHAnsi" w:hAnsiTheme="minorHAnsi" w:cs="Arial"/>
          <w:b w:val="0"/>
          <w:color w:val="auto"/>
        </w:rPr>
      </w:pPr>
    </w:p>
    <w:p w:rsidR="00EB2885" w:rsidRPr="008B0669" w:rsidRDefault="00EB2885" w:rsidP="002E255C">
      <w:pPr>
        <w:rPr>
          <w:rFonts w:asciiTheme="minorHAnsi" w:eastAsiaTheme="majorEastAsia" w:hAnsiTheme="minorHAnsi"/>
          <w:bCs/>
          <w:sz w:val="26"/>
          <w:szCs w:val="26"/>
        </w:rPr>
      </w:pPr>
      <w:r w:rsidRPr="008B0669">
        <w:rPr>
          <w:rFonts w:asciiTheme="minorHAnsi" w:hAnsiTheme="minorHAnsi"/>
        </w:rPr>
        <w:br w:type="page"/>
      </w:r>
    </w:p>
    <w:p w:rsidR="00D222AD" w:rsidRDefault="00D222AD" w:rsidP="008837E5">
      <w:pPr>
        <w:pStyle w:val="Heading2"/>
        <w:spacing w:before="0" w:after="0"/>
        <w:ind w:left="576"/>
        <w:rPr>
          <w:rFonts w:asciiTheme="minorHAnsi" w:hAnsiTheme="minorHAnsi"/>
          <w:color w:val="auto"/>
        </w:rPr>
      </w:pPr>
      <w:bookmarkStart w:id="2" w:name="_Toc341014932"/>
      <w:r w:rsidRPr="008B0669">
        <w:rPr>
          <w:rFonts w:asciiTheme="minorHAnsi" w:hAnsiTheme="minorHAnsi"/>
          <w:color w:val="auto"/>
        </w:rPr>
        <w:lastRenderedPageBreak/>
        <w:t>Terms of reference</w:t>
      </w:r>
      <w:bookmarkEnd w:id="2"/>
    </w:p>
    <w:p w:rsidR="008837E5" w:rsidRPr="008837E5" w:rsidRDefault="008837E5" w:rsidP="008837E5"/>
    <w:p w:rsidR="00EE1AD0" w:rsidRPr="008B0669" w:rsidRDefault="00E04F63"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Under its </w:t>
      </w:r>
      <w:r w:rsidR="00A52B8B" w:rsidRPr="008B0669">
        <w:rPr>
          <w:rFonts w:asciiTheme="minorHAnsi" w:hAnsiTheme="minorHAnsi" w:cs="Arial"/>
          <w:sz w:val="22"/>
          <w:szCs w:val="22"/>
        </w:rPr>
        <w:t xml:space="preserve">four </w:t>
      </w:r>
      <w:r w:rsidR="00C61D01" w:rsidRPr="008B0669">
        <w:rPr>
          <w:rFonts w:asciiTheme="minorHAnsi" w:hAnsiTheme="minorHAnsi" w:cs="Arial"/>
          <w:sz w:val="22"/>
          <w:szCs w:val="22"/>
        </w:rPr>
        <w:t xml:space="preserve">specific </w:t>
      </w:r>
      <w:r w:rsidRPr="008B0669">
        <w:rPr>
          <w:rFonts w:asciiTheme="minorHAnsi" w:hAnsiTheme="minorHAnsi" w:cs="Arial"/>
          <w:sz w:val="22"/>
          <w:szCs w:val="22"/>
        </w:rPr>
        <w:t>terms of reference (</w:t>
      </w:r>
      <w:proofErr w:type="spellStart"/>
      <w:r w:rsidRPr="008B0669">
        <w:rPr>
          <w:rFonts w:asciiTheme="minorHAnsi" w:hAnsiTheme="minorHAnsi" w:cs="Arial"/>
          <w:sz w:val="22"/>
          <w:szCs w:val="22"/>
        </w:rPr>
        <w:t>TORs</w:t>
      </w:r>
      <w:proofErr w:type="spellEnd"/>
      <w:r w:rsidRPr="008B0669">
        <w:rPr>
          <w:rFonts w:asciiTheme="minorHAnsi" w:hAnsiTheme="minorHAnsi" w:cs="Arial"/>
          <w:sz w:val="22"/>
          <w:szCs w:val="22"/>
        </w:rPr>
        <w:t>), t</w:t>
      </w:r>
      <w:r w:rsidR="00EE1AD0" w:rsidRPr="008B0669">
        <w:rPr>
          <w:rFonts w:asciiTheme="minorHAnsi" w:hAnsiTheme="minorHAnsi" w:cs="Arial"/>
          <w:sz w:val="22"/>
          <w:szCs w:val="22"/>
        </w:rPr>
        <w:t xml:space="preserve">he review will inquire </w:t>
      </w:r>
      <w:r w:rsidR="00A52B8B" w:rsidRPr="008B0669">
        <w:rPr>
          <w:rFonts w:asciiTheme="minorHAnsi" w:hAnsiTheme="minorHAnsi" w:cs="Arial"/>
          <w:sz w:val="22"/>
          <w:szCs w:val="22"/>
        </w:rPr>
        <w:t xml:space="preserve">into </w:t>
      </w:r>
      <w:r w:rsidR="00EE1AD0" w:rsidRPr="008B0669">
        <w:rPr>
          <w:rFonts w:asciiTheme="minorHAnsi" w:hAnsiTheme="minorHAnsi" w:cs="Arial"/>
          <w:sz w:val="22"/>
          <w:szCs w:val="22"/>
        </w:rPr>
        <w:t>and report</w:t>
      </w:r>
      <w:r w:rsidR="00A52B8B" w:rsidRPr="008B0669">
        <w:rPr>
          <w:rFonts w:asciiTheme="minorHAnsi" w:hAnsiTheme="minorHAnsi" w:cs="Arial"/>
          <w:sz w:val="22"/>
          <w:szCs w:val="22"/>
        </w:rPr>
        <w:t xml:space="preserve">, by </w:t>
      </w:r>
      <w:r w:rsidR="005D61D1">
        <w:rPr>
          <w:rFonts w:asciiTheme="minorHAnsi" w:hAnsiTheme="minorHAnsi" w:cs="Arial"/>
          <w:sz w:val="22"/>
          <w:szCs w:val="22"/>
        </w:rPr>
        <w:br/>
      </w:r>
      <w:r w:rsidR="00A52B8B" w:rsidRPr="008B0669">
        <w:rPr>
          <w:rFonts w:asciiTheme="minorHAnsi" w:hAnsiTheme="minorHAnsi" w:cs="Arial"/>
          <w:sz w:val="22"/>
          <w:szCs w:val="22"/>
        </w:rPr>
        <w:t>22 February 2013,</w:t>
      </w:r>
      <w:r w:rsidR="00EE1AD0" w:rsidRPr="008B0669">
        <w:rPr>
          <w:rFonts w:asciiTheme="minorHAnsi" w:hAnsiTheme="minorHAnsi" w:cs="Arial"/>
          <w:sz w:val="22"/>
          <w:szCs w:val="22"/>
        </w:rPr>
        <w:t xml:space="preserve"> on</w:t>
      </w:r>
      <w:r w:rsidR="00A52B8B" w:rsidRPr="008B0669">
        <w:rPr>
          <w:rFonts w:asciiTheme="minorHAnsi" w:hAnsiTheme="minorHAnsi" w:cs="Arial"/>
          <w:sz w:val="22"/>
          <w:szCs w:val="22"/>
        </w:rPr>
        <w:t xml:space="preserve"> the following matters.</w:t>
      </w:r>
    </w:p>
    <w:p w:rsidR="00E04F63" w:rsidRPr="008B0669" w:rsidRDefault="00E04F63" w:rsidP="002E255C">
      <w:pPr>
        <w:pStyle w:val="numberlist"/>
        <w:numPr>
          <w:ilvl w:val="0"/>
          <w:numId w:val="0"/>
        </w:numPr>
        <w:spacing w:after="0"/>
        <w:ind w:left="936" w:right="576" w:hanging="360"/>
        <w:rPr>
          <w:rFonts w:asciiTheme="minorHAnsi" w:hAnsiTheme="minorHAnsi" w:cs="Arial"/>
          <w:sz w:val="22"/>
          <w:szCs w:val="22"/>
        </w:rPr>
      </w:pPr>
    </w:p>
    <w:tbl>
      <w:tblPr>
        <w:tblStyle w:val="TableGrid"/>
        <w:tblW w:w="0" w:type="auto"/>
        <w:tblInd w:w="1098" w:type="dxa"/>
        <w:tblLook w:val="04A0" w:firstRow="1" w:lastRow="0" w:firstColumn="1" w:lastColumn="0" w:noHBand="0" w:noVBand="1"/>
      </w:tblPr>
      <w:tblGrid>
        <w:gridCol w:w="9270"/>
      </w:tblGrid>
      <w:tr w:rsidR="00A52B8B" w:rsidRPr="008B0669" w:rsidTr="00EB7086">
        <w:tc>
          <w:tcPr>
            <w:tcW w:w="9270" w:type="dxa"/>
          </w:tcPr>
          <w:p w:rsidR="00557963" w:rsidRPr="008B0669" w:rsidRDefault="00557963" w:rsidP="002E255C">
            <w:pPr>
              <w:ind w:right="576" w:firstLine="576"/>
              <w:rPr>
                <w:rFonts w:asciiTheme="minorHAnsi" w:hAnsiTheme="minorHAnsi"/>
                <w:sz w:val="24"/>
                <w:szCs w:val="24"/>
              </w:rPr>
            </w:pPr>
          </w:p>
          <w:p w:rsidR="00A52B8B" w:rsidRPr="008B0669" w:rsidRDefault="00A52B8B" w:rsidP="002E255C">
            <w:pPr>
              <w:ind w:right="576"/>
              <w:rPr>
                <w:rFonts w:asciiTheme="minorHAnsi" w:hAnsiTheme="minorHAnsi"/>
                <w:sz w:val="24"/>
                <w:szCs w:val="24"/>
              </w:rPr>
            </w:pPr>
            <w:r w:rsidRPr="008B0669">
              <w:rPr>
                <w:rFonts w:asciiTheme="minorHAnsi" w:hAnsiTheme="minorHAnsi"/>
                <w:sz w:val="24"/>
                <w:szCs w:val="24"/>
              </w:rPr>
              <w:t>TOR 1</w:t>
            </w:r>
          </w:p>
          <w:p w:rsidR="00A52B8B" w:rsidRPr="008B0669" w:rsidRDefault="00A52B8B" w:rsidP="002E255C">
            <w:pPr>
              <w:ind w:right="576" w:firstLine="576"/>
              <w:rPr>
                <w:rFonts w:asciiTheme="minorHAnsi" w:hAnsiTheme="minorHAnsi"/>
                <w:sz w:val="24"/>
                <w:szCs w:val="24"/>
              </w:rPr>
            </w:pPr>
          </w:p>
          <w:p w:rsidR="00A52B8B" w:rsidRPr="008B0669" w:rsidRDefault="00A52B8B" w:rsidP="002E255C">
            <w:pPr>
              <w:ind w:right="576"/>
              <w:rPr>
                <w:rFonts w:asciiTheme="minorHAnsi" w:hAnsiTheme="minorHAnsi"/>
              </w:rPr>
            </w:pPr>
            <w:r w:rsidRPr="008B0669">
              <w:rPr>
                <w:rFonts w:asciiTheme="minorHAnsi" w:hAnsiTheme="minorHAnsi"/>
              </w:rPr>
              <w:t>The coverage of the Seacare Scheme, including:</w:t>
            </w:r>
          </w:p>
          <w:p w:rsidR="00A52B8B" w:rsidRPr="008B0669" w:rsidRDefault="00A52B8B" w:rsidP="002E255C">
            <w:pPr>
              <w:ind w:right="576" w:firstLine="576"/>
              <w:rPr>
                <w:rFonts w:asciiTheme="minorHAnsi" w:hAnsiTheme="minorHAnsi"/>
              </w:rPr>
            </w:pPr>
          </w:p>
          <w:p w:rsidR="00A52B8B" w:rsidRPr="008B0669" w:rsidRDefault="00A52B8B" w:rsidP="002E255C">
            <w:pPr>
              <w:pStyle w:val="ListParagraph"/>
              <w:numPr>
                <w:ilvl w:val="0"/>
                <w:numId w:val="3"/>
              </w:numPr>
              <w:ind w:left="360" w:right="576"/>
              <w:rPr>
                <w:rFonts w:asciiTheme="minorHAnsi" w:hAnsiTheme="minorHAnsi"/>
              </w:rPr>
            </w:pPr>
            <w:r w:rsidRPr="008B0669">
              <w:rPr>
                <w:rFonts w:asciiTheme="minorHAnsi" w:hAnsiTheme="minorHAnsi"/>
              </w:rPr>
              <w:t>the interaction of the OHS(MI)</w:t>
            </w:r>
            <w:r w:rsidR="000C5FF0" w:rsidRPr="008B0669">
              <w:rPr>
                <w:rFonts w:asciiTheme="minorHAnsi" w:hAnsiTheme="minorHAnsi"/>
              </w:rPr>
              <w:t xml:space="preserve"> Act</w:t>
            </w:r>
            <w:r w:rsidRPr="008B0669">
              <w:rPr>
                <w:rFonts w:asciiTheme="minorHAnsi" w:hAnsiTheme="minorHAnsi"/>
              </w:rPr>
              <w:t xml:space="preserve"> with </w:t>
            </w:r>
            <w:r w:rsidR="000C5FF0" w:rsidRPr="008B0669">
              <w:rPr>
                <w:rFonts w:asciiTheme="minorHAnsi" w:hAnsiTheme="minorHAnsi"/>
              </w:rPr>
              <w:t>State and T</w:t>
            </w:r>
            <w:r w:rsidRPr="008B0669">
              <w:rPr>
                <w:rFonts w:asciiTheme="minorHAnsi" w:hAnsiTheme="minorHAnsi"/>
              </w:rPr>
              <w:t xml:space="preserve">erritory schemes and the </w:t>
            </w:r>
            <w:r w:rsidRPr="008B0669">
              <w:rPr>
                <w:rFonts w:asciiTheme="minorHAnsi" w:hAnsiTheme="minorHAnsi"/>
                <w:i/>
                <w:iCs/>
              </w:rPr>
              <w:t>Offshore Petroleum and Greenhouse Gas Storage Act 2006</w:t>
            </w:r>
            <w:r w:rsidRPr="008B0669">
              <w:rPr>
                <w:rFonts w:asciiTheme="minorHAnsi" w:hAnsiTheme="minorHAnsi"/>
                <w:iCs/>
              </w:rPr>
              <w:t>;</w:t>
            </w:r>
            <w:r w:rsidRPr="008B0669">
              <w:rPr>
                <w:rStyle w:val="Emphasis"/>
                <w:rFonts w:asciiTheme="minorHAnsi" w:hAnsiTheme="minorHAnsi"/>
              </w:rPr>
              <w:t xml:space="preserve"> </w:t>
            </w:r>
            <w:r w:rsidRPr="008B0669">
              <w:rPr>
                <w:rFonts w:asciiTheme="minorHAnsi" w:hAnsiTheme="minorHAnsi"/>
              </w:rPr>
              <w:t xml:space="preserve"> </w:t>
            </w:r>
          </w:p>
          <w:p w:rsidR="00A52B8B" w:rsidRPr="008B0669" w:rsidRDefault="00A52B8B" w:rsidP="002E255C">
            <w:pPr>
              <w:pStyle w:val="ListParagraph"/>
              <w:ind w:left="360" w:right="576"/>
              <w:rPr>
                <w:rFonts w:asciiTheme="minorHAnsi" w:hAnsiTheme="minorHAnsi"/>
              </w:rPr>
            </w:pPr>
          </w:p>
          <w:p w:rsidR="00A52B8B" w:rsidRPr="008B0669" w:rsidRDefault="00A52B8B" w:rsidP="002E255C">
            <w:pPr>
              <w:pStyle w:val="ListParagraph"/>
              <w:numPr>
                <w:ilvl w:val="0"/>
                <w:numId w:val="3"/>
              </w:numPr>
              <w:ind w:left="360" w:right="576"/>
              <w:rPr>
                <w:rFonts w:asciiTheme="minorHAnsi" w:hAnsiTheme="minorHAnsi"/>
              </w:rPr>
            </w:pPr>
            <w:r w:rsidRPr="008B0669">
              <w:rPr>
                <w:rFonts w:asciiTheme="minorHAnsi" w:hAnsiTheme="minorHAnsi"/>
              </w:rPr>
              <w:t>a legisla</w:t>
            </w:r>
            <w:r w:rsidR="000C5FF0" w:rsidRPr="008B0669">
              <w:rPr>
                <w:rFonts w:asciiTheme="minorHAnsi" w:hAnsiTheme="minorHAnsi"/>
              </w:rPr>
              <w:t>tive framework for the Seacare s</w:t>
            </w:r>
            <w:r w:rsidRPr="008B0669">
              <w:rPr>
                <w:rFonts w:asciiTheme="minorHAnsi" w:hAnsiTheme="minorHAnsi"/>
              </w:rPr>
              <w:t>cheme that identifies the relevant coverage for a particular maritime activity; and</w:t>
            </w:r>
          </w:p>
          <w:p w:rsidR="00A52B8B" w:rsidRPr="008B0669" w:rsidRDefault="00A52B8B" w:rsidP="002E255C">
            <w:pPr>
              <w:pStyle w:val="ListParagraph"/>
              <w:ind w:left="0"/>
              <w:rPr>
                <w:rFonts w:asciiTheme="minorHAnsi" w:hAnsiTheme="minorHAnsi"/>
              </w:rPr>
            </w:pPr>
          </w:p>
          <w:p w:rsidR="00A52B8B" w:rsidRPr="008B0669" w:rsidRDefault="00A52B8B" w:rsidP="002E255C">
            <w:pPr>
              <w:pStyle w:val="ListParagraph"/>
              <w:numPr>
                <w:ilvl w:val="0"/>
                <w:numId w:val="3"/>
              </w:numPr>
              <w:ind w:left="360" w:right="576"/>
              <w:rPr>
                <w:rFonts w:asciiTheme="minorHAnsi" w:hAnsiTheme="minorHAnsi"/>
                <w:sz w:val="24"/>
                <w:szCs w:val="24"/>
              </w:rPr>
            </w:pPr>
            <w:r w:rsidRPr="008B0669">
              <w:rPr>
                <w:rFonts w:asciiTheme="minorHAnsi" w:hAnsiTheme="minorHAnsi"/>
              </w:rPr>
              <w:t xml:space="preserve">the availability and scope for exemptions from the </w:t>
            </w:r>
            <w:r w:rsidRPr="008B0669">
              <w:rPr>
                <w:rFonts w:asciiTheme="minorHAnsi" w:hAnsiTheme="minorHAnsi"/>
                <w:i/>
              </w:rPr>
              <w:t>Seafarers Rehabilitation and Compensation Act 1992</w:t>
            </w:r>
            <w:r w:rsidRPr="008B0669">
              <w:rPr>
                <w:rFonts w:asciiTheme="minorHAnsi" w:hAnsiTheme="minorHAnsi"/>
              </w:rPr>
              <w:t xml:space="preserve"> (Seafarers Act).</w:t>
            </w:r>
          </w:p>
          <w:p w:rsidR="00557963" w:rsidRPr="008B0669" w:rsidRDefault="00557963" w:rsidP="002E255C">
            <w:pPr>
              <w:pStyle w:val="ListParagraph"/>
              <w:ind w:left="1080" w:right="576"/>
              <w:rPr>
                <w:rFonts w:asciiTheme="minorHAnsi" w:hAnsiTheme="minorHAnsi"/>
                <w:sz w:val="24"/>
                <w:szCs w:val="24"/>
              </w:rPr>
            </w:pPr>
          </w:p>
        </w:tc>
      </w:tr>
    </w:tbl>
    <w:p w:rsidR="00A52B8B" w:rsidRPr="008B0669" w:rsidRDefault="00A52B8B" w:rsidP="002E255C">
      <w:pPr>
        <w:pStyle w:val="numberlist"/>
        <w:numPr>
          <w:ilvl w:val="0"/>
          <w:numId w:val="0"/>
        </w:numPr>
        <w:spacing w:after="0"/>
        <w:ind w:left="936" w:right="576" w:hanging="360"/>
        <w:rPr>
          <w:rFonts w:asciiTheme="minorHAnsi" w:hAnsiTheme="minorHAnsi" w:cs="Arial"/>
          <w:szCs w:val="24"/>
        </w:rPr>
      </w:pPr>
    </w:p>
    <w:tbl>
      <w:tblPr>
        <w:tblStyle w:val="TableGrid"/>
        <w:tblW w:w="0" w:type="auto"/>
        <w:tblInd w:w="1098" w:type="dxa"/>
        <w:tblLook w:val="04A0" w:firstRow="1" w:lastRow="0" w:firstColumn="1" w:lastColumn="0" w:noHBand="0" w:noVBand="1"/>
      </w:tblPr>
      <w:tblGrid>
        <w:gridCol w:w="9270"/>
      </w:tblGrid>
      <w:tr w:rsidR="00A52B8B" w:rsidRPr="008B0669" w:rsidTr="00716A55">
        <w:tc>
          <w:tcPr>
            <w:tcW w:w="9270" w:type="dxa"/>
          </w:tcPr>
          <w:p w:rsidR="00557963" w:rsidRPr="008B0669" w:rsidRDefault="00557963" w:rsidP="002E255C">
            <w:pPr>
              <w:ind w:left="720" w:right="576"/>
              <w:rPr>
                <w:rFonts w:asciiTheme="minorHAnsi" w:hAnsiTheme="minorHAnsi"/>
                <w:sz w:val="24"/>
                <w:szCs w:val="24"/>
              </w:rPr>
            </w:pPr>
          </w:p>
          <w:p w:rsidR="00A52B8B" w:rsidRPr="008B0669" w:rsidRDefault="00A52B8B" w:rsidP="002E255C">
            <w:pPr>
              <w:ind w:right="576"/>
              <w:rPr>
                <w:rFonts w:asciiTheme="minorHAnsi" w:hAnsiTheme="minorHAnsi"/>
                <w:sz w:val="24"/>
                <w:szCs w:val="24"/>
              </w:rPr>
            </w:pPr>
            <w:r w:rsidRPr="008B0669">
              <w:rPr>
                <w:rFonts w:asciiTheme="minorHAnsi" w:hAnsiTheme="minorHAnsi"/>
                <w:sz w:val="24"/>
                <w:szCs w:val="24"/>
              </w:rPr>
              <w:t>TOR 2</w:t>
            </w:r>
          </w:p>
          <w:p w:rsidR="00A52B8B" w:rsidRPr="008B0669" w:rsidRDefault="00A52B8B" w:rsidP="002E255C">
            <w:pPr>
              <w:ind w:right="576"/>
              <w:rPr>
                <w:rFonts w:asciiTheme="minorHAnsi" w:hAnsiTheme="minorHAnsi"/>
                <w:sz w:val="24"/>
                <w:szCs w:val="24"/>
              </w:rPr>
            </w:pPr>
          </w:p>
          <w:p w:rsidR="00A52B8B" w:rsidRPr="008B0669" w:rsidRDefault="00A52B8B" w:rsidP="002E255C">
            <w:pPr>
              <w:ind w:right="576"/>
              <w:rPr>
                <w:rFonts w:asciiTheme="minorHAnsi" w:hAnsiTheme="minorHAnsi"/>
              </w:rPr>
            </w:pPr>
            <w:r w:rsidRPr="008B0669">
              <w:rPr>
                <w:rFonts w:asciiTheme="minorHAnsi" w:hAnsiTheme="minorHAnsi"/>
              </w:rPr>
              <w:t xml:space="preserve">The scope and necessity for amending and updating any legislative inconsistencies in the Seacare </w:t>
            </w:r>
            <w:r w:rsidR="000C5FF0" w:rsidRPr="008B0669">
              <w:rPr>
                <w:rFonts w:asciiTheme="minorHAnsi" w:hAnsiTheme="minorHAnsi"/>
              </w:rPr>
              <w:t>s</w:t>
            </w:r>
            <w:r w:rsidRPr="008B0669">
              <w:rPr>
                <w:rFonts w:asciiTheme="minorHAnsi" w:hAnsiTheme="minorHAnsi"/>
              </w:rPr>
              <w:t>cheme, including:</w:t>
            </w:r>
          </w:p>
          <w:p w:rsidR="00A52B8B" w:rsidRPr="008B0669" w:rsidRDefault="00A52B8B" w:rsidP="002E255C">
            <w:pPr>
              <w:pStyle w:val="ListParagraph"/>
              <w:ind w:left="723" w:right="576"/>
              <w:rPr>
                <w:rFonts w:asciiTheme="minorHAnsi" w:hAnsiTheme="minorHAnsi"/>
              </w:rPr>
            </w:pPr>
          </w:p>
          <w:p w:rsidR="00A52B8B" w:rsidRPr="008B0669" w:rsidRDefault="00A52B8B" w:rsidP="002E255C">
            <w:pPr>
              <w:pStyle w:val="ListParagraph"/>
              <w:numPr>
                <w:ilvl w:val="0"/>
                <w:numId w:val="4"/>
              </w:numPr>
              <w:ind w:left="360" w:right="576"/>
              <w:rPr>
                <w:rFonts w:asciiTheme="minorHAnsi" w:hAnsiTheme="minorHAnsi"/>
              </w:rPr>
            </w:pPr>
            <w:r w:rsidRPr="008B0669">
              <w:rPr>
                <w:rFonts w:asciiTheme="minorHAnsi" w:hAnsiTheme="minorHAnsi"/>
              </w:rPr>
              <w:t xml:space="preserve">any provisions in the legislation which need to be updated; </w:t>
            </w:r>
          </w:p>
          <w:p w:rsidR="00A52B8B" w:rsidRPr="008B0669" w:rsidRDefault="00A52B8B" w:rsidP="002E255C">
            <w:pPr>
              <w:pStyle w:val="ListParagraph"/>
              <w:ind w:left="0" w:right="576"/>
              <w:rPr>
                <w:rFonts w:asciiTheme="minorHAnsi" w:hAnsiTheme="minorHAnsi"/>
              </w:rPr>
            </w:pPr>
          </w:p>
          <w:p w:rsidR="00A52B8B" w:rsidRPr="008B0669" w:rsidRDefault="00A52B8B" w:rsidP="002E255C">
            <w:pPr>
              <w:pStyle w:val="ListParagraph"/>
              <w:numPr>
                <w:ilvl w:val="0"/>
                <w:numId w:val="4"/>
              </w:numPr>
              <w:ind w:left="360" w:right="576"/>
              <w:rPr>
                <w:rFonts w:asciiTheme="minorHAnsi" w:hAnsiTheme="minorHAnsi"/>
              </w:rPr>
            </w:pPr>
            <w:r w:rsidRPr="008B0669">
              <w:rPr>
                <w:rFonts w:asciiTheme="minorHAnsi" w:hAnsiTheme="minorHAnsi"/>
              </w:rPr>
              <w:t xml:space="preserve">ensuring consistency between the Seafarers Act and the </w:t>
            </w:r>
            <w:r w:rsidRPr="008B0669">
              <w:rPr>
                <w:rFonts w:asciiTheme="minorHAnsi" w:hAnsiTheme="minorHAnsi"/>
                <w:i/>
              </w:rPr>
              <w:t xml:space="preserve">Safety, Rehabilitation and Compensation Act 1988 </w:t>
            </w:r>
            <w:r w:rsidRPr="008B0669">
              <w:rPr>
                <w:rFonts w:asciiTheme="minorHAnsi" w:hAnsiTheme="minorHAnsi"/>
              </w:rPr>
              <w:t>(SRC Act);</w:t>
            </w:r>
          </w:p>
          <w:p w:rsidR="00A52B8B" w:rsidRPr="008B0669" w:rsidRDefault="00A52B8B" w:rsidP="002E255C">
            <w:pPr>
              <w:pStyle w:val="ListParagraph"/>
              <w:ind w:left="0"/>
              <w:rPr>
                <w:rFonts w:asciiTheme="minorHAnsi" w:hAnsiTheme="minorHAnsi"/>
              </w:rPr>
            </w:pPr>
          </w:p>
          <w:p w:rsidR="00A52B8B" w:rsidRPr="008B0669" w:rsidRDefault="00A52B8B" w:rsidP="002E255C">
            <w:pPr>
              <w:pStyle w:val="ListParagraph"/>
              <w:numPr>
                <w:ilvl w:val="0"/>
                <w:numId w:val="4"/>
              </w:numPr>
              <w:ind w:left="360" w:right="576"/>
              <w:rPr>
                <w:rFonts w:asciiTheme="minorHAnsi" w:hAnsiTheme="minorHAnsi"/>
              </w:rPr>
            </w:pPr>
            <w:r w:rsidRPr="008B0669">
              <w:rPr>
                <w:rFonts w:asciiTheme="minorHAnsi" w:hAnsiTheme="minorHAnsi"/>
              </w:rPr>
              <w:t xml:space="preserve">legislative changes required to </w:t>
            </w:r>
            <w:r w:rsidR="000C5FF0" w:rsidRPr="008B0669">
              <w:rPr>
                <w:rFonts w:asciiTheme="minorHAnsi" w:hAnsiTheme="minorHAnsi"/>
              </w:rPr>
              <w:t xml:space="preserve">the </w:t>
            </w:r>
            <w:r w:rsidRPr="008B0669">
              <w:rPr>
                <w:rFonts w:asciiTheme="minorHAnsi" w:hAnsiTheme="minorHAnsi"/>
              </w:rPr>
              <w:t xml:space="preserve">OHS(MI) </w:t>
            </w:r>
            <w:r w:rsidR="000C5FF0" w:rsidRPr="008B0669">
              <w:rPr>
                <w:rFonts w:asciiTheme="minorHAnsi" w:hAnsiTheme="minorHAnsi"/>
              </w:rPr>
              <w:t xml:space="preserve">Act </w:t>
            </w:r>
            <w:r w:rsidRPr="008B0669">
              <w:rPr>
                <w:rFonts w:asciiTheme="minorHAnsi" w:hAnsiTheme="minorHAnsi"/>
              </w:rPr>
              <w:t>to ensure consistency with the model work health and safety laws.</w:t>
            </w:r>
          </w:p>
          <w:p w:rsidR="00A52B8B" w:rsidRPr="008B0669" w:rsidRDefault="00A52B8B" w:rsidP="002E255C">
            <w:pPr>
              <w:pStyle w:val="ListParagraph"/>
              <w:ind w:left="0" w:right="576"/>
              <w:rPr>
                <w:rFonts w:asciiTheme="minorHAnsi" w:hAnsiTheme="minorHAnsi"/>
                <w:sz w:val="24"/>
                <w:szCs w:val="24"/>
              </w:rPr>
            </w:pPr>
          </w:p>
        </w:tc>
      </w:tr>
    </w:tbl>
    <w:p w:rsidR="00EE1AD0" w:rsidRPr="008B0669" w:rsidRDefault="00EE1AD0" w:rsidP="002E255C">
      <w:pPr>
        <w:pStyle w:val="ListParagraph"/>
        <w:ind w:left="1080" w:right="576"/>
        <w:rPr>
          <w:rFonts w:asciiTheme="minorHAnsi" w:hAnsiTheme="minorHAnsi"/>
          <w:sz w:val="24"/>
          <w:szCs w:val="24"/>
        </w:rPr>
      </w:pPr>
    </w:p>
    <w:tbl>
      <w:tblPr>
        <w:tblStyle w:val="TableGrid"/>
        <w:tblW w:w="0" w:type="auto"/>
        <w:tblInd w:w="1098" w:type="dxa"/>
        <w:tblLook w:val="04A0" w:firstRow="1" w:lastRow="0" w:firstColumn="1" w:lastColumn="0" w:noHBand="0" w:noVBand="1"/>
      </w:tblPr>
      <w:tblGrid>
        <w:gridCol w:w="9270"/>
      </w:tblGrid>
      <w:tr w:rsidR="00A52B8B" w:rsidRPr="008B0669" w:rsidTr="00716A55">
        <w:tc>
          <w:tcPr>
            <w:tcW w:w="9270" w:type="dxa"/>
          </w:tcPr>
          <w:p w:rsidR="00557963" w:rsidRPr="008B0669" w:rsidRDefault="00557963" w:rsidP="002E255C">
            <w:pPr>
              <w:ind w:left="720" w:right="576"/>
              <w:rPr>
                <w:rFonts w:asciiTheme="minorHAnsi" w:hAnsiTheme="minorHAnsi"/>
                <w:sz w:val="24"/>
                <w:szCs w:val="24"/>
              </w:rPr>
            </w:pPr>
          </w:p>
          <w:p w:rsidR="00A52B8B" w:rsidRPr="008B0669" w:rsidRDefault="00A52B8B" w:rsidP="002E255C">
            <w:pPr>
              <w:ind w:right="576"/>
              <w:rPr>
                <w:rFonts w:asciiTheme="minorHAnsi" w:hAnsiTheme="minorHAnsi"/>
                <w:sz w:val="24"/>
                <w:szCs w:val="24"/>
              </w:rPr>
            </w:pPr>
            <w:r w:rsidRPr="008B0669">
              <w:rPr>
                <w:rFonts w:asciiTheme="minorHAnsi" w:hAnsiTheme="minorHAnsi"/>
                <w:sz w:val="24"/>
                <w:szCs w:val="24"/>
              </w:rPr>
              <w:t>TOR 3</w:t>
            </w:r>
          </w:p>
          <w:p w:rsidR="00A52B8B" w:rsidRPr="008B0669" w:rsidRDefault="00A52B8B" w:rsidP="00A16DE7">
            <w:pPr>
              <w:ind w:right="576"/>
              <w:rPr>
                <w:rFonts w:asciiTheme="minorHAnsi" w:hAnsiTheme="minorHAnsi"/>
                <w:sz w:val="24"/>
                <w:szCs w:val="24"/>
              </w:rPr>
            </w:pPr>
          </w:p>
          <w:p w:rsidR="00A52B8B" w:rsidRPr="008B0669" w:rsidRDefault="00A52B8B" w:rsidP="002E255C">
            <w:pPr>
              <w:ind w:right="576"/>
              <w:rPr>
                <w:rFonts w:asciiTheme="minorHAnsi" w:hAnsiTheme="minorHAnsi"/>
              </w:rPr>
            </w:pPr>
            <w:r w:rsidRPr="008B0669">
              <w:rPr>
                <w:rFonts w:asciiTheme="minorHAnsi" w:hAnsiTheme="minorHAnsi"/>
              </w:rPr>
              <w:t xml:space="preserve">The scope for amending the Seafarers Act to help reduce workers’ compensation premium </w:t>
            </w:r>
            <w:r w:rsidR="00A16DE7" w:rsidRPr="008B0669">
              <w:rPr>
                <w:rFonts w:asciiTheme="minorHAnsi" w:hAnsiTheme="minorHAnsi"/>
              </w:rPr>
              <w:t>c</w:t>
            </w:r>
            <w:r w:rsidRPr="008B0669">
              <w:rPr>
                <w:rFonts w:asciiTheme="minorHAnsi" w:hAnsiTheme="minorHAnsi"/>
              </w:rPr>
              <w:t>osts.</w:t>
            </w:r>
          </w:p>
          <w:p w:rsidR="00A52B8B" w:rsidRPr="008B0669" w:rsidRDefault="00A52B8B" w:rsidP="002E255C">
            <w:pPr>
              <w:ind w:right="576"/>
              <w:rPr>
                <w:rFonts w:asciiTheme="minorHAnsi" w:hAnsiTheme="minorHAnsi"/>
                <w:sz w:val="24"/>
                <w:szCs w:val="24"/>
              </w:rPr>
            </w:pPr>
          </w:p>
        </w:tc>
      </w:tr>
    </w:tbl>
    <w:p w:rsidR="00E04F63" w:rsidRPr="008B0669" w:rsidRDefault="00E04F63" w:rsidP="002E255C">
      <w:pPr>
        <w:ind w:left="720" w:right="576"/>
        <w:rPr>
          <w:rFonts w:asciiTheme="minorHAnsi" w:hAnsiTheme="minorHAnsi"/>
          <w:sz w:val="24"/>
          <w:szCs w:val="24"/>
        </w:rPr>
      </w:pPr>
    </w:p>
    <w:tbl>
      <w:tblPr>
        <w:tblStyle w:val="TableGrid"/>
        <w:tblW w:w="0" w:type="auto"/>
        <w:tblInd w:w="1098" w:type="dxa"/>
        <w:tblLook w:val="04A0" w:firstRow="1" w:lastRow="0" w:firstColumn="1" w:lastColumn="0" w:noHBand="0" w:noVBand="1"/>
      </w:tblPr>
      <w:tblGrid>
        <w:gridCol w:w="9270"/>
      </w:tblGrid>
      <w:tr w:rsidR="00A52B8B" w:rsidRPr="008B0669" w:rsidTr="00716A55">
        <w:tc>
          <w:tcPr>
            <w:tcW w:w="9270" w:type="dxa"/>
          </w:tcPr>
          <w:p w:rsidR="00A30AAE" w:rsidRPr="008B0669" w:rsidRDefault="00A30AAE" w:rsidP="002E255C">
            <w:pPr>
              <w:ind w:right="576"/>
              <w:rPr>
                <w:rFonts w:asciiTheme="minorHAnsi" w:hAnsiTheme="minorHAnsi"/>
                <w:sz w:val="24"/>
                <w:szCs w:val="24"/>
              </w:rPr>
            </w:pPr>
          </w:p>
          <w:p w:rsidR="00A52B8B" w:rsidRPr="008B0669" w:rsidRDefault="00A52B8B" w:rsidP="002E255C">
            <w:pPr>
              <w:ind w:right="576"/>
              <w:rPr>
                <w:rFonts w:asciiTheme="minorHAnsi" w:hAnsiTheme="minorHAnsi"/>
                <w:sz w:val="24"/>
                <w:szCs w:val="24"/>
              </w:rPr>
            </w:pPr>
            <w:r w:rsidRPr="008B0669">
              <w:rPr>
                <w:rFonts w:asciiTheme="minorHAnsi" w:hAnsiTheme="minorHAnsi"/>
                <w:sz w:val="24"/>
                <w:szCs w:val="24"/>
              </w:rPr>
              <w:t>TOR 4</w:t>
            </w:r>
          </w:p>
          <w:p w:rsidR="00A52B8B" w:rsidRPr="008B0669" w:rsidRDefault="00A52B8B" w:rsidP="002E255C">
            <w:pPr>
              <w:ind w:right="576"/>
              <w:rPr>
                <w:rFonts w:asciiTheme="minorHAnsi" w:hAnsiTheme="minorHAnsi"/>
                <w:sz w:val="24"/>
                <w:szCs w:val="24"/>
              </w:rPr>
            </w:pPr>
          </w:p>
          <w:p w:rsidR="00A52B8B" w:rsidRPr="008B0669" w:rsidRDefault="00A52B8B" w:rsidP="002E255C">
            <w:pPr>
              <w:ind w:right="576"/>
              <w:rPr>
                <w:rFonts w:asciiTheme="minorHAnsi" w:hAnsiTheme="minorHAnsi"/>
              </w:rPr>
            </w:pPr>
            <w:r w:rsidRPr="008B0669">
              <w:rPr>
                <w:rFonts w:asciiTheme="minorHAnsi" w:hAnsiTheme="minorHAnsi"/>
              </w:rPr>
              <w:t>The governanc</w:t>
            </w:r>
            <w:r w:rsidR="000C5FF0" w:rsidRPr="008B0669">
              <w:rPr>
                <w:rFonts w:asciiTheme="minorHAnsi" w:hAnsiTheme="minorHAnsi"/>
              </w:rPr>
              <w:t>e arrangements for the Seacare s</w:t>
            </w:r>
            <w:r w:rsidRPr="008B0669">
              <w:rPr>
                <w:rFonts w:asciiTheme="minorHAnsi" w:hAnsiTheme="minorHAnsi"/>
              </w:rPr>
              <w:t>cheme.</w:t>
            </w:r>
          </w:p>
          <w:p w:rsidR="00A52B8B" w:rsidRPr="008B0669" w:rsidRDefault="00A52B8B" w:rsidP="002E255C">
            <w:pPr>
              <w:ind w:left="720" w:right="576"/>
              <w:rPr>
                <w:rFonts w:asciiTheme="minorHAnsi" w:hAnsiTheme="minorHAnsi"/>
                <w:sz w:val="24"/>
                <w:szCs w:val="24"/>
              </w:rPr>
            </w:pPr>
          </w:p>
        </w:tc>
      </w:tr>
    </w:tbl>
    <w:p w:rsidR="00A52B8B" w:rsidRPr="008B0669" w:rsidRDefault="00A52B8B" w:rsidP="002E255C">
      <w:pPr>
        <w:ind w:left="720" w:right="576"/>
        <w:rPr>
          <w:rFonts w:asciiTheme="minorHAnsi" w:hAnsiTheme="minorHAnsi"/>
          <w:sz w:val="24"/>
          <w:szCs w:val="24"/>
        </w:rPr>
      </w:pPr>
    </w:p>
    <w:p w:rsidR="000C2228" w:rsidRPr="008B0669" w:rsidRDefault="000C2228" w:rsidP="000C2228">
      <w:pPr>
        <w:rPr>
          <w:rFonts w:asciiTheme="minorHAnsi" w:hAnsiTheme="minorHAnsi"/>
        </w:rPr>
      </w:pPr>
    </w:p>
    <w:p w:rsidR="00C31319" w:rsidRPr="008B0669" w:rsidRDefault="00EB2885" w:rsidP="00C61D01">
      <w:pPr>
        <w:pStyle w:val="Heading2"/>
        <w:spacing w:before="0" w:after="0"/>
        <w:ind w:left="576"/>
        <w:rPr>
          <w:rFonts w:asciiTheme="minorHAnsi" w:hAnsiTheme="minorHAnsi"/>
          <w:color w:val="auto"/>
        </w:rPr>
      </w:pPr>
      <w:r w:rsidRPr="008B0669">
        <w:rPr>
          <w:rFonts w:asciiTheme="minorHAnsi" w:hAnsiTheme="minorHAnsi"/>
        </w:rPr>
        <w:br w:type="page"/>
      </w:r>
      <w:bookmarkStart w:id="3" w:name="_Toc341014933"/>
      <w:r w:rsidR="00C31319" w:rsidRPr="008B0669">
        <w:rPr>
          <w:rFonts w:asciiTheme="minorHAnsi" w:hAnsiTheme="minorHAnsi"/>
          <w:color w:val="auto"/>
        </w:rPr>
        <w:lastRenderedPageBreak/>
        <w:t>Purpose of this discussion paper</w:t>
      </w:r>
      <w:bookmarkEnd w:id="3"/>
    </w:p>
    <w:p w:rsidR="00C31319" w:rsidRPr="008B0669" w:rsidRDefault="00C31319" w:rsidP="002E255C">
      <w:pPr>
        <w:rPr>
          <w:rFonts w:asciiTheme="minorHAnsi" w:hAnsiTheme="minorHAnsi"/>
        </w:rPr>
      </w:pPr>
    </w:p>
    <w:p w:rsidR="00C31319" w:rsidRPr="008B0669" w:rsidRDefault="00E85353"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Th</w:t>
      </w:r>
      <w:r w:rsidR="009F4B22" w:rsidRPr="008B0669">
        <w:rPr>
          <w:rFonts w:asciiTheme="minorHAnsi" w:hAnsiTheme="minorHAnsi" w:cs="Arial"/>
          <w:sz w:val="22"/>
          <w:szCs w:val="22"/>
        </w:rPr>
        <w:t>e</w:t>
      </w:r>
      <w:r w:rsidRPr="008B0669">
        <w:rPr>
          <w:rFonts w:asciiTheme="minorHAnsi" w:hAnsiTheme="minorHAnsi" w:cs="Arial"/>
          <w:sz w:val="22"/>
          <w:szCs w:val="22"/>
        </w:rPr>
        <w:t xml:space="preserve"> discussion paper provide</w:t>
      </w:r>
      <w:r w:rsidR="006E761F" w:rsidRPr="008B0669">
        <w:rPr>
          <w:rFonts w:asciiTheme="minorHAnsi" w:hAnsiTheme="minorHAnsi" w:cs="Arial"/>
          <w:sz w:val="22"/>
          <w:szCs w:val="22"/>
        </w:rPr>
        <w:t>s</w:t>
      </w:r>
      <w:r w:rsidRPr="008B0669">
        <w:rPr>
          <w:rFonts w:asciiTheme="minorHAnsi" w:hAnsiTheme="minorHAnsi" w:cs="Arial"/>
          <w:sz w:val="22"/>
          <w:szCs w:val="22"/>
        </w:rPr>
        <w:t xml:space="preserve"> information for interested persons and illustrate</w:t>
      </w:r>
      <w:r w:rsidR="006E761F" w:rsidRPr="008B0669">
        <w:rPr>
          <w:rFonts w:asciiTheme="minorHAnsi" w:hAnsiTheme="minorHAnsi" w:cs="Arial"/>
          <w:sz w:val="22"/>
          <w:szCs w:val="22"/>
        </w:rPr>
        <w:t>s</w:t>
      </w:r>
      <w:r w:rsidRPr="008B0669">
        <w:rPr>
          <w:rFonts w:asciiTheme="minorHAnsi" w:hAnsiTheme="minorHAnsi" w:cs="Arial"/>
          <w:sz w:val="22"/>
          <w:szCs w:val="22"/>
        </w:rPr>
        <w:t xml:space="preserve"> the ty</w:t>
      </w:r>
      <w:r w:rsidR="00116B09" w:rsidRPr="008B0669">
        <w:rPr>
          <w:rFonts w:asciiTheme="minorHAnsi" w:hAnsiTheme="minorHAnsi" w:cs="Arial"/>
          <w:sz w:val="22"/>
          <w:szCs w:val="22"/>
        </w:rPr>
        <w:t>pes of matters that they may wi</w:t>
      </w:r>
      <w:r w:rsidRPr="008B0669">
        <w:rPr>
          <w:rFonts w:asciiTheme="minorHAnsi" w:hAnsiTheme="minorHAnsi" w:cs="Arial"/>
          <w:sz w:val="22"/>
          <w:szCs w:val="22"/>
        </w:rPr>
        <w:t>sh to raise</w:t>
      </w:r>
      <w:r w:rsidR="00116B09" w:rsidRPr="008B0669">
        <w:rPr>
          <w:rFonts w:asciiTheme="minorHAnsi" w:hAnsiTheme="minorHAnsi" w:cs="Arial"/>
          <w:sz w:val="22"/>
          <w:szCs w:val="22"/>
        </w:rPr>
        <w:t xml:space="preserve"> in </w:t>
      </w:r>
      <w:r w:rsidR="000B0465" w:rsidRPr="008B0669">
        <w:rPr>
          <w:rFonts w:asciiTheme="minorHAnsi" w:hAnsiTheme="minorHAnsi" w:cs="Arial"/>
          <w:sz w:val="22"/>
          <w:szCs w:val="22"/>
        </w:rPr>
        <w:t xml:space="preserve">their </w:t>
      </w:r>
      <w:r w:rsidR="00116B09" w:rsidRPr="008B0669">
        <w:rPr>
          <w:rFonts w:asciiTheme="minorHAnsi" w:hAnsiTheme="minorHAnsi" w:cs="Arial"/>
          <w:sz w:val="22"/>
          <w:szCs w:val="22"/>
        </w:rPr>
        <w:t>written submissions or discussions with the review.</w:t>
      </w:r>
      <w:r w:rsidRPr="008B0669">
        <w:rPr>
          <w:rFonts w:asciiTheme="minorHAnsi" w:hAnsiTheme="minorHAnsi" w:cs="Arial"/>
          <w:sz w:val="22"/>
          <w:szCs w:val="22"/>
        </w:rPr>
        <w:t xml:space="preserve"> </w:t>
      </w:r>
      <w:r w:rsidR="00116B09" w:rsidRPr="008B0669">
        <w:rPr>
          <w:rFonts w:asciiTheme="minorHAnsi" w:hAnsiTheme="minorHAnsi" w:cs="Arial"/>
          <w:sz w:val="22"/>
          <w:szCs w:val="22"/>
        </w:rPr>
        <w:t xml:space="preserve">  Interested persons are not limited in any way to the issues raised </w:t>
      </w:r>
      <w:r w:rsidR="000B0465" w:rsidRPr="008B0669">
        <w:rPr>
          <w:rFonts w:asciiTheme="minorHAnsi" w:hAnsiTheme="minorHAnsi" w:cs="Arial"/>
          <w:sz w:val="22"/>
          <w:szCs w:val="22"/>
        </w:rPr>
        <w:t>here</w:t>
      </w:r>
      <w:r w:rsidR="00116B09" w:rsidRPr="008B0669">
        <w:rPr>
          <w:rFonts w:asciiTheme="minorHAnsi" w:hAnsiTheme="minorHAnsi" w:cs="Arial"/>
          <w:sz w:val="22"/>
          <w:szCs w:val="22"/>
        </w:rPr>
        <w:t xml:space="preserve"> and are free to address any matters that they consider relevant to the terms of reference. </w:t>
      </w:r>
      <w:r w:rsidR="000B0465" w:rsidRPr="008B0669">
        <w:rPr>
          <w:rFonts w:asciiTheme="minorHAnsi" w:hAnsiTheme="minorHAnsi" w:cs="Arial"/>
          <w:sz w:val="22"/>
          <w:szCs w:val="22"/>
        </w:rPr>
        <w:t xml:space="preserve"> </w:t>
      </w:r>
      <w:r w:rsidR="00895756" w:rsidRPr="008B0669">
        <w:rPr>
          <w:rFonts w:asciiTheme="minorHAnsi" w:hAnsiTheme="minorHAnsi" w:cs="Arial"/>
          <w:sz w:val="22"/>
          <w:szCs w:val="22"/>
        </w:rPr>
        <w:t xml:space="preserve">A submission need not address any of the issues mentioned in the discussion paper if they are not </w:t>
      </w:r>
      <w:r w:rsidR="000B0465" w:rsidRPr="008B0669">
        <w:rPr>
          <w:rFonts w:asciiTheme="minorHAnsi" w:hAnsiTheme="minorHAnsi" w:cs="Arial"/>
          <w:sz w:val="22"/>
          <w:szCs w:val="22"/>
        </w:rPr>
        <w:t>of concern</w:t>
      </w:r>
      <w:r w:rsidR="00895756" w:rsidRPr="008B0669">
        <w:rPr>
          <w:rFonts w:asciiTheme="minorHAnsi" w:hAnsiTheme="minorHAnsi" w:cs="Arial"/>
          <w:sz w:val="22"/>
          <w:szCs w:val="22"/>
        </w:rPr>
        <w:t xml:space="preserve"> to the person making the submission.</w:t>
      </w:r>
    </w:p>
    <w:p w:rsidR="00894696" w:rsidRPr="008B0669" w:rsidRDefault="00894696" w:rsidP="00894696">
      <w:pPr>
        <w:pStyle w:val="Heading2"/>
        <w:spacing w:before="0" w:after="0"/>
        <w:ind w:left="576"/>
        <w:rPr>
          <w:rFonts w:asciiTheme="minorHAnsi" w:hAnsiTheme="minorHAnsi"/>
          <w:color w:val="auto"/>
        </w:rPr>
      </w:pPr>
    </w:p>
    <w:p w:rsidR="00E9347B" w:rsidRPr="008B0669" w:rsidRDefault="00E9347B" w:rsidP="00894696">
      <w:pPr>
        <w:pStyle w:val="Heading2"/>
        <w:spacing w:before="0" w:after="0"/>
        <w:ind w:left="576"/>
        <w:rPr>
          <w:rFonts w:asciiTheme="minorHAnsi" w:hAnsiTheme="minorHAnsi"/>
          <w:color w:val="auto"/>
        </w:rPr>
      </w:pPr>
      <w:bookmarkStart w:id="4" w:name="_Toc341014934"/>
      <w:r w:rsidRPr="008B0669">
        <w:rPr>
          <w:rFonts w:asciiTheme="minorHAnsi" w:hAnsiTheme="minorHAnsi"/>
          <w:color w:val="auto"/>
        </w:rPr>
        <w:t>Overview of the maritime industry subject to Australian regulation</w:t>
      </w:r>
      <w:bookmarkEnd w:id="4"/>
    </w:p>
    <w:p w:rsidR="00E9347B" w:rsidRPr="008B0669" w:rsidRDefault="00E9347B" w:rsidP="002E255C">
      <w:pPr>
        <w:rPr>
          <w:rFonts w:asciiTheme="minorHAnsi" w:hAnsiTheme="minorHAnsi"/>
        </w:rPr>
      </w:pPr>
    </w:p>
    <w:p w:rsidR="00E9347B" w:rsidRPr="008B0669" w:rsidRDefault="00E9347B" w:rsidP="002E255C">
      <w:pPr>
        <w:pStyle w:val="NormalWeb"/>
        <w:numPr>
          <w:ilvl w:val="0"/>
          <w:numId w:val="6"/>
        </w:numPr>
        <w:shd w:val="clear" w:color="auto" w:fill="FFFFFF"/>
        <w:spacing w:before="0" w:after="0"/>
        <w:ind w:right="576"/>
        <w:rPr>
          <w:rFonts w:asciiTheme="minorHAnsi" w:hAnsiTheme="minorHAnsi"/>
        </w:rPr>
      </w:pPr>
      <w:r w:rsidRPr="008B0669">
        <w:rPr>
          <w:rFonts w:asciiTheme="minorHAnsi" w:hAnsiTheme="minorHAnsi" w:cs="Arial"/>
          <w:sz w:val="22"/>
          <w:szCs w:val="22"/>
        </w:rPr>
        <w:t xml:space="preserve">To illustrate the size, scope and nature of the regulatory task, the following box provides </w:t>
      </w:r>
      <w:r w:rsidR="00A16DE7" w:rsidRPr="008B0669">
        <w:rPr>
          <w:rFonts w:asciiTheme="minorHAnsi" w:hAnsiTheme="minorHAnsi" w:cs="Arial"/>
          <w:sz w:val="22"/>
          <w:szCs w:val="22"/>
        </w:rPr>
        <w:t xml:space="preserve">some </w:t>
      </w:r>
      <w:r w:rsidRPr="008B0669">
        <w:rPr>
          <w:rFonts w:asciiTheme="minorHAnsi" w:hAnsiTheme="minorHAnsi" w:cs="Arial"/>
          <w:sz w:val="22"/>
          <w:szCs w:val="22"/>
        </w:rPr>
        <w:t>key facts about the maritime industry that is subject</w:t>
      </w:r>
      <w:r w:rsidR="00A16DE7" w:rsidRPr="008B0669">
        <w:rPr>
          <w:rFonts w:asciiTheme="minorHAnsi" w:hAnsiTheme="minorHAnsi" w:cs="Arial"/>
          <w:sz w:val="22"/>
          <w:szCs w:val="22"/>
        </w:rPr>
        <w:t>, in various ways,</w:t>
      </w:r>
      <w:r w:rsidRPr="008B0669">
        <w:rPr>
          <w:rFonts w:asciiTheme="minorHAnsi" w:hAnsiTheme="minorHAnsi" w:cs="Arial"/>
          <w:sz w:val="22"/>
          <w:szCs w:val="22"/>
        </w:rPr>
        <w:t xml:space="preserve"> to Australian regulation,</w:t>
      </w:r>
    </w:p>
    <w:p w:rsidR="00E9347B" w:rsidRPr="008B0669" w:rsidRDefault="00E9347B" w:rsidP="002E255C">
      <w:pPr>
        <w:pStyle w:val="NormalWeb"/>
        <w:shd w:val="clear" w:color="auto" w:fill="FFFFFF"/>
        <w:spacing w:before="0" w:after="0"/>
        <w:ind w:right="576"/>
        <w:rPr>
          <w:rFonts w:asciiTheme="minorHAnsi" w:hAnsiTheme="minorHAnsi" w:cs="Arial"/>
          <w:sz w:val="22"/>
          <w:szCs w:val="22"/>
        </w:rPr>
      </w:pPr>
    </w:p>
    <w:tbl>
      <w:tblPr>
        <w:tblStyle w:val="TableGrid"/>
        <w:tblW w:w="0" w:type="auto"/>
        <w:tblInd w:w="1098" w:type="dxa"/>
        <w:tblLook w:val="04A0" w:firstRow="1" w:lastRow="0" w:firstColumn="1" w:lastColumn="0" w:noHBand="0" w:noVBand="1"/>
      </w:tblPr>
      <w:tblGrid>
        <w:gridCol w:w="9270"/>
      </w:tblGrid>
      <w:tr w:rsidR="00E9347B" w:rsidRPr="008B0669" w:rsidTr="00E9347B">
        <w:tc>
          <w:tcPr>
            <w:tcW w:w="9270" w:type="dxa"/>
          </w:tcPr>
          <w:p w:rsidR="00E9347B" w:rsidRPr="008B0669" w:rsidRDefault="00E9347B" w:rsidP="002E255C">
            <w:pPr>
              <w:pStyle w:val="NormalWeb"/>
              <w:spacing w:before="0" w:after="0"/>
              <w:ind w:right="576"/>
              <w:rPr>
                <w:rFonts w:asciiTheme="minorHAnsi" w:hAnsiTheme="minorHAnsi"/>
                <w:sz w:val="22"/>
                <w:szCs w:val="22"/>
              </w:rPr>
            </w:pPr>
          </w:p>
          <w:p w:rsidR="00AF0E99" w:rsidRPr="008B0669" w:rsidRDefault="00AF0E99" w:rsidP="00AF0E99">
            <w:pPr>
              <w:pStyle w:val="NormalWeb"/>
              <w:spacing w:before="0" w:after="0"/>
              <w:ind w:right="576"/>
              <w:rPr>
                <w:rFonts w:asciiTheme="minorHAnsi" w:hAnsiTheme="minorHAnsi"/>
                <w:sz w:val="22"/>
                <w:szCs w:val="22"/>
              </w:rPr>
            </w:pPr>
            <w:r w:rsidRPr="008B0669">
              <w:rPr>
                <w:rFonts w:asciiTheme="minorHAnsi" w:hAnsiTheme="minorHAnsi"/>
                <w:sz w:val="22"/>
                <w:szCs w:val="22"/>
              </w:rPr>
              <w:t xml:space="preserve">The 2009-10 </w:t>
            </w:r>
            <w:r w:rsidRPr="008B0669">
              <w:rPr>
                <w:rFonts w:asciiTheme="minorHAnsi" w:hAnsiTheme="minorHAnsi"/>
                <w:i/>
                <w:sz w:val="22"/>
                <w:szCs w:val="22"/>
              </w:rPr>
              <w:t>Australian Sea Freight Report</w:t>
            </w:r>
            <w:r w:rsidRPr="008B0669">
              <w:rPr>
                <w:rFonts w:asciiTheme="minorHAnsi" w:hAnsiTheme="minorHAnsi"/>
                <w:sz w:val="22"/>
                <w:szCs w:val="22"/>
              </w:rPr>
              <w:t>, compiled by the Bureau of Infrastructure, Transport and Regional Economics</w:t>
            </w:r>
            <w:r w:rsidR="00A16DE7" w:rsidRPr="008B0669">
              <w:rPr>
                <w:rFonts w:asciiTheme="minorHAnsi" w:hAnsiTheme="minorHAnsi"/>
                <w:sz w:val="22"/>
                <w:szCs w:val="22"/>
              </w:rPr>
              <w:t xml:space="preserve"> (</w:t>
            </w:r>
            <w:proofErr w:type="spellStart"/>
            <w:r w:rsidR="00A16DE7" w:rsidRPr="008B0669">
              <w:rPr>
                <w:rFonts w:asciiTheme="minorHAnsi" w:hAnsiTheme="minorHAnsi"/>
                <w:sz w:val="22"/>
                <w:szCs w:val="22"/>
              </w:rPr>
              <w:t>BITRE</w:t>
            </w:r>
            <w:proofErr w:type="spellEnd"/>
            <w:r w:rsidR="00A16DE7" w:rsidRPr="008B0669">
              <w:rPr>
                <w:rFonts w:asciiTheme="minorHAnsi" w:hAnsiTheme="minorHAnsi"/>
                <w:sz w:val="22"/>
                <w:szCs w:val="22"/>
              </w:rPr>
              <w:t>)</w:t>
            </w:r>
            <w:r w:rsidRPr="008B0669">
              <w:rPr>
                <w:rFonts w:asciiTheme="minorHAnsi" w:hAnsiTheme="minorHAnsi"/>
                <w:sz w:val="22"/>
                <w:szCs w:val="22"/>
              </w:rPr>
              <w:t>, notes the following:</w:t>
            </w:r>
          </w:p>
          <w:p w:rsidR="00AF0E99" w:rsidRPr="008B0669" w:rsidRDefault="00AF0E99" w:rsidP="00AF0E99">
            <w:pPr>
              <w:pStyle w:val="NormalWeb"/>
              <w:spacing w:before="0" w:after="0"/>
              <w:ind w:right="576"/>
              <w:rPr>
                <w:rFonts w:asciiTheme="minorHAnsi" w:hAnsiTheme="minorHAnsi"/>
                <w:sz w:val="22"/>
                <w:szCs w:val="22"/>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In 2009–10, 1052.4 m. tonnes of cargo moved across Australian wharves. This represented a 12.2 per cent increase on 2008–09.  81.9 per cent of this cargo was exports; 8.1 per cent was imports; 5.0 per cent was domestic loaded cargo; and 5.0 per cent was domestic unloaded cargo. </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In 2009-</w:t>
            </w:r>
            <w:r w:rsidR="00A16DE7" w:rsidRPr="008B0669">
              <w:rPr>
                <w:rFonts w:asciiTheme="minorHAnsi" w:eastAsia="Times New Roman" w:hAnsiTheme="minorHAnsi"/>
                <w:lang w:eastAsia="en-AU"/>
              </w:rPr>
              <w:t>10, Australian ports h</w:t>
            </w:r>
            <w:r w:rsidRPr="008B0669">
              <w:rPr>
                <w:rFonts w:asciiTheme="minorHAnsi" w:eastAsia="Times New Roman" w:hAnsiTheme="minorHAnsi"/>
                <w:lang w:eastAsia="en-AU"/>
              </w:rPr>
              <w:t>andled 947.6 m. tonnes of international cargo.  Compared with 2008-09, there was a 14.4 per cent increase in the total weight of exports and a 4.9 per cent increase in the total weight of imports.</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By value, there was an 11.6 per cent decrease in exports to $178.9 billion and a 5.5 per cent decrease in imports to $156.9 billion between 2008-09 and 2009-10. </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Australian ports handled 104.8 m. tonnes of coastal cargo during 2009-10, increasing by 1.6 per cent on 2008-09. The total coastal freight task was 114.8 billion tonne-kilometres in 2009-10, increasing by 6.8 per cent from 2008-09.</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In 2009-10, 2872 voyages on coastal voyage permits were carried out by unlicensed ships to move freight on the Australian coast, a 4.4 per cent increase on 2008-09. Total tonnage moved under permits increased 9.6 per cent to 15.1 m. tonnes, which accounted for 28.9 per cent of all coastal freight.  The coastal freight task performed by ships using permits was 43.2 billion tonne-kilometres, which was 37.6 per cent of the coastal freight task.</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5"/>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In 2009-10, the number of ships involved in international shipping entering Australia rose to 4344, compared to 4171 in 2008-09.  Voyages to Australia from overseas ports decreased </w:t>
            </w:r>
            <w:r w:rsidRPr="008B0669">
              <w:rPr>
                <w:rFonts w:asciiTheme="minorHAnsi" w:eastAsia="Times New Roman" w:hAnsiTheme="minorHAnsi"/>
                <w:lang w:eastAsia="en-AU"/>
              </w:rPr>
              <w:br/>
              <w:t>1 per cent to 11 392, and the total number of port calls decreased by 5.6 per cent to 25 162 in 2009-10.</w:t>
            </w:r>
          </w:p>
          <w:p w:rsidR="00AF0E99" w:rsidRPr="008B0669" w:rsidRDefault="00AF0E99" w:rsidP="00AF0E99">
            <w:pPr>
              <w:pStyle w:val="ListParagraph"/>
              <w:autoSpaceDE w:val="0"/>
              <w:autoSpaceDN w:val="0"/>
              <w:adjustRightInd w:val="0"/>
              <w:ind w:left="360" w:right="576"/>
              <w:rPr>
                <w:rFonts w:asciiTheme="minorHAnsi" w:hAnsiTheme="minorHAnsi"/>
              </w:rPr>
            </w:pPr>
          </w:p>
          <w:p w:rsidR="00AF0E99" w:rsidRPr="008B0669" w:rsidRDefault="00AF0E99" w:rsidP="00AF0E99">
            <w:pPr>
              <w:pStyle w:val="ListParagraph"/>
              <w:numPr>
                <w:ilvl w:val="0"/>
                <w:numId w:val="25"/>
              </w:numPr>
              <w:autoSpaceDE w:val="0"/>
              <w:autoSpaceDN w:val="0"/>
              <w:adjustRightInd w:val="0"/>
              <w:ind w:right="576"/>
              <w:rPr>
                <w:rFonts w:asciiTheme="minorHAnsi" w:hAnsiTheme="minorHAnsi"/>
              </w:rPr>
            </w:pPr>
            <w:r w:rsidRPr="008B0669">
              <w:rPr>
                <w:rFonts w:asciiTheme="minorHAnsi" w:eastAsia="Times New Roman" w:hAnsiTheme="minorHAnsi"/>
                <w:lang w:eastAsia="en-AU"/>
              </w:rPr>
              <w:t xml:space="preserve">The Australian trading fleet increased in both number of ships and total deadweight tonnage as at 1st July 2010, compared to the previous year. The total number of ships in the fleet increased from 94 to 97 vessels, and the total deadweight tonnage increased by </w:t>
            </w:r>
            <w:r w:rsidRPr="008B0669">
              <w:rPr>
                <w:rFonts w:asciiTheme="minorHAnsi" w:hAnsiTheme="minorHAnsi"/>
              </w:rPr>
              <w:t>6.0 per cent to 3.1 m. tonnes.</w:t>
            </w:r>
            <w:r w:rsidRPr="008B0669">
              <w:rPr>
                <w:rStyle w:val="FootnoteReference"/>
                <w:rFonts w:asciiTheme="minorHAnsi" w:hAnsiTheme="minorHAnsi"/>
              </w:rPr>
              <w:footnoteReference w:id="5"/>
            </w:r>
          </w:p>
          <w:p w:rsidR="00AF0E99" w:rsidRPr="008B0669" w:rsidRDefault="00AF0E99" w:rsidP="00AF0E99">
            <w:pPr>
              <w:pStyle w:val="NormalWeb"/>
              <w:spacing w:before="0" w:after="0"/>
              <w:ind w:right="576"/>
              <w:rPr>
                <w:rFonts w:asciiTheme="minorHAnsi" w:hAnsiTheme="minorHAnsi"/>
                <w:sz w:val="22"/>
                <w:szCs w:val="22"/>
              </w:rPr>
            </w:pPr>
          </w:p>
          <w:p w:rsidR="005D61D1" w:rsidRDefault="005D61D1" w:rsidP="00AF0E99">
            <w:pPr>
              <w:pStyle w:val="NormalWeb"/>
              <w:spacing w:before="0" w:after="0"/>
              <w:ind w:right="576"/>
              <w:rPr>
                <w:rFonts w:asciiTheme="minorHAnsi" w:hAnsiTheme="minorHAnsi"/>
                <w:sz w:val="22"/>
                <w:szCs w:val="22"/>
              </w:rPr>
            </w:pPr>
            <w:r>
              <w:rPr>
                <w:rFonts w:asciiTheme="minorHAnsi" w:hAnsiTheme="minorHAnsi"/>
                <w:sz w:val="22"/>
                <w:szCs w:val="22"/>
              </w:rPr>
              <w:br/>
            </w:r>
          </w:p>
          <w:p w:rsidR="005D61D1" w:rsidRDefault="005D61D1" w:rsidP="00AF0E99">
            <w:pPr>
              <w:pStyle w:val="NormalWeb"/>
              <w:spacing w:before="0" w:after="0"/>
              <w:ind w:right="576"/>
              <w:rPr>
                <w:rFonts w:asciiTheme="minorHAnsi" w:hAnsiTheme="minorHAnsi"/>
                <w:sz w:val="22"/>
                <w:szCs w:val="22"/>
              </w:rPr>
            </w:pPr>
          </w:p>
          <w:p w:rsidR="00AF0E99" w:rsidRPr="008B0669" w:rsidRDefault="00A16DE7" w:rsidP="00AF0E99">
            <w:pPr>
              <w:pStyle w:val="NormalWeb"/>
              <w:spacing w:before="0" w:after="0"/>
              <w:ind w:right="576"/>
              <w:rPr>
                <w:rFonts w:asciiTheme="minorHAnsi" w:hAnsiTheme="minorHAnsi"/>
                <w:sz w:val="22"/>
                <w:szCs w:val="22"/>
              </w:rPr>
            </w:pPr>
            <w:proofErr w:type="spellStart"/>
            <w:r w:rsidRPr="008B0669">
              <w:rPr>
                <w:rFonts w:asciiTheme="minorHAnsi" w:hAnsiTheme="minorHAnsi"/>
                <w:sz w:val="22"/>
                <w:szCs w:val="22"/>
              </w:rPr>
              <w:lastRenderedPageBreak/>
              <w:t>BITRE</w:t>
            </w:r>
            <w:proofErr w:type="spellEnd"/>
            <w:r w:rsidR="00AF0E99" w:rsidRPr="008B0669">
              <w:rPr>
                <w:rFonts w:asciiTheme="minorHAnsi" w:hAnsiTheme="minorHAnsi"/>
                <w:sz w:val="22"/>
                <w:szCs w:val="22"/>
              </w:rPr>
              <w:t xml:space="preserve"> also forecasts Australian maritime activity to 2029-30:</w:t>
            </w:r>
          </w:p>
          <w:p w:rsidR="00AF0E99" w:rsidRPr="008B0669" w:rsidRDefault="00AF0E99" w:rsidP="00AF0E99">
            <w:pPr>
              <w:pStyle w:val="NormalWeb"/>
              <w:spacing w:before="0" w:after="0"/>
              <w:ind w:right="576"/>
              <w:rPr>
                <w:rFonts w:asciiTheme="minorHAnsi" w:hAnsiTheme="minorHAnsi"/>
                <w:sz w:val="22"/>
                <w:szCs w:val="22"/>
              </w:rPr>
            </w:pPr>
          </w:p>
          <w:p w:rsidR="00AF0E99" w:rsidRPr="008B0669" w:rsidRDefault="00AF0E99" w:rsidP="00AF0E99">
            <w:pPr>
              <w:pStyle w:val="ListParagraph"/>
              <w:numPr>
                <w:ilvl w:val="0"/>
                <w:numId w:val="26"/>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Australian containerised exports in 2007-08 totalled 1.50 m. </w:t>
            </w:r>
            <w:proofErr w:type="spellStart"/>
            <w:r w:rsidRPr="008B0669">
              <w:rPr>
                <w:rFonts w:asciiTheme="minorHAnsi" w:eastAsia="Times New Roman" w:hAnsiTheme="minorHAnsi"/>
                <w:lang w:eastAsia="en-AU"/>
              </w:rPr>
              <w:t>TEU</w:t>
            </w:r>
            <w:proofErr w:type="spellEnd"/>
            <w:r w:rsidR="006B0017">
              <w:rPr>
                <w:rStyle w:val="FootnoteReference"/>
                <w:rFonts w:asciiTheme="minorHAnsi" w:eastAsia="Times New Roman" w:hAnsiTheme="minorHAnsi"/>
                <w:lang w:eastAsia="en-AU"/>
              </w:rPr>
              <w:footnoteReference w:id="6"/>
            </w:r>
            <w:r w:rsidRPr="008B0669">
              <w:rPr>
                <w:rFonts w:asciiTheme="minorHAnsi" w:eastAsia="Times New Roman" w:hAnsiTheme="minorHAnsi"/>
                <w:lang w:eastAsia="en-AU"/>
              </w:rPr>
              <w:t xml:space="preserve">.  This is forecast to increase to 1.74 m.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in 2012-13, and to 6.32 m.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by 2029-30.</w:t>
            </w:r>
          </w:p>
          <w:p w:rsidR="00AF0E99" w:rsidRPr="008B0669" w:rsidRDefault="00AF0E99" w:rsidP="00AF0E99">
            <w:pPr>
              <w:autoSpaceDE w:val="0"/>
              <w:autoSpaceDN w:val="0"/>
              <w:adjustRightInd w:val="0"/>
              <w:rPr>
                <w:rFonts w:asciiTheme="minorHAnsi" w:eastAsia="Times New Roman" w:hAnsiTheme="minorHAnsi"/>
                <w:lang w:eastAsia="en-AU"/>
              </w:rPr>
            </w:pPr>
          </w:p>
          <w:p w:rsidR="00AF0E99" w:rsidRPr="008B0669" w:rsidRDefault="00AF0E99" w:rsidP="00AF0E99">
            <w:pPr>
              <w:pStyle w:val="ListParagraph"/>
              <w:numPr>
                <w:ilvl w:val="0"/>
                <w:numId w:val="26"/>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Australian containerised imports in 2007-08 totalled 2.46 m.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This is forecast to increase to 2.67 m.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in 2012-13, and to 5.17 m.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by 2029-30.</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6"/>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In 2007-08, there were 362 000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transported between Australian ports.  This is forecast to increase to 415 000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in 2012-13, and to 824 000 </w:t>
            </w:r>
            <w:proofErr w:type="spellStart"/>
            <w:r w:rsidRPr="008B0669">
              <w:rPr>
                <w:rFonts w:asciiTheme="minorHAnsi" w:eastAsia="Times New Roman" w:hAnsiTheme="minorHAnsi"/>
                <w:lang w:eastAsia="en-AU"/>
              </w:rPr>
              <w:t>TEU</w:t>
            </w:r>
            <w:proofErr w:type="spellEnd"/>
            <w:r w:rsidRPr="008B0669">
              <w:rPr>
                <w:rFonts w:asciiTheme="minorHAnsi" w:eastAsia="Times New Roman" w:hAnsiTheme="minorHAnsi"/>
                <w:lang w:eastAsia="en-AU"/>
              </w:rPr>
              <w:t xml:space="preserve"> by 2029-30.</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6"/>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Australian non-containerised exports in 2007-08 </w:t>
            </w:r>
            <w:r w:rsidR="00E95F1B">
              <w:rPr>
                <w:rFonts w:asciiTheme="minorHAnsi" w:eastAsia="Times New Roman" w:hAnsiTheme="minorHAnsi"/>
                <w:lang w:eastAsia="en-AU"/>
              </w:rPr>
              <w:t>totalled</w:t>
            </w:r>
            <w:r w:rsidRPr="008B0669">
              <w:rPr>
                <w:rFonts w:asciiTheme="minorHAnsi" w:eastAsia="Times New Roman" w:hAnsiTheme="minorHAnsi"/>
                <w:lang w:eastAsia="en-AU"/>
              </w:rPr>
              <w:t xml:space="preserve"> 685 m. tonnes.  This is forecast to increase to 754 m. tonnes in 2012</w:t>
            </w:r>
            <w:r w:rsidR="00E95F1B">
              <w:rPr>
                <w:rFonts w:asciiTheme="minorHAnsi" w:eastAsia="Times New Roman" w:hAnsiTheme="minorHAnsi"/>
                <w:lang w:eastAsia="en-AU"/>
              </w:rPr>
              <w:t>-</w:t>
            </w:r>
            <w:r w:rsidRPr="008B0669">
              <w:rPr>
                <w:rFonts w:asciiTheme="minorHAnsi" w:eastAsia="Times New Roman" w:hAnsiTheme="minorHAnsi"/>
                <w:lang w:eastAsia="en-AU"/>
              </w:rPr>
              <w:t>13, and to 1.35 billion tonnes by 2029-30.</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AF0E99" w:rsidRPr="008B0669" w:rsidRDefault="00AF0E99" w:rsidP="00AF0E99">
            <w:pPr>
              <w:pStyle w:val="ListParagraph"/>
              <w:numPr>
                <w:ilvl w:val="0"/>
                <w:numId w:val="26"/>
              </w:numPr>
              <w:autoSpaceDE w:val="0"/>
              <w:autoSpaceDN w:val="0"/>
              <w:adjustRightInd w:val="0"/>
              <w:rPr>
                <w:rFonts w:asciiTheme="minorHAnsi" w:eastAsia="Times New Roman" w:hAnsiTheme="minorHAnsi"/>
                <w:lang w:eastAsia="en-AU"/>
              </w:rPr>
            </w:pPr>
            <w:r w:rsidRPr="008B0669">
              <w:rPr>
                <w:rFonts w:asciiTheme="minorHAnsi" w:eastAsia="Times New Roman" w:hAnsiTheme="minorHAnsi"/>
                <w:lang w:eastAsia="en-AU"/>
              </w:rPr>
              <w:t xml:space="preserve">Australian non-containerised imports in 2007-08 </w:t>
            </w:r>
            <w:r w:rsidR="00E95F1B">
              <w:rPr>
                <w:rFonts w:asciiTheme="minorHAnsi" w:eastAsia="Times New Roman" w:hAnsiTheme="minorHAnsi"/>
                <w:lang w:eastAsia="en-AU"/>
              </w:rPr>
              <w:t>totalled</w:t>
            </w:r>
            <w:r w:rsidRPr="008B0669">
              <w:rPr>
                <w:rFonts w:asciiTheme="minorHAnsi" w:eastAsia="Times New Roman" w:hAnsiTheme="minorHAnsi"/>
                <w:lang w:eastAsia="en-AU"/>
              </w:rPr>
              <w:t xml:space="preserve"> 61.5 m. tonnes. This is forecast to increase to 63.1 m. tonnes in 2012-13, and to 89.7 m. tonnes by 2029-30.</w:t>
            </w:r>
          </w:p>
          <w:p w:rsidR="00AF0E99" w:rsidRPr="008B0669" w:rsidRDefault="00AF0E99" w:rsidP="00AF0E99">
            <w:pPr>
              <w:pStyle w:val="ListParagraph"/>
              <w:autoSpaceDE w:val="0"/>
              <w:autoSpaceDN w:val="0"/>
              <w:adjustRightInd w:val="0"/>
              <w:ind w:left="360"/>
              <w:rPr>
                <w:rFonts w:asciiTheme="minorHAnsi" w:eastAsia="Times New Roman" w:hAnsiTheme="minorHAnsi"/>
                <w:lang w:eastAsia="en-AU"/>
              </w:rPr>
            </w:pPr>
          </w:p>
          <w:p w:rsidR="00D153D1" w:rsidRPr="008B0669" w:rsidRDefault="00AF0E99" w:rsidP="00E95F1B">
            <w:pPr>
              <w:pStyle w:val="NormalWeb"/>
              <w:numPr>
                <w:ilvl w:val="0"/>
                <w:numId w:val="26"/>
              </w:numPr>
              <w:spacing w:before="0" w:after="0"/>
              <w:ind w:right="576"/>
              <w:rPr>
                <w:rFonts w:asciiTheme="minorHAnsi" w:hAnsiTheme="minorHAnsi"/>
                <w:sz w:val="22"/>
                <w:szCs w:val="22"/>
              </w:rPr>
            </w:pPr>
            <w:r w:rsidRPr="008B0669">
              <w:rPr>
                <w:rFonts w:asciiTheme="minorHAnsi" w:hAnsiTheme="minorHAnsi"/>
                <w:sz w:val="22"/>
                <w:szCs w:val="22"/>
              </w:rPr>
              <w:t xml:space="preserve">In 2007-08 there were 54.6 m. tonnes of non-containerised freight transported between Australian ports.  This is forecast to increase to 65.1 m. tonnes in 2012-13 and to </w:t>
            </w:r>
            <w:r w:rsidRPr="008B0669">
              <w:rPr>
                <w:rFonts w:asciiTheme="minorHAnsi" w:hAnsiTheme="minorHAnsi"/>
                <w:sz w:val="22"/>
                <w:szCs w:val="22"/>
              </w:rPr>
              <w:br/>
              <w:t>92.7 m. tonnes by 2029-30.</w:t>
            </w:r>
            <w:r w:rsidRPr="008B0669">
              <w:rPr>
                <w:rStyle w:val="FootnoteReference"/>
                <w:rFonts w:asciiTheme="minorHAnsi" w:hAnsiTheme="minorHAnsi"/>
                <w:sz w:val="22"/>
                <w:szCs w:val="22"/>
              </w:rPr>
              <w:footnoteReference w:id="7"/>
            </w:r>
          </w:p>
          <w:p w:rsidR="00AF0E99" w:rsidRPr="008B0669" w:rsidRDefault="00AF0E99" w:rsidP="00AF0E99">
            <w:pPr>
              <w:pStyle w:val="NormalWeb"/>
              <w:spacing w:before="0" w:after="0"/>
              <w:ind w:right="576"/>
              <w:rPr>
                <w:rFonts w:asciiTheme="minorHAnsi" w:hAnsiTheme="minorHAnsi"/>
                <w:sz w:val="22"/>
                <w:szCs w:val="22"/>
              </w:rPr>
            </w:pPr>
          </w:p>
        </w:tc>
      </w:tr>
    </w:tbl>
    <w:p w:rsidR="00E9347B" w:rsidRPr="008B0669" w:rsidRDefault="00E9347B" w:rsidP="002E255C">
      <w:pPr>
        <w:pStyle w:val="NormalWeb"/>
        <w:shd w:val="clear" w:color="auto" w:fill="FFFFFF"/>
        <w:spacing w:before="0" w:after="0"/>
        <w:ind w:right="576"/>
        <w:rPr>
          <w:rFonts w:asciiTheme="minorHAnsi" w:hAnsiTheme="minorHAnsi"/>
        </w:rPr>
      </w:pPr>
    </w:p>
    <w:p w:rsidR="0000069B" w:rsidRPr="008B0669" w:rsidRDefault="0000069B" w:rsidP="00894696">
      <w:pPr>
        <w:pStyle w:val="Heading2"/>
        <w:spacing w:before="0" w:after="0"/>
        <w:ind w:left="576"/>
        <w:rPr>
          <w:rFonts w:asciiTheme="minorHAnsi" w:hAnsiTheme="minorHAnsi"/>
          <w:color w:val="auto"/>
        </w:rPr>
      </w:pPr>
      <w:bookmarkStart w:id="5" w:name="_Toc341014935"/>
      <w:r w:rsidRPr="008B0669">
        <w:rPr>
          <w:rFonts w:asciiTheme="minorHAnsi" w:hAnsiTheme="minorHAnsi"/>
          <w:color w:val="auto"/>
        </w:rPr>
        <w:t>Performance of the Seacare scheme</w:t>
      </w:r>
      <w:bookmarkEnd w:id="5"/>
    </w:p>
    <w:p w:rsidR="0000069B" w:rsidRPr="008B0669" w:rsidRDefault="0000069B" w:rsidP="002E255C">
      <w:pPr>
        <w:rPr>
          <w:rFonts w:asciiTheme="minorHAnsi" w:hAnsiTheme="minorHAnsi"/>
        </w:rPr>
      </w:pPr>
    </w:p>
    <w:p w:rsidR="0000069B" w:rsidRPr="008B0669" w:rsidRDefault="0000069B"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The following boxes contain some key indicators of the</w:t>
      </w:r>
      <w:r w:rsidR="000B0465" w:rsidRPr="008B0669">
        <w:rPr>
          <w:rFonts w:asciiTheme="minorHAnsi" w:hAnsiTheme="minorHAnsi" w:cs="Arial"/>
          <w:sz w:val="22"/>
          <w:szCs w:val="22"/>
        </w:rPr>
        <w:t xml:space="preserve"> </w:t>
      </w:r>
      <w:r w:rsidRPr="008B0669">
        <w:rPr>
          <w:rFonts w:asciiTheme="minorHAnsi" w:hAnsiTheme="minorHAnsi" w:cs="Arial"/>
          <w:sz w:val="22"/>
          <w:szCs w:val="22"/>
        </w:rPr>
        <w:t>Seacare scheme</w:t>
      </w:r>
      <w:r w:rsidR="000B0465" w:rsidRPr="008B0669">
        <w:rPr>
          <w:rFonts w:asciiTheme="minorHAnsi" w:hAnsiTheme="minorHAnsi" w:cs="Arial"/>
          <w:sz w:val="22"/>
          <w:szCs w:val="22"/>
        </w:rPr>
        <w:t>’s performance</w:t>
      </w:r>
      <w:r w:rsidRPr="008B0669">
        <w:rPr>
          <w:rFonts w:asciiTheme="minorHAnsi" w:hAnsiTheme="minorHAnsi" w:cs="Arial"/>
          <w:sz w:val="22"/>
          <w:szCs w:val="22"/>
        </w:rPr>
        <w:t>.</w:t>
      </w:r>
    </w:p>
    <w:p w:rsidR="00013B92" w:rsidRPr="008B0669" w:rsidRDefault="00013B92" w:rsidP="00CC7EC4">
      <w:pPr>
        <w:pStyle w:val="Heading3"/>
      </w:pPr>
    </w:p>
    <w:p w:rsidR="0000069B" w:rsidRPr="00CC7EC4" w:rsidRDefault="003608E9" w:rsidP="00BF228E">
      <w:pPr>
        <w:ind w:left="936"/>
        <w:rPr>
          <w:rFonts w:asciiTheme="minorHAnsi" w:hAnsiTheme="minorHAnsi"/>
          <w:b/>
          <w:i/>
        </w:rPr>
      </w:pPr>
      <w:r w:rsidRPr="00CC7EC4">
        <w:rPr>
          <w:rFonts w:asciiTheme="minorHAnsi" w:hAnsiTheme="minorHAnsi"/>
          <w:b/>
          <w:i/>
        </w:rPr>
        <w:t xml:space="preserve">Seacare scheme’s rehabilitation and </w:t>
      </w:r>
      <w:proofErr w:type="spellStart"/>
      <w:r w:rsidR="00D222AD" w:rsidRPr="00CC7EC4">
        <w:rPr>
          <w:rFonts w:asciiTheme="minorHAnsi" w:hAnsiTheme="minorHAnsi"/>
          <w:b/>
          <w:i/>
        </w:rPr>
        <w:t>RTW</w:t>
      </w:r>
      <w:proofErr w:type="spellEnd"/>
      <w:r w:rsidRPr="00CC7EC4">
        <w:rPr>
          <w:rFonts w:asciiTheme="minorHAnsi" w:hAnsiTheme="minorHAnsi"/>
          <w:b/>
          <w:i/>
        </w:rPr>
        <w:t xml:space="preserve"> performance</w:t>
      </w:r>
    </w:p>
    <w:tbl>
      <w:tblPr>
        <w:tblStyle w:val="TableGrid"/>
        <w:tblW w:w="0" w:type="auto"/>
        <w:tblInd w:w="1098" w:type="dxa"/>
        <w:tblLook w:val="04A0" w:firstRow="1" w:lastRow="0" w:firstColumn="1" w:lastColumn="0" w:noHBand="0" w:noVBand="1"/>
      </w:tblPr>
      <w:tblGrid>
        <w:gridCol w:w="9270"/>
      </w:tblGrid>
      <w:tr w:rsidR="00F45AAF" w:rsidRPr="008B0669" w:rsidTr="00557963">
        <w:tc>
          <w:tcPr>
            <w:tcW w:w="9270" w:type="dxa"/>
            <w:tcBorders>
              <w:top w:val="single" w:sz="4" w:space="0" w:color="auto"/>
              <w:left w:val="single" w:sz="4" w:space="0" w:color="auto"/>
              <w:bottom w:val="single" w:sz="4" w:space="0" w:color="auto"/>
              <w:right w:val="single" w:sz="4" w:space="0" w:color="auto"/>
            </w:tcBorders>
          </w:tcPr>
          <w:p w:rsidR="00F45AAF" w:rsidRPr="008B0669" w:rsidRDefault="00F45AAF" w:rsidP="002E255C">
            <w:pPr>
              <w:pStyle w:val="NormalWeb"/>
              <w:spacing w:before="0" w:after="0"/>
              <w:ind w:right="576"/>
              <w:rPr>
                <w:rFonts w:asciiTheme="minorHAnsi" w:hAnsiTheme="minorHAnsi" w:cs="Arial"/>
                <w:lang w:eastAsia="en-US"/>
              </w:rPr>
            </w:pPr>
          </w:p>
          <w:p w:rsidR="00F45AAF" w:rsidRPr="008B0669" w:rsidRDefault="00F45AAF" w:rsidP="002E255C">
            <w:pPr>
              <w:rPr>
                <w:rFonts w:asciiTheme="minorHAnsi" w:hAnsiTheme="minorHAnsi"/>
              </w:rPr>
            </w:pPr>
            <w:r w:rsidRPr="008B0669">
              <w:rPr>
                <w:rFonts w:asciiTheme="minorHAnsi" w:hAnsiTheme="minorHAnsi"/>
              </w:rPr>
              <w:t>In 2011-12:</w:t>
            </w:r>
          </w:p>
          <w:p w:rsidR="00F45AAF" w:rsidRPr="008B0669" w:rsidRDefault="00F45AAF" w:rsidP="002E255C">
            <w:pPr>
              <w:rPr>
                <w:rFonts w:asciiTheme="minorHAnsi" w:hAnsiTheme="minorHAnsi"/>
              </w:rPr>
            </w:pPr>
          </w:p>
          <w:p w:rsidR="00F45AAF" w:rsidRPr="008B0669" w:rsidRDefault="00F45AAF" w:rsidP="002E255C">
            <w:pPr>
              <w:pStyle w:val="ListParagraph"/>
              <w:numPr>
                <w:ilvl w:val="0"/>
                <w:numId w:val="15"/>
              </w:numPr>
              <w:rPr>
                <w:rFonts w:asciiTheme="minorHAnsi" w:hAnsiTheme="minorHAnsi"/>
              </w:rPr>
            </w:pPr>
            <w:r w:rsidRPr="008B0669">
              <w:rPr>
                <w:rFonts w:asciiTheme="minorHAnsi" w:hAnsiTheme="minorHAnsi"/>
              </w:rPr>
              <w:t xml:space="preserve">152 claims lasted for 28 days or more </w:t>
            </w:r>
            <w:r w:rsidR="006E761F" w:rsidRPr="008B0669">
              <w:rPr>
                <w:rFonts w:asciiTheme="minorHAnsi" w:hAnsiTheme="minorHAnsi"/>
              </w:rPr>
              <w:t>(</w:t>
            </w:r>
            <w:r w:rsidRPr="008B0669">
              <w:rPr>
                <w:rFonts w:asciiTheme="minorHAnsi" w:hAnsiTheme="minorHAnsi"/>
              </w:rPr>
              <w:t>43 per cent were assess</w:t>
            </w:r>
            <w:r w:rsidR="006E761F" w:rsidRPr="008B0669">
              <w:rPr>
                <w:rFonts w:asciiTheme="minorHAnsi" w:hAnsiTheme="minorHAnsi"/>
              </w:rPr>
              <w:t>ed for a rehabilitation program)</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5"/>
              </w:numPr>
              <w:rPr>
                <w:rFonts w:asciiTheme="minorHAnsi" w:hAnsiTheme="minorHAnsi"/>
              </w:rPr>
            </w:pPr>
            <w:r w:rsidRPr="008B0669">
              <w:rPr>
                <w:rFonts w:asciiTheme="minorHAnsi" w:hAnsiTheme="minorHAnsi"/>
              </w:rPr>
              <w:t>81 per cent of claimants who commenced a rehabilitation program returned to work (65 per cent in 2010</w:t>
            </w:r>
            <w:r w:rsidR="00A30AAE" w:rsidRPr="008B0669">
              <w:rPr>
                <w:rFonts w:asciiTheme="minorHAnsi" w:hAnsiTheme="minorHAnsi"/>
              </w:rPr>
              <w:t>-</w:t>
            </w:r>
            <w:r w:rsidR="006E761F" w:rsidRPr="008B0669">
              <w:rPr>
                <w:rFonts w:asciiTheme="minorHAnsi" w:hAnsiTheme="minorHAnsi"/>
              </w:rPr>
              <w:t>11)</w:t>
            </w:r>
          </w:p>
          <w:p w:rsidR="00F45AAF" w:rsidRPr="008B0669" w:rsidRDefault="00F45AAF" w:rsidP="002E255C">
            <w:pPr>
              <w:pStyle w:val="ListParagraph"/>
              <w:rPr>
                <w:rFonts w:asciiTheme="minorHAnsi" w:hAnsiTheme="minorHAnsi"/>
              </w:rPr>
            </w:pPr>
          </w:p>
          <w:p w:rsidR="00F45AAF" w:rsidRPr="008B0669" w:rsidRDefault="00F45AAF" w:rsidP="002E255C">
            <w:pPr>
              <w:pStyle w:val="ListParagraph"/>
              <w:numPr>
                <w:ilvl w:val="0"/>
                <w:numId w:val="15"/>
              </w:numPr>
              <w:rPr>
                <w:rFonts w:asciiTheme="minorHAnsi" w:hAnsiTheme="minorHAnsi"/>
              </w:rPr>
            </w:pPr>
            <w:r w:rsidRPr="008B0669">
              <w:rPr>
                <w:rFonts w:asciiTheme="minorHAnsi" w:hAnsiTheme="minorHAnsi"/>
              </w:rPr>
              <w:t>The durable return to work rate was 60 per cent of injured seafarers</w:t>
            </w:r>
            <w:r w:rsidR="00557963" w:rsidRPr="008B0669">
              <w:rPr>
                <w:rFonts w:asciiTheme="minorHAnsi" w:hAnsiTheme="minorHAnsi"/>
              </w:rPr>
              <w:t xml:space="preserve"> - that</w:t>
            </w:r>
            <w:r w:rsidRPr="008B0669">
              <w:rPr>
                <w:rFonts w:asciiTheme="minorHAnsi" w:hAnsiTheme="minorHAnsi"/>
              </w:rPr>
              <w:t xml:space="preserve"> </w:t>
            </w:r>
            <w:r w:rsidR="00557963" w:rsidRPr="008B0669">
              <w:rPr>
                <w:rFonts w:asciiTheme="minorHAnsi" w:hAnsiTheme="minorHAnsi"/>
              </w:rPr>
              <w:t>is</w:t>
            </w:r>
            <w:r w:rsidRPr="008B0669">
              <w:rPr>
                <w:rFonts w:asciiTheme="minorHAnsi" w:hAnsiTheme="minorHAnsi"/>
              </w:rPr>
              <w:t xml:space="preserve"> a decrease from the previous year (74 per cent) and is below the</w:t>
            </w:r>
            <w:r w:rsidR="006E761F" w:rsidRPr="008B0669">
              <w:rPr>
                <w:rFonts w:asciiTheme="minorHAnsi" w:hAnsiTheme="minorHAnsi"/>
              </w:rPr>
              <w:t xml:space="preserve"> national average (75 per cent)</w:t>
            </w:r>
          </w:p>
          <w:p w:rsidR="00557963" w:rsidRPr="008B0669" w:rsidRDefault="00557963" w:rsidP="002E255C">
            <w:pPr>
              <w:pStyle w:val="ListParagraph"/>
              <w:ind w:left="360"/>
              <w:rPr>
                <w:rFonts w:asciiTheme="minorHAnsi" w:hAnsiTheme="minorHAnsi"/>
              </w:rPr>
            </w:pPr>
          </w:p>
          <w:p w:rsidR="00F45AAF" w:rsidRPr="008B0669" w:rsidRDefault="00F45AAF" w:rsidP="002E255C">
            <w:pPr>
              <w:pStyle w:val="ListParagraph"/>
              <w:numPr>
                <w:ilvl w:val="0"/>
                <w:numId w:val="15"/>
              </w:numPr>
              <w:rPr>
                <w:rFonts w:asciiTheme="minorHAnsi" w:hAnsiTheme="minorHAnsi"/>
              </w:rPr>
            </w:pPr>
            <w:r w:rsidRPr="008B0669">
              <w:rPr>
                <w:rFonts w:asciiTheme="minorHAnsi" w:hAnsiTheme="minorHAnsi"/>
              </w:rPr>
              <w:t xml:space="preserve">The proportion of </w:t>
            </w:r>
            <w:r w:rsidR="00E9347B" w:rsidRPr="008B0669">
              <w:rPr>
                <w:rFonts w:asciiTheme="minorHAnsi" w:hAnsiTheme="minorHAnsi"/>
              </w:rPr>
              <w:t>injured empl</w:t>
            </w:r>
            <w:r w:rsidRPr="008B0669">
              <w:rPr>
                <w:rFonts w:asciiTheme="minorHAnsi" w:hAnsiTheme="minorHAnsi"/>
              </w:rPr>
              <w:t xml:space="preserve">oyees returning to work with the same employer was 85 per cent, which is comparable to the national average, </w:t>
            </w:r>
            <w:r w:rsidR="00E9347B" w:rsidRPr="008B0669">
              <w:rPr>
                <w:rFonts w:asciiTheme="minorHAnsi" w:hAnsiTheme="minorHAnsi"/>
              </w:rPr>
              <w:t>and</w:t>
            </w:r>
            <w:r w:rsidRPr="008B0669">
              <w:rPr>
                <w:rFonts w:asciiTheme="minorHAnsi" w:hAnsiTheme="minorHAnsi"/>
              </w:rPr>
              <w:t xml:space="preserve"> the proportion of employees returning to same duties was 95 per cent, which is h</w:t>
            </w:r>
            <w:r w:rsidR="006E761F" w:rsidRPr="008B0669">
              <w:rPr>
                <w:rFonts w:asciiTheme="minorHAnsi" w:hAnsiTheme="minorHAnsi"/>
              </w:rPr>
              <w:t>igher than the national average</w:t>
            </w:r>
          </w:p>
          <w:p w:rsidR="00F45AAF" w:rsidRPr="008B0669" w:rsidRDefault="00F45AAF" w:rsidP="002E255C">
            <w:pPr>
              <w:pStyle w:val="ListParagraph"/>
              <w:ind w:left="360"/>
              <w:rPr>
                <w:rFonts w:asciiTheme="minorHAnsi" w:hAnsiTheme="minorHAnsi"/>
                <w:sz w:val="24"/>
                <w:szCs w:val="24"/>
              </w:rPr>
            </w:pPr>
          </w:p>
          <w:p w:rsidR="00F45AAF" w:rsidRPr="008B0669" w:rsidRDefault="00F45AAF" w:rsidP="002E255C">
            <w:pPr>
              <w:pStyle w:val="ListParagraph"/>
              <w:numPr>
                <w:ilvl w:val="0"/>
                <w:numId w:val="15"/>
              </w:numPr>
              <w:rPr>
                <w:rFonts w:asciiTheme="minorHAnsi" w:hAnsiTheme="minorHAnsi"/>
              </w:rPr>
            </w:pPr>
            <w:r w:rsidRPr="008B0669">
              <w:rPr>
                <w:rFonts w:asciiTheme="minorHAnsi" w:hAnsiTheme="minorHAnsi"/>
              </w:rPr>
              <w:t xml:space="preserve">29 per cent of injured Seacare scheme employees had a return to work plan, compared with </w:t>
            </w:r>
            <w:r w:rsidR="006E761F" w:rsidRPr="008B0669">
              <w:rPr>
                <w:rFonts w:asciiTheme="minorHAnsi" w:hAnsiTheme="minorHAnsi"/>
              </w:rPr>
              <w:t>53 per cent nationally</w:t>
            </w:r>
          </w:p>
          <w:p w:rsidR="00F45AAF" w:rsidRPr="008B0669" w:rsidRDefault="00F45AAF" w:rsidP="002E255C">
            <w:pPr>
              <w:pStyle w:val="NormalWeb"/>
              <w:spacing w:before="0" w:after="0"/>
              <w:ind w:right="576"/>
              <w:rPr>
                <w:rFonts w:asciiTheme="minorHAnsi" w:hAnsiTheme="minorHAnsi" w:cs="Arial"/>
                <w:lang w:eastAsia="en-US"/>
              </w:rPr>
            </w:pPr>
          </w:p>
        </w:tc>
      </w:tr>
    </w:tbl>
    <w:p w:rsidR="0000069B" w:rsidRPr="008B0669" w:rsidRDefault="0000069B" w:rsidP="002E255C">
      <w:pPr>
        <w:pStyle w:val="NormalWeb"/>
        <w:shd w:val="clear" w:color="auto" w:fill="FFFFFF"/>
        <w:spacing w:before="0" w:after="0"/>
        <w:ind w:left="936" w:right="576"/>
        <w:rPr>
          <w:rFonts w:asciiTheme="minorHAnsi" w:hAnsiTheme="minorHAnsi" w:cs="Arial"/>
        </w:rPr>
      </w:pPr>
    </w:p>
    <w:p w:rsidR="005D61D1" w:rsidRDefault="005D61D1" w:rsidP="00CC7EC4">
      <w:pPr>
        <w:ind w:left="990"/>
        <w:rPr>
          <w:rFonts w:asciiTheme="minorHAnsi" w:hAnsiTheme="minorHAnsi"/>
          <w:b/>
          <w:i/>
        </w:rPr>
      </w:pPr>
    </w:p>
    <w:p w:rsidR="005D61D1" w:rsidRDefault="005D61D1" w:rsidP="00CC7EC4">
      <w:pPr>
        <w:ind w:left="990"/>
        <w:rPr>
          <w:rFonts w:asciiTheme="minorHAnsi" w:hAnsiTheme="minorHAnsi"/>
          <w:b/>
          <w:i/>
        </w:rPr>
      </w:pPr>
    </w:p>
    <w:p w:rsidR="005D61D1" w:rsidRDefault="005D61D1" w:rsidP="00CC7EC4">
      <w:pPr>
        <w:ind w:left="990"/>
        <w:rPr>
          <w:rFonts w:asciiTheme="minorHAnsi" w:hAnsiTheme="minorHAnsi"/>
          <w:b/>
          <w:i/>
        </w:rPr>
      </w:pPr>
    </w:p>
    <w:p w:rsidR="005D61D1" w:rsidRDefault="005D61D1" w:rsidP="00CC7EC4">
      <w:pPr>
        <w:ind w:left="990"/>
        <w:rPr>
          <w:rFonts w:asciiTheme="minorHAnsi" w:hAnsiTheme="minorHAnsi"/>
          <w:b/>
          <w:i/>
        </w:rPr>
      </w:pPr>
    </w:p>
    <w:p w:rsidR="003608E9" w:rsidRPr="00CC7EC4" w:rsidRDefault="003608E9" w:rsidP="00CC7EC4">
      <w:pPr>
        <w:ind w:left="990"/>
        <w:rPr>
          <w:rFonts w:asciiTheme="minorHAnsi" w:hAnsiTheme="minorHAnsi"/>
          <w:b/>
          <w:i/>
        </w:rPr>
      </w:pPr>
      <w:r w:rsidRPr="00CC7EC4">
        <w:rPr>
          <w:rFonts w:asciiTheme="minorHAnsi" w:hAnsiTheme="minorHAnsi"/>
          <w:b/>
          <w:i/>
        </w:rPr>
        <w:t>Seacare scheme’s compensation performance</w:t>
      </w:r>
    </w:p>
    <w:tbl>
      <w:tblPr>
        <w:tblStyle w:val="TableGrid"/>
        <w:tblW w:w="0" w:type="auto"/>
        <w:tblInd w:w="1098" w:type="dxa"/>
        <w:tblLook w:val="04A0" w:firstRow="1" w:lastRow="0" w:firstColumn="1" w:lastColumn="0" w:noHBand="0" w:noVBand="1"/>
      </w:tblPr>
      <w:tblGrid>
        <w:gridCol w:w="9270"/>
      </w:tblGrid>
      <w:tr w:rsidR="003608E9" w:rsidRPr="008B0669" w:rsidTr="00716A55">
        <w:tc>
          <w:tcPr>
            <w:tcW w:w="9270" w:type="dxa"/>
          </w:tcPr>
          <w:p w:rsidR="003608E9" w:rsidRPr="008B0669" w:rsidRDefault="003608E9" w:rsidP="002E255C">
            <w:pPr>
              <w:rPr>
                <w:rFonts w:asciiTheme="minorHAnsi" w:hAnsiTheme="minorHAnsi"/>
              </w:rPr>
            </w:pPr>
          </w:p>
          <w:p w:rsidR="00F45AAF" w:rsidRPr="008B0669" w:rsidRDefault="00F45AAF" w:rsidP="002E255C">
            <w:pPr>
              <w:rPr>
                <w:rFonts w:asciiTheme="minorHAnsi" w:hAnsiTheme="minorHAnsi"/>
              </w:rPr>
            </w:pPr>
            <w:r w:rsidRPr="008B0669">
              <w:rPr>
                <w:rFonts w:asciiTheme="minorHAnsi" w:hAnsiTheme="minorHAnsi"/>
              </w:rPr>
              <w:t>In 2011-12:</w:t>
            </w:r>
          </w:p>
          <w:p w:rsidR="00F45AAF" w:rsidRPr="008B0669" w:rsidRDefault="00F45AAF" w:rsidP="002E255C">
            <w:pPr>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rPr>
            </w:pPr>
            <w:r w:rsidRPr="008B0669">
              <w:rPr>
                <w:rFonts w:asciiTheme="minorHAnsi" w:hAnsiTheme="minorHAnsi"/>
              </w:rPr>
              <w:t>264 claims for workers compensation were lodged (2</w:t>
            </w:r>
            <w:r w:rsidR="00E9347B" w:rsidRPr="008B0669">
              <w:rPr>
                <w:rFonts w:asciiTheme="minorHAnsi" w:hAnsiTheme="minorHAnsi"/>
              </w:rPr>
              <w:t>85 in 2010-11) and 238 claims w</w:t>
            </w:r>
            <w:r w:rsidRPr="008B0669">
              <w:rPr>
                <w:rFonts w:asciiTheme="minorHAnsi" w:hAnsiTheme="minorHAnsi"/>
              </w:rPr>
              <w:t xml:space="preserve">ere accepted in the Seacare </w:t>
            </w:r>
            <w:r w:rsidR="006E761F" w:rsidRPr="008B0669">
              <w:rPr>
                <w:rFonts w:asciiTheme="minorHAnsi" w:hAnsiTheme="minorHAnsi"/>
              </w:rPr>
              <w:t>jurisdiction (260 in 2010-11)</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rPr>
            </w:pPr>
            <w:r w:rsidRPr="008B0669">
              <w:rPr>
                <w:rFonts w:asciiTheme="minorHAnsi" w:hAnsiTheme="minorHAnsi"/>
              </w:rPr>
              <w:t xml:space="preserve">The injury incidence rate was 37.54 accepted claims per 1000 FTE employees, a 15 per cent </w:t>
            </w:r>
            <w:r w:rsidR="006E761F" w:rsidRPr="008B0669">
              <w:rPr>
                <w:rFonts w:asciiTheme="minorHAnsi" w:hAnsiTheme="minorHAnsi"/>
              </w:rPr>
              <w:t>decrease from the previous year</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rPr>
            </w:pPr>
            <w:r w:rsidRPr="008B0669">
              <w:rPr>
                <w:rFonts w:asciiTheme="minorHAnsi" w:hAnsiTheme="minorHAnsi"/>
              </w:rPr>
              <w:t xml:space="preserve">The injury frequency rate was 8.5 accepted claims per 1 </w:t>
            </w:r>
            <w:r w:rsidR="00AF0E99" w:rsidRPr="008B0669">
              <w:rPr>
                <w:rFonts w:asciiTheme="minorHAnsi" w:hAnsiTheme="minorHAnsi"/>
              </w:rPr>
              <w:t>m.</w:t>
            </w:r>
            <w:r w:rsidRPr="008B0669">
              <w:rPr>
                <w:rFonts w:asciiTheme="minorHAnsi" w:hAnsiTheme="minorHAnsi"/>
              </w:rPr>
              <w:t xml:space="preserve"> hours worked, a 13 per cent decrease from the previous year.</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rPr>
            </w:pPr>
            <w:r w:rsidRPr="008B0669">
              <w:rPr>
                <w:rFonts w:asciiTheme="minorHAnsi" w:hAnsiTheme="minorHAnsi"/>
              </w:rPr>
              <w:t xml:space="preserve">Accepted claims of one week or more duration </w:t>
            </w:r>
            <w:r w:rsidR="00E9347B" w:rsidRPr="008B0669">
              <w:rPr>
                <w:rFonts w:asciiTheme="minorHAnsi" w:hAnsiTheme="minorHAnsi"/>
              </w:rPr>
              <w:t>were</w:t>
            </w:r>
            <w:r w:rsidRPr="008B0669">
              <w:rPr>
                <w:rFonts w:asciiTheme="minorHAnsi" w:hAnsiTheme="minorHAnsi"/>
              </w:rPr>
              <w:t xml:space="preserve"> 82 per cent of all accepted claims.</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rPr>
            </w:pPr>
            <w:r w:rsidRPr="008B0669">
              <w:rPr>
                <w:rFonts w:asciiTheme="minorHAnsi" w:hAnsiTheme="minorHAnsi"/>
              </w:rPr>
              <w:t>The incidence rate of accepted claims resulting in 12 weeks or more compensation were 12 accepted claims injuries per 1000 FTE.</w:t>
            </w:r>
          </w:p>
          <w:p w:rsidR="00F45AAF" w:rsidRPr="008B0669" w:rsidRDefault="00F45AAF" w:rsidP="002E255C">
            <w:pPr>
              <w:pStyle w:val="ListParagraph"/>
              <w:ind w:left="360"/>
              <w:rPr>
                <w:rFonts w:asciiTheme="minorHAnsi" w:hAnsiTheme="minorHAnsi"/>
              </w:rPr>
            </w:pPr>
          </w:p>
          <w:p w:rsidR="00F45AAF" w:rsidRPr="008B0669" w:rsidRDefault="00F45AAF" w:rsidP="002E255C">
            <w:pPr>
              <w:pStyle w:val="ListParagraph"/>
              <w:numPr>
                <w:ilvl w:val="0"/>
                <w:numId w:val="16"/>
              </w:numPr>
              <w:ind w:left="360"/>
              <w:rPr>
                <w:rFonts w:asciiTheme="minorHAnsi" w:hAnsiTheme="minorHAnsi"/>
                <w:sz w:val="24"/>
                <w:szCs w:val="24"/>
              </w:rPr>
            </w:pPr>
            <w:r w:rsidRPr="008B0669">
              <w:rPr>
                <w:rFonts w:asciiTheme="minorHAnsi" w:hAnsiTheme="minorHAnsi"/>
              </w:rPr>
              <w:t xml:space="preserve">The offshore sector </w:t>
            </w:r>
            <w:r w:rsidR="00CC583A" w:rsidRPr="008B0669">
              <w:rPr>
                <w:rFonts w:asciiTheme="minorHAnsi" w:hAnsiTheme="minorHAnsi"/>
              </w:rPr>
              <w:t>had</w:t>
            </w:r>
            <w:r w:rsidRPr="008B0669">
              <w:rPr>
                <w:rFonts w:asciiTheme="minorHAnsi" w:hAnsiTheme="minorHAnsi"/>
              </w:rPr>
              <w:t xml:space="preserve"> 57.3 per cent of employees in the scheme and 64.3 per cent of claims.</w:t>
            </w:r>
          </w:p>
          <w:p w:rsidR="00F45AAF" w:rsidRPr="008B0669" w:rsidRDefault="00F45AAF" w:rsidP="002E255C">
            <w:pPr>
              <w:rPr>
                <w:rFonts w:asciiTheme="minorHAnsi" w:hAnsiTheme="minorHAnsi"/>
              </w:rPr>
            </w:pPr>
          </w:p>
        </w:tc>
      </w:tr>
    </w:tbl>
    <w:p w:rsidR="003608E9" w:rsidRPr="008B0669" w:rsidRDefault="003608E9" w:rsidP="002E255C">
      <w:pPr>
        <w:pStyle w:val="NormalWeb"/>
        <w:shd w:val="clear" w:color="auto" w:fill="FFFFFF"/>
        <w:spacing w:before="0" w:after="0"/>
        <w:ind w:left="936" w:right="576"/>
        <w:rPr>
          <w:rFonts w:asciiTheme="minorHAnsi" w:hAnsiTheme="minorHAnsi" w:cs="Arial"/>
        </w:rPr>
      </w:pPr>
    </w:p>
    <w:p w:rsidR="002E255C" w:rsidRPr="00CC7EC4" w:rsidRDefault="00CC7EC4" w:rsidP="00CC7EC4">
      <w:pPr>
        <w:tabs>
          <w:tab w:val="left" w:pos="990"/>
        </w:tabs>
        <w:ind w:left="990" w:hanging="270"/>
        <w:rPr>
          <w:rFonts w:asciiTheme="minorHAnsi" w:hAnsiTheme="minorHAnsi"/>
          <w:b/>
          <w:i/>
        </w:rPr>
      </w:pPr>
      <w:r>
        <w:rPr>
          <w:rFonts w:asciiTheme="minorHAnsi" w:hAnsiTheme="minorHAnsi"/>
          <w:b/>
          <w:i/>
        </w:rPr>
        <w:tab/>
      </w:r>
      <w:r w:rsidR="002E255C" w:rsidRPr="00CC7EC4">
        <w:rPr>
          <w:rFonts w:asciiTheme="minorHAnsi" w:hAnsiTheme="minorHAnsi"/>
          <w:b/>
          <w:i/>
        </w:rPr>
        <w:t>Trends in premiums</w:t>
      </w:r>
    </w:p>
    <w:tbl>
      <w:tblPr>
        <w:tblStyle w:val="TableGrid"/>
        <w:tblW w:w="0" w:type="auto"/>
        <w:tblInd w:w="1098" w:type="dxa"/>
        <w:tblLook w:val="04A0" w:firstRow="1" w:lastRow="0" w:firstColumn="1" w:lastColumn="0" w:noHBand="0" w:noVBand="1"/>
      </w:tblPr>
      <w:tblGrid>
        <w:gridCol w:w="9270"/>
      </w:tblGrid>
      <w:tr w:rsidR="002E255C" w:rsidRPr="008B0669" w:rsidTr="002E255C">
        <w:tc>
          <w:tcPr>
            <w:tcW w:w="9270" w:type="dxa"/>
          </w:tcPr>
          <w:p w:rsidR="002E255C" w:rsidRPr="008B0669" w:rsidRDefault="002E255C" w:rsidP="002E255C">
            <w:pPr>
              <w:rPr>
                <w:rFonts w:asciiTheme="minorHAnsi" w:hAnsiTheme="minorHAnsi" w:cs="Helvetica 45 Light"/>
              </w:rPr>
            </w:pPr>
          </w:p>
          <w:p w:rsidR="002E255C" w:rsidRPr="008B0669" w:rsidRDefault="002E255C" w:rsidP="002E255C">
            <w:pPr>
              <w:rPr>
                <w:rFonts w:asciiTheme="minorHAnsi" w:hAnsiTheme="minorHAnsi" w:cs="Helvetica 45 Light"/>
              </w:rPr>
            </w:pPr>
            <w:r w:rsidRPr="008B0669">
              <w:rPr>
                <w:rFonts w:asciiTheme="minorHAnsi" w:hAnsiTheme="minorHAnsi" w:cs="Helvetica 45 Light"/>
              </w:rPr>
              <w:t xml:space="preserve">The Seacare Authority’s actuary (Taylor Fry) has found that premium rates have reduced considerably over the five years to 2010–11 and are now at levels experienced in the late </w:t>
            </w:r>
            <w:proofErr w:type="spellStart"/>
            <w:r w:rsidRPr="008B0669">
              <w:rPr>
                <w:rFonts w:asciiTheme="minorHAnsi" w:hAnsiTheme="minorHAnsi" w:cs="Helvetica 45 Light"/>
              </w:rPr>
              <w:t>1990s</w:t>
            </w:r>
            <w:proofErr w:type="spellEnd"/>
            <w:r w:rsidRPr="008B0669">
              <w:rPr>
                <w:rFonts w:asciiTheme="minorHAnsi" w:hAnsiTheme="minorHAnsi" w:cs="Helvetica 45 Light"/>
              </w:rPr>
              <w:t xml:space="preserve">.   The reductions in premium rates are due in part to changes in claims experience and therefore calculated risk (Seacare Authority Annual Report 2011-12, </w:t>
            </w:r>
            <w:proofErr w:type="spellStart"/>
            <w:r w:rsidRPr="008B0669">
              <w:rPr>
                <w:rFonts w:asciiTheme="minorHAnsi" w:hAnsiTheme="minorHAnsi" w:cs="Helvetica 45 Light"/>
              </w:rPr>
              <w:t>p.57</w:t>
            </w:r>
            <w:proofErr w:type="spellEnd"/>
            <w:r w:rsidRPr="008B0669">
              <w:rPr>
                <w:rFonts w:asciiTheme="minorHAnsi" w:hAnsiTheme="minorHAnsi" w:cs="Helvetica 45 Light"/>
              </w:rPr>
              <w:t>).</w:t>
            </w:r>
          </w:p>
          <w:p w:rsidR="002E255C" w:rsidRPr="008B0669" w:rsidRDefault="002E255C" w:rsidP="002E255C">
            <w:pPr>
              <w:rPr>
                <w:rFonts w:asciiTheme="minorHAnsi" w:hAnsiTheme="minorHAnsi" w:cs="Helvetica 45 Light"/>
              </w:rPr>
            </w:pPr>
          </w:p>
          <w:p w:rsidR="002E255C" w:rsidRPr="008B0669" w:rsidRDefault="002E255C" w:rsidP="002E255C">
            <w:pPr>
              <w:rPr>
                <w:rFonts w:asciiTheme="minorHAnsi" w:hAnsiTheme="minorHAnsi" w:cs="Helvetica 45 Light"/>
              </w:rPr>
            </w:pPr>
            <w:r w:rsidRPr="008B0669">
              <w:rPr>
                <w:rFonts w:asciiTheme="minorHAnsi" w:hAnsiTheme="minorHAnsi" w:cs="Helvetica 45 Light"/>
              </w:rPr>
              <w:t>The full findings as set out in the Annual Report are at Appendix 1.</w:t>
            </w:r>
          </w:p>
          <w:p w:rsidR="002E255C" w:rsidRPr="008B0669" w:rsidRDefault="002E255C" w:rsidP="002E255C">
            <w:pPr>
              <w:rPr>
                <w:rFonts w:asciiTheme="minorHAnsi" w:hAnsiTheme="minorHAnsi"/>
              </w:rPr>
            </w:pPr>
          </w:p>
        </w:tc>
      </w:tr>
    </w:tbl>
    <w:p w:rsidR="002E255C" w:rsidRPr="008B0669" w:rsidRDefault="002E255C" w:rsidP="002E255C">
      <w:pPr>
        <w:rPr>
          <w:rFonts w:asciiTheme="minorHAnsi" w:hAnsiTheme="minorHAnsi"/>
        </w:rPr>
      </w:pPr>
    </w:p>
    <w:p w:rsidR="003608E9" w:rsidRPr="00CC7EC4" w:rsidRDefault="003608E9" w:rsidP="00CC7EC4">
      <w:pPr>
        <w:tabs>
          <w:tab w:val="left" w:pos="990"/>
        </w:tabs>
        <w:ind w:left="288" w:firstLine="720"/>
        <w:rPr>
          <w:rFonts w:asciiTheme="minorHAnsi" w:hAnsiTheme="minorHAnsi"/>
          <w:b/>
          <w:i/>
        </w:rPr>
      </w:pPr>
      <w:r w:rsidRPr="00CC7EC4">
        <w:rPr>
          <w:rFonts w:asciiTheme="minorHAnsi" w:hAnsiTheme="minorHAnsi"/>
          <w:b/>
          <w:i/>
        </w:rPr>
        <w:t>Seacare scheme’s occupational health and safety performance</w:t>
      </w:r>
    </w:p>
    <w:tbl>
      <w:tblPr>
        <w:tblStyle w:val="TableGrid"/>
        <w:tblW w:w="0" w:type="auto"/>
        <w:tblInd w:w="1098" w:type="dxa"/>
        <w:tblLook w:val="04A0" w:firstRow="1" w:lastRow="0" w:firstColumn="1" w:lastColumn="0" w:noHBand="0" w:noVBand="1"/>
      </w:tblPr>
      <w:tblGrid>
        <w:gridCol w:w="9270"/>
      </w:tblGrid>
      <w:tr w:rsidR="0000069B" w:rsidRPr="008B0669" w:rsidTr="00716A55">
        <w:tc>
          <w:tcPr>
            <w:tcW w:w="9270" w:type="dxa"/>
          </w:tcPr>
          <w:p w:rsidR="0000069B" w:rsidRPr="008B0669" w:rsidRDefault="0000069B" w:rsidP="002E255C">
            <w:pPr>
              <w:pStyle w:val="NormalWeb"/>
              <w:spacing w:before="0" w:after="0"/>
              <w:ind w:right="576"/>
              <w:rPr>
                <w:rFonts w:asciiTheme="minorHAnsi" w:hAnsiTheme="minorHAnsi" w:cs="Arial"/>
              </w:rPr>
            </w:pPr>
          </w:p>
          <w:p w:rsidR="00F45AAF" w:rsidRPr="008B0669" w:rsidRDefault="00F45AAF" w:rsidP="002E255C">
            <w:pPr>
              <w:pStyle w:val="NormalWeb"/>
              <w:spacing w:before="0" w:after="0"/>
              <w:ind w:right="576"/>
              <w:rPr>
                <w:rFonts w:asciiTheme="minorHAnsi" w:hAnsiTheme="minorHAnsi" w:cs="Arial"/>
                <w:sz w:val="22"/>
                <w:szCs w:val="22"/>
              </w:rPr>
            </w:pPr>
            <w:r w:rsidRPr="008B0669">
              <w:rPr>
                <w:rFonts w:asciiTheme="minorHAnsi" w:hAnsiTheme="minorHAnsi" w:cs="Arial"/>
                <w:sz w:val="22"/>
                <w:szCs w:val="22"/>
              </w:rPr>
              <w:t>In 2011-12</w:t>
            </w:r>
            <w:r w:rsidR="006E761F" w:rsidRPr="008B0669">
              <w:rPr>
                <w:rFonts w:asciiTheme="minorHAnsi" w:hAnsiTheme="minorHAnsi" w:cs="Arial"/>
                <w:sz w:val="22"/>
                <w:szCs w:val="22"/>
              </w:rPr>
              <w:t>:</w:t>
            </w:r>
          </w:p>
          <w:p w:rsidR="00F45AAF" w:rsidRPr="008B0669" w:rsidRDefault="00F45AAF" w:rsidP="002E255C">
            <w:pPr>
              <w:pStyle w:val="NormalWeb"/>
              <w:spacing w:before="0" w:after="0"/>
              <w:ind w:right="576"/>
              <w:rPr>
                <w:rFonts w:asciiTheme="minorHAnsi" w:hAnsiTheme="minorHAnsi" w:cs="Arial"/>
                <w:sz w:val="22"/>
                <w:szCs w:val="22"/>
              </w:rPr>
            </w:pPr>
          </w:p>
          <w:p w:rsidR="00F45AAF" w:rsidRPr="008B0669" w:rsidRDefault="00F45AAF" w:rsidP="002E255C">
            <w:pPr>
              <w:pStyle w:val="ListParagraph"/>
              <w:numPr>
                <w:ilvl w:val="0"/>
                <w:numId w:val="17"/>
              </w:numPr>
              <w:ind w:left="283" w:hanging="283"/>
              <w:rPr>
                <w:rFonts w:asciiTheme="minorHAnsi" w:hAnsiTheme="minorHAnsi"/>
              </w:rPr>
            </w:pPr>
            <w:r w:rsidRPr="008B0669">
              <w:rPr>
                <w:rFonts w:asciiTheme="minorHAnsi" w:hAnsiTheme="minorHAnsi"/>
              </w:rPr>
              <w:t>No i</w:t>
            </w:r>
            <w:r w:rsidR="006E761F" w:rsidRPr="008B0669">
              <w:rPr>
                <w:rFonts w:asciiTheme="minorHAnsi" w:hAnsiTheme="minorHAnsi"/>
              </w:rPr>
              <w:t>ncidents resulted in fatalities (</w:t>
            </w:r>
            <w:r w:rsidR="00B10C47" w:rsidRPr="008B0669">
              <w:rPr>
                <w:rFonts w:asciiTheme="minorHAnsi" w:hAnsiTheme="minorHAnsi"/>
              </w:rPr>
              <w:t>in 2008-09</w:t>
            </w:r>
            <w:r w:rsidR="005D61D1">
              <w:rPr>
                <w:rFonts w:asciiTheme="minorHAnsi" w:hAnsiTheme="minorHAnsi"/>
              </w:rPr>
              <w:t>)</w:t>
            </w:r>
            <w:r w:rsidR="00B10C47" w:rsidRPr="008B0669">
              <w:rPr>
                <w:rFonts w:asciiTheme="minorHAnsi" w:hAnsiTheme="minorHAnsi"/>
              </w:rPr>
              <w:t xml:space="preserve">, there were </w:t>
            </w:r>
            <w:r w:rsidR="005D61D1">
              <w:rPr>
                <w:rFonts w:asciiTheme="minorHAnsi" w:hAnsiTheme="minorHAnsi"/>
              </w:rPr>
              <w:t>three</w:t>
            </w:r>
            <w:r w:rsidR="00B10C47" w:rsidRPr="008B0669">
              <w:rPr>
                <w:rFonts w:asciiTheme="minorHAnsi" w:hAnsiTheme="minorHAnsi"/>
              </w:rPr>
              <w:t xml:space="preserve"> fatalities that were covered by the scheme – none has occurred since then</w:t>
            </w:r>
            <w:r w:rsidR="006E761F" w:rsidRPr="008B0669">
              <w:rPr>
                <w:rFonts w:asciiTheme="minorHAnsi" w:hAnsiTheme="minorHAnsi"/>
              </w:rPr>
              <w:t>)</w:t>
            </w:r>
            <w:r w:rsidR="00B10C47" w:rsidRPr="008B0669">
              <w:rPr>
                <w:rFonts w:asciiTheme="minorHAnsi" w:hAnsiTheme="minorHAnsi"/>
              </w:rPr>
              <w:t>.</w:t>
            </w:r>
          </w:p>
          <w:p w:rsidR="00F45AAF" w:rsidRPr="008B0669" w:rsidRDefault="00F45AAF" w:rsidP="002E255C">
            <w:pPr>
              <w:pStyle w:val="ListParagraph"/>
              <w:ind w:left="283"/>
              <w:rPr>
                <w:rFonts w:asciiTheme="minorHAnsi" w:hAnsiTheme="minorHAnsi"/>
              </w:rPr>
            </w:pPr>
          </w:p>
          <w:p w:rsidR="00F45AAF" w:rsidRPr="00C64318" w:rsidRDefault="00F45AAF" w:rsidP="00252328">
            <w:pPr>
              <w:pStyle w:val="ListParagraph"/>
              <w:numPr>
                <w:ilvl w:val="0"/>
                <w:numId w:val="17"/>
              </w:numPr>
              <w:ind w:left="283" w:hanging="283"/>
              <w:rPr>
                <w:rFonts w:asciiTheme="minorHAnsi" w:hAnsiTheme="minorHAnsi"/>
              </w:rPr>
            </w:pPr>
            <w:r w:rsidRPr="008B0669">
              <w:rPr>
                <w:rFonts w:asciiTheme="minorHAnsi" w:hAnsiTheme="minorHAnsi"/>
              </w:rPr>
              <w:t xml:space="preserve">65 </w:t>
            </w:r>
            <w:proofErr w:type="spellStart"/>
            <w:r w:rsidR="00320C7C">
              <w:rPr>
                <w:rFonts w:asciiTheme="minorHAnsi" w:hAnsiTheme="minorHAnsi"/>
              </w:rPr>
              <w:t>notifiable</w:t>
            </w:r>
            <w:proofErr w:type="spellEnd"/>
            <w:r w:rsidR="00320C7C">
              <w:rPr>
                <w:rFonts w:asciiTheme="minorHAnsi" w:hAnsiTheme="minorHAnsi"/>
              </w:rPr>
              <w:t xml:space="preserve"> </w:t>
            </w:r>
            <w:r w:rsidRPr="00C64318">
              <w:rPr>
                <w:rFonts w:asciiTheme="minorHAnsi" w:hAnsiTheme="minorHAnsi"/>
              </w:rPr>
              <w:t xml:space="preserve">incidents were reported under the OHS(MI) Act, a </w:t>
            </w:r>
            <w:r w:rsidR="00CC583A" w:rsidRPr="00C64318">
              <w:rPr>
                <w:rFonts w:asciiTheme="minorHAnsi" w:hAnsiTheme="minorHAnsi"/>
              </w:rPr>
              <w:t>small</w:t>
            </w:r>
            <w:r w:rsidRPr="00C64318">
              <w:rPr>
                <w:rFonts w:asciiTheme="minorHAnsi" w:hAnsiTheme="minorHAnsi"/>
              </w:rPr>
              <w:t xml:space="preserve"> increase from the previous year (63).</w:t>
            </w:r>
          </w:p>
          <w:p w:rsidR="00F45AAF" w:rsidRPr="008B0669" w:rsidRDefault="00F45AAF" w:rsidP="002E255C">
            <w:pPr>
              <w:pStyle w:val="ListParagraph"/>
              <w:ind w:left="283"/>
              <w:rPr>
                <w:rFonts w:asciiTheme="minorHAnsi" w:hAnsiTheme="minorHAnsi"/>
              </w:rPr>
            </w:pPr>
          </w:p>
          <w:p w:rsidR="00F45AAF" w:rsidRPr="008B0669" w:rsidRDefault="00F45AAF" w:rsidP="002E255C">
            <w:pPr>
              <w:pStyle w:val="ListParagraph"/>
              <w:numPr>
                <w:ilvl w:val="0"/>
                <w:numId w:val="17"/>
              </w:numPr>
              <w:ind w:left="283" w:hanging="283"/>
              <w:rPr>
                <w:rFonts w:asciiTheme="minorHAnsi" w:hAnsiTheme="minorHAnsi"/>
              </w:rPr>
            </w:pPr>
            <w:proofErr w:type="spellStart"/>
            <w:r w:rsidRPr="008B0669">
              <w:rPr>
                <w:rFonts w:asciiTheme="minorHAnsi" w:hAnsiTheme="minorHAnsi"/>
              </w:rPr>
              <w:t>AMSA</w:t>
            </w:r>
            <w:proofErr w:type="spellEnd"/>
            <w:r w:rsidRPr="008B0669">
              <w:rPr>
                <w:rFonts w:asciiTheme="minorHAnsi" w:hAnsiTheme="minorHAnsi"/>
              </w:rPr>
              <w:t xml:space="preserve"> conducted 58 reactive investigations (66 in 2010-11).</w:t>
            </w:r>
          </w:p>
          <w:p w:rsidR="00F45AAF" w:rsidRPr="008B0669" w:rsidRDefault="00F45AAF" w:rsidP="002E255C">
            <w:pPr>
              <w:pStyle w:val="ListParagraph"/>
              <w:ind w:left="283"/>
              <w:rPr>
                <w:rFonts w:asciiTheme="minorHAnsi" w:hAnsiTheme="minorHAnsi"/>
              </w:rPr>
            </w:pPr>
          </w:p>
          <w:p w:rsidR="00F45AAF" w:rsidRPr="008B0669" w:rsidRDefault="00F45AAF" w:rsidP="002E255C">
            <w:pPr>
              <w:pStyle w:val="ListParagraph"/>
              <w:numPr>
                <w:ilvl w:val="0"/>
                <w:numId w:val="17"/>
              </w:numPr>
              <w:ind w:left="283" w:hanging="283"/>
              <w:rPr>
                <w:rFonts w:asciiTheme="minorHAnsi" w:hAnsiTheme="minorHAnsi"/>
              </w:rPr>
            </w:pPr>
            <w:proofErr w:type="spellStart"/>
            <w:r w:rsidRPr="008B0669">
              <w:rPr>
                <w:rFonts w:asciiTheme="minorHAnsi" w:hAnsiTheme="minorHAnsi"/>
              </w:rPr>
              <w:t>AMSA</w:t>
            </w:r>
            <w:proofErr w:type="spellEnd"/>
            <w:r w:rsidRPr="008B0669">
              <w:rPr>
                <w:rFonts w:asciiTheme="minorHAnsi" w:hAnsiTheme="minorHAnsi"/>
              </w:rPr>
              <w:t xml:space="preserve"> issued </w:t>
            </w:r>
            <w:r w:rsidR="005D61D1">
              <w:rPr>
                <w:rFonts w:asciiTheme="minorHAnsi" w:hAnsiTheme="minorHAnsi"/>
              </w:rPr>
              <w:t>four</w:t>
            </w:r>
            <w:r w:rsidRPr="008B0669">
              <w:rPr>
                <w:rFonts w:asciiTheme="minorHAnsi" w:hAnsiTheme="minorHAnsi"/>
              </w:rPr>
              <w:t xml:space="preserve"> pro</w:t>
            </w:r>
            <w:r w:rsidR="00A30AAE" w:rsidRPr="008B0669">
              <w:rPr>
                <w:rFonts w:asciiTheme="minorHAnsi" w:hAnsiTheme="minorHAnsi"/>
              </w:rPr>
              <w:t>hibition notices (</w:t>
            </w:r>
            <w:r w:rsidR="005D61D1">
              <w:rPr>
                <w:rFonts w:asciiTheme="minorHAnsi" w:hAnsiTheme="minorHAnsi"/>
              </w:rPr>
              <w:t>five</w:t>
            </w:r>
            <w:r w:rsidR="00A30AAE" w:rsidRPr="008B0669">
              <w:rPr>
                <w:rFonts w:asciiTheme="minorHAnsi" w:hAnsiTheme="minorHAnsi"/>
              </w:rPr>
              <w:t xml:space="preserve"> in 2010-11) </w:t>
            </w:r>
            <w:r w:rsidRPr="008B0669">
              <w:rPr>
                <w:rFonts w:asciiTheme="minorHAnsi" w:hAnsiTheme="minorHAnsi"/>
              </w:rPr>
              <w:t xml:space="preserve">and 29 improvement notices </w:t>
            </w:r>
            <w:r w:rsidR="005D61D1">
              <w:rPr>
                <w:rFonts w:asciiTheme="minorHAnsi" w:hAnsiTheme="minorHAnsi"/>
              </w:rPr>
              <w:br/>
            </w:r>
            <w:r w:rsidRPr="008B0669">
              <w:rPr>
                <w:rFonts w:asciiTheme="minorHAnsi" w:hAnsiTheme="minorHAnsi"/>
              </w:rPr>
              <w:t>(47 in 2010-11)</w:t>
            </w:r>
          </w:p>
          <w:p w:rsidR="003608E9" w:rsidRPr="008B0669" w:rsidRDefault="003608E9" w:rsidP="002E255C">
            <w:pPr>
              <w:pStyle w:val="NormalWeb"/>
              <w:spacing w:before="0" w:after="0"/>
              <w:ind w:right="576"/>
              <w:rPr>
                <w:rFonts w:asciiTheme="minorHAnsi" w:hAnsiTheme="minorHAnsi" w:cs="Arial"/>
              </w:rPr>
            </w:pPr>
          </w:p>
        </w:tc>
      </w:tr>
    </w:tbl>
    <w:p w:rsidR="005450EA" w:rsidRPr="008B0669" w:rsidRDefault="005450EA" w:rsidP="002E255C">
      <w:pPr>
        <w:pStyle w:val="Heading2"/>
        <w:spacing w:before="0" w:after="0" w:line="240" w:lineRule="auto"/>
        <w:ind w:left="720"/>
        <w:rPr>
          <w:rFonts w:asciiTheme="minorHAnsi" w:hAnsiTheme="minorHAnsi" w:cs="Arial"/>
          <w:b w:val="0"/>
          <w:color w:val="auto"/>
        </w:rPr>
      </w:pPr>
    </w:p>
    <w:p w:rsidR="000B2678" w:rsidRPr="008B0669" w:rsidRDefault="000B2678">
      <w:pPr>
        <w:spacing w:after="200" w:line="276" w:lineRule="auto"/>
        <w:rPr>
          <w:rFonts w:asciiTheme="minorHAnsi" w:eastAsiaTheme="majorEastAsia" w:hAnsiTheme="minorHAnsi" w:cstheme="majorBidi"/>
          <w:b/>
          <w:bCs/>
          <w:sz w:val="28"/>
          <w:szCs w:val="28"/>
        </w:rPr>
      </w:pPr>
      <w:r w:rsidRPr="008B0669">
        <w:rPr>
          <w:rFonts w:asciiTheme="minorHAnsi" w:hAnsiTheme="minorHAnsi"/>
        </w:rPr>
        <w:br w:type="page"/>
      </w:r>
    </w:p>
    <w:p w:rsidR="000B2678" w:rsidRPr="008B0669" w:rsidRDefault="00894696" w:rsidP="00894696">
      <w:pPr>
        <w:pStyle w:val="Heading2"/>
        <w:spacing w:before="0" w:after="0"/>
        <w:ind w:left="576"/>
        <w:rPr>
          <w:rFonts w:asciiTheme="minorHAnsi" w:hAnsiTheme="minorHAnsi"/>
          <w:color w:val="auto"/>
        </w:rPr>
      </w:pPr>
      <w:bookmarkStart w:id="6" w:name="_Toc341014936"/>
      <w:r w:rsidRPr="008B0669">
        <w:rPr>
          <w:rFonts w:asciiTheme="minorHAnsi" w:hAnsiTheme="minorHAnsi"/>
          <w:color w:val="auto"/>
        </w:rPr>
        <w:lastRenderedPageBreak/>
        <w:t>DISCUSSION OF ISSUES UNDER THE TERMS OF REFERENCE</w:t>
      </w:r>
      <w:bookmarkEnd w:id="6"/>
    </w:p>
    <w:p w:rsidR="000B2678" w:rsidRPr="008B0669" w:rsidRDefault="000B2678" w:rsidP="00EB45B2">
      <w:pPr>
        <w:pStyle w:val="Heading1"/>
        <w:spacing w:before="0" w:line="120" w:lineRule="auto"/>
        <w:ind w:left="720"/>
        <w:rPr>
          <w:rFonts w:asciiTheme="minorHAnsi" w:hAnsiTheme="minorHAnsi"/>
          <w:color w:val="auto"/>
        </w:rPr>
      </w:pPr>
    </w:p>
    <w:p w:rsidR="007002D4" w:rsidRPr="008B0669" w:rsidRDefault="007002D4" w:rsidP="002E255C">
      <w:pPr>
        <w:pStyle w:val="Heading2"/>
        <w:spacing w:before="0" w:after="0" w:line="240" w:lineRule="auto"/>
        <w:ind w:left="576"/>
        <w:rPr>
          <w:rFonts w:asciiTheme="minorHAnsi" w:hAnsiTheme="minorHAnsi" w:cs="Arial"/>
          <w:color w:val="auto"/>
        </w:rPr>
      </w:pPr>
      <w:bookmarkStart w:id="7" w:name="_Toc341014937"/>
      <w:r w:rsidRPr="008B0669">
        <w:rPr>
          <w:rFonts w:asciiTheme="minorHAnsi" w:hAnsiTheme="minorHAnsi" w:cs="Arial"/>
          <w:color w:val="auto"/>
        </w:rPr>
        <w:t>TOR 1</w:t>
      </w:r>
      <w:r w:rsidR="009526E8" w:rsidRPr="008B0669">
        <w:rPr>
          <w:rFonts w:asciiTheme="minorHAnsi" w:hAnsiTheme="minorHAnsi" w:cs="Arial"/>
          <w:color w:val="auto"/>
        </w:rPr>
        <w:t>(a)</w:t>
      </w:r>
      <w:r w:rsidRPr="008B0669">
        <w:rPr>
          <w:rFonts w:asciiTheme="minorHAnsi" w:hAnsiTheme="minorHAnsi" w:cs="Arial"/>
          <w:color w:val="auto"/>
        </w:rPr>
        <w:t xml:space="preserve"> –</w:t>
      </w:r>
      <w:r w:rsidR="009526E8" w:rsidRPr="008B0669">
        <w:rPr>
          <w:rFonts w:asciiTheme="minorHAnsi" w:hAnsiTheme="minorHAnsi" w:cs="Arial"/>
          <w:color w:val="auto"/>
        </w:rPr>
        <w:t xml:space="preserve"> </w:t>
      </w:r>
      <w:r w:rsidR="00EB2885" w:rsidRPr="008B0669">
        <w:rPr>
          <w:rFonts w:asciiTheme="minorHAnsi" w:hAnsiTheme="minorHAnsi" w:cs="Arial"/>
          <w:color w:val="auto"/>
        </w:rPr>
        <w:t>OHS(MI) Act</w:t>
      </w:r>
      <w:r w:rsidR="009526E8" w:rsidRPr="008B0669">
        <w:rPr>
          <w:rFonts w:asciiTheme="minorHAnsi" w:hAnsiTheme="minorHAnsi" w:cs="Arial"/>
          <w:color w:val="auto"/>
        </w:rPr>
        <w:t xml:space="preserve"> interaction with the OPGGS Act and State and Territory OHS schemes</w:t>
      </w:r>
      <w:bookmarkEnd w:id="7"/>
    </w:p>
    <w:p w:rsidR="00EB2885" w:rsidRPr="008B0669" w:rsidRDefault="00EB2885" w:rsidP="002E255C">
      <w:pPr>
        <w:rPr>
          <w:rFonts w:asciiTheme="minorHAnsi" w:hAnsiTheme="minorHAnsi"/>
        </w:rPr>
      </w:pPr>
    </w:p>
    <w:p w:rsidR="00EB2885" w:rsidRPr="008B0669" w:rsidRDefault="00EB2885" w:rsidP="002E255C">
      <w:pPr>
        <w:pStyle w:val="ListParagraph"/>
        <w:numPr>
          <w:ilvl w:val="0"/>
          <w:numId w:val="6"/>
        </w:num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s.640</w:t>
      </w:r>
      <w:proofErr w:type="spellEnd"/>
      <w:r w:rsidRPr="008B0669">
        <w:rPr>
          <w:rFonts w:asciiTheme="minorHAnsi" w:hAnsiTheme="minorHAnsi"/>
        </w:rPr>
        <w:t xml:space="preserve"> of the </w:t>
      </w:r>
      <w:proofErr w:type="spellStart"/>
      <w:r w:rsidRPr="008B0669">
        <w:rPr>
          <w:rFonts w:asciiTheme="minorHAnsi" w:hAnsiTheme="minorHAnsi"/>
        </w:rPr>
        <w:t>OPGGS</w:t>
      </w:r>
      <w:proofErr w:type="spellEnd"/>
      <w:r w:rsidRPr="008B0669">
        <w:rPr>
          <w:rFonts w:asciiTheme="minorHAnsi" w:hAnsiTheme="minorHAnsi"/>
        </w:rPr>
        <w:t xml:space="preserve"> Act, the </w:t>
      </w:r>
      <w:r w:rsidRPr="008B0669">
        <w:rPr>
          <w:rFonts w:asciiTheme="minorHAnsi" w:hAnsiTheme="minorHAnsi"/>
          <w:i/>
        </w:rPr>
        <w:t>Navigation Act 1912</w:t>
      </w:r>
      <w:r w:rsidRPr="008B0669">
        <w:rPr>
          <w:rFonts w:asciiTheme="minorHAnsi" w:hAnsiTheme="minorHAnsi"/>
        </w:rPr>
        <w:t xml:space="preserve"> and the OHS(MI) Act (and related subordinate legislation) are </w:t>
      </w:r>
      <w:proofErr w:type="spellStart"/>
      <w:r w:rsidRPr="008B0669">
        <w:rPr>
          <w:rFonts w:asciiTheme="minorHAnsi" w:hAnsiTheme="minorHAnsi"/>
        </w:rPr>
        <w:t>disapplied</w:t>
      </w:r>
      <w:proofErr w:type="spellEnd"/>
      <w:r w:rsidRPr="008B0669">
        <w:rPr>
          <w:rFonts w:asciiTheme="minorHAnsi" w:hAnsiTheme="minorHAnsi"/>
        </w:rPr>
        <w:t xml:space="preserve"> </w:t>
      </w:r>
      <w:r w:rsidR="004B2312" w:rsidRPr="008B0669">
        <w:rPr>
          <w:rFonts w:asciiTheme="minorHAnsi" w:hAnsiTheme="minorHAnsi"/>
        </w:rPr>
        <w:t xml:space="preserve">in specified circumstances </w:t>
      </w:r>
      <w:r w:rsidRPr="008B0669">
        <w:rPr>
          <w:rFonts w:asciiTheme="minorHAnsi" w:hAnsiTheme="minorHAnsi"/>
        </w:rPr>
        <w:t xml:space="preserve">in relation to ship-like petroleum facilities.  This occurs where the vessels are stationary and undertaking specific offshore oil and gas industry related activities.  Disapplication occurs so that only the OPGGS Act’s major hazard OHS regime applies in </w:t>
      </w:r>
      <w:r w:rsidR="004B2312" w:rsidRPr="008B0669">
        <w:rPr>
          <w:rFonts w:asciiTheme="minorHAnsi" w:hAnsiTheme="minorHAnsi"/>
        </w:rPr>
        <w:t>such</w:t>
      </w:r>
      <w:r w:rsidRPr="008B0669">
        <w:rPr>
          <w:rFonts w:asciiTheme="minorHAnsi" w:hAnsiTheme="minorHAnsi"/>
        </w:rPr>
        <w:t xml:space="preserve"> circumstances.</w:t>
      </w:r>
      <w:r w:rsidRPr="008B0669">
        <w:rPr>
          <w:rStyle w:val="FootnoteReference"/>
          <w:rFonts w:asciiTheme="minorHAnsi" w:hAnsiTheme="minorHAnsi"/>
        </w:rPr>
        <w:footnoteReference w:id="8"/>
      </w:r>
      <w:r w:rsidR="006E761F" w:rsidRPr="008B0669">
        <w:rPr>
          <w:rFonts w:asciiTheme="minorHAnsi" w:hAnsiTheme="minorHAnsi"/>
        </w:rPr>
        <w:t xml:space="preserve"> There has been some uncertainty about when this may commence or cease.</w:t>
      </w:r>
      <w:r w:rsidR="006E761F" w:rsidRPr="008B0669">
        <w:rPr>
          <w:rStyle w:val="FootnoteReference"/>
          <w:rFonts w:asciiTheme="minorHAnsi" w:hAnsiTheme="minorHAnsi"/>
        </w:rPr>
        <w:footnoteReference w:id="9"/>
      </w:r>
    </w:p>
    <w:p w:rsidR="00EB2885" w:rsidRPr="008B0669" w:rsidRDefault="00EB2885" w:rsidP="002E255C">
      <w:pPr>
        <w:pStyle w:val="ListParagraph"/>
        <w:rPr>
          <w:rFonts w:asciiTheme="minorHAnsi" w:hAnsiTheme="minorHAnsi"/>
        </w:rPr>
      </w:pPr>
    </w:p>
    <w:p w:rsidR="00EB2885" w:rsidRPr="008B0669" w:rsidRDefault="004B2312" w:rsidP="002E255C">
      <w:pPr>
        <w:pStyle w:val="ListParagraph"/>
        <w:numPr>
          <w:ilvl w:val="0"/>
          <w:numId w:val="6"/>
        </w:numPr>
        <w:rPr>
          <w:rFonts w:asciiTheme="minorHAnsi" w:hAnsiTheme="minorHAnsi"/>
        </w:rPr>
      </w:pPr>
      <w:r w:rsidRPr="008B0669">
        <w:rPr>
          <w:rFonts w:asciiTheme="minorHAnsi" w:hAnsiTheme="minorHAnsi"/>
        </w:rPr>
        <w:t>The G</w:t>
      </w:r>
      <w:r w:rsidR="00EB2885" w:rsidRPr="008B0669">
        <w:rPr>
          <w:rFonts w:asciiTheme="minorHAnsi" w:hAnsiTheme="minorHAnsi"/>
        </w:rPr>
        <w:t xml:space="preserve">overnment has indicated that </w:t>
      </w:r>
      <w:r w:rsidR="00D153D1" w:rsidRPr="008B0669">
        <w:rPr>
          <w:rFonts w:asciiTheme="minorHAnsi" w:hAnsiTheme="minorHAnsi"/>
        </w:rPr>
        <w:t xml:space="preserve">drafting of </w:t>
      </w:r>
      <w:r w:rsidR="00EB2885" w:rsidRPr="008B0669">
        <w:rPr>
          <w:rFonts w:asciiTheme="minorHAnsi" w:hAnsiTheme="minorHAnsi"/>
        </w:rPr>
        <w:t>amendments to clarify the point of transition between a petroleum facility and a marine vessel</w:t>
      </w:r>
      <w:r w:rsidR="00D153D1" w:rsidRPr="008B0669">
        <w:rPr>
          <w:rFonts w:asciiTheme="minorHAnsi" w:hAnsiTheme="minorHAnsi"/>
        </w:rPr>
        <w:t xml:space="preserve"> would, with suitable stakeholder consultation, occur in 2012</w:t>
      </w:r>
      <w:r w:rsidR="00EB2885" w:rsidRPr="008B0669">
        <w:rPr>
          <w:rFonts w:asciiTheme="minorHAnsi" w:hAnsiTheme="minorHAnsi"/>
        </w:rPr>
        <w:t>.</w:t>
      </w:r>
      <w:r w:rsidR="00EB2885" w:rsidRPr="008B0669">
        <w:rPr>
          <w:rStyle w:val="FootnoteReference"/>
          <w:rFonts w:asciiTheme="minorHAnsi" w:hAnsiTheme="minorHAnsi"/>
        </w:rPr>
        <w:footnoteReference w:id="10"/>
      </w:r>
    </w:p>
    <w:p w:rsidR="00EB2885" w:rsidRPr="008B0669" w:rsidRDefault="00EB2885" w:rsidP="002E255C">
      <w:pPr>
        <w:pStyle w:val="ListParagraph"/>
        <w:rPr>
          <w:rFonts w:asciiTheme="minorHAnsi" w:hAnsiTheme="minorHAnsi"/>
        </w:rPr>
      </w:pPr>
    </w:p>
    <w:p w:rsidR="00EB45B2" w:rsidRPr="008B0669" w:rsidRDefault="00EB2885" w:rsidP="002E255C">
      <w:pPr>
        <w:pStyle w:val="ListParagraph"/>
        <w:numPr>
          <w:ilvl w:val="0"/>
          <w:numId w:val="6"/>
        </w:numPr>
        <w:rPr>
          <w:rFonts w:asciiTheme="minorHAnsi" w:hAnsiTheme="minorHAnsi"/>
          <w:sz w:val="24"/>
          <w:szCs w:val="24"/>
        </w:rPr>
      </w:pPr>
      <w:r w:rsidRPr="008B0669">
        <w:rPr>
          <w:rFonts w:asciiTheme="minorHAnsi" w:hAnsiTheme="minorHAnsi"/>
        </w:rPr>
        <w:t xml:space="preserve">The OHS(MI) Act is paramount in any circumstances where both </w:t>
      </w:r>
      <w:r w:rsidR="00D153D1" w:rsidRPr="008B0669">
        <w:rPr>
          <w:rFonts w:asciiTheme="minorHAnsi" w:hAnsiTheme="minorHAnsi"/>
        </w:rPr>
        <w:t>it</w:t>
      </w:r>
      <w:r w:rsidRPr="008B0669">
        <w:rPr>
          <w:rFonts w:asciiTheme="minorHAnsi" w:hAnsiTheme="minorHAnsi"/>
        </w:rPr>
        <w:t xml:space="preserve"> and State or Territory OHS laws may apply to a prescribed ship, a prescribed unit or any other vessel that comes within the scope of the OHS(MI) Act.</w:t>
      </w:r>
      <w:r w:rsidRPr="008B0669">
        <w:rPr>
          <w:rStyle w:val="FootnoteReference"/>
          <w:rFonts w:asciiTheme="minorHAnsi" w:hAnsiTheme="minorHAnsi"/>
        </w:rPr>
        <w:footnoteReference w:id="11"/>
      </w:r>
      <w:r w:rsidRPr="008B0669">
        <w:rPr>
          <w:rFonts w:asciiTheme="minorHAnsi" w:hAnsiTheme="minorHAnsi"/>
        </w:rPr>
        <w:t xml:space="preserve">  </w:t>
      </w:r>
      <w:r w:rsidR="00C812CA" w:rsidRPr="008B0669">
        <w:rPr>
          <w:rFonts w:asciiTheme="minorHAnsi" w:hAnsiTheme="minorHAnsi"/>
        </w:rPr>
        <w:t xml:space="preserve">Thus, there are some issues about when the various relevant safety regulatory regimes apply.  </w:t>
      </w:r>
    </w:p>
    <w:p w:rsidR="00EB45B2" w:rsidRPr="008B0669" w:rsidRDefault="00EB45B2" w:rsidP="00EB45B2">
      <w:pPr>
        <w:pStyle w:val="ListParagraph"/>
        <w:rPr>
          <w:rFonts w:asciiTheme="minorHAnsi" w:hAnsiTheme="minorHAnsi"/>
        </w:rPr>
      </w:pPr>
    </w:p>
    <w:p w:rsidR="000B0465" w:rsidRPr="008B0669" w:rsidRDefault="00C812CA" w:rsidP="002E255C">
      <w:pPr>
        <w:pStyle w:val="ListParagraph"/>
        <w:numPr>
          <w:ilvl w:val="0"/>
          <w:numId w:val="6"/>
        </w:numPr>
        <w:rPr>
          <w:rFonts w:asciiTheme="minorHAnsi" w:hAnsiTheme="minorHAnsi"/>
          <w:sz w:val="24"/>
          <w:szCs w:val="24"/>
        </w:rPr>
      </w:pPr>
      <w:r w:rsidRPr="008B0669">
        <w:rPr>
          <w:rFonts w:asciiTheme="minorHAnsi" w:hAnsiTheme="minorHAnsi"/>
        </w:rPr>
        <w:t>Im</w:t>
      </w:r>
      <w:r w:rsidR="000B0465" w:rsidRPr="008B0669">
        <w:rPr>
          <w:rFonts w:asciiTheme="minorHAnsi" w:hAnsiTheme="minorHAnsi"/>
        </w:rPr>
        <w:t>proved</w:t>
      </w:r>
      <w:r w:rsidR="002431A9" w:rsidRPr="008B0669">
        <w:rPr>
          <w:rFonts w:asciiTheme="minorHAnsi" w:hAnsiTheme="minorHAnsi"/>
        </w:rPr>
        <w:t xml:space="preserve"> safety results may be achieved by </w:t>
      </w:r>
      <w:r w:rsidR="000B0465" w:rsidRPr="008B0669">
        <w:rPr>
          <w:rFonts w:asciiTheme="minorHAnsi" w:hAnsiTheme="minorHAnsi"/>
        </w:rPr>
        <w:t>greater</w:t>
      </w:r>
      <w:r w:rsidR="002431A9" w:rsidRPr="008B0669">
        <w:rPr>
          <w:rFonts w:asciiTheme="minorHAnsi" w:hAnsiTheme="minorHAnsi"/>
        </w:rPr>
        <w:t xml:space="preserve"> clarity about which safety regime applies to</w:t>
      </w:r>
      <w:r w:rsidR="004B2312" w:rsidRPr="008B0669">
        <w:rPr>
          <w:rFonts w:asciiTheme="minorHAnsi" w:hAnsiTheme="minorHAnsi"/>
        </w:rPr>
        <w:t xml:space="preserve"> </w:t>
      </w:r>
      <w:r w:rsidR="000B0465" w:rsidRPr="008B0669">
        <w:rPr>
          <w:rFonts w:asciiTheme="minorHAnsi" w:hAnsiTheme="minorHAnsi"/>
        </w:rPr>
        <w:t>ships</w:t>
      </w:r>
      <w:r w:rsidR="003758D6" w:rsidRPr="008B0669">
        <w:rPr>
          <w:rFonts w:asciiTheme="minorHAnsi" w:hAnsiTheme="minorHAnsi"/>
        </w:rPr>
        <w:t xml:space="preserve"> and</w:t>
      </w:r>
      <w:r w:rsidR="002431A9" w:rsidRPr="008B0669">
        <w:rPr>
          <w:rFonts w:asciiTheme="minorHAnsi" w:hAnsiTheme="minorHAnsi"/>
        </w:rPr>
        <w:t xml:space="preserve"> </w:t>
      </w:r>
      <w:r w:rsidR="00BB3A4E">
        <w:rPr>
          <w:rFonts w:asciiTheme="minorHAnsi" w:hAnsiTheme="minorHAnsi"/>
        </w:rPr>
        <w:br/>
      </w:r>
      <w:r w:rsidR="002431A9" w:rsidRPr="008B0669">
        <w:rPr>
          <w:rFonts w:asciiTheme="minorHAnsi" w:hAnsiTheme="minorHAnsi"/>
        </w:rPr>
        <w:t>off-shore industry mobile units and</w:t>
      </w:r>
      <w:r w:rsidR="004B2312" w:rsidRPr="008B0669">
        <w:rPr>
          <w:rFonts w:asciiTheme="minorHAnsi" w:hAnsiTheme="minorHAnsi"/>
        </w:rPr>
        <w:t xml:space="preserve"> </w:t>
      </w:r>
      <w:r w:rsidR="002431A9" w:rsidRPr="008B0669">
        <w:rPr>
          <w:rFonts w:asciiTheme="minorHAnsi" w:hAnsiTheme="minorHAnsi"/>
        </w:rPr>
        <w:t>the persons working on or near them</w:t>
      </w:r>
      <w:r w:rsidR="004B2312" w:rsidRPr="008B0669">
        <w:rPr>
          <w:rFonts w:asciiTheme="minorHAnsi" w:hAnsiTheme="minorHAnsi"/>
        </w:rPr>
        <w:t>:</w:t>
      </w:r>
    </w:p>
    <w:p w:rsidR="000B0465" w:rsidRPr="008B0669" w:rsidRDefault="000B0465" w:rsidP="002E255C">
      <w:pPr>
        <w:pStyle w:val="ListParagraph"/>
        <w:ind w:left="936"/>
        <w:rPr>
          <w:rFonts w:asciiTheme="minorHAnsi" w:hAnsiTheme="minorHAnsi"/>
        </w:rPr>
      </w:pPr>
    </w:p>
    <w:p w:rsidR="004B2312" w:rsidRPr="008B0669" w:rsidRDefault="002431A9" w:rsidP="002E255C">
      <w:pPr>
        <w:pStyle w:val="ListParagraph"/>
        <w:numPr>
          <w:ilvl w:val="0"/>
          <w:numId w:val="20"/>
        </w:numPr>
        <w:ind w:left="1296"/>
        <w:rPr>
          <w:rFonts w:asciiTheme="minorHAnsi" w:hAnsiTheme="minorHAnsi"/>
        </w:rPr>
      </w:pPr>
      <w:r w:rsidRPr="008B0669">
        <w:rPr>
          <w:rFonts w:asciiTheme="minorHAnsi" w:hAnsiTheme="minorHAnsi"/>
        </w:rPr>
        <w:t xml:space="preserve">when in </w:t>
      </w:r>
      <w:r w:rsidR="000B0465" w:rsidRPr="008B0669">
        <w:rPr>
          <w:rFonts w:asciiTheme="minorHAnsi" w:hAnsiTheme="minorHAnsi"/>
        </w:rPr>
        <w:t xml:space="preserve">a </w:t>
      </w:r>
      <w:r w:rsidRPr="008B0669">
        <w:rPr>
          <w:rFonts w:asciiTheme="minorHAnsi" w:hAnsiTheme="minorHAnsi"/>
        </w:rPr>
        <w:t xml:space="preserve">port </w:t>
      </w:r>
      <w:r w:rsidR="000B0465" w:rsidRPr="008B0669">
        <w:rPr>
          <w:rFonts w:asciiTheme="minorHAnsi" w:hAnsiTheme="minorHAnsi"/>
        </w:rPr>
        <w:t>to which other OHS laws apply</w:t>
      </w:r>
      <w:r w:rsidR="004B2312" w:rsidRPr="008B0669">
        <w:rPr>
          <w:rFonts w:asciiTheme="minorHAnsi" w:hAnsiTheme="minorHAnsi"/>
        </w:rPr>
        <w:t>;</w:t>
      </w:r>
      <w:r w:rsidR="000B0465" w:rsidRPr="008B0669">
        <w:rPr>
          <w:rFonts w:asciiTheme="minorHAnsi" w:hAnsiTheme="minorHAnsi"/>
        </w:rPr>
        <w:t xml:space="preserve"> </w:t>
      </w:r>
      <w:r w:rsidRPr="008B0669">
        <w:rPr>
          <w:rFonts w:asciiTheme="minorHAnsi" w:hAnsiTheme="minorHAnsi"/>
        </w:rPr>
        <w:t xml:space="preserve">or </w:t>
      </w:r>
    </w:p>
    <w:p w:rsidR="004B2312" w:rsidRPr="008B0669" w:rsidRDefault="004B2312" w:rsidP="002E255C">
      <w:pPr>
        <w:pStyle w:val="ListParagraph"/>
        <w:ind w:left="576"/>
        <w:rPr>
          <w:rFonts w:asciiTheme="minorHAnsi" w:hAnsiTheme="minorHAnsi"/>
        </w:rPr>
      </w:pPr>
    </w:p>
    <w:p w:rsidR="000B0465" w:rsidRPr="008B0669" w:rsidRDefault="002431A9" w:rsidP="002E255C">
      <w:pPr>
        <w:pStyle w:val="ListParagraph"/>
        <w:numPr>
          <w:ilvl w:val="0"/>
          <w:numId w:val="20"/>
        </w:numPr>
        <w:ind w:left="1296"/>
        <w:rPr>
          <w:rFonts w:asciiTheme="minorHAnsi" w:hAnsiTheme="minorHAnsi"/>
        </w:rPr>
      </w:pPr>
      <w:r w:rsidRPr="008B0669">
        <w:rPr>
          <w:rFonts w:asciiTheme="minorHAnsi" w:hAnsiTheme="minorHAnsi"/>
        </w:rPr>
        <w:t xml:space="preserve">at a facility covered by the OPGGS Act.  </w:t>
      </w:r>
    </w:p>
    <w:p w:rsidR="000B0465" w:rsidRPr="008B0669" w:rsidRDefault="000B0465" w:rsidP="002E255C">
      <w:pPr>
        <w:pStyle w:val="ListParagraph"/>
        <w:ind w:left="936"/>
        <w:rPr>
          <w:rFonts w:asciiTheme="minorHAnsi" w:hAnsiTheme="minorHAnsi"/>
        </w:rPr>
      </w:pPr>
    </w:p>
    <w:p w:rsidR="009526E8" w:rsidRPr="008B0669" w:rsidRDefault="002431A9" w:rsidP="002E255C">
      <w:pPr>
        <w:pStyle w:val="ListParagraph"/>
        <w:numPr>
          <w:ilvl w:val="0"/>
          <w:numId w:val="6"/>
        </w:numPr>
        <w:rPr>
          <w:rFonts w:asciiTheme="minorHAnsi" w:hAnsiTheme="minorHAnsi"/>
        </w:rPr>
      </w:pPr>
      <w:proofErr w:type="spellStart"/>
      <w:r w:rsidRPr="008B0669">
        <w:rPr>
          <w:rFonts w:asciiTheme="minorHAnsi" w:hAnsiTheme="minorHAnsi"/>
        </w:rPr>
        <w:t>AMSA</w:t>
      </w:r>
      <w:proofErr w:type="spellEnd"/>
      <w:r w:rsidRPr="008B0669">
        <w:rPr>
          <w:rFonts w:asciiTheme="minorHAnsi" w:hAnsiTheme="minorHAnsi"/>
        </w:rPr>
        <w:t xml:space="preserve"> has sought to achieve regulatory clarity at an operational level through </w:t>
      </w:r>
      <w:proofErr w:type="spellStart"/>
      <w:r w:rsidRPr="008B0669">
        <w:rPr>
          <w:rFonts w:asciiTheme="minorHAnsi" w:hAnsiTheme="minorHAnsi"/>
        </w:rPr>
        <w:t>MOUs</w:t>
      </w:r>
      <w:proofErr w:type="spellEnd"/>
      <w:r w:rsidRPr="008B0669">
        <w:rPr>
          <w:rFonts w:asciiTheme="minorHAnsi" w:hAnsiTheme="minorHAnsi"/>
        </w:rPr>
        <w:t xml:space="preserve"> with OHS regulators in various States and Territories.</w:t>
      </w:r>
      <w:r w:rsidRPr="008B0669">
        <w:rPr>
          <w:rStyle w:val="FootnoteReference"/>
          <w:rFonts w:asciiTheme="minorHAnsi" w:hAnsiTheme="minorHAnsi"/>
        </w:rPr>
        <w:footnoteReference w:id="12"/>
      </w:r>
      <w:r w:rsidRPr="008B0669">
        <w:rPr>
          <w:rFonts w:asciiTheme="minorHAnsi" w:hAnsiTheme="minorHAnsi"/>
        </w:rPr>
        <w:t xml:space="preserve">  </w:t>
      </w:r>
    </w:p>
    <w:p w:rsidR="00463DF9" w:rsidRPr="008B0669" w:rsidRDefault="00463DF9" w:rsidP="002E255C">
      <w:pPr>
        <w:pStyle w:val="ListParagraph"/>
        <w:ind w:left="936"/>
        <w:rPr>
          <w:rFonts w:asciiTheme="minorHAnsi" w:hAnsiTheme="minorHAnsi"/>
        </w:rPr>
      </w:pPr>
    </w:p>
    <w:p w:rsidR="00992DAF" w:rsidRPr="008B0669" w:rsidRDefault="00DA74C3" w:rsidP="002E255C">
      <w:pPr>
        <w:pStyle w:val="ListParagraph"/>
        <w:ind w:left="936"/>
        <w:rPr>
          <w:rFonts w:asciiTheme="minorHAnsi" w:hAnsiTheme="minorHAnsi"/>
          <w:sz w:val="24"/>
          <w:szCs w:val="24"/>
        </w:rPr>
      </w:pPr>
      <w:r w:rsidRPr="008B0669">
        <w:rPr>
          <w:rFonts w:asciiTheme="minorHAnsi" w:hAnsiTheme="minorHAnsi"/>
          <w:i/>
        </w:rPr>
        <w:t>TOR 1 (a): OHS(MI) Act interaction with the OPGGS Act and State and Territory OHS schemes</w:t>
      </w:r>
    </w:p>
    <w:tbl>
      <w:tblPr>
        <w:tblStyle w:val="TableGrid"/>
        <w:tblW w:w="0" w:type="auto"/>
        <w:tblInd w:w="1098" w:type="dxa"/>
        <w:shd w:val="clear" w:color="auto" w:fill="DBE5F1" w:themeFill="accent1" w:themeFillTint="33"/>
        <w:tblLook w:val="04A0" w:firstRow="1" w:lastRow="0" w:firstColumn="1" w:lastColumn="0" w:noHBand="0" w:noVBand="1"/>
      </w:tblPr>
      <w:tblGrid>
        <w:gridCol w:w="9270"/>
      </w:tblGrid>
      <w:tr w:rsidR="00992DAF" w:rsidRPr="008B0669" w:rsidTr="00D911E6">
        <w:tc>
          <w:tcPr>
            <w:tcW w:w="9270" w:type="dxa"/>
            <w:shd w:val="clear" w:color="auto" w:fill="DBE5F1" w:themeFill="accent1" w:themeFillTint="33"/>
          </w:tcPr>
          <w:p w:rsidR="00FB7039" w:rsidRPr="00CC7EC4" w:rsidRDefault="00FB7039" w:rsidP="00CC7EC4">
            <w:pPr>
              <w:rPr>
                <w:rFonts w:asciiTheme="minorHAnsi" w:hAnsiTheme="minorHAnsi"/>
                <w:i/>
              </w:rPr>
            </w:pPr>
            <w:r w:rsidRPr="00CC7EC4">
              <w:rPr>
                <w:rFonts w:asciiTheme="minorHAnsi" w:hAnsiTheme="minorHAnsi"/>
                <w:i/>
              </w:rPr>
              <w:t>Discussion points</w:t>
            </w:r>
          </w:p>
          <w:p w:rsidR="00FB7039" w:rsidRPr="008B0669" w:rsidRDefault="00FB7039" w:rsidP="002E255C">
            <w:pPr>
              <w:rPr>
                <w:rFonts w:asciiTheme="minorHAnsi" w:hAnsiTheme="minorHAnsi"/>
                <w:sz w:val="24"/>
                <w:szCs w:val="24"/>
              </w:rPr>
            </w:pPr>
          </w:p>
          <w:p w:rsidR="00FB7039" w:rsidRPr="008B0669" w:rsidRDefault="00FB7039" w:rsidP="002E255C">
            <w:pPr>
              <w:rPr>
                <w:rFonts w:asciiTheme="minorHAnsi" w:hAnsiTheme="minorHAnsi"/>
              </w:rPr>
            </w:pPr>
            <w:r w:rsidRPr="008B0669">
              <w:rPr>
                <w:rFonts w:asciiTheme="minorHAnsi" w:hAnsiTheme="minorHAnsi"/>
              </w:rPr>
              <w:t xml:space="preserve">What practical issues arise in relation to: </w:t>
            </w:r>
          </w:p>
          <w:p w:rsidR="00FB7039" w:rsidRPr="008B0669" w:rsidRDefault="00FB7039" w:rsidP="002E255C">
            <w:pPr>
              <w:rPr>
                <w:rFonts w:asciiTheme="minorHAnsi" w:hAnsiTheme="minorHAnsi"/>
              </w:rPr>
            </w:pPr>
          </w:p>
          <w:p w:rsidR="00FB7039" w:rsidRPr="008B0669" w:rsidRDefault="00FB7039" w:rsidP="002E255C">
            <w:pPr>
              <w:pStyle w:val="ListParagraph"/>
              <w:numPr>
                <w:ilvl w:val="0"/>
                <w:numId w:val="13"/>
              </w:numPr>
              <w:ind w:left="360"/>
              <w:rPr>
                <w:rFonts w:asciiTheme="minorHAnsi" w:hAnsiTheme="minorHAnsi"/>
              </w:rPr>
            </w:pPr>
            <w:proofErr w:type="spellStart"/>
            <w:r w:rsidRPr="008B0669">
              <w:rPr>
                <w:rFonts w:asciiTheme="minorHAnsi" w:hAnsiTheme="minorHAnsi"/>
              </w:rPr>
              <w:t>disappl</w:t>
            </w:r>
            <w:r w:rsidR="00EB7086" w:rsidRPr="008B0669">
              <w:rPr>
                <w:rFonts w:asciiTheme="minorHAnsi" w:hAnsiTheme="minorHAnsi"/>
              </w:rPr>
              <w:t>ying</w:t>
            </w:r>
            <w:proofErr w:type="spellEnd"/>
            <w:r w:rsidRPr="008B0669">
              <w:rPr>
                <w:rFonts w:asciiTheme="minorHAnsi" w:hAnsiTheme="minorHAnsi"/>
              </w:rPr>
              <w:t xml:space="preserve"> the Navigation Act and OHS(MI) Acts under the OPGGS Act?</w:t>
            </w:r>
          </w:p>
          <w:p w:rsidR="00FB7039" w:rsidRPr="008B0669" w:rsidRDefault="00FB7039" w:rsidP="002E255C">
            <w:pPr>
              <w:rPr>
                <w:rFonts w:asciiTheme="minorHAnsi" w:hAnsiTheme="minorHAnsi"/>
              </w:rPr>
            </w:pPr>
          </w:p>
          <w:p w:rsidR="00FB7039" w:rsidRPr="008B0669" w:rsidRDefault="00FB7039" w:rsidP="002E255C">
            <w:pPr>
              <w:pStyle w:val="ListParagraph"/>
              <w:numPr>
                <w:ilvl w:val="0"/>
                <w:numId w:val="13"/>
              </w:numPr>
              <w:ind w:left="360"/>
              <w:rPr>
                <w:rFonts w:asciiTheme="minorHAnsi" w:hAnsiTheme="minorHAnsi"/>
              </w:rPr>
            </w:pPr>
            <w:r w:rsidRPr="008B0669">
              <w:rPr>
                <w:rFonts w:asciiTheme="minorHAnsi" w:hAnsiTheme="minorHAnsi"/>
              </w:rPr>
              <w:t>the inter</w:t>
            </w:r>
            <w:r w:rsidR="004A1807" w:rsidRPr="008B0669">
              <w:rPr>
                <w:rFonts w:asciiTheme="minorHAnsi" w:hAnsiTheme="minorHAnsi"/>
              </w:rPr>
              <w:t>action</w:t>
            </w:r>
            <w:r w:rsidRPr="008B0669">
              <w:rPr>
                <w:rFonts w:asciiTheme="minorHAnsi" w:hAnsiTheme="minorHAnsi"/>
              </w:rPr>
              <w:t xml:space="preserve"> </w:t>
            </w:r>
            <w:r w:rsidR="004A1807" w:rsidRPr="008B0669">
              <w:rPr>
                <w:rFonts w:asciiTheme="minorHAnsi" w:hAnsiTheme="minorHAnsi"/>
              </w:rPr>
              <w:t xml:space="preserve">between </w:t>
            </w:r>
            <w:r w:rsidRPr="008B0669">
              <w:rPr>
                <w:rFonts w:asciiTheme="minorHAnsi" w:hAnsiTheme="minorHAnsi"/>
              </w:rPr>
              <w:t>the OHS(MI) Act and State or Territory OHS laws?</w:t>
            </w:r>
          </w:p>
          <w:p w:rsidR="00FB7039" w:rsidRPr="008B0669" w:rsidRDefault="00FB7039" w:rsidP="002E255C">
            <w:pPr>
              <w:rPr>
                <w:rFonts w:asciiTheme="minorHAnsi" w:hAnsiTheme="minorHAnsi"/>
              </w:rPr>
            </w:pPr>
          </w:p>
          <w:p w:rsidR="00992DAF" w:rsidRPr="008B0669" w:rsidRDefault="00FB7039" w:rsidP="002E255C">
            <w:pPr>
              <w:rPr>
                <w:rFonts w:asciiTheme="minorHAnsi" w:hAnsiTheme="minorHAnsi"/>
              </w:rPr>
            </w:pPr>
            <w:r w:rsidRPr="008B0669">
              <w:rPr>
                <w:rFonts w:asciiTheme="minorHAnsi" w:hAnsiTheme="minorHAnsi"/>
              </w:rPr>
              <w:t>What changes are considered necessary?</w:t>
            </w:r>
          </w:p>
          <w:p w:rsidR="001D5F6C" w:rsidRPr="008B0669" w:rsidRDefault="001D5F6C" w:rsidP="002E255C">
            <w:pPr>
              <w:rPr>
                <w:rFonts w:asciiTheme="minorHAnsi" w:hAnsiTheme="minorHAnsi"/>
              </w:rPr>
            </w:pPr>
          </w:p>
          <w:p w:rsidR="001D5F6C" w:rsidRPr="008B0669" w:rsidRDefault="001D5F6C" w:rsidP="002E255C">
            <w:pPr>
              <w:rPr>
                <w:rFonts w:asciiTheme="minorHAnsi" w:hAnsiTheme="minorHAnsi"/>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992DAF" w:rsidRPr="008B0669" w:rsidRDefault="00992DAF" w:rsidP="002E255C">
            <w:pPr>
              <w:pStyle w:val="ListParagraph"/>
              <w:ind w:left="0"/>
              <w:rPr>
                <w:rFonts w:asciiTheme="minorHAnsi" w:hAnsiTheme="minorHAnsi"/>
                <w:sz w:val="24"/>
                <w:szCs w:val="24"/>
              </w:rPr>
            </w:pPr>
          </w:p>
        </w:tc>
      </w:tr>
    </w:tbl>
    <w:p w:rsidR="005B7717" w:rsidRPr="008B0669" w:rsidRDefault="00391E14" w:rsidP="000B2678">
      <w:pPr>
        <w:pStyle w:val="Heading2"/>
        <w:ind w:left="576"/>
        <w:rPr>
          <w:rFonts w:asciiTheme="minorHAnsi" w:hAnsiTheme="minorHAnsi"/>
          <w:color w:val="auto"/>
        </w:rPr>
      </w:pPr>
      <w:bookmarkStart w:id="8" w:name="_Toc341014938"/>
      <w:r w:rsidRPr="008B0669">
        <w:rPr>
          <w:rFonts w:asciiTheme="minorHAnsi" w:hAnsiTheme="minorHAnsi"/>
          <w:color w:val="auto"/>
        </w:rPr>
        <w:t>TOR 1</w:t>
      </w:r>
      <w:r w:rsidR="009526E8" w:rsidRPr="008B0669">
        <w:rPr>
          <w:rFonts w:asciiTheme="minorHAnsi" w:hAnsiTheme="minorHAnsi"/>
          <w:color w:val="auto"/>
        </w:rPr>
        <w:t>(b)</w:t>
      </w:r>
      <w:r w:rsidRPr="008B0669">
        <w:rPr>
          <w:rFonts w:asciiTheme="minorHAnsi" w:hAnsiTheme="minorHAnsi"/>
          <w:color w:val="auto"/>
        </w:rPr>
        <w:t xml:space="preserve"> - </w:t>
      </w:r>
      <w:r w:rsidR="004B2312" w:rsidRPr="008B0669">
        <w:rPr>
          <w:rFonts w:asciiTheme="minorHAnsi" w:hAnsiTheme="minorHAnsi"/>
          <w:color w:val="auto"/>
        </w:rPr>
        <w:t>Coverage of the Seacare s</w:t>
      </w:r>
      <w:r w:rsidR="005B7717" w:rsidRPr="008B0669">
        <w:rPr>
          <w:rFonts w:asciiTheme="minorHAnsi" w:hAnsiTheme="minorHAnsi"/>
          <w:color w:val="auto"/>
        </w:rPr>
        <w:t xml:space="preserve">cheme – </w:t>
      </w:r>
      <w:r w:rsidR="004B2312" w:rsidRPr="008B0669">
        <w:rPr>
          <w:rFonts w:asciiTheme="minorHAnsi" w:hAnsiTheme="minorHAnsi"/>
          <w:color w:val="auto"/>
        </w:rPr>
        <w:t>j</w:t>
      </w:r>
      <w:r w:rsidR="005B7717" w:rsidRPr="008B0669">
        <w:rPr>
          <w:rFonts w:asciiTheme="minorHAnsi" w:hAnsiTheme="minorHAnsi"/>
          <w:color w:val="auto"/>
        </w:rPr>
        <w:t>urisdictional Issues</w:t>
      </w:r>
      <w:bookmarkEnd w:id="8"/>
    </w:p>
    <w:p w:rsidR="005B7717" w:rsidRPr="008B0669" w:rsidRDefault="005B7717" w:rsidP="00CA1B11">
      <w:pPr>
        <w:pStyle w:val="numberlist"/>
        <w:numPr>
          <w:ilvl w:val="0"/>
          <w:numId w:val="0"/>
        </w:numPr>
        <w:spacing w:after="0" w:line="120" w:lineRule="auto"/>
        <w:ind w:left="576" w:right="576" w:hanging="360"/>
        <w:rPr>
          <w:rFonts w:asciiTheme="minorHAnsi" w:hAnsiTheme="minorHAnsi" w:cs="Arial"/>
          <w:szCs w:val="24"/>
        </w:rPr>
      </w:pPr>
    </w:p>
    <w:p w:rsidR="005B7717" w:rsidRPr="008B0669" w:rsidRDefault="004B2312"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Section </w:t>
      </w:r>
      <w:r w:rsidR="000B0465" w:rsidRPr="008B0669">
        <w:rPr>
          <w:rFonts w:asciiTheme="minorHAnsi" w:hAnsiTheme="minorHAnsi" w:cs="Arial"/>
          <w:sz w:val="22"/>
          <w:szCs w:val="22"/>
        </w:rPr>
        <w:t>1</w:t>
      </w:r>
      <w:r w:rsidR="00F81D58" w:rsidRPr="008B0669">
        <w:rPr>
          <w:rFonts w:asciiTheme="minorHAnsi" w:hAnsiTheme="minorHAnsi" w:cs="Arial"/>
          <w:sz w:val="22"/>
          <w:szCs w:val="22"/>
        </w:rPr>
        <w:t xml:space="preserve">9 of the Seafarers Act and </w:t>
      </w:r>
      <w:proofErr w:type="spellStart"/>
      <w:r w:rsidR="00F81D58" w:rsidRPr="008B0669">
        <w:rPr>
          <w:rFonts w:asciiTheme="minorHAnsi" w:hAnsiTheme="minorHAnsi" w:cs="Arial"/>
          <w:sz w:val="22"/>
          <w:szCs w:val="22"/>
        </w:rPr>
        <w:t>s</w:t>
      </w:r>
      <w:r w:rsidR="000B0465" w:rsidRPr="008B0669">
        <w:rPr>
          <w:rFonts w:asciiTheme="minorHAnsi" w:hAnsiTheme="minorHAnsi" w:cs="Arial"/>
          <w:sz w:val="22"/>
          <w:szCs w:val="22"/>
        </w:rPr>
        <w:t>.</w:t>
      </w:r>
      <w:r w:rsidR="00F81D58" w:rsidRPr="008B0669">
        <w:rPr>
          <w:rFonts w:asciiTheme="minorHAnsi" w:hAnsiTheme="minorHAnsi" w:cs="Arial"/>
          <w:sz w:val="22"/>
          <w:szCs w:val="22"/>
        </w:rPr>
        <w:t>6</w:t>
      </w:r>
      <w:proofErr w:type="spellEnd"/>
      <w:r w:rsidR="00F81D58" w:rsidRPr="008B0669">
        <w:rPr>
          <w:rFonts w:asciiTheme="minorHAnsi" w:hAnsiTheme="minorHAnsi" w:cs="Arial"/>
          <w:sz w:val="22"/>
          <w:szCs w:val="22"/>
        </w:rPr>
        <w:t xml:space="preserve"> of the OHS(MI) Act</w:t>
      </w:r>
      <w:r w:rsidRPr="008B0669">
        <w:rPr>
          <w:rFonts w:asciiTheme="minorHAnsi" w:hAnsiTheme="minorHAnsi" w:cs="Arial"/>
          <w:sz w:val="22"/>
          <w:szCs w:val="22"/>
        </w:rPr>
        <w:t xml:space="preserve"> establish the Seacare scheme’s jurisdictional coverage</w:t>
      </w:r>
      <w:r w:rsidR="00F81D58" w:rsidRPr="008B0669">
        <w:rPr>
          <w:rFonts w:asciiTheme="minorHAnsi" w:hAnsiTheme="minorHAnsi" w:cs="Arial"/>
          <w:sz w:val="22"/>
          <w:szCs w:val="22"/>
        </w:rPr>
        <w:t xml:space="preserve">. </w:t>
      </w:r>
      <w:r w:rsidRPr="008B0669">
        <w:rPr>
          <w:rFonts w:asciiTheme="minorHAnsi" w:hAnsiTheme="minorHAnsi" w:cs="Arial"/>
          <w:sz w:val="22"/>
          <w:szCs w:val="22"/>
        </w:rPr>
        <w:t xml:space="preserve"> </w:t>
      </w:r>
      <w:r w:rsidR="00F81D58" w:rsidRPr="008B0669">
        <w:rPr>
          <w:rFonts w:asciiTheme="minorHAnsi" w:hAnsiTheme="minorHAnsi" w:cs="Arial"/>
          <w:sz w:val="22"/>
          <w:szCs w:val="22"/>
        </w:rPr>
        <w:t xml:space="preserve">Both </w:t>
      </w:r>
      <w:r w:rsidR="000C5FF0" w:rsidRPr="008B0669">
        <w:rPr>
          <w:rFonts w:asciiTheme="minorHAnsi" w:hAnsiTheme="minorHAnsi" w:cs="Arial"/>
          <w:sz w:val="22"/>
          <w:szCs w:val="22"/>
        </w:rPr>
        <w:t>Acts</w:t>
      </w:r>
      <w:r w:rsidR="00926ACC" w:rsidRPr="008B0669">
        <w:rPr>
          <w:rFonts w:asciiTheme="minorHAnsi" w:hAnsiTheme="minorHAnsi" w:cs="Arial"/>
          <w:sz w:val="22"/>
          <w:szCs w:val="22"/>
        </w:rPr>
        <w:t xml:space="preserve"> refer to</w:t>
      </w:r>
      <w:r w:rsidR="00895756" w:rsidRPr="008B0669">
        <w:rPr>
          <w:rFonts w:asciiTheme="minorHAnsi" w:hAnsiTheme="minorHAnsi" w:cs="Arial"/>
          <w:sz w:val="22"/>
          <w:szCs w:val="22"/>
        </w:rPr>
        <w:t xml:space="preserve"> employment of employees on </w:t>
      </w:r>
      <w:r w:rsidR="00F9375E" w:rsidRPr="008B0669">
        <w:rPr>
          <w:rFonts w:asciiTheme="minorHAnsi" w:hAnsiTheme="minorHAnsi" w:cs="Arial"/>
          <w:sz w:val="22"/>
          <w:szCs w:val="22"/>
        </w:rPr>
        <w:t xml:space="preserve">‘a prescribed ship’ - </w:t>
      </w:r>
      <w:r w:rsidR="00F81D58" w:rsidRPr="008B0669">
        <w:rPr>
          <w:rFonts w:asciiTheme="minorHAnsi" w:hAnsiTheme="minorHAnsi" w:cs="Arial"/>
          <w:sz w:val="22"/>
          <w:szCs w:val="22"/>
        </w:rPr>
        <w:t>and</w:t>
      </w:r>
      <w:r w:rsidR="00926ACC" w:rsidRPr="008B0669">
        <w:rPr>
          <w:rFonts w:asciiTheme="minorHAnsi" w:hAnsiTheme="minorHAnsi" w:cs="Arial"/>
          <w:sz w:val="22"/>
          <w:szCs w:val="22"/>
        </w:rPr>
        <w:t xml:space="preserve">, in the case of the OHS(MI) Act, </w:t>
      </w:r>
      <w:r w:rsidRPr="008B0669">
        <w:rPr>
          <w:rFonts w:asciiTheme="minorHAnsi" w:hAnsiTheme="minorHAnsi" w:cs="Arial"/>
          <w:sz w:val="22"/>
          <w:szCs w:val="22"/>
        </w:rPr>
        <w:t xml:space="preserve">also </w:t>
      </w:r>
      <w:r w:rsidR="00926ACC" w:rsidRPr="008B0669">
        <w:rPr>
          <w:rFonts w:asciiTheme="minorHAnsi" w:hAnsiTheme="minorHAnsi" w:cs="Arial"/>
          <w:sz w:val="22"/>
          <w:szCs w:val="22"/>
        </w:rPr>
        <w:t>to ‘prescribed units’</w:t>
      </w:r>
      <w:r w:rsidR="00F9375E" w:rsidRPr="008B0669">
        <w:rPr>
          <w:rFonts w:asciiTheme="minorHAnsi" w:hAnsiTheme="minorHAnsi" w:cs="Arial"/>
          <w:sz w:val="22"/>
          <w:szCs w:val="22"/>
        </w:rPr>
        <w:t xml:space="preserve"> -</w:t>
      </w:r>
      <w:r w:rsidR="00867570" w:rsidRPr="008B0669">
        <w:rPr>
          <w:rFonts w:asciiTheme="minorHAnsi" w:hAnsiTheme="minorHAnsi" w:cs="Arial"/>
          <w:sz w:val="22"/>
          <w:szCs w:val="22"/>
        </w:rPr>
        <w:t xml:space="preserve"> engaged in certain specified activities or with particular </w:t>
      </w:r>
      <w:r w:rsidR="00867570" w:rsidRPr="008B0669">
        <w:rPr>
          <w:rFonts w:asciiTheme="minorHAnsi" w:hAnsiTheme="minorHAnsi" w:cs="Arial"/>
          <w:sz w:val="22"/>
          <w:szCs w:val="22"/>
        </w:rPr>
        <w:lastRenderedPageBreak/>
        <w:t>characteristics</w:t>
      </w:r>
      <w:r w:rsidR="00926ACC" w:rsidRPr="008B0669">
        <w:rPr>
          <w:rFonts w:asciiTheme="minorHAnsi" w:hAnsiTheme="minorHAnsi" w:cs="Arial"/>
          <w:sz w:val="22"/>
          <w:szCs w:val="22"/>
        </w:rPr>
        <w:t>.  Th</w:t>
      </w:r>
      <w:r w:rsidRPr="008B0669">
        <w:rPr>
          <w:rFonts w:asciiTheme="minorHAnsi" w:hAnsiTheme="minorHAnsi" w:cs="Arial"/>
          <w:sz w:val="22"/>
          <w:szCs w:val="22"/>
        </w:rPr>
        <w:t>ose terms</w:t>
      </w:r>
      <w:r w:rsidR="00F81D58" w:rsidRPr="008B0669">
        <w:rPr>
          <w:rFonts w:asciiTheme="minorHAnsi" w:hAnsiTheme="minorHAnsi" w:cs="Arial"/>
          <w:sz w:val="22"/>
          <w:szCs w:val="22"/>
        </w:rPr>
        <w:t xml:space="preserve"> are </w:t>
      </w:r>
      <w:r w:rsidR="00F47126" w:rsidRPr="008B0669">
        <w:rPr>
          <w:rFonts w:asciiTheme="minorHAnsi" w:hAnsiTheme="minorHAnsi" w:cs="Arial"/>
          <w:sz w:val="22"/>
          <w:szCs w:val="22"/>
        </w:rPr>
        <w:t xml:space="preserve">respectively </w:t>
      </w:r>
      <w:r w:rsidR="00F81D58" w:rsidRPr="008B0669">
        <w:rPr>
          <w:rFonts w:asciiTheme="minorHAnsi" w:hAnsiTheme="minorHAnsi" w:cs="Arial"/>
          <w:sz w:val="22"/>
          <w:szCs w:val="22"/>
        </w:rPr>
        <w:t xml:space="preserve">defined as a </w:t>
      </w:r>
      <w:r w:rsidR="00F47126" w:rsidRPr="008B0669">
        <w:rPr>
          <w:rFonts w:asciiTheme="minorHAnsi" w:hAnsiTheme="minorHAnsi" w:cs="Arial"/>
          <w:sz w:val="22"/>
          <w:szCs w:val="22"/>
        </w:rPr>
        <w:t>‘</w:t>
      </w:r>
      <w:r w:rsidR="00F81D58" w:rsidRPr="008B0669">
        <w:rPr>
          <w:rFonts w:asciiTheme="minorHAnsi" w:hAnsiTheme="minorHAnsi" w:cs="Arial"/>
          <w:sz w:val="22"/>
          <w:szCs w:val="22"/>
        </w:rPr>
        <w:t>ship</w:t>
      </w:r>
      <w:r w:rsidR="00F47126" w:rsidRPr="008B0669">
        <w:rPr>
          <w:rFonts w:asciiTheme="minorHAnsi" w:hAnsiTheme="minorHAnsi" w:cs="Arial"/>
          <w:sz w:val="22"/>
          <w:szCs w:val="22"/>
        </w:rPr>
        <w:t>’ and an</w:t>
      </w:r>
      <w:r w:rsidR="00F81D58" w:rsidRPr="008B0669">
        <w:rPr>
          <w:rFonts w:asciiTheme="minorHAnsi" w:hAnsiTheme="minorHAnsi" w:cs="Arial"/>
          <w:sz w:val="22"/>
          <w:szCs w:val="22"/>
        </w:rPr>
        <w:t xml:space="preserve"> </w:t>
      </w:r>
      <w:r w:rsidR="00F47126" w:rsidRPr="008B0669">
        <w:rPr>
          <w:rFonts w:asciiTheme="minorHAnsi" w:hAnsiTheme="minorHAnsi" w:cs="Arial"/>
          <w:sz w:val="22"/>
          <w:szCs w:val="22"/>
        </w:rPr>
        <w:t>‘</w:t>
      </w:r>
      <w:r w:rsidR="00F81D58" w:rsidRPr="008B0669">
        <w:rPr>
          <w:rFonts w:asciiTheme="minorHAnsi" w:hAnsiTheme="minorHAnsi" w:cs="Arial"/>
          <w:sz w:val="22"/>
          <w:szCs w:val="22"/>
        </w:rPr>
        <w:t>offshore mobile unit</w:t>
      </w:r>
      <w:r w:rsidR="00F47126" w:rsidRPr="008B0669">
        <w:rPr>
          <w:rFonts w:asciiTheme="minorHAnsi" w:hAnsiTheme="minorHAnsi" w:cs="Arial"/>
          <w:sz w:val="22"/>
          <w:szCs w:val="22"/>
        </w:rPr>
        <w:t>’</w:t>
      </w:r>
      <w:r w:rsidR="00F81D58" w:rsidRPr="008B0669">
        <w:rPr>
          <w:rFonts w:asciiTheme="minorHAnsi" w:hAnsiTheme="minorHAnsi" w:cs="Arial"/>
          <w:sz w:val="22"/>
          <w:szCs w:val="22"/>
        </w:rPr>
        <w:t xml:space="preserve"> to which Part II of the </w:t>
      </w:r>
      <w:r w:rsidR="00F81D58" w:rsidRPr="008B0669">
        <w:rPr>
          <w:rFonts w:asciiTheme="minorHAnsi" w:hAnsiTheme="minorHAnsi" w:cs="Arial"/>
          <w:iCs/>
          <w:sz w:val="22"/>
          <w:szCs w:val="22"/>
        </w:rPr>
        <w:t>Navigation Act 1912</w:t>
      </w:r>
      <w:r w:rsidR="00867570" w:rsidRPr="008B0669">
        <w:rPr>
          <w:rFonts w:asciiTheme="minorHAnsi" w:hAnsiTheme="minorHAnsi" w:cs="Arial"/>
          <w:sz w:val="22"/>
          <w:szCs w:val="22"/>
        </w:rPr>
        <w:t xml:space="preserve"> applies, with certain exceptions.</w:t>
      </w:r>
      <w:r w:rsidR="00F81D58" w:rsidRPr="008B0669">
        <w:rPr>
          <w:rFonts w:asciiTheme="minorHAnsi" w:hAnsiTheme="minorHAnsi" w:cs="Arial"/>
          <w:sz w:val="22"/>
          <w:szCs w:val="22"/>
        </w:rPr>
        <w:t xml:space="preserve"> </w:t>
      </w:r>
      <w:r w:rsidR="00867570" w:rsidRPr="008B0669">
        <w:rPr>
          <w:rFonts w:asciiTheme="minorHAnsi" w:hAnsiTheme="minorHAnsi" w:cs="Arial"/>
          <w:sz w:val="22"/>
          <w:szCs w:val="22"/>
        </w:rPr>
        <w:t xml:space="preserve"> Appendix 1 to the discussion paper reproduces the application (i.e., coverage) provisions of each Act.</w:t>
      </w:r>
      <w:r w:rsidR="00C812CA" w:rsidRPr="008B0669">
        <w:rPr>
          <w:rFonts w:asciiTheme="minorHAnsi" w:hAnsiTheme="minorHAnsi" w:cs="Arial"/>
          <w:sz w:val="22"/>
          <w:szCs w:val="22"/>
        </w:rPr>
        <w:t xml:space="preserve">  The Seacare Authority has issued guidance on the operation of these provisions.</w:t>
      </w:r>
      <w:r w:rsidR="00C812CA" w:rsidRPr="008B0669">
        <w:rPr>
          <w:rStyle w:val="FootnoteReference"/>
          <w:rFonts w:asciiTheme="minorHAnsi" w:hAnsiTheme="minorHAnsi" w:cs="Arial"/>
          <w:sz w:val="22"/>
          <w:szCs w:val="22"/>
        </w:rPr>
        <w:footnoteReference w:id="13"/>
      </w:r>
    </w:p>
    <w:p w:rsidR="00F81D58" w:rsidRPr="008B0669" w:rsidRDefault="00F81D58" w:rsidP="000B2678">
      <w:pPr>
        <w:pStyle w:val="numberlist"/>
        <w:numPr>
          <w:ilvl w:val="0"/>
          <w:numId w:val="0"/>
        </w:numPr>
        <w:spacing w:after="0" w:line="120" w:lineRule="auto"/>
        <w:ind w:left="720" w:right="576"/>
        <w:rPr>
          <w:rFonts w:asciiTheme="minorHAnsi" w:hAnsiTheme="minorHAnsi" w:cs="Arial"/>
          <w:sz w:val="22"/>
          <w:szCs w:val="22"/>
        </w:rPr>
      </w:pPr>
    </w:p>
    <w:p w:rsidR="005450EA" w:rsidRPr="008B0669" w:rsidRDefault="00C812CA" w:rsidP="002E255C">
      <w:pPr>
        <w:pStyle w:val="Pa8"/>
        <w:numPr>
          <w:ilvl w:val="0"/>
          <w:numId w:val="6"/>
        </w:numPr>
        <w:spacing w:line="240" w:lineRule="auto"/>
        <w:ind w:right="576"/>
        <w:rPr>
          <w:rFonts w:asciiTheme="minorHAnsi" w:hAnsiTheme="minorHAnsi" w:cs="Arial"/>
          <w:sz w:val="22"/>
          <w:szCs w:val="22"/>
        </w:rPr>
      </w:pPr>
      <w:r w:rsidRPr="008B0669">
        <w:rPr>
          <w:rFonts w:asciiTheme="minorHAnsi" w:hAnsiTheme="minorHAnsi"/>
          <w:sz w:val="22"/>
          <w:szCs w:val="22"/>
        </w:rPr>
        <w:t>As mentioned earlier, the Government is introducing a range of maritime reforms and changes to the OPGGS regulatory regime.</w:t>
      </w:r>
      <w:r w:rsidRPr="008B0669">
        <w:rPr>
          <w:rStyle w:val="FootnoteReference"/>
          <w:rFonts w:asciiTheme="minorHAnsi" w:hAnsiTheme="minorHAnsi"/>
          <w:sz w:val="22"/>
          <w:szCs w:val="22"/>
        </w:rPr>
        <w:footnoteReference w:id="14"/>
      </w:r>
      <w:r w:rsidRPr="008B0669">
        <w:rPr>
          <w:rFonts w:asciiTheme="minorHAnsi" w:hAnsiTheme="minorHAnsi"/>
          <w:sz w:val="22"/>
          <w:szCs w:val="22"/>
        </w:rPr>
        <w:t xml:space="preserve">  These may have implications for the Seacare scheme.  A</w:t>
      </w:r>
      <w:r w:rsidR="005312AE" w:rsidRPr="008B0669">
        <w:rPr>
          <w:rFonts w:asciiTheme="minorHAnsi" w:hAnsiTheme="minorHAnsi" w:cs="Arial"/>
          <w:sz w:val="22"/>
          <w:szCs w:val="22"/>
        </w:rPr>
        <w:t xml:space="preserve"> key element of </w:t>
      </w:r>
      <w:r w:rsidR="005450EA" w:rsidRPr="008B0669">
        <w:rPr>
          <w:rFonts w:asciiTheme="minorHAnsi" w:hAnsiTheme="minorHAnsi" w:cs="Arial"/>
          <w:sz w:val="22"/>
          <w:szCs w:val="22"/>
        </w:rPr>
        <w:t>the Government’s maritime reform program</w:t>
      </w:r>
      <w:r w:rsidR="005312AE" w:rsidRPr="008B0669">
        <w:rPr>
          <w:rFonts w:asciiTheme="minorHAnsi" w:hAnsiTheme="minorHAnsi" w:cs="Arial"/>
          <w:sz w:val="22"/>
          <w:szCs w:val="22"/>
        </w:rPr>
        <w:t xml:space="preserve"> is the replacement of the </w:t>
      </w:r>
      <w:r w:rsidR="005312AE" w:rsidRPr="003745CF">
        <w:rPr>
          <w:rFonts w:asciiTheme="minorHAnsi" w:hAnsiTheme="minorHAnsi" w:cs="Arial"/>
          <w:i/>
          <w:sz w:val="22"/>
          <w:szCs w:val="22"/>
        </w:rPr>
        <w:t>Navigation Act 1912</w:t>
      </w:r>
      <w:r w:rsidR="005312AE" w:rsidRPr="008B0669">
        <w:rPr>
          <w:rFonts w:asciiTheme="minorHAnsi" w:hAnsiTheme="minorHAnsi" w:cs="Arial"/>
          <w:sz w:val="22"/>
          <w:szCs w:val="22"/>
        </w:rPr>
        <w:t xml:space="preserve"> by</w:t>
      </w:r>
      <w:r w:rsidR="005450EA" w:rsidRPr="008B0669">
        <w:rPr>
          <w:rFonts w:asciiTheme="minorHAnsi" w:hAnsiTheme="minorHAnsi" w:cs="Arial"/>
          <w:sz w:val="22"/>
          <w:szCs w:val="22"/>
        </w:rPr>
        <w:t xml:space="preserve"> the </w:t>
      </w:r>
      <w:r w:rsidR="005450EA" w:rsidRPr="003745CF">
        <w:rPr>
          <w:rFonts w:asciiTheme="minorHAnsi" w:hAnsiTheme="minorHAnsi" w:cs="Arial"/>
          <w:i/>
          <w:sz w:val="22"/>
          <w:szCs w:val="22"/>
        </w:rPr>
        <w:t>Navigation Act 2012</w:t>
      </w:r>
      <w:r w:rsidR="005312AE" w:rsidRPr="008B0669">
        <w:rPr>
          <w:rFonts w:asciiTheme="minorHAnsi" w:hAnsiTheme="minorHAnsi" w:cs="Arial"/>
          <w:sz w:val="22"/>
          <w:szCs w:val="22"/>
        </w:rPr>
        <w:t>.</w:t>
      </w:r>
      <w:r w:rsidR="005450EA" w:rsidRPr="008B0669">
        <w:rPr>
          <w:rFonts w:asciiTheme="minorHAnsi" w:hAnsiTheme="minorHAnsi" w:cs="Arial"/>
          <w:sz w:val="22"/>
          <w:szCs w:val="22"/>
        </w:rPr>
        <w:t xml:space="preserve">  The substantive provisions of the </w:t>
      </w:r>
      <w:r w:rsidR="000215A8" w:rsidRPr="008B0669">
        <w:rPr>
          <w:rFonts w:asciiTheme="minorHAnsi" w:hAnsiTheme="minorHAnsi" w:cs="Arial"/>
          <w:sz w:val="22"/>
          <w:szCs w:val="22"/>
        </w:rPr>
        <w:t>latter</w:t>
      </w:r>
      <w:r w:rsidR="005450EA" w:rsidRPr="008B0669">
        <w:rPr>
          <w:rFonts w:asciiTheme="minorHAnsi" w:hAnsiTheme="minorHAnsi" w:cs="Arial"/>
          <w:sz w:val="22"/>
          <w:szCs w:val="22"/>
        </w:rPr>
        <w:t xml:space="preserve"> Act are expected to commence in 2013.  </w:t>
      </w:r>
      <w:r w:rsidR="00F81D58" w:rsidRPr="008B0669">
        <w:rPr>
          <w:rFonts w:asciiTheme="minorHAnsi" w:hAnsiTheme="minorHAnsi" w:cs="Arial"/>
          <w:sz w:val="22"/>
          <w:szCs w:val="22"/>
        </w:rPr>
        <w:t xml:space="preserve">Given that the </w:t>
      </w:r>
      <w:proofErr w:type="spellStart"/>
      <w:r w:rsidR="00F81D58" w:rsidRPr="008B0669">
        <w:rPr>
          <w:rFonts w:asciiTheme="minorHAnsi" w:hAnsiTheme="minorHAnsi" w:cs="Arial"/>
          <w:sz w:val="22"/>
          <w:szCs w:val="22"/>
        </w:rPr>
        <w:t>Seacare</w:t>
      </w:r>
      <w:proofErr w:type="spellEnd"/>
      <w:r w:rsidR="00F81D58" w:rsidRPr="008B0669">
        <w:rPr>
          <w:rFonts w:asciiTheme="minorHAnsi" w:hAnsiTheme="minorHAnsi" w:cs="Arial"/>
          <w:sz w:val="22"/>
          <w:szCs w:val="22"/>
        </w:rPr>
        <w:t xml:space="preserve"> scheme’s coverage provisions are linked to the </w:t>
      </w:r>
      <w:r w:rsidR="005450EA" w:rsidRPr="008B0669">
        <w:rPr>
          <w:rFonts w:asciiTheme="minorHAnsi" w:hAnsiTheme="minorHAnsi" w:cs="Arial"/>
          <w:sz w:val="22"/>
          <w:szCs w:val="22"/>
        </w:rPr>
        <w:t xml:space="preserve">current </w:t>
      </w:r>
      <w:r w:rsidR="00F81D58" w:rsidRPr="008B0669">
        <w:rPr>
          <w:rFonts w:asciiTheme="minorHAnsi" w:hAnsiTheme="minorHAnsi" w:cs="Arial"/>
          <w:sz w:val="22"/>
          <w:szCs w:val="22"/>
        </w:rPr>
        <w:t>Navigation Act by reference to Part II (section 10), the re</w:t>
      </w:r>
      <w:r w:rsidR="005450EA" w:rsidRPr="008B0669">
        <w:rPr>
          <w:rFonts w:asciiTheme="minorHAnsi" w:hAnsiTheme="minorHAnsi" w:cs="Arial"/>
          <w:sz w:val="22"/>
          <w:szCs w:val="22"/>
        </w:rPr>
        <w:t>placement</w:t>
      </w:r>
      <w:r w:rsidR="00F81D58" w:rsidRPr="008B0669">
        <w:rPr>
          <w:rFonts w:asciiTheme="minorHAnsi" w:hAnsiTheme="minorHAnsi" w:cs="Arial"/>
          <w:sz w:val="22"/>
          <w:szCs w:val="22"/>
        </w:rPr>
        <w:t xml:space="preserve"> of the Navigation Act necessitates </w:t>
      </w:r>
      <w:r w:rsidR="00DB7E51" w:rsidRPr="008B0669">
        <w:rPr>
          <w:rFonts w:asciiTheme="minorHAnsi" w:hAnsiTheme="minorHAnsi" w:cs="Arial"/>
          <w:sz w:val="22"/>
          <w:szCs w:val="22"/>
        </w:rPr>
        <w:t>consideration and possible</w:t>
      </w:r>
      <w:r w:rsidR="00F81D58" w:rsidRPr="008B0669">
        <w:rPr>
          <w:rFonts w:asciiTheme="minorHAnsi" w:hAnsiTheme="minorHAnsi" w:cs="Arial"/>
          <w:sz w:val="22"/>
          <w:szCs w:val="22"/>
        </w:rPr>
        <w:t xml:space="preserve"> re-draft</w:t>
      </w:r>
      <w:r w:rsidR="00DB7E51" w:rsidRPr="008B0669">
        <w:rPr>
          <w:rFonts w:asciiTheme="minorHAnsi" w:hAnsiTheme="minorHAnsi" w:cs="Arial"/>
          <w:sz w:val="22"/>
          <w:szCs w:val="22"/>
        </w:rPr>
        <w:t>ing</w:t>
      </w:r>
      <w:r w:rsidR="00F81D58" w:rsidRPr="008B0669">
        <w:rPr>
          <w:rFonts w:asciiTheme="minorHAnsi" w:hAnsiTheme="minorHAnsi" w:cs="Arial"/>
          <w:sz w:val="22"/>
          <w:szCs w:val="22"/>
        </w:rPr>
        <w:t xml:space="preserve"> of the Seacare scheme coverage provisions</w:t>
      </w:r>
      <w:r w:rsidR="005450EA" w:rsidRPr="008B0669">
        <w:rPr>
          <w:rFonts w:asciiTheme="minorHAnsi" w:hAnsiTheme="minorHAnsi" w:cs="Arial"/>
          <w:sz w:val="22"/>
          <w:szCs w:val="22"/>
        </w:rPr>
        <w:t>.</w:t>
      </w:r>
      <w:r w:rsidRPr="008B0669">
        <w:rPr>
          <w:rFonts w:asciiTheme="minorHAnsi" w:hAnsiTheme="minorHAnsi" w:cs="Arial"/>
          <w:sz w:val="22"/>
          <w:szCs w:val="22"/>
        </w:rPr>
        <w:t xml:space="preserve">  Particular attention may need to be given to the implications of the new Australian International Shipping Register.</w:t>
      </w:r>
    </w:p>
    <w:p w:rsidR="00FA5E00" w:rsidRPr="008B0669" w:rsidRDefault="005450EA" w:rsidP="000B2678">
      <w:pPr>
        <w:pStyle w:val="Pa8"/>
        <w:spacing w:line="120" w:lineRule="auto"/>
        <w:ind w:left="936" w:right="576"/>
        <w:rPr>
          <w:rFonts w:asciiTheme="minorHAnsi" w:hAnsiTheme="minorHAnsi" w:cs="Arial"/>
          <w:sz w:val="22"/>
          <w:szCs w:val="22"/>
        </w:rPr>
      </w:pPr>
      <w:r w:rsidRPr="008B0669">
        <w:rPr>
          <w:rFonts w:asciiTheme="minorHAnsi" w:hAnsiTheme="minorHAnsi" w:cs="Arial"/>
          <w:sz w:val="22"/>
          <w:szCs w:val="22"/>
        </w:rPr>
        <w:t xml:space="preserve"> </w:t>
      </w:r>
    </w:p>
    <w:p w:rsidR="001362B3" w:rsidRPr="008B0669" w:rsidRDefault="007B14F9" w:rsidP="002E255C">
      <w:pPr>
        <w:pStyle w:val="Pa8"/>
        <w:numPr>
          <w:ilvl w:val="0"/>
          <w:numId w:val="6"/>
        </w:numPr>
        <w:spacing w:line="240" w:lineRule="auto"/>
        <w:ind w:right="576"/>
        <w:rPr>
          <w:rFonts w:asciiTheme="minorHAnsi" w:hAnsiTheme="minorHAnsi" w:cs="Arial"/>
          <w:sz w:val="22"/>
          <w:szCs w:val="22"/>
        </w:rPr>
      </w:pPr>
      <w:r w:rsidRPr="008B0669">
        <w:rPr>
          <w:rFonts w:asciiTheme="minorHAnsi" w:hAnsiTheme="minorHAnsi" w:cs="Arial"/>
          <w:sz w:val="22"/>
          <w:szCs w:val="22"/>
        </w:rPr>
        <w:t>The new Navigation Act</w:t>
      </w:r>
      <w:r w:rsidR="00F9375E" w:rsidRPr="008B0669">
        <w:rPr>
          <w:rFonts w:asciiTheme="minorHAnsi" w:hAnsiTheme="minorHAnsi" w:cs="Arial"/>
          <w:sz w:val="22"/>
          <w:szCs w:val="22"/>
        </w:rPr>
        <w:t>’s</w:t>
      </w:r>
      <w:r w:rsidRPr="008B0669">
        <w:rPr>
          <w:rFonts w:asciiTheme="minorHAnsi" w:hAnsiTheme="minorHAnsi" w:cs="Arial"/>
          <w:sz w:val="22"/>
          <w:szCs w:val="22"/>
        </w:rPr>
        <w:t xml:space="preserve"> </w:t>
      </w:r>
      <w:r w:rsidR="00F9375E" w:rsidRPr="008B0669">
        <w:rPr>
          <w:rFonts w:asciiTheme="minorHAnsi" w:hAnsiTheme="minorHAnsi" w:cs="Arial"/>
          <w:sz w:val="22"/>
          <w:szCs w:val="22"/>
        </w:rPr>
        <w:t xml:space="preserve">transitional provisions </w:t>
      </w:r>
      <w:r w:rsidRPr="008B0669">
        <w:rPr>
          <w:rFonts w:asciiTheme="minorHAnsi" w:hAnsiTheme="minorHAnsi" w:cs="Arial"/>
          <w:sz w:val="22"/>
          <w:szCs w:val="22"/>
        </w:rPr>
        <w:t xml:space="preserve">will maintain the coverage status quo </w:t>
      </w:r>
      <w:r w:rsidR="001362B3" w:rsidRPr="008B0669">
        <w:rPr>
          <w:rFonts w:asciiTheme="minorHAnsi" w:hAnsiTheme="minorHAnsi" w:cs="Arial"/>
          <w:sz w:val="22"/>
          <w:szCs w:val="22"/>
        </w:rPr>
        <w:t xml:space="preserve">for both the Seafarers Act and the OHS(MI) Act </w:t>
      </w:r>
      <w:r w:rsidRPr="008B0669">
        <w:rPr>
          <w:rFonts w:asciiTheme="minorHAnsi" w:hAnsiTheme="minorHAnsi" w:cs="Arial"/>
          <w:sz w:val="22"/>
          <w:szCs w:val="22"/>
        </w:rPr>
        <w:t xml:space="preserve">pending the outcome of </w:t>
      </w:r>
      <w:r w:rsidR="001362B3" w:rsidRPr="008B0669">
        <w:rPr>
          <w:rFonts w:asciiTheme="minorHAnsi" w:hAnsiTheme="minorHAnsi" w:cs="Arial"/>
          <w:sz w:val="22"/>
          <w:szCs w:val="22"/>
        </w:rPr>
        <w:t>th</w:t>
      </w:r>
      <w:r w:rsidR="00F9375E" w:rsidRPr="008B0669">
        <w:rPr>
          <w:rFonts w:asciiTheme="minorHAnsi" w:hAnsiTheme="minorHAnsi" w:cs="Arial"/>
          <w:sz w:val="22"/>
          <w:szCs w:val="22"/>
        </w:rPr>
        <w:t>is r</w:t>
      </w:r>
      <w:r w:rsidRPr="008B0669">
        <w:rPr>
          <w:rFonts w:asciiTheme="minorHAnsi" w:hAnsiTheme="minorHAnsi" w:cs="Arial"/>
          <w:sz w:val="22"/>
          <w:szCs w:val="22"/>
        </w:rPr>
        <w:t>eview.</w:t>
      </w:r>
      <w:r w:rsidR="006B6B99" w:rsidRPr="008B0669">
        <w:rPr>
          <w:rStyle w:val="FootnoteReference"/>
          <w:rFonts w:asciiTheme="minorHAnsi" w:hAnsiTheme="minorHAnsi" w:cs="Arial"/>
          <w:sz w:val="22"/>
          <w:szCs w:val="22"/>
        </w:rPr>
        <w:footnoteReference w:id="15"/>
      </w:r>
    </w:p>
    <w:p w:rsidR="00F81D58" w:rsidRPr="008B0669" w:rsidRDefault="00F81D58" w:rsidP="00043049">
      <w:pPr>
        <w:spacing w:line="120" w:lineRule="auto"/>
        <w:ind w:left="720" w:right="576"/>
        <w:rPr>
          <w:rFonts w:asciiTheme="minorHAnsi" w:hAnsiTheme="minorHAnsi"/>
        </w:rPr>
      </w:pPr>
    </w:p>
    <w:p w:rsidR="00F81D58" w:rsidRPr="008B0669" w:rsidRDefault="005450EA" w:rsidP="002E255C">
      <w:pPr>
        <w:pStyle w:val="ListParagraph"/>
        <w:numPr>
          <w:ilvl w:val="0"/>
          <w:numId w:val="6"/>
        </w:numPr>
        <w:ind w:right="576"/>
        <w:rPr>
          <w:rFonts w:asciiTheme="minorHAnsi" w:hAnsiTheme="minorHAnsi"/>
        </w:rPr>
      </w:pPr>
      <w:r w:rsidRPr="008B0669">
        <w:rPr>
          <w:rFonts w:asciiTheme="minorHAnsi" w:hAnsiTheme="minorHAnsi"/>
        </w:rPr>
        <w:t>The</w:t>
      </w:r>
      <w:r w:rsidR="00F81D58" w:rsidRPr="008B0669">
        <w:rPr>
          <w:rFonts w:asciiTheme="minorHAnsi" w:hAnsiTheme="minorHAnsi"/>
        </w:rPr>
        <w:t xml:space="preserve"> </w:t>
      </w:r>
      <w:r w:rsidR="004A1807" w:rsidRPr="008B0669">
        <w:rPr>
          <w:rFonts w:asciiTheme="minorHAnsi" w:hAnsiTheme="minorHAnsi"/>
        </w:rPr>
        <w:t xml:space="preserve">option of </w:t>
      </w:r>
      <w:r w:rsidR="00DB7E51" w:rsidRPr="008B0669">
        <w:rPr>
          <w:rFonts w:asciiTheme="minorHAnsi" w:hAnsiTheme="minorHAnsi"/>
        </w:rPr>
        <w:t>de-coupling</w:t>
      </w:r>
      <w:r w:rsidR="00F81D58" w:rsidRPr="008B0669">
        <w:rPr>
          <w:rFonts w:asciiTheme="minorHAnsi" w:hAnsiTheme="minorHAnsi"/>
        </w:rPr>
        <w:t xml:space="preserve"> the Seacare </w:t>
      </w:r>
      <w:r w:rsidRPr="008B0669">
        <w:rPr>
          <w:rFonts w:asciiTheme="minorHAnsi" w:hAnsiTheme="minorHAnsi"/>
        </w:rPr>
        <w:t>s</w:t>
      </w:r>
      <w:r w:rsidR="00F81D58" w:rsidRPr="008B0669">
        <w:rPr>
          <w:rFonts w:asciiTheme="minorHAnsi" w:hAnsiTheme="minorHAnsi"/>
        </w:rPr>
        <w:t xml:space="preserve">cheme </w:t>
      </w:r>
      <w:r w:rsidR="00DB7E51" w:rsidRPr="008B0669">
        <w:rPr>
          <w:rFonts w:asciiTheme="minorHAnsi" w:hAnsiTheme="minorHAnsi"/>
        </w:rPr>
        <w:t>from the Navigation Act</w:t>
      </w:r>
      <w:r w:rsidRPr="008B0669">
        <w:rPr>
          <w:rFonts w:asciiTheme="minorHAnsi" w:hAnsiTheme="minorHAnsi"/>
        </w:rPr>
        <w:t xml:space="preserve"> could be examined.  </w:t>
      </w:r>
      <w:r w:rsidR="004A1807" w:rsidRPr="008B0669">
        <w:rPr>
          <w:rFonts w:asciiTheme="minorHAnsi" w:hAnsiTheme="minorHAnsi"/>
        </w:rPr>
        <w:t xml:space="preserve">The aim would be for </w:t>
      </w:r>
      <w:r w:rsidRPr="008B0669">
        <w:rPr>
          <w:rFonts w:asciiTheme="minorHAnsi" w:hAnsiTheme="minorHAnsi"/>
        </w:rPr>
        <w:t xml:space="preserve">the scheme’s </w:t>
      </w:r>
      <w:r w:rsidR="00DB7E51" w:rsidRPr="008B0669">
        <w:rPr>
          <w:rFonts w:asciiTheme="minorHAnsi" w:hAnsiTheme="minorHAnsi"/>
        </w:rPr>
        <w:t xml:space="preserve">coverage provisions </w:t>
      </w:r>
      <w:r w:rsidR="004A1807" w:rsidRPr="008B0669">
        <w:rPr>
          <w:rFonts w:asciiTheme="minorHAnsi" w:hAnsiTheme="minorHAnsi"/>
        </w:rPr>
        <w:t>to</w:t>
      </w:r>
      <w:r w:rsidRPr="008B0669">
        <w:rPr>
          <w:rFonts w:asciiTheme="minorHAnsi" w:hAnsiTheme="minorHAnsi"/>
        </w:rPr>
        <w:t xml:space="preserve"> be </w:t>
      </w:r>
      <w:r w:rsidR="00DB7E51" w:rsidRPr="008B0669">
        <w:rPr>
          <w:rFonts w:asciiTheme="minorHAnsi" w:hAnsiTheme="minorHAnsi"/>
        </w:rPr>
        <w:t xml:space="preserve">clear and defined autonomously.  </w:t>
      </w:r>
      <w:r w:rsidRPr="008B0669">
        <w:rPr>
          <w:rFonts w:asciiTheme="minorHAnsi" w:hAnsiTheme="minorHAnsi"/>
        </w:rPr>
        <w:t xml:space="preserve">Even so, </w:t>
      </w:r>
      <w:r w:rsidR="00F81D58" w:rsidRPr="008B0669">
        <w:rPr>
          <w:rFonts w:asciiTheme="minorHAnsi" w:hAnsiTheme="minorHAnsi"/>
        </w:rPr>
        <w:t xml:space="preserve">any </w:t>
      </w:r>
      <w:r w:rsidRPr="008B0669">
        <w:rPr>
          <w:rFonts w:asciiTheme="minorHAnsi" w:hAnsiTheme="minorHAnsi"/>
        </w:rPr>
        <w:t xml:space="preserve">such </w:t>
      </w:r>
      <w:r w:rsidR="00F81D58" w:rsidRPr="008B0669">
        <w:rPr>
          <w:rFonts w:asciiTheme="minorHAnsi" w:hAnsiTheme="minorHAnsi"/>
        </w:rPr>
        <w:t xml:space="preserve">provisions in the Seafarers Act would need to be drafted </w:t>
      </w:r>
      <w:r w:rsidR="00CA1B11" w:rsidRPr="008B0669">
        <w:rPr>
          <w:rFonts w:asciiTheme="minorHAnsi" w:hAnsiTheme="minorHAnsi"/>
        </w:rPr>
        <w:t>like</w:t>
      </w:r>
      <w:r w:rsidR="00F81D58" w:rsidRPr="008B0669">
        <w:rPr>
          <w:rFonts w:asciiTheme="minorHAnsi" w:hAnsiTheme="minorHAnsi"/>
        </w:rPr>
        <w:t xml:space="preserve"> to </w:t>
      </w:r>
      <w:r w:rsidRPr="008B0669">
        <w:rPr>
          <w:rFonts w:asciiTheme="minorHAnsi" w:hAnsiTheme="minorHAnsi"/>
        </w:rPr>
        <w:t xml:space="preserve">those in </w:t>
      </w:r>
      <w:r w:rsidR="00F81D58" w:rsidRPr="008B0669">
        <w:rPr>
          <w:rFonts w:asciiTheme="minorHAnsi" w:hAnsiTheme="minorHAnsi"/>
        </w:rPr>
        <w:t>the Navigation Act</w:t>
      </w:r>
      <w:r w:rsidR="0040758D" w:rsidRPr="008B0669">
        <w:rPr>
          <w:rFonts w:asciiTheme="minorHAnsi" w:hAnsiTheme="minorHAnsi"/>
        </w:rPr>
        <w:t xml:space="preserve"> and changes to that Act would need to be monitored for their implications for the Seacare legislation</w:t>
      </w:r>
    </w:p>
    <w:p w:rsidR="00895756" w:rsidRPr="008B0669" w:rsidRDefault="00895756" w:rsidP="00043049">
      <w:pPr>
        <w:pStyle w:val="ListParagraph"/>
        <w:spacing w:line="120" w:lineRule="auto"/>
        <w:rPr>
          <w:rFonts w:asciiTheme="minorHAnsi" w:hAnsiTheme="minorHAnsi"/>
        </w:rPr>
      </w:pPr>
    </w:p>
    <w:p w:rsidR="00CA1B11" w:rsidRPr="008B0669" w:rsidRDefault="00C812CA" w:rsidP="002E255C">
      <w:pPr>
        <w:pStyle w:val="ListParagraph"/>
        <w:numPr>
          <w:ilvl w:val="0"/>
          <w:numId w:val="6"/>
        </w:numPr>
        <w:ind w:right="576"/>
        <w:rPr>
          <w:rFonts w:asciiTheme="minorHAnsi" w:hAnsiTheme="minorHAnsi"/>
          <w:sz w:val="24"/>
          <w:szCs w:val="24"/>
        </w:rPr>
      </w:pPr>
      <w:r w:rsidRPr="008B0669">
        <w:rPr>
          <w:rFonts w:asciiTheme="minorHAnsi" w:hAnsiTheme="minorHAnsi"/>
        </w:rPr>
        <w:t>T</w:t>
      </w:r>
      <w:r w:rsidR="00626035" w:rsidRPr="008B0669">
        <w:rPr>
          <w:rFonts w:asciiTheme="minorHAnsi" w:hAnsiTheme="minorHAnsi"/>
        </w:rPr>
        <w:t>he review will be assisted by interested persons identifying any concerns that they have or improvements that they consider necessary to the Seacare scheme in light of the maritime reforms.</w:t>
      </w:r>
      <w:r w:rsidRPr="008B0669">
        <w:rPr>
          <w:rFonts w:asciiTheme="minorHAnsi" w:hAnsiTheme="minorHAnsi"/>
        </w:rPr>
        <w:t xml:space="preserve">  For these purposes, attention is drawn to the Seacare Authority’s 2012 </w:t>
      </w:r>
      <w:r w:rsidR="000D6637" w:rsidRPr="008B0669">
        <w:rPr>
          <w:rFonts w:asciiTheme="minorHAnsi" w:hAnsiTheme="minorHAnsi"/>
        </w:rPr>
        <w:t>discussion paper on jurisdictional coverage</w:t>
      </w:r>
      <w:r w:rsidRPr="008B0669">
        <w:rPr>
          <w:rFonts w:asciiTheme="minorHAnsi" w:hAnsiTheme="minorHAnsi"/>
        </w:rPr>
        <w:t>.</w:t>
      </w:r>
      <w:r w:rsidRPr="008B0669">
        <w:rPr>
          <w:rStyle w:val="FootnoteReference"/>
          <w:rFonts w:asciiTheme="minorHAnsi" w:hAnsiTheme="minorHAnsi"/>
        </w:rPr>
        <w:footnoteReference w:id="16"/>
      </w:r>
      <w:r w:rsidR="000D6637" w:rsidRPr="008B0669">
        <w:rPr>
          <w:rFonts w:asciiTheme="minorHAnsi" w:hAnsiTheme="minorHAnsi"/>
        </w:rPr>
        <w:t xml:space="preserve">  The review is considering the submissions made in response to that discussion paper and will consider the views expressed in them.  Persons who made those submissions are welcome to indicate whether their views have changed in any respect.</w:t>
      </w:r>
      <w:r w:rsidR="00CA1B11" w:rsidRPr="008B0669">
        <w:rPr>
          <w:rFonts w:asciiTheme="minorHAnsi" w:hAnsiTheme="minorHAnsi"/>
        </w:rPr>
        <w:t xml:space="preserve"> </w:t>
      </w:r>
    </w:p>
    <w:p w:rsidR="00CA1B11" w:rsidRPr="008B0669" w:rsidRDefault="00CA1B11" w:rsidP="00043049">
      <w:pPr>
        <w:pStyle w:val="ListParagraph"/>
        <w:rPr>
          <w:rFonts w:asciiTheme="minorHAnsi" w:hAnsiTheme="minorHAnsi"/>
        </w:rPr>
      </w:pPr>
    </w:p>
    <w:p w:rsidR="00895756" w:rsidRPr="008B0669" w:rsidRDefault="00CA1B11" w:rsidP="00CA1B11">
      <w:pPr>
        <w:pStyle w:val="ListParagraph"/>
        <w:ind w:left="936" w:right="576"/>
        <w:rPr>
          <w:rFonts w:asciiTheme="minorHAnsi" w:hAnsiTheme="minorHAnsi"/>
          <w:sz w:val="24"/>
          <w:szCs w:val="24"/>
        </w:rPr>
      </w:pPr>
      <w:r w:rsidRPr="008B0669">
        <w:rPr>
          <w:rFonts w:asciiTheme="minorHAnsi" w:hAnsiTheme="minorHAnsi"/>
          <w:i/>
        </w:rPr>
        <w:t>TOR 1(b) - Coverage of the Seacare Scheme – Jurisdictional Issues</w:t>
      </w:r>
    </w:p>
    <w:tbl>
      <w:tblPr>
        <w:tblStyle w:val="TableGrid"/>
        <w:tblW w:w="0" w:type="auto"/>
        <w:tblInd w:w="9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ook w:val="04A0" w:firstRow="1" w:lastRow="0" w:firstColumn="1" w:lastColumn="0" w:noHBand="0" w:noVBand="1"/>
      </w:tblPr>
      <w:tblGrid>
        <w:gridCol w:w="9317"/>
      </w:tblGrid>
      <w:tr w:rsidR="000B2678" w:rsidRPr="008B0669" w:rsidTr="00AD1895">
        <w:tc>
          <w:tcPr>
            <w:tcW w:w="9317" w:type="dxa"/>
            <w:shd w:val="clear" w:color="auto" w:fill="C6D9F1" w:themeFill="text2" w:themeFillTint="33"/>
            <w:vAlign w:val="center"/>
          </w:tcPr>
          <w:p w:rsidR="00264526" w:rsidRPr="00CC7EC4" w:rsidRDefault="00867570" w:rsidP="00CC7EC4">
            <w:pPr>
              <w:rPr>
                <w:rFonts w:asciiTheme="minorHAnsi" w:hAnsiTheme="minorHAnsi"/>
                <w:i/>
              </w:rPr>
            </w:pPr>
            <w:r w:rsidRPr="00CC7EC4">
              <w:rPr>
                <w:rFonts w:asciiTheme="minorHAnsi" w:hAnsiTheme="minorHAnsi"/>
                <w:i/>
              </w:rPr>
              <w:t>Discussion points</w:t>
            </w:r>
          </w:p>
          <w:p w:rsidR="00867570" w:rsidRPr="008B0669" w:rsidRDefault="00867570" w:rsidP="005B5F04">
            <w:pPr>
              <w:keepNext/>
              <w:spacing w:line="120" w:lineRule="auto"/>
              <w:ind w:right="576"/>
              <w:rPr>
                <w:rFonts w:asciiTheme="minorHAnsi" w:hAnsiTheme="minorHAnsi"/>
                <w:i/>
                <w:sz w:val="24"/>
                <w:szCs w:val="24"/>
              </w:rPr>
            </w:pPr>
          </w:p>
          <w:p w:rsidR="00F81D58" w:rsidRPr="008B0669" w:rsidRDefault="00867570" w:rsidP="002E255C">
            <w:pPr>
              <w:keepNext/>
              <w:ind w:right="576"/>
              <w:rPr>
                <w:rFonts w:asciiTheme="minorHAnsi" w:hAnsiTheme="minorHAnsi"/>
              </w:rPr>
            </w:pPr>
            <w:r w:rsidRPr="008B0669">
              <w:rPr>
                <w:rFonts w:asciiTheme="minorHAnsi" w:hAnsiTheme="minorHAnsi"/>
              </w:rPr>
              <w:t>Should the Seacare s</w:t>
            </w:r>
            <w:r w:rsidR="00F81D58" w:rsidRPr="008B0669">
              <w:rPr>
                <w:rFonts w:asciiTheme="minorHAnsi" w:hAnsiTheme="minorHAnsi"/>
              </w:rPr>
              <w:t>cheme be</w:t>
            </w:r>
            <w:r w:rsidR="00DB7E51" w:rsidRPr="008B0669">
              <w:rPr>
                <w:rFonts w:asciiTheme="minorHAnsi" w:hAnsiTheme="minorHAnsi"/>
              </w:rPr>
              <w:t xml:space="preserve"> legislatively</w:t>
            </w:r>
            <w:r w:rsidR="00F81D58" w:rsidRPr="008B0669">
              <w:rPr>
                <w:rFonts w:asciiTheme="minorHAnsi" w:hAnsiTheme="minorHAnsi"/>
              </w:rPr>
              <w:t xml:space="preserve"> </w:t>
            </w:r>
            <w:r w:rsidR="00DB7E51" w:rsidRPr="008B0669">
              <w:rPr>
                <w:rFonts w:asciiTheme="minorHAnsi" w:hAnsiTheme="minorHAnsi"/>
              </w:rPr>
              <w:t>in</w:t>
            </w:r>
            <w:r w:rsidR="005450EA" w:rsidRPr="008B0669">
              <w:rPr>
                <w:rFonts w:asciiTheme="minorHAnsi" w:hAnsiTheme="minorHAnsi"/>
              </w:rPr>
              <w:t>dependent of the Navigation Act</w:t>
            </w:r>
            <w:r w:rsidR="00F81D58" w:rsidRPr="008B0669">
              <w:rPr>
                <w:rFonts w:asciiTheme="minorHAnsi" w:hAnsiTheme="minorHAnsi"/>
              </w:rPr>
              <w:t xml:space="preserve">? </w:t>
            </w:r>
          </w:p>
          <w:p w:rsidR="005450EA" w:rsidRPr="008B0669" w:rsidRDefault="005450EA" w:rsidP="005B5F04">
            <w:pPr>
              <w:keepNext/>
              <w:spacing w:line="120" w:lineRule="auto"/>
              <w:ind w:right="576"/>
              <w:rPr>
                <w:rFonts w:asciiTheme="minorHAnsi" w:hAnsiTheme="minorHAnsi"/>
              </w:rPr>
            </w:pPr>
          </w:p>
          <w:p w:rsidR="007002D4" w:rsidRPr="008B0669" w:rsidRDefault="007002D4" w:rsidP="002E255C">
            <w:pPr>
              <w:keepNext/>
              <w:ind w:right="576"/>
              <w:rPr>
                <w:rFonts w:asciiTheme="minorHAnsi" w:hAnsiTheme="minorHAnsi"/>
              </w:rPr>
            </w:pPr>
            <w:r w:rsidRPr="008B0669">
              <w:rPr>
                <w:rFonts w:asciiTheme="minorHAnsi" w:hAnsiTheme="minorHAnsi"/>
              </w:rPr>
              <w:t>Does the legislation include anyone who should not be covered or exclude anyone who should be covered?</w:t>
            </w:r>
          </w:p>
          <w:p w:rsidR="007002D4" w:rsidRPr="008B0669" w:rsidRDefault="007002D4" w:rsidP="005B5F04">
            <w:pPr>
              <w:keepNext/>
              <w:spacing w:line="120" w:lineRule="auto"/>
              <w:ind w:right="576"/>
              <w:rPr>
                <w:rFonts w:asciiTheme="minorHAnsi" w:hAnsiTheme="minorHAnsi"/>
              </w:rPr>
            </w:pPr>
          </w:p>
          <w:p w:rsidR="00F81D58" w:rsidRPr="008B0669" w:rsidRDefault="005450EA" w:rsidP="002E255C">
            <w:pPr>
              <w:keepNext/>
              <w:ind w:right="576"/>
              <w:rPr>
                <w:rFonts w:asciiTheme="minorHAnsi" w:hAnsiTheme="minorHAnsi"/>
              </w:rPr>
            </w:pPr>
            <w:r w:rsidRPr="008B0669">
              <w:rPr>
                <w:rFonts w:asciiTheme="minorHAnsi" w:hAnsiTheme="minorHAnsi"/>
              </w:rPr>
              <w:t xml:space="preserve">What </w:t>
            </w:r>
            <w:r w:rsidR="007002D4" w:rsidRPr="008B0669">
              <w:rPr>
                <w:rFonts w:asciiTheme="minorHAnsi" w:hAnsiTheme="minorHAnsi"/>
              </w:rPr>
              <w:t xml:space="preserve">other </w:t>
            </w:r>
            <w:r w:rsidRPr="008B0669">
              <w:rPr>
                <w:rFonts w:asciiTheme="minorHAnsi" w:hAnsiTheme="minorHAnsi"/>
              </w:rPr>
              <w:t>issues are there with the scheme’s</w:t>
            </w:r>
            <w:r w:rsidR="00DB7E51" w:rsidRPr="008B0669">
              <w:rPr>
                <w:rFonts w:asciiTheme="minorHAnsi" w:hAnsiTheme="minorHAnsi"/>
              </w:rPr>
              <w:t xml:space="preserve"> current coverage provisions?</w:t>
            </w:r>
            <w:r w:rsidR="007002D4" w:rsidRPr="008B0669">
              <w:rPr>
                <w:rFonts w:asciiTheme="minorHAnsi" w:hAnsiTheme="minorHAnsi"/>
              </w:rPr>
              <w:t xml:space="preserve">  </w:t>
            </w:r>
          </w:p>
          <w:p w:rsidR="00895756" w:rsidRPr="008B0669" w:rsidRDefault="00895756" w:rsidP="005B5F04">
            <w:pPr>
              <w:keepNext/>
              <w:spacing w:line="120" w:lineRule="auto"/>
              <w:ind w:right="576"/>
              <w:rPr>
                <w:rFonts w:asciiTheme="minorHAnsi" w:hAnsiTheme="minorHAnsi"/>
              </w:rPr>
            </w:pPr>
          </w:p>
          <w:p w:rsidR="00895756" w:rsidRPr="008B0669" w:rsidRDefault="00895756" w:rsidP="002E255C">
            <w:pPr>
              <w:keepNext/>
              <w:ind w:right="576"/>
              <w:rPr>
                <w:rFonts w:asciiTheme="minorHAnsi" w:hAnsiTheme="minorHAnsi"/>
              </w:rPr>
            </w:pPr>
            <w:r w:rsidRPr="008B0669">
              <w:rPr>
                <w:rFonts w:asciiTheme="minorHAnsi" w:hAnsiTheme="minorHAnsi"/>
              </w:rPr>
              <w:t>What are the implications for the Seacare scheme in the current and proposed maritime reforms</w:t>
            </w:r>
            <w:r w:rsidR="00626035" w:rsidRPr="008B0669">
              <w:rPr>
                <w:rFonts w:asciiTheme="minorHAnsi" w:hAnsiTheme="minorHAnsi"/>
              </w:rPr>
              <w:t xml:space="preserve"> and changes to offshore petroleum and greenhouse gas storage regulatory regime</w:t>
            </w:r>
            <w:r w:rsidRPr="008B0669">
              <w:rPr>
                <w:rFonts w:asciiTheme="minorHAnsi" w:hAnsiTheme="minorHAnsi"/>
              </w:rPr>
              <w:t>?</w:t>
            </w:r>
          </w:p>
          <w:p w:rsidR="001D5F6C" w:rsidRPr="008B0669" w:rsidRDefault="001D5F6C" w:rsidP="005B5F04">
            <w:pPr>
              <w:keepNext/>
              <w:spacing w:line="120" w:lineRule="auto"/>
              <w:ind w:right="576"/>
              <w:rPr>
                <w:rFonts w:asciiTheme="minorHAnsi" w:hAnsiTheme="minorHAnsi"/>
              </w:rPr>
            </w:pPr>
          </w:p>
          <w:p w:rsidR="001D5F6C" w:rsidRPr="008B0669" w:rsidRDefault="001D5F6C" w:rsidP="002E255C">
            <w:pPr>
              <w:rPr>
                <w:rFonts w:asciiTheme="minorHAnsi" w:hAnsiTheme="minorHAnsi"/>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5450EA" w:rsidRPr="008B0669" w:rsidRDefault="005450EA" w:rsidP="005B5F04">
            <w:pPr>
              <w:keepNext/>
              <w:spacing w:line="120" w:lineRule="auto"/>
              <w:ind w:left="576" w:right="576"/>
              <w:rPr>
                <w:rFonts w:asciiTheme="minorHAnsi" w:hAnsiTheme="minorHAnsi"/>
                <w:sz w:val="24"/>
                <w:szCs w:val="24"/>
              </w:rPr>
            </w:pPr>
          </w:p>
        </w:tc>
      </w:tr>
    </w:tbl>
    <w:p w:rsidR="005B7717" w:rsidRPr="008B0669" w:rsidRDefault="005B7717" w:rsidP="002E255C">
      <w:pPr>
        <w:pStyle w:val="numberlist"/>
        <w:numPr>
          <w:ilvl w:val="0"/>
          <w:numId w:val="0"/>
        </w:numPr>
        <w:spacing w:after="0"/>
        <w:ind w:left="720" w:right="576"/>
        <w:rPr>
          <w:rFonts w:asciiTheme="minorHAnsi" w:hAnsiTheme="minorHAnsi" w:cs="Arial"/>
          <w:szCs w:val="24"/>
        </w:rPr>
      </w:pPr>
    </w:p>
    <w:p w:rsidR="005B7717" w:rsidRPr="008B0669" w:rsidRDefault="00391E14" w:rsidP="002E255C">
      <w:pPr>
        <w:pStyle w:val="Heading2"/>
        <w:spacing w:before="0" w:after="0" w:line="240" w:lineRule="auto"/>
        <w:ind w:left="576"/>
        <w:rPr>
          <w:rFonts w:asciiTheme="minorHAnsi" w:hAnsiTheme="minorHAnsi" w:cs="Arial"/>
          <w:color w:val="auto"/>
        </w:rPr>
      </w:pPr>
      <w:bookmarkStart w:id="9" w:name="_Toc341014939"/>
      <w:r w:rsidRPr="008B0669">
        <w:rPr>
          <w:rFonts w:asciiTheme="minorHAnsi" w:hAnsiTheme="minorHAnsi" w:cs="Arial"/>
          <w:color w:val="auto"/>
        </w:rPr>
        <w:t>TOR 1</w:t>
      </w:r>
      <w:r w:rsidR="009526E8" w:rsidRPr="008B0669">
        <w:rPr>
          <w:rFonts w:asciiTheme="minorHAnsi" w:hAnsiTheme="minorHAnsi" w:cs="Arial"/>
          <w:color w:val="auto"/>
        </w:rPr>
        <w:t>(c)</w:t>
      </w:r>
      <w:r w:rsidRPr="008B0669">
        <w:rPr>
          <w:rFonts w:asciiTheme="minorHAnsi" w:hAnsiTheme="minorHAnsi" w:cs="Arial"/>
          <w:color w:val="auto"/>
        </w:rPr>
        <w:t xml:space="preserve"> - </w:t>
      </w:r>
      <w:r w:rsidR="005B7717" w:rsidRPr="008B0669">
        <w:rPr>
          <w:rFonts w:asciiTheme="minorHAnsi" w:hAnsiTheme="minorHAnsi" w:cs="Arial"/>
          <w:color w:val="auto"/>
        </w:rPr>
        <w:t xml:space="preserve">Exemptions from </w:t>
      </w:r>
      <w:r w:rsidR="00FE22EC" w:rsidRPr="008B0669">
        <w:rPr>
          <w:rFonts w:asciiTheme="minorHAnsi" w:hAnsiTheme="minorHAnsi" w:cs="Arial"/>
          <w:color w:val="auto"/>
        </w:rPr>
        <w:t xml:space="preserve">the Seacare scheme </w:t>
      </w:r>
      <w:r w:rsidR="00DB7E51" w:rsidRPr="008B0669">
        <w:rPr>
          <w:rFonts w:asciiTheme="minorHAnsi" w:hAnsiTheme="minorHAnsi" w:cs="Arial"/>
          <w:color w:val="auto"/>
        </w:rPr>
        <w:t xml:space="preserve">and </w:t>
      </w:r>
      <w:r w:rsidR="00F9375E" w:rsidRPr="008B0669">
        <w:rPr>
          <w:rFonts w:asciiTheme="minorHAnsi" w:hAnsiTheme="minorHAnsi" w:cs="Arial"/>
          <w:color w:val="auto"/>
        </w:rPr>
        <w:t xml:space="preserve">declarations </w:t>
      </w:r>
      <w:r w:rsidR="00A606F8" w:rsidRPr="008B0669">
        <w:rPr>
          <w:rFonts w:asciiTheme="minorHAnsi" w:hAnsiTheme="minorHAnsi" w:cs="Arial"/>
          <w:color w:val="auto"/>
        </w:rPr>
        <w:t>under the Navigation Act</w:t>
      </w:r>
      <w:bookmarkEnd w:id="9"/>
    </w:p>
    <w:p w:rsidR="005B7717" w:rsidRPr="008B0669" w:rsidRDefault="005B7717" w:rsidP="00CA1B11">
      <w:pPr>
        <w:pStyle w:val="numberlist"/>
        <w:numPr>
          <w:ilvl w:val="0"/>
          <w:numId w:val="0"/>
        </w:numPr>
        <w:spacing w:after="0" w:line="120" w:lineRule="auto"/>
        <w:ind w:left="720" w:right="576"/>
        <w:rPr>
          <w:rFonts w:asciiTheme="minorHAnsi" w:hAnsiTheme="minorHAnsi" w:cs="Arial"/>
          <w:szCs w:val="24"/>
        </w:rPr>
      </w:pPr>
    </w:p>
    <w:p w:rsidR="00EF15B4" w:rsidRPr="008B0669" w:rsidRDefault="00585354"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Under </w:t>
      </w:r>
      <w:proofErr w:type="spellStart"/>
      <w:r w:rsidR="00352749" w:rsidRPr="008B0669">
        <w:rPr>
          <w:rFonts w:asciiTheme="minorHAnsi" w:hAnsiTheme="minorHAnsi" w:cs="Arial"/>
          <w:sz w:val="22"/>
          <w:szCs w:val="22"/>
        </w:rPr>
        <w:t>s</w:t>
      </w:r>
      <w:r w:rsidR="00F9375E" w:rsidRPr="008B0669">
        <w:rPr>
          <w:rFonts w:asciiTheme="minorHAnsi" w:hAnsiTheme="minorHAnsi" w:cs="Arial"/>
          <w:sz w:val="22"/>
          <w:szCs w:val="22"/>
        </w:rPr>
        <w:t>.</w:t>
      </w:r>
      <w:r w:rsidR="00352749" w:rsidRPr="008B0669">
        <w:rPr>
          <w:rFonts w:asciiTheme="minorHAnsi" w:hAnsiTheme="minorHAnsi" w:cs="Arial"/>
          <w:sz w:val="22"/>
          <w:szCs w:val="22"/>
        </w:rPr>
        <w:t>20A</w:t>
      </w:r>
      <w:proofErr w:type="spellEnd"/>
      <w:r w:rsidR="00352749" w:rsidRPr="008B0669">
        <w:rPr>
          <w:rFonts w:asciiTheme="minorHAnsi" w:hAnsiTheme="minorHAnsi" w:cs="Arial"/>
          <w:sz w:val="22"/>
          <w:szCs w:val="22"/>
        </w:rPr>
        <w:t xml:space="preserve"> of </w:t>
      </w:r>
      <w:r w:rsidRPr="008B0669">
        <w:rPr>
          <w:rFonts w:asciiTheme="minorHAnsi" w:hAnsiTheme="minorHAnsi" w:cs="Arial"/>
          <w:sz w:val="22"/>
          <w:szCs w:val="22"/>
        </w:rPr>
        <w:t xml:space="preserve">the </w:t>
      </w:r>
      <w:r w:rsidR="00C95102" w:rsidRPr="008B0669">
        <w:rPr>
          <w:rFonts w:asciiTheme="minorHAnsi" w:hAnsiTheme="minorHAnsi" w:cs="Arial"/>
          <w:sz w:val="22"/>
          <w:szCs w:val="22"/>
        </w:rPr>
        <w:t>Seafarers Act</w:t>
      </w:r>
      <w:r w:rsidRPr="008B0669">
        <w:rPr>
          <w:rFonts w:asciiTheme="minorHAnsi" w:hAnsiTheme="minorHAnsi" w:cs="Arial"/>
          <w:sz w:val="22"/>
          <w:szCs w:val="22"/>
        </w:rPr>
        <w:t>, the Authority</w:t>
      </w:r>
      <w:r w:rsidR="00EF15B4" w:rsidRPr="008B0669">
        <w:rPr>
          <w:rFonts w:asciiTheme="minorHAnsi" w:hAnsiTheme="minorHAnsi" w:cs="Arial"/>
          <w:sz w:val="22"/>
          <w:szCs w:val="22"/>
        </w:rPr>
        <w:t xml:space="preserve"> may</w:t>
      </w:r>
      <w:r w:rsidRPr="008B0669">
        <w:rPr>
          <w:rFonts w:asciiTheme="minorHAnsi" w:hAnsiTheme="minorHAnsi" w:cs="Arial"/>
          <w:sz w:val="22"/>
          <w:szCs w:val="22"/>
        </w:rPr>
        <w:t xml:space="preserve"> grant exemptions </w:t>
      </w:r>
      <w:r w:rsidR="00EF15B4" w:rsidRPr="008B0669">
        <w:rPr>
          <w:rFonts w:asciiTheme="minorHAnsi" w:hAnsiTheme="minorHAnsi" w:cs="Arial"/>
          <w:sz w:val="22"/>
          <w:szCs w:val="22"/>
        </w:rPr>
        <w:t xml:space="preserve">from </w:t>
      </w:r>
      <w:r w:rsidR="00C95102" w:rsidRPr="008B0669">
        <w:rPr>
          <w:rFonts w:asciiTheme="minorHAnsi" w:hAnsiTheme="minorHAnsi" w:cs="Arial"/>
          <w:sz w:val="22"/>
          <w:szCs w:val="22"/>
        </w:rPr>
        <w:t>th</w:t>
      </w:r>
      <w:r w:rsidR="00CA1B11" w:rsidRPr="008B0669">
        <w:rPr>
          <w:rFonts w:asciiTheme="minorHAnsi" w:hAnsiTheme="minorHAnsi" w:cs="Arial"/>
          <w:sz w:val="22"/>
          <w:szCs w:val="22"/>
        </w:rPr>
        <w:t>e</w:t>
      </w:r>
      <w:r w:rsidR="00C95102" w:rsidRPr="008B0669">
        <w:rPr>
          <w:rFonts w:asciiTheme="minorHAnsi" w:hAnsiTheme="minorHAnsi" w:cs="Arial"/>
          <w:sz w:val="22"/>
          <w:szCs w:val="22"/>
        </w:rPr>
        <w:t xml:space="preserve"> </w:t>
      </w:r>
      <w:r w:rsidRPr="008B0669">
        <w:rPr>
          <w:rFonts w:asciiTheme="minorHAnsi" w:hAnsiTheme="minorHAnsi" w:cs="Arial"/>
          <w:sz w:val="22"/>
          <w:szCs w:val="22"/>
        </w:rPr>
        <w:t>Act</w:t>
      </w:r>
      <w:r w:rsidR="00C95102" w:rsidRPr="008B0669">
        <w:rPr>
          <w:rFonts w:asciiTheme="minorHAnsi" w:hAnsiTheme="minorHAnsi" w:cs="Arial"/>
          <w:sz w:val="22"/>
          <w:szCs w:val="22"/>
        </w:rPr>
        <w:t xml:space="preserve">.  </w:t>
      </w:r>
      <w:r w:rsidRPr="008B0669">
        <w:rPr>
          <w:rFonts w:asciiTheme="minorHAnsi" w:hAnsiTheme="minorHAnsi" w:cs="Arial"/>
          <w:sz w:val="22"/>
          <w:szCs w:val="22"/>
        </w:rPr>
        <w:t>Th</w:t>
      </w:r>
      <w:r w:rsidR="00EF15B4" w:rsidRPr="008B0669">
        <w:rPr>
          <w:rFonts w:asciiTheme="minorHAnsi" w:hAnsiTheme="minorHAnsi" w:cs="Arial"/>
          <w:sz w:val="22"/>
          <w:szCs w:val="22"/>
        </w:rPr>
        <w:t>e</w:t>
      </w:r>
      <w:r w:rsidRPr="008B0669">
        <w:rPr>
          <w:rFonts w:asciiTheme="minorHAnsi" w:hAnsiTheme="minorHAnsi" w:cs="Arial"/>
          <w:sz w:val="22"/>
          <w:szCs w:val="22"/>
        </w:rPr>
        <w:t xml:space="preserve"> provision was introduced in 1997, due partly to the significant costs associated with obtaining insurance cover under the Act for one-off voyages.</w:t>
      </w:r>
      <w:r w:rsidR="00352749" w:rsidRPr="008B0669">
        <w:rPr>
          <w:rFonts w:asciiTheme="minorHAnsi" w:hAnsiTheme="minorHAnsi" w:cs="Arial"/>
          <w:sz w:val="22"/>
          <w:szCs w:val="22"/>
        </w:rPr>
        <w:t xml:space="preserve">  </w:t>
      </w:r>
      <w:r w:rsidR="00F9375E" w:rsidRPr="008B0669">
        <w:rPr>
          <w:rFonts w:asciiTheme="minorHAnsi" w:hAnsiTheme="minorHAnsi" w:cs="Arial"/>
          <w:sz w:val="22"/>
          <w:szCs w:val="22"/>
        </w:rPr>
        <w:t>The s</w:t>
      </w:r>
      <w:r w:rsidR="00352749" w:rsidRPr="008B0669">
        <w:rPr>
          <w:rFonts w:asciiTheme="minorHAnsi" w:hAnsiTheme="minorHAnsi" w:cs="Arial"/>
          <w:sz w:val="22"/>
          <w:szCs w:val="22"/>
        </w:rPr>
        <w:t xml:space="preserve">ection does not specify the </w:t>
      </w:r>
      <w:r w:rsidR="00F9375E" w:rsidRPr="008B0669">
        <w:rPr>
          <w:rFonts w:asciiTheme="minorHAnsi" w:hAnsiTheme="minorHAnsi" w:cs="Arial"/>
          <w:sz w:val="22"/>
          <w:szCs w:val="22"/>
        </w:rPr>
        <w:t>grounds</w:t>
      </w:r>
      <w:r w:rsidR="00352749" w:rsidRPr="008B0669">
        <w:rPr>
          <w:rFonts w:asciiTheme="minorHAnsi" w:hAnsiTheme="minorHAnsi" w:cs="Arial"/>
          <w:sz w:val="22"/>
          <w:szCs w:val="22"/>
        </w:rPr>
        <w:t xml:space="preserve"> </w:t>
      </w:r>
      <w:r w:rsidR="00F9375E" w:rsidRPr="008B0669">
        <w:rPr>
          <w:rFonts w:asciiTheme="minorHAnsi" w:hAnsiTheme="minorHAnsi" w:cs="Arial"/>
          <w:sz w:val="22"/>
          <w:szCs w:val="22"/>
        </w:rPr>
        <w:t>for granting</w:t>
      </w:r>
      <w:r w:rsidR="00352749" w:rsidRPr="008B0669">
        <w:rPr>
          <w:rFonts w:asciiTheme="minorHAnsi" w:hAnsiTheme="minorHAnsi" w:cs="Arial"/>
          <w:sz w:val="22"/>
          <w:szCs w:val="22"/>
        </w:rPr>
        <w:t xml:space="preserve"> exemptions.</w:t>
      </w:r>
    </w:p>
    <w:p w:rsidR="00D0393B" w:rsidRPr="008B0669" w:rsidRDefault="00D0393B" w:rsidP="002E255C">
      <w:pPr>
        <w:pStyle w:val="NormalWeb"/>
        <w:shd w:val="clear" w:color="auto" w:fill="FFFFFF"/>
        <w:spacing w:before="0" w:after="0"/>
        <w:ind w:left="936" w:right="576"/>
        <w:rPr>
          <w:rFonts w:asciiTheme="minorHAnsi" w:hAnsiTheme="minorHAnsi" w:cs="Arial"/>
          <w:sz w:val="22"/>
          <w:szCs w:val="22"/>
        </w:rPr>
      </w:pPr>
    </w:p>
    <w:p w:rsidR="00352749" w:rsidRPr="008B0669" w:rsidRDefault="00352749" w:rsidP="002E255C">
      <w:pPr>
        <w:pStyle w:val="Pa14"/>
        <w:numPr>
          <w:ilvl w:val="0"/>
          <w:numId w:val="6"/>
        </w:numPr>
        <w:spacing w:line="240" w:lineRule="auto"/>
        <w:ind w:right="576"/>
        <w:rPr>
          <w:rFonts w:asciiTheme="minorHAnsi" w:hAnsiTheme="minorHAnsi" w:cs="Arial"/>
          <w:sz w:val="22"/>
          <w:szCs w:val="22"/>
        </w:rPr>
      </w:pPr>
      <w:r w:rsidRPr="008B0669">
        <w:rPr>
          <w:rFonts w:asciiTheme="minorHAnsi" w:hAnsiTheme="minorHAnsi" w:cs="Arial"/>
          <w:sz w:val="22"/>
          <w:szCs w:val="22"/>
        </w:rPr>
        <w:lastRenderedPageBreak/>
        <w:t xml:space="preserve">The Authority has published guidelines </w:t>
      </w:r>
      <w:r w:rsidR="00EF15B4" w:rsidRPr="008B0669">
        <w:rPr>
          <w:rFonts w:asciiTheme="minorHAnsi" w:hAnsiTheme="minorHAnsi" w:cs="Arial"/>
          <w:sz w:val="22"/>
          <w:szCs w:val="22"/>
        </w:rPr>
        <w:t>on</w:t>
      </w:r>
      <w:r w:rsidRPr="008B0669">
        <w:rPr>
          <w:rFonts w:asciiTheme="minorHAnsi" w:hAnsiTheme="minorHAnsi" w:cs="Arial"/>
          <w:sz w:val="22"/>
          <w:szCs w:val="22"/>
        </w:rPr>
        <w:t xml:space="preserve"> the circumstances under which </w:t>
      </w:r>
      <w:r w:rsidR="00EF15B4" w:rsidRPr="008B0669">
        <w:rPr>
          <w:rFonts w:asciiTheme="minorHAnsi" w:hAnsiTheme="minorHAnsi" w:cs="Arial"/>
          <w:sz w:val="22"/>
          <w:szCs w:val="22"/>
        </w:rPr>
        <w:t>it</w:t>
      </w:r>
      <w:r w:rsidR="001A0AFF" w:rsidRPr="008B0669">
        <w:rPr>
          <w:rFonts w:asciiTheme="minorHAnsi" w:hAnsiTheme="minorHAnsi" w:cs="Arial"/>
          <w:sz w:val="22"/>
          <w:szCs w:val="22"/>
        </w:rPr>
        <w:t xml:space="preserve"> may consider exemptions</w:t>
      </w:r>
      <w:r w:rsidR="00F9375E" w:rsidRPr="008B0669">
        <w:rPr>
          <w:rFonts w:asciiTheme="minorHAnsi" w:hAnsiTheme="minorHAnsi" w:cs="Arial"/>
          <w:sz w:val="22"/>
          <w:szCs w:val="22"/>
        </w:rPr>
        <w:t>,</w:t>
      </w:r>
      <w:r w:rsidR="009F4B22" w:rsidRPr="008B0669">
        <w:rPr>
          <w:rStyle w:val="FootnoteReference"/>
          <w:rFonts w:asciiTheme="minorHAnsi" w:hAnsiTheme="minorHAnsi" w:cs="Arial"/>
          <w:sz w:val="22"/>
          <w:szCs w:val="22"/>
        </w:rPr>
        <w:footnoteReference w:id="17"/>
      </w:r>
      <w:r w:rsidR="00F9375E" w:rsidRPr="008B0669">
        <w:rPr>
          <w:rFonts w:asciiTheme="minorHAnsi" w:hAnsiTheme="minorHAnsi" w:cs="Arial"/>
          <w:sz w:val="22"/>
          <w:szCs w:val="22"/>
        </w:rPr>
        <w:t xml:space="preserve"> namely:</w:t>
      </w:r>
    </w:p>
    <w:p w:rsidR="009F4B22" w:rsidRPr="008B0669" w:rsidRDefault="009F4B22" w:rsidP="00CA1B11">
      <w:pPr>
        <w:spacing w:line="120" w:lineRule="auto"/>
        <w:rPr>
          <w:rFonts w:asciiTheme="minorHAnsi" w:hAnsiTheme="minorHAnsi"/>
        </w:rPr>
      </w:pPr>
    </w:p>
    <w:p w:rsidR="00352749" w:rsidRPr="008B0669" w:rsidRDefault="00391E14" w:rsidP="008C42AE">
      <w:pPr>
        <w:pStyle w:val="Pa16"/>
        <w:numPr>
          <w:ilvl w:val="1"/>
          <w:numId w:val="2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w:t>
      </w:r>
      <w:r w:rsidR="00352749" w:rsidRPr="008B0669">
        <w:rPr>
          <w:rFonts w:asciiTheme="minorHAnsi" w:hAnsiTheme="minorHAnsi" w:cs="Arial"/>
          <w:sz w:val="22"/>
          <w:szCs w:val="22"/>
        </w:rPr>
        <w:t>he prescribed ship’s proposed voyage or voyages do not const</w:t>
      </w:r>
      <w:r w:rsidR="00C31319" w:rsidRPr="008B0669">
        <w:rPr>
          <w:rFonts w:asciiTheme="minorHAnsi" w:hAnsiTheme="minorHAnsi" w:cs="Arial"/>
          <w:sz w:val="22"/>
          <w:szCs w:val="22"/>
        </w:rPr>
        <w:t>itute a regular trading pattern;</w:t>
      </w:r>
    </w:p>
    <w:p w:rsidR="00C31319" w:rsidRPr="008B0669" w:rsidRDefault="00C31319" w:rsidP="00CA1B11">
      <w:pPr>
        <w:spacing w:line="120" w:lineRule="auto"/>
        <w:rPr>
          <w:rFonts w:asciiTheme="minorHAnsi" w:hAnsiTheme="minorHAnsi"/>
        </w:rPr>
      </w:pPr>
    </w:p>
    <w:p w:rsidR="00352749" w:rsidRPr="008B0669" w:rsidRDefault="00391E14" w:rsidP="008C42AE">
      <w:pPr>
        <w:pStyle w:val="Pa16"/>
        <w:numPr>
          <w:ilvl w:val="1"/>
          <w:numId w:val="2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w:t>
      </w:r>
      <w:r w:rsidR="00352749" w:rsidRPr="008B0669">
        <w:rPr>
          <w:rFonts w:asciiTheme="minorHAnsi" w:hAnsiTheme="minorHAnsi" w:cs="Arial"/>
          <w:sz w:val="22"/>
          <w:szCs w:val="22"/>
        </w:rPr>
        <w:t>he prescribed ship is expected to voyage between two places outside Australia over a period of 12 months or more, and the majority of crew on the prescribed ship are not residents of Australia</w:t>
      </w:r>
      <w:r w:rsidR="00622521" w:rsidRPr="008B0669">
        <w:rPr>
          <w:rFonts w:asciiTheme="minorHAnsi" w:hAnsiTheme="minorHAnsi" w:cs="Arial"/>
          <w:sz w:val="22"/>
          <w:szCs w:val="22"/>
        </w:rPr>
        <w:t>;</w:t>
      </w:r>
    </w:p>
    <w:p w:rsidR="00C31319" w:rsidRPr="008B0669" w:rsidRDefault="00C31319" w:rsidP="00CA1B11">
      <w:pPr>
        <w:pStyle w:val="Pa16"/>
        <w:spacing w:line="120" w:lineRule="auto"/>
        <w:ind w:right="576"/>
        <w:rPr>
          <w:rFonts w:asciiTheme="minorHAnsi" w:hAnsiTheme="minorHAnsi" w:cs="Arial"/>
          <w:sz w:val="22"/>
          <w:szCs w:val="22"/>
        </w:rPr>
      </w:pPr>
    </w:p>
    <w:p w:rsidR="00352749" w:rsidRPr="008B0669" w:rsidRDefault="00391E14" w:rsidP="008C42AE">
      <w:pPr>
        <w:pStyle w:val="Pa16"/>
        <w:numPr>
          <w:ilvl w:val="1"/>
          <w:numId w:val="2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w:t>
      </w:r>
      <w:r w:rsidR="00352749" w:rsidRPr="008B0669">
        <w:rPr>
          <w:rFonts w:asciiTheme="minorHAnsi" w:hAnsiTheme="minorHAnsi" w:cs="Arial"/>
          <w:sz w:val="22"/>
          <w:szCs w:val="22"/>
        </w:rPr>
        <w:t xml:space="preserve">he voyages undertaken by the prescribed ship which make </w:t>
      </w:r>
      <w:r w:rsidR="00A30AAE" w:rsidRPr="008B0669">
        <w:rPr>
          <w:rFonts w:asciiTheme="minorHAnsi" w:hAnsiTheme="minorHAnsi" w:cs="Arial"/>
          <w:sz w:val="22"/>
          <w:szCs w:val="22"/>
        </w:rPr>
        <w:t>it</w:t>
      </w:r>
      <w:r w:rsidR="00352749" w:rsidRPr="008B0669">
        <w:rPr>
          <w:rFonts w:asciiTheme="minorHAnsi" w:hAnsiTheme="minorHAnsi" w:cs="Arial"/>
          <w:sz w:val="22"/>
          <w:szCs w:val="22"/>
        </w:rPr>
        <w:t xml:space="preserve"> subject to the operation of the Seafarers Act are incidental to the </w:t>
      </w:r>
      <w:r w:rsidR="006B6B99" w:rsidRPr="008B0669">
        <w:rPr>
          <w:rFonts w:asciiTheme="minorHAnsi" w:hAnsiTheme="minorHAnsi" w:cs="Arial"/>
          <w:sz w:val="22"/>
          <w:szCs w:val="22"/>
        </w:rPr>
        <w:t xml:space="preserve">ship’s </w:t>
      </w:r>
      <w:r w:rsidR="00352749" w:rsidRPr="008B0669">
        <w:rPr>
          <w:rFonts w:asciiTheme="minorHAnsi" w:hAnsiTheme="minorHAnsi" w:cs="Arial"/>
          <w:sz w:val="22"/>
          <w:szCs w:val="22"/>
        </w:rPr>
        <w:t>primary operations</w:t>
      </w:r>
      <w:r w:rsidR="00EF15B4" w:rsidRPr="008B0669">
        <w:rPr>
          <w:rFonts w:asciiTheme="minorHAnsi" w:hAnsiTheme="minorHAnsi" w:cs="Arial"/>
          <w:sz w:val="22"/>
          <w:szCs w:val="22"/>
        </w:rPr>
        <w:t>.</w:t>
      </w:r>
      <w:r w:rsidR="00352749" w:rsidRPr="008B0669">
        <w:rPr>
          <w:rFonts w:asciiTheme="minorHAnsi" w:hAnsiTheme="minorHAnsi" w:cs="Arial"/>
          <w:sz w:val="22"/>
          <w:szCs w:val="22"/>
        </w:rPr>
        <w:t xml:space="preserve"> </w:t>
      </w:r>
    </w:p>
    <w:p w:rsidR="00C31319" w:rsidRPr="008B0669" w:rsidRDefault="00C31319" w:rsidP="002E255C">
      <w:pPr>
        <w:pStyle w:val="Pa13"/>
        <w:spacing w:line="240" w:lineRule="auto"/>
        <w:ind w:right="576"/>
        <w:rPr>
          <w:rFonts w:asciiTheme="minorHAnsi" w:hAnsiTheme="minorHAnsi" w:cs="Arial"/>
          <w:sz w:val="22"/>
          <w:szCs w:val="22"/>
        </w:rPr>
      </w:pPr>
    </w:p>
    <w:p w:rsidR="00EF15B4" w:rsidRPr="008B0669" w:rsidRDefault="00EF15B4"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T</w:t>
      </w:r>
      <w:r w:rsidR="00352749" w:rsidRPr="008B0669">
        <w:rPr>
          <w:rFonts w:asciiTheme="minorHAnsi" w:hAnsiTheme="minorHAnsi" w:cs="Arial"/>
          <w:sz w:val="22"/>
          <w:szCs w:val="22"/>
        </w:rPr>
        <w:t xml:space="preserve">he Authority may </w:t>
      </w:r>
      <w:r w:rsidR="001A0AFF" w:rsidRPr="008B0669">
        <w:rPr>
          <w:rFonts w:asciiTheme="minorHAnsi" w:hAnsiTheme="minorHAnsi" w:cs="Arial"/>
          <w:sz w:val="22"/>
          <w:szCs w:val="22"/>
        </w:rPr>
        <w:t xml:space="preserve">also </w:t>
      </w:r>
      <w:r w:rsidR="00352749" w:rsidRPr="008B0669">
        <w:rPr>
          <w:rFonts w:asciiTheme="minorHAnsi" w:hAnsiTheme="minorHAnsi" w:cs="Arial"/>
          <w:sz w:val="22"/>
          <w:szCs w:val="22"/>
        </w:rPr>
        <w:t>exempt employment on a particular prescribed ship where</w:t>
      </w:r>
      <w:r w:rsidRPr="008B0669">
        <w:rPr>
          <w:rFonts w:asciiTheme="minorHAnsi" w:hAnsiTheme="minorHAnsi" w:cs="Arial"/>
          <w:sz w:val="22"/>
          <w:szCs w:val="22"/>
        </w:rPr>
        <w:t>:</w:t>
      </w:r>
      <w:r w:rsidR="00352749" w:rsidRPr="008B0669">
        <w:rPr>
          <w:rFonts w:asciiTheme="minorHAnsi" w:hAnsiTheme="minorHAnsi" w:cs="Arial"/>
          <w:sz w:val="22"/>
          <w:szCs w:val="22"/>
        </w:rPr>
        <w:t xml:space="preserve"> </w:t>
      </w:r>
    </w:p>
    <w:p w:rsidR="00EF15B4" w:rsidRPr="008B0669" w:rsidRDefault="00EF15B4" w:rsidP="00CA1B11">
      <w:pPr>
        <w:pStyle w:val="NormalWeb"/>
        <w:shd w:val="clear" w:color="auto" w:fill="FFFFFF"/>
        <w:spacing w:before="0" w:after="0" w:line="120" w:lineRule="auto"/>
        <w:ind w:left="936" w:right="576"/>
        <w:rPr>
          <w:rFonts w:asciiTheme="minorHAnsi" w:hAnsiTheme="minorHAnsi" w:cs="Arial"/>
          <w:sz w:val="22"/>
          <w:szCs w:val="22"/>
        </w:rPr>
      </w:pPr>
    </w:p>
    <w:p w:rsidR="00352749" w:rsidRPr="008B0669" w:rsidRDefault="00352749" w:rsidP="008C42AE">
      <w:pPr>
        <w:pStyle w:val="NormalWeb"/>
        <w:numPr>
          <w:ilvl w:val="1"/>
          <w:numId w:val="12"/>
        </w:numPr>
        <w:shd w:val="clear" w:color="auto" w:fill="FFFFFF"/>
        <w:spacing w:before="0" w:after="0"/>
        <w:ind w:left="1296" w:right="576"/>
        <w:rPr>
          <w:rFonts w:asciiTheme="minorHAnsi" w:hAnsiTheme="minorHAnsi" w:cs="Arial"/>
          <w:sz w:val="22"/>
          <w:szCs w:val="22"/>
        </w:rPr>
      </w:pPr>
      <w:r w:rsidRPr="008B0669">
        <w:rPr>
          <w:rFonts w:asciiTheme="minorHAnsi" w:hAnsiTheme="minorHAnsi" w:cs="Arial"/>
          <w:sz w:val="22"/>
          <w:szCs w:val="22"/>
        </w:rPr>
        <w:t xml:space="preserve">an employer </w:t>
      </w:r>
      <w:r w:rsidR="00EF15B4" w:rsidRPr="008B0669">
        <w:rPr>
          <w:rFonts w:asciiTheme="minorHAnsi" w:hAnsiTheme="minorHAnsi" w:cs="Arial"/>
          <w:sz w:val="22"/>
          <w:szCs w:val="22"/>
        </w:rPr>
        <w:t>can</w:t>
      </w:r>
      <w:r w:rsidRPr="008B0669">
        <w:rPr>
          <w:rFonts w:asciiTheme="minorHAnsi" w:hAnsiTheme="minorHAnsi" w:cs="Arial"/>
          <w:sz w:val="22"/>
          <w:szCs w:val="22"/>
        </w:rPr>
        <w:t xml:space="preserve"> demonstrate to the Authority that workers’ compensation cover is available to its employees under another Australian workers’ compensation scheme, at a cost that is below that available under the Seacare scheme</w:t>
      </w:r>
      <w:r w:rsidR="00622521" w:rsidRPr="008B0669">
        <w:rPr>
          <w:rFonts w:asciiTheme="minorHAnsi" w:hAnsiTheme="minorHAnsi" w:cs="Arial"/>
          <w:sz w:val="22"/>
          <w:szCs w:val="22"/>
        </w:rPr>
        <w:t>;</w:t>
      </w:r>
      <w:r w:rsidRPr="008B0669">
        <w:rPr>
          <w:rFonts w:asciiTheme="minorHAnsi" w:hAnsiTheme="minorHAnsi" w:cs="Arial"/>
          <w:sz w:val="22"/>
          <w:szCs w:val="22"/>
        </w:rPr>
        <w:t xml:space="preserve"> </w:t>
      </w:r>
      <w:r w:rsidR="00EF15B4" w:rsidRPr="008B0669">
        <w:rPr>
          <w:rFonts w:asciiTheme="minorHAnsi" w:hAnsiTheme="minorHAnsi" w:cs="Arial"/>
          <w:sz w:val="22"/>
          <w:szCs w:val="22"/>
        </w:rPr>
        <w:t>or</w:t>
      </w:r>
    </w:p>
    <w:p w:rsidR="00C31319" w:rsidRPr="008B0669" w:rsidRDefault="00C31319" w:rsidP="00CA1B11">
      <w:pPr>
        <w:pStyle w:val="Pa13"/>
        <w:spacing w:line="120" w:lineRule="auto"/>
        <w:ind w:right="576"/>
        <w:rPr>
          <w:rFonts w:asciiTheme="minorHAnsi" w:hAnsiTheme="minorHAnsi" w:cs="Arial"/>
          <w:sz w:val="22"/>
          <w:szCs w:val="22"/>
        </w:rPr>
      </w:pPr>
    </w:p>
    <w:p w:rsidR="00352749" w:rsidRPr="008B0669" w:rsidRDefault="00EF15B4" w:rsidP="008C42AE">
      <w:pPr>
        <w:pStyle w:val="Pa13"/>
        <w:numPr>
          <w:ilvl w:val="1"/>
          <w:numId w:val="12"/>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the</w:t>
      </w:r>
      <w:r w:rsidR="00352749" w:rsidRPr="008B0669">
        <w:rPr>
          <w:rFonts w:asciiTheme="minorHAnsi" w:hAnsiTheme="minorHAnsi" w:cs="Arial"/>
          <w:sz w:val="22"/>
          <w:szCs w:val="22"/>
        </w:rPr>
        <w:t xml:space="preserve"> prescribed ship is under 500 gross tonnes</w:t>
      </w:r>
      <w:r w:rsidRPr="008B0669">
        <w:rPr>
          <w:rFonts w:asciiTheme="minorHAnsi" w:hAnsiTheme="minorHAnsi" w:cs="Arial"/>
          <w:sz w:val="22"/>
          <w:szCs w:val="22"/>
        </w:rPr>
        <w:t>.</w:t>
      </w:r>
    </w:p>
    <w:p w:rsidR="00C31319" w:rsidRPr="008B0669" w:rsidRDefault="00C31319" w:rsidP="00975413">
      <w:pPr>
        <w:spacing w:line="120" w:lineRule="auto"/>
        <w:ind w:right="576"/>
        <w:rPr>
          <w:rFonts w:asciiTheme="minorHAnsi" w:hAnsiTheme="minorHAnsi"/>
        </w:rPr>
      </w:pPr>
    </w:p>
    <w:p w:rsidR="008C42AE" w:rsidRPr="008B0669" w:rsidRDefault="00975413"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Further, t</w:t>
      </w:r>
      <w:r w:rsidR="00CA1B11" w:rsidRPr="008B0669">
        <w:rPr>
          <w:rFonts w:asciiTheme="minorHAnsi" w:hAnsiTheme="minorHAnsi" w:cs="Arial"/>
          <w:sz w:val="22"/>
          <w:szCs w:val="22"/>
        </w:rPr>
        <w:t>he</w:t>
      </w:r>
      <w:r w:rsidR="00352749" w:rsidRPr="008B0669">
        <w:rPr>
          <w:rFonts w:asciiTheme="minorHAnsi" w:hAnsiTheme="minorHAnsi" w:cs="Arial"/>
          <w:sz w:val="22"/>
          <w:szCs w:val="22"/>
        </w:rPr>
        <w:t xml:space="preserve"> Authority may exempt employment from the </w:t>
      </w:r>
      <w:r w:rsidR="000D6637" w:rsidRPr="008B0669">
        <w:rPr>
          <w:rFonts w:asciiTheme="minorHAnsi" w:hAnsiTheme="minorHAnsi" w:cs="Arial"/>
          <w:sz w:val="22"/>
          <w:szCs w:val="22"/>
        </w:rPr>
        <w:t xml:space="preserve">Act’s </w:t>
      </w:r>
      <w:r w:rsidR="00352749" w:rsidRPr="008B0669">
        <w:rPr>
          <w:rFonts w:asciiTheme="minorHAnsi" w:hAnsiTheme="minorHAnsi" w:cs="Arial"/>
          <w:sz w:val="22"/>
          <w:szCs w:val="22"/>
        </w:rPr>
        <w:t xml:space="preserve">operation where </w:t>
      </w:r>
      <w:r w:rsidR="000D6637" w:rsidRPr="008B0669">
        <w:rPr>
          <w:rFonts w:asciiTheme="minorHAnsi" w:hAnsiTheme="minorHAnsi" w:cs="Arial"/>
          <w:sz w:val="22"/>
          <w:szCs w:val="22"/>
        </w:rPr>
        <w:t>a</w:t>
      </w:r>
      <w:r w:rsidR="00352749" w:rsidRPr="008B0669">
        <w:rPr>
          <w:rFonts w:asciiTheme="minorHAnsi" w:hAnsiTheme="minorHAnsi" w:cs="Arial"/>
          <w:sz w:val="22"/>
          <w:szCs w:val="22"/>
        </w:rPr>
        <w:t xml:space="preserve"> prescribed ship voyages within a Territory and does not voyage between a Territory and a place outside a Territory.</w:t>
      </w:r>
      <w:r w:rsidR="008C42AE" w:rsidRPr="008B0669">
        <w:rPr>
          <w:rFonts w:asciiTheme="minorHAnsi" w:hAnsiTheme="minorHAnsi" w:cs="Arial"/>
          <w:sz w:val="22"/>
          <w:szCs w:val="22"/>
        </w:rPr>
        <w:t xml:space="preserve">  </w:t>
      </w:r>
      <w:r w:rsidR="00CA1B11" w:rsidRPr="008B0669">
        <w:rPr>
          <w:rFonts w:asciiTheme="minorHAnsi" w:hAnsiTheme="minorHAnsi" w:cs="Arial"/>
          <w:sz w:val="22"/>
          <w:szCs w:val="22"/>
        </w:rPr>
        <w:t>In</w:t>
      </w:r>
      <w:r w:rsidR="008C42AE" w:rsidRPr="008B0669">
        <w:rPr>
          <w:rFonts w:asciiTheme="minorHAnsi" w:hAnsiTheme="minorHAnsi" w:cs="Arial"/>
          <w:sz w:val="22"/>
          <w:szCs w:val="22"/>
        </w:rPr>
        <w:t xml:space="preserve"> October 2012, </w:t>
      </w:r>
      <w:r w:rsidR="00CA1B11" w:rsidRPr="008B0669">
        <w:rPr>
          <w:rFonts w:asciiTheme="minorHAnsi" w:hAnsiTheme="minorHAnsi" w:cs="Arial"/>
          <w:sz w:val="22"/>
          <w:szCs w:val="22"/>
        </w:rPr>
        <w:t>14</w:t>
      </w:r>
      <w:r w:rsidR="008C42AE" w:rsidRPr="008B0669">
        <w:rPr>
          <w:rFonts w:asciiTheme="minorHAnsi" w:hAnsiTheme="minorHAnsi" w:cs="Arial"/>
          <w:sz w:val="22"/>
          <w:szCs w:val="22"/>
        </w:rPr>
        <w:t xml:space="preserve"> exemptions applied to different vessels under the Act.  They range from ships with a ‘non-regular’ trading pattern to </w:t>
      </w:r>
      <w:r w:rsidR="00CA1B11" w:rsidRPr="008B0669">
        <w:rPr>
          <w:rFonts w:asciiTheme="minorHAnsi" w:hAnsiTheme="minorHAnsi" w:cs="Arial"/>
          <w:sz w:val="22"/>
          <w:szCs w:val="22"/>
        </w:rPr>
        <w:t>cases</w:t>
      </w:r>
      <w:r w:rsidR="008C42AE" w:rsidRPr="008B0669">
        <w:rPr>
          <w:rFonts w:asciiTheme="minorHAnsi" w:hAnsiTheme="minorHAnsi" w:cs="Arial"/>
          <w:sz w:val="22"/>
          <w:szCs w:val="22"/>
        </w:rPr>
        <w:t xml:space="preserve"> where lower cost workers’ compensation insurance is available</w:t>
      </w:r>
    </w:p>
    <w:p w:rsidR="00FA5E00" w:rsidRPr="008B0669" w:rsidRDefault="00FA5E00" w:rsidP="00975413">
      <w:pPr>
        <w:spacing w:line="120" w:lineRule="auto"/>
        <w:ind w:left="720" w:right="576"/>
        <w:rPr>
          <w:rFonts w:asciiTheme="minorHAnsi" w:hAnsiTheme="minorHAnsi"/>
        </w:rPr>
      </w:pPr>
    </w:p>
    <w:p w:rsidR="00FA5E00" w:rsidRPr="008B0669" w:rsidRDefault="00EF15B4"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Although</w:t>
      </w:r>
      <w:r w:rsidR="004E76DF" w:rsidRPr="008B0669">
        <w:rPr>
          <w:rFonts w:asciiTheme="minorHAnsi" w:hAnsiTheme="minorHAnsi" w:cs="Arial"/>
          <w:sz w:val="22"/>
          <w:szCs w:val="22"/>
        </w:rPr>
        <w:t xml:space="preserve"> </w:t>
      </w:r>
      <w:r w:rsidR="00975413" w:rsidRPr="008B0669">
        <w:rPr>
          <w:rFonts w:asciiTheme="minorHAnsi" w:hAnsiTheme="minorHAnsi" w:cs="Arial"/>
          <w:sz w:val="22"/>
          <w:szCs w:val="22"/>
        </w:rPr>
        <w:t>the Seacare scheme has</w:t>
      </w:r>
      <w:r w:rsidR="004E76DF" w:rsidRPr="008B0669">
        <w:rPr>
          <w:rFonts w:asciiTheme="minorHAnsi" w:hAnsiTheme="minorHAnsi" w:cs="Arial"/>
          <w:sz w:val="22"/>
          <w:szCs w:val="22"/>
        </w:rPr>
        <w:t xml:space="preserve"> no declaration provisions, </w:t>
      </w:r>
      <w:r w:rsidR="00FB27C7" w:rsidRPr="008B0669">
        <w:rPr>
          <w:rFonts w:asciiTheme="minorHAnsi" w:hAnsiTheme="minorHAnsi" w:cs="Arial"/>
          <w:sz w:val="22"/>
          <w:szCs w:val="22"/>
        </w:rPr>
        <w:t xml:space="preserve">certain </w:t>
      </w:r>
      <w:r w:rsidR="004E76DF" w:rsidRPr="008B0669">
        <w:rPr>
          <w:rFonts w:asciiTheme="minorHAnsi" w:hAnsiTheme="minorHAnsi" w:cs="Arial"/>
          <w:sz w:val="22"/>
          <w:szCs w:val="22"/>
        </w:rPr>
        <w:t xml:space="preserve">vessels can be brought into the scheme where </w:t>
      </w:r>
      <w:proofErr w:type="spellStart"/>
      <w:r w:rsidR="00FB27C7" w:rsidRPr="008B0669">
        <w:rPr>
          <w:rFonts w:asciiTheme="minorHAnsi" w:hAnsiTheme="minorHAnsi" w:cs="Arial"/>
          <w:sz w:val="22"/>
          <w:szCs w:val="22"/>
        </w:rPr>
        <w:t>AMSA</w:t>
      </w:r>
      <w:proofErr w:type="spellEnd"/>
      <w:r w:rsidR="00FB27C7" w:rsidRPr="008B0669">
        <w:rPr>
          <w:rFonts w:asciiTheme="minorHAnsi" w:hAnsiTheme="minorHAnsi" w:cs="Arial"/>
          <w:sz w:val="22"/>
          <w:szCs w:val="22"/>
        </w:rPr>
        <w:t xml:space="preserve"> makes </w:t>
      </w:r>
      <w:r w:rsidR="004E76DF" w:rsidRPr="008B0669">
        <w:rPr>
          <w:rFonts w:asciiTheme="minorHAnsi" w:hAnsiTheme="minorHAnsi" w:cs="Arial"/>
          <w:sz w:val="22"/>
          <w:szCs w:val="22"/>
        </w:rPr>
        <w:t xml:space="preserve">declarations under </w:t>
      </w:r>
      <w:proofErr w:type="spellStart"/>
      <w:r w:rsidR="00FB27C7" w:rsidRPr="008B0669">
        <w:rPr>
          <w:rFonts w:asciiTheme="minorHAnsi" w:hAnsiTheme="minorHAnsi" w:cs="Arial"/>
          <w:sz w:val="22"/>
          <w:szCs w:val="22"/>
        </w:rPr>
        <w:t>ss.8A</w:t>
      </w:r>
      <w:proofErr w:type="spellEnd"/>
      <w:r w:rsidR="00A606F8" w:rsidRPr="008B0669">
        <w:rPr>
          <w:rFonts w:asciiTheme="minorHAnsi" w:hAnsiTheme="minorHAnsi" w:cs="Arial"/>
          <w:sz w:val="22"/>
          <w:szCs w:val="22"/>
        </w:rPr>
        <w:t>,</w:t>
      </w:r>
      <w:r w:rsidR="00FB27C7" w:rsidRPr="008B0669">
        <w:rPr>
          <w:rFonts w:asciiTheme="minorHAnsi" w:hAnsiTheme="minorHAnsi" w:cs="Arial"/>
          <w:sz w:val="22"/>
          <w:szCs w:val="22"/>
        </w:rPr>
        <w:t xml:space="preserve"> </w:t>
      </w:r>
      <w:proofErr w:type="spellStart"/>
      <w:r w:rsidR="00FB27C7" w:rsidRPr="008B0669">
        <w:rPr>
          <w:rFonts w:asciiTheme="minorHAnsi" w:hAnsiTheme="minorHAnsi" w:cs="Arial"/>
          <w:sz w:val="22"/>
          <w:szCs w:val="22"/>
        </w:rPr>
        <w:t>8AA</w:t>
      </w:r>
      <w:proofErr w:type="spellEnd"/>
      <w:r w:rsidR="00FB27C7" w:rsidRPr="008B0669">
        <w:rPr>
          <w:rFonts w:asciiTheme="minorHAnsi" w:hAnsiTheme="minorHAnsi" w:cs="Arial"/>
          <w:sz w:val="22"/>
          <w:szCs w:val="22"/>
        </w:rPr>
        <w:t xml:space="preserve"> </w:t>
      </w:r>
      <w:r w:rsidR="00A606F8" w:rsidRPr="008B0669">
        <w:rPr>
          <w:rFonts w:asciiTheme="minorHAnsi" w:hAnsiTheme="minorHAnsi" w:cs="Arial"/>
          <w:sz w:val="22"/>
          <w:szCs w:val="22"/>
        </w:rPr>
        <w:t xml:space="preserve">and </w:t>
      </w:r>
      <w:proofErr w:type="spellStart"/>
      <w:r w:rsidR="00A606F8" w:rsidRPr="008B0669">
        <w:rPr>
          <w:rFonts w:asciiTheme="minorHAnsi" w:hAnsiTheme="minorHAnsi" w:cs="Arial"/>
          <w:sz w:val="22"/>
          <w:szCs w:val="22"/>
        </w:rPr>
        <w:t>8AB</w:t>
      </w:r>
      <w:proofErr w:type="spellEnd"/>
      <w:r w:rsidR="00A606F8" w:rsidRPr="008B0669">
        <w:rPr>
          <w:rFonts w:asciiTheme="minorHAnsi" w:hAnsiTheme="minorHAnsi" w:cs="Arial"/>
          <w:sz w:val="22"/>
          <w:szCs w:val="22"/>
        </w:rPr>
        <w:t xml:space="preserve"> </w:t>
      </w:r>
      <w:r w:rsidR="00FB27C7" w:rsidRPr="008B0669">
        <w:rPr>
          <w:rFonts w:asciiTheme="minorHAnsi" w:hAnsiTheme="minorHAnsi" w:cs="Arial"/>
          <w:sz w:val="22"/>
          <w:szCs w:val="22"/>
        </w:rPr>
        <w:t xml:space="preserve">of </w:t>
      </w:r>
      <w:r w:rsidR="004E76DF" w:rsidRPr="008B0669">
        <w:rPr>
          <w:rFonts w:asciiTheme="minorHAnsi" w:hAnsiTheme="minorHAnsi" w:cs="Arial"/>
          <w:sz w:val="22"/>
          <w:szCs w:val="22"/>
        </w:rPr>
        <w:t xml:space="preserve">the Navigation Act </w:t>
      </w:r>
      <w:r w:rsidR="00FB27C7" w:rsidRPr="008B0669">
        <w:rPr>
          <w:rFonts w:asciiTheme="minorHAnsi" w:hAnsiTheme="minorHAnsi" w:cs="Arial"/>
          <w:sz w:val="22"/>
          <w:szCs w:val="22"/>
        </w:rPr>
        <w:t xml:space="preserve">1912. </w:t>
      </w:r>
      <w:r w:rsidR="008C42AE" w:rsidRPr="008B0669">
        <w:rPr>
          <w:rFonts w:asciiTheme="minorHAnsi" w:hAnsiTheme="minorHAnsi" w:cs="Arial"/>
          <w:sz w:val="22"/>
          <w:szCs w:val="22"/>
        </w:rPr>
        <w:t xml:space="preserve"> </w:t>
      </w:r>
    </w:p>
    <w:p w:rsidR="00352749" w:rsidRPr="008B0669" w:rsidRDefault="00352749" w:rsidP="00975413">
      <w:pPr>
        <w:pStyle w:val="Pa14"/>
        <w:spacing w:line="120" w:lineRule="auto"/>
        <w:ind w:left="720" w:right="576"/>
        <w:rPr>
          <w:rFonts w:asciiTheme="minorHAnsi" w:hAnsiTheme="minorHAnsi" w:cs="Arial"/>
          <w:sz w:val="22"/>
          <w:szCs w:val="22"/>
        </w:rPr>
      </w:pPr>
    </w:p>
    <w:p w:rsidR="00975413" w:rsidRPr="008B0669" w:rsidRDefault="00EF15B4" w:rsidP="008C42AE">
      <w:pPr>
        <w:pStyle w:val="NormalWeb"/>
        <w:keepNext/>
        <w:numPr>
          <w:ilvl w:val="0"/>
          <w:numId w:val="6"/>
        </w:numPr>
        <w:shd w:val="clear" w:color="auto" w:fill="FFFFFF"/>
        <w:spacing w:before="0" w:after="0"/>
        <w:ind w:right="576"/>
        <w:rPr>
          <w:rFonts w:asciiTheme="minorHAnsi" w:hAnsiTheme="minorHAnsi"/>
          <w:i/>
        </w:rPr>
      </w:pPr>
      <w:r w:rsidRPr="008B0669">
        <w:rPr>
          <w:rFonts w:asciiTheme="minorHAnsi" w:hAnsiTheme="minorHAnsi" w:cs="Arial"/>
          <w:sz w:val="22"/>
          <w:szCs w:val="22"/>
        </w:rPr>
        <w:t>The review will examine whether</w:t>
      </w:r>
      <w:r w:rsidR="001A0AFF" w:rsidRPr="008B0669">
        <w:rPr>
          <w:rFonts w:asciiTheme="minorHAnsi" w:hAnsiTheme="minorHAnsi" w:cs="Arial"/>
          <w:sz w:val="22"/>
          <w:szCs w:val="22"/>
        </w:rPr>
        <w:t xml:space="preserve"> exemptions should be further clarified in the Seafarers Act or associated Regulations.</w:t>
      </w:r>
      <w:r w:rsidRPr="008B0669">
        <w:rPr>
          <w:rFonts w:asciiTheme="minorHAnsi" w:hAnsiTheme="minorHAnsi" w:cs="Arial"/>
          <w:sz w:val="22"/>
          <w:szCs w:val="22"/>
        </w:rPr>
        <w:t xml:space="preserve">  This would not operate to exempt operators from OHS(MI) Act obligations.</w:t>
      </w:r>
    </w:p>
    <w:p w:rsidR="00975413" w:rsidRPr="008B0669" w:rsidRDefault="00975413" w:rsidP="008C42AE">
      <w:pPr>
        <w:keepNext/>
        <w:ind w:left="936" w:right="576"/>
        <w:rPr>
          <w:rFonts w:asciiTheme="minorHAnsi" w:hAnsiTheme="minorHAnsi"/>
          <w:i/>
        </w:rPr>
      </w:pPr>
    </w:p>
    <w:p w:rsidR="008C42AE" w:rsidRPr="008B0669" w:rsidRDefault="008C42AE" w:rsidP="008C42AE">
      <w:pPr>
        <w:keepNext/>
        <w:ind w:left="936" w:right="576"/>
        <w:rPr>
          <w:rFonts w:asciiTheme="minorHAnsi" w:hAnsiTheme="minorHAnsi"/>
          <w:sz w:val="24"/>
          <w:szCs w:val="24"/>
        </w:rPr>
      </w:pPr>
      <w:r w:rsidRPr="008B0669">
        <w:rPr>
          <w:rFonts w:asciiTheme="minorHAnsi" w:hAnsiTheme="minorHAnsi"/>
          <w:i/>
        </w:rPr>
        <w:t>TOR 1(c) - Seacare scheme exemptions and directions and declarations under the Scheme</w:t>
      </w:r>
    </w:p>
    <w:tbl>
      <w:tblPr>
        <w:tblStyle w:val="TableGrid"/>
        <w:tblW w:w="0" w:type="auto"/>
        <w:tblInd w:w="9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ook w:val="04A0" w:firstRow="1" w:lastRow="0" w:firstColumn="1" w:lastColumn="0" w:noHBand="0" w:noVBand="1"/>
      </w:tblPr>
      <w:tblGrid>
        <w:gridCol w:w="9317"/>
      </w:tblGrid>
      <w:tr w:rsidR="000B2678" w:rsidRPr="008B0669" w:rsidTr="00BD6701">
        <w:tc>
          <w:tcPr>
            <w:tcW w:w="9317" w:type="dxa"/>
            <w:shd w:val="clear" w:color="auto" w:fill="C6D9F1" w:themeFill="text2" w:themeFillTint="33"/>
            <w:vAlign w:val="center"/>
          </w:tcPr>
          <w:p w:rsidR="00264526" w:rsidRPr="008837E5" w:rsidRDefault="00867570" w:rsidP="008837E5">
            <w:pPr>
              <w:rPr>
                <w:rStyle w:val="Heading3Char"/>
                <w:rFonts w:asciiTheme="minorHAnsi" w:eastAsia="Calibri" w:hAnsiTheme="minorHAnsi"/>
                <w:bCs/>
              </w:rPr>
            </w:pPr>
            <w:r w:rsidRPr="008837E5">
              <w:rPr>
                <w:rFonts w:asciiTheme="minorHAnsi" w:hAnsiTheme="minorHAnsi"/>
              </w:rPr>
              <w:t>D</w:t>
            </w:r>
            <w:r w:rsidRPr="008837E5">
              <w:rPr>
                <w:rStyle w:val="Heading3Char"/>
                <w:rFonts w:asciiTheme="minorHAnsi" w:eastAsia="Calibri" w:hAnsiTheme="minorHAnsi"/>
                <w:bCs/>
              </w:rPr>
              <w:t>iscussion points</w:t>
            </w:r>
          </w:p>
          <w:p w:rsidR="00391E14" w:rsidRPr="00CC7EC4" w:rsidRDefault="00391E14" w:rsidP="008C42AE">
            <w:pPr>
              <w:keepNext/>
              <w:spacing w:line="120" w:lineRule="auto"/>
              <w:ind w:right="576"/>
              <w:rPr>
                <w:rFonts w:asciiTheme="minorHAnsi" w:hAnsiTheme="minorHAnsi"/>
                <w:sz w:val="24"/>
                <w:szCs w:val="24"/>
              </w:rPr>
            </w:pPr>
          </w:p>
          <w:p w:rsidR="00975413" w:rsidRPr="008B0669" w:rsidRDefault="00BE7831" w:rsidP="002E255C">
            <w:pPr>
              <w:keepNext/>
              <w:ind w:right="576"/>
              <w:rPr>
                <w:rFonts w:asciiTheme="minorHAnsi" w:hAnsiTheme="minorHAnsi"/>
              </w:rPr>
            </w:pPr>
            <w:r w:rsidRPr="008B0669">
              <w:rPr>
                <w:rFonts w:asciiTheme="minorHAnsi" w:hAnsiTheme="minorHAnsi"/>
              </w:rPr>
              <w:t xml:space="preserve">Should the </w:t>
            </w:r>
            <w:r w:rsidR="00DB7E51" w:rsidRPr="008B0669">
              <w:rPr>
                <w:rFonts w:asciiTheme="minorHAnsi" w:hAnsiTheme="minorHAnsi"/>
              </w:rPr>
              <w:t xml:space="preserve">Seafarers Act continue to </w:t>
            </w:r>
            <w:r w:rsidR="00CC583A" w:rsidRPr="008B0669">
              <w:rPr>
                <w:rFonts w:asciiTheme="minorHAnsi" w:hAnsiTheme="minorHAnsi"/>
              </w:rPr>
              <w:t xml:space="preserve">provide </w:t>
            </w:r>
            <w:r w:rsidR="00DB7E51" w:rsidRPr="008B0669">
              <w:rPr>
                <w:rFonts w:asciiTheme="minorHAnsi" w:hAnsiTheme="minorHAnsi"/>
              </w:rPr>
              <w:t xml:space="preserve">for </w:t>
            </w:r>
            <w:r w:rsidRPr="008B0669">
              <w:rPr>
                <w:rFonts w:asciiTheme="minorHAnsi" w:hAnsiTheme="minorHAnsi"/>
              </w:rPr>
              <w:t>exemptions?</w:t>
            </w:r>
          </w:p>
          <w:p w:rsidR="00975413" w:rsidRPr="008B0669" w:rsidRDefault="00975413" w:rsidP="00975413">
            <w:pPr>
              <w:keepNext/>
              <w:spacing w:line="120" w:lineRule="auto"/>
              <w:ind w:right="576"/>
              <w:rPr>
                <w:rFonts w:asciiTheme="minorHAnsi" w:hAnsiTheme="minorHAnsi"/>
              </w:rPr>
            </w:pPr>
          </w:p>
          <w:p w:rsidR="00CC583A" w:rsidRPr="008B0669" w:rsidRDefault="00BE7831" w:rsidP="002E255C">
            <w:pPr>
              <w:keepNext/>
              <w:ind w:right="576"/>
              <w:rPr>
                <w:rFonts w:asciiTheme="minorHAnsi" w:hAnsiTheme="minorHAnsi"/>
              </w:rPr>
            </w:pPr>
            <w:r w:rsidRPr="008B0669">
              <w:rPr>
                <w:rFonts w:asciiTheme="minorHAnsi" w:hAnsiTheme="minorHAnsi"/>
              </w:rPr>
              <w:t xml:space="preserve"> If so</w:t>
            </w:r>
            <w:r w:rsidR="00CC583A" w:rsidRPr="008B0669">
              <w:rPr>
                <w:rFonts w:asciiTheme="minorHAnsi" w:hAnsiTheme="minorHAnsi"/>
              </w:rPr>
              <w:t>:</w:t>
            </w:r>
            <w:r w:rsidRPr="008B0669">
              <w:rPr>
                <w:rFonts w:asciiTheme="minorHAnsi" w:hAnsiTheme="minorHAnsi"/>
              </w:rPr>
              <w:t xml:space="preserve"> </w:t>
            </w:r>
          </w:p>
          <w:p w:rsidR="00CC583A" w:rsidRPr="008B0669" w:rsidRDefault="00CC583A" w:rsidP="00CA1B11">
            <w:pPr>
              <w:keepNext/>
              <w:spacing w:line="120" w:lineRule="auto"/>
              <w:ind w:right="576"/>
              <w:rPr>
                <w:rFonts w:asciiTheme="minorHAnsi" w:hAnsiTheme="minorHAnsi"/>
              </w:rPr>
            </w:pPr>
          </w:p>
          <w:p w:rsidR="00867570" w:rsidRPr="008B0669" w:rsidRDefault="00867570" w:rsidP="002E255C">
            <w:pPr>
              <w:pStyle w:val="ListParagraph"/>
              <w:keepNext/>
              <w:numPr>
                <w:ilvl w:val="0"/>
                <w:numId w:val="22"/>
              </w:numPr>
              <w:ind w:left="360" w:right="576"/>
              <w:rPr>
                <w:rFonts w:asciiTheme="minorHAnsi" w:hAnsiTheme="minorHAnsi"/>
              </w:rPr>
            </w:pPr>
            <w:r w:rsidRPr="008B0669">
              <w:rPr>
                <w:rFonts w:asciiTheme="minorHAnsi" w:hAnsiTheme="minorHAnsi"/>
              </w:rPr>
              <w:t xml:space="preserve">what should they be? </w:t>
            </w:r>
          </w:p>
          <w:p w:rsidR="00867570" w:rsidRPr="008B0669" w:rsidRDefault="00867570" w:rsidP="00CA1B11">
            <w:pPr>
              <w:keepNext/>
              <w:spacing w:line="120" w:lineRule="auto"/>
              <w:ind w:right="576"/>
              <w:rPr>
                <w:rFonts w:asciiTheme="minorHAnsi" w:hAnsiTheme="minorHAnsi"/>
              </w:rPr>
            </w:pPr>
          </w:p>
          <w:p w:rsidR="00BE7831" w:rsidRPr="008B0669" w:rsidRDefault="00CC583A" w:rsidP="002E255C">
            <w:pPr>
              <w:pStyle w:val="ListParagraph"/>
              <w:keepNext/>
              <w:numPr>
                <w:ilvl w:val="0"/>
                <w:numId w:val="22"/>
              </w:numPr>
              <w:ind w:left="360" w:right="576"/>
              <w:rPr>
                <w:rFonts w:asciiTheme="minorHAnsi" w:hAnsiTheme="minorHAnsi"/>
              </w:rPr>
            </w:pPr>
            <w:r w:rsidRPr="008B0669">
              <w:rPr>
                <w:rFonts w:asciiTheme="minorHAnsi" w:hAnsiTheme="minorHAnsi"/>
              </w:rPr>
              <w:t>s</w:t>
            </w:r>
            <w:r w:rsidR="00BE7831" w:rsidRPr="008B0669">
              <w:rPr>
                <w:rFonts w:asciiTheme="minorHAnsi" w:hAnsiTheme="minorHAnsi"/>
              </w:rPr>
              <w:t>hould limitations</w:t>
            </w:r>
            <w:r w:rsidR="00DB7E51" w:rsidRPr="008B0669">
              <w:rPr>
                <w:rFonts w:asciiTheme="minorHAnsi" w:hAnsiTheme="minorHAnsi"/>
              </w:rPr>
              <w:t xml:space="preserve"> appl</w:t>
            </w:r>
            <w:r w:rsidR="00FE22EC" w:rsidRPr="008B0669">
              <w:rPr>
                <w:rFonts w:asciiTheme="minorHAnsi" w:hAnsiTheme="minorHAnsi"/>
              </w:rPr>
              <w:t>y</w:t>
            </w:r>
            <w:r w:rsidR="00DB7E51" w:rsidRPr="008B0669">
              <w:rPr>
                <w:rFonts w:asciiTheme="minorHAnsi" w:hAnsiTheme="minorHAnsi"/>
              </w:rPr>
              <w:t xml:space="preserve"> to </w:t>
            </w:r>
            <w:r w:rsidR="00BE7831" w:rsidRPr="008B0669">
              <w:rPr>
                <w:rFonts w:asciiTheme="minorHAnsi" w:hAnsiTheme="minorHAnsi"/>
              </w:rPr>
              <w:t>such exemptions</w:t>
            </w:r>
            <w:r w:rsidR="00DB7E51" w:rsidRPr="008B0669">
              <w:rPr>
                <w:rFonts w:asciiTheme="minorHAnsi" w:hAnsiTheme="minorHAnsi"/>
              </w:rPr>
              <w:t xml:space="preserve"> and directions</w:t>
            </w:r>
            <w:r w:rsidR="00BE7831" w:rsidRPr="008B0669">
              <w:rPr>
                <w:rFonts w:asciiTheme="minorHAnsi" w:hAnsiTheme="minorHAnsi"/>
              </w:rPr>
              <w:t>?</w:t>
            </w:r>
          </w:p>
          <w:p w:rsidR="00391E14" w:rsidRPr="008B0669" w:rsidRDefault="00391E14" w:rsidP="00CA1B11">
            <w:pPr>
              <w:keepNext/>
              <w:spacing w:line="120" w:lineRule="auto"/>
              <w:ind w:right="576"/>
              <w:rPr>
                <w:rFonts w:asciiTheme="minorHAnsi" w:hAnsiTheme="minorHAnsi"/>
              </w:rPr>
            </w:pPr>
          </w:p>
          <w:p w:rsidR="001A0AFF" w:rsidRPr="008B0669" w:rsidRDefault="00CC583A" w:rsidP="002E255C">
            <w:pPr>
              <w:pStyle w:val="ListParagraph"/>
              <w:keepNext/>
              <w:numPr>
                <w:ilvl w:val="0"/>
                <w:numId w:val="22"/>
              </w:numPr>
              <w:ind w:left="360" w:right="576"/>
              <w:rPr>
                <w:rFonts w:asciiTheme="minorHAnsi" w:hAnsiTheme="minorHAnsi"/>
              </w:rPr>
            </w:pPr>
            <w:r w:rsidRPr="008B0669">
              <w:rPr>
                <w:rFonts w:asciiTheme="minorHAnsi" w:hAnsiTheme="minorHAnsi"/>
              </w:rPr>
              <w:t>s</w:t>
            </w:r>
            <w:r w:rsidR="00FE22EC" w:rsidRPr="008B0669">
              <w:rPr>
                <w:rFonts w:asciiTheme="minorHAnsi" w:hAnsiTheme="minorHAnsi"/>
              </w:rPr>
              <w:t xml:space="preserve">hould </w:t>
            </w:r>
            <w:r w:rsidRPr="008B0669">
              <w:rPr>
                <w:rFonts w:asciiTheme="minorHAnsi" w:hAnsiTheme="minorHAnsi"/>
              </w:rPr>
              <w:t xml:space="preserve">the </w:t>
            </w:r>
            <w:r w:rsidR="001A0AFF" w:rsidRPr="008B0669">
              <w:rPr>
                <w:rFonts w:asciiTheme="minorHAnsi" w:hAnsiTheme="minorHAnsi"/>
              </w:rPr>
              <w:t xml:space="preserve">exemption categories </w:t>
            </w:r>
            <w:r w:rsidR="00FE22EC" w:rsidRPr="008B0669">
              <w:rPr>
                <w:rFonts w:asciiTheme="minorHAnsi" w:hAnsiTheme="minorHAnsi"/>
              </w:rPr>
              <w:t xml:space="preserve">and powers be </w:t>
            </w:r>
            <w:r w:rsidRPr="008B0669">
              <w:rPr>
                <w:rFonts w:asciiTheme="minorHAnsi" w:hAnsiTheme="minorHAnsi"/>
              </w:rPr>
              <w:t>spelled out in</w:t>
            </w:r>
            <w:r w:rsidR="001A0AFF" w:rsidRPr="008B0669">
              <w:rPr>
                <w:rFonts w:asciiTheme="minorHAnsi" w:hAnsiTheme="minorHAnsi"/>
              </w:rPr>
              <w:t xml:space="preserve"> </w:t>
            </w:r>
            <w:r w:rsidR="00FE22EC" w:rsidRPr="008B0669">
              <w:rPr>
                <w:rFonts w:asciiTheme="minorHAnsi" w:hAnsiTheme="minorHAnsi"/>
              </w:rPr>
              <w:t xml:space="preserve">the </w:t>
            </w:r>
            <w:r w:rsidR="001A0AFF" w:rsidRPr="008B0669">
              <w:rPr>
                <w:rFonts w:asciiTheme="minorHAnsi" w:hAnsiTheme="minorHAnsi"/>
              </w:rPr>
              <w:t>legislation?</w:t>
            </w:r>
          </w:p>
          <w:p w:rsidR="007002D4" w:rsidRPr="008B0669" w:rsidRDefault="007002D4" w:rsidP="00CA1B11">
            <w:pPr>
              <w:keepNext/>
              <w:spacing w:line="120" w:lineRule="auto"/>
              <w:ind w:right="576"/>
              <w:rPr>
                <w:rFonts w:asciiTheme="minorHAnsi" w:hAnsiTheme="minorHAnsi"/>
              </w:rPr>
            </w:pPr>
          </w:p>
          <w:p w:rsidR="007002D4" w:rsidRPr="008B0669" w:rsidRDefault="007002D4" w:rsidP="002E255C">
            <w:pPr>
              <w:keepNext/>
              <w:ind w:right="576"/>
              <w:rPr>
                <w:rFonts w:asciiTheme="minorHAnsi" w:hAnsiTheme="minorHAnsi"/>
              </w:rPr>
            </w:pPr>
            <w:r w:rsidRPr="008B0669">
              <w:rPr>
                <w:rFonts w:asciiTheme="minorHAnsi" w:hAnsiTheme="minorHAnsi"/>
              </w:rPr>
              <w:t xml:space="preserve">Are there satisfactory </w:t>
            </w:r>
            <w:r w:rsidR="003758D6" w:rsidRPr="008B0669">
              <w:rPr>
                <w:rFonts w:asciiTheme="minorHAnsi" w:hAnsiTheme="minorHAnsi"/>
              </w:rPr>
              <w:t>arrangements</w:t>
            </w:r>
            <w:r w:rsidRPr="008B0669">
              <w:rPr>
                <w:rFonts w:asciiTheme="minorHAnsi" w:hAnsiTheme="minorHAnsi"/>
              </w:rPr>
              <w:t xml:space="preserve"> for the review of </w:t>
            </w:r>
            <w:r w:rsidR="003758D6" w:rsidRPr="008B0669">
              <w:rPr>
                <w:rFonts w:asciiTheme="minorHAnsi" w:hAnsiTheme="minorHAnsi"/>
              </w:rPr>
              <w:t>decisions</w:t>
            </w:r>
            <w:r w:rsidRPr="008B0669">
              <w:rPr>
                <w:rFonts w:asciiTheme="minorHAnsi" w:hAnsiTheme="minorHAnsi"/>
              </w:rPr>
              <w:t xml:space="preserve"> </w:t>
            </w:r>
            <w:r w:rsidR="00A30AAE" w:rsidRPr="008B0669">
              <w:rPr>
                <w:rFonts w:asciiTheme="minorHAnsi" w:hAnsiTheme="minorHAnsi"/>
              </w:rPr>
              <w:t>on</w:t>
            </w:r>
            <w:r w:rsidRPr="008B0669">
              <w:rPr>
                <w:rFonts w:asciiTheme="minorHAnsi" w:hAnsiTheme="minorHAnsi"/>
              </w:rPr>
              <w:t xml:space="preserve"> exemptions?</w:t>
            </w:r>
          </w:p>
          <w:p w:rsidR="000D6637" w:rsidRPr="008B0669" w:rsidRDefault="000D6637" w:rsidP="00CA1B11">
            <w:pPr>
              <w:keepNext/>
              <w:spacing w:line="120" w:lineRule="auto"/>
              <w:ind w:right="576"/>
              <w:rPr>
                <w:rFonts w:asciiTheme="minorHAnsi" w:hAnsiTheme="minorHAnsi"/>
              </w:rPr>
            </w:pPr>
          </w:p>
          <w:p w:rsidR="000D6637" w:rsidRPr="008B0669" w:rsidRDefault="000D6637" w:rsidP="002E255C">
            <w:pPr>
              <w:keepNext/>
              <w:ind w:right="576"/>
              <w:rPr>
                <w:rFonts w:asciiTheme="minorHAnsi" w:hAnsiTheme="minorHAnsi"/>
              </w:rPr>
            </w:pPr>
            <w:r w:rsidRPr="008B0669">
              <w:rPr>
                <w:rFonts w:asciiTheme="minorHAnsi" w:hAnsiTheme="minorHAnsi"/>
              </w:rPr>
              <w:t>Should there be any new or changed powers to declare that vessels come within the scheme?</w:t>
            </w:r>
          </w:p>
          <w:p w:rsidR="000D6637" w:rsidRPr="008B0669" w:rsidRDefault="000D6637" w:rsidP="00CA1B11">
            <w:pPr>
              <w:keepNext/>
              <w:spacing w:line="120" w:lineRule="auto"/>
              <w:ind w:right="576"/>
              <w:rPr>
                <w:rFonts w:asciiTheme="minorHAnsi" w:hAnsiTheme="minorHAnsi"/>
              </w:rPr>
            </w:pPr>
          </w:p>
          <w:p w:rsidR="000D6637" w:rsidRPr="008B0669" w:rsidRDefault="000D6637" w:rsidP="002E255C">
            <w:pPr>
              <w:keepNext/>
              <w:ind w:right="576"/>
              <w:rPr>
                <w:rFonts w:asciiTheme="minorHAnsi" w:hAnsiTheme="minorHAnsi"/>
              </w:rPr>
            </w:pPr>
            <w:r w:rsidRPr="008B0669">
              <w:rPr>
                <w:rFonts w:asciiTheme="minorHAnsi" w:hAnsiTheme="minorHAnsi"/>
              </w:rPr>
              <w:t>Are there any classes of vessels or types of operations that are now excluded from the scheme that should be brought within it?</w:t>
            </w:r>
          </w:p>
          <w:p w:rsidR="001D5F6C" w:rsidRPr="008B0669" w:rsidRDefault="001D5F6C" w:rsidP="00CA1B11">
            <w:pPr>
              <w:spacing w:line="120" w:lineRule="auto"/>
              <w:rPr>
                <w:rFonts w:asciiTheme="minorHAnsi" w:hAnsiTheme="minorHAnsi"/>
                <w:sz w:val="20"/>
                <w:szCs w:val="20"/>
              </w:rPr>
            </w:pPr>
          </w:p>
          <w:p w:rsidR="001D5F6C" w:rsidRPr="008B0669" w:rsidRDefault="001D5F6C" w:rsidP="002E255C">
            <w:pPr>
              <w:rPr>
                <w:rFonts w:asciiTheme="minorHAnsi" w:hAnsiTheme="minorHAnsi"/>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391E14" w:rsidRPr="008B0669" w:rsidRDefault="00391E14" w:rsidP="00CA1B11">
            <w:pPr>
              <w:keepNext/>
              <w:spacing w:line="120" w:lineRule="auto"/>
              <w:ind w:left="576" w:right="576"/>
              <w:rPr>
                <w:rFonts w:asciiTheme="minorHAnsi" w:hAnsiTheme="minorHAnsi"/>
                <w:sz w:val="24"/>
                <w:szCs w:val="24"/>
              </w:rPr>
            </w:pPr>
          </w:p>
        </w:tc>
      </w:tr>
    </w:tbl>
    <w:p w:rsidR="00585354" w:rsidRPr="008B0669" w:rsidRDefault="00585354" w:rsidP="002E255C">
      <w:pPr>
        <w:pStyle w:val="numberlist"/>
        <w:numPr>
          <w:ilvl w:val="0"/>
          <w:numId w:val="0"/>
        </w:numPr>
        <w:spacing w:after="0"/>
        <w:ind w:left="720" w:right="576"/>
        <w:rPr>
          <w:rFonts w:asciiTheme="minorHAnsi" w:hAnsiTheme="minorHAnsi" w:cs="Arial"/>
          <w:szCs w:val="24"/>
        </w:rPr>
      </w:pPr>
    </w:p>
    <w:p w:rsidR="00EB6626" w:rsidRPr="008B0669" w:rsidRDefault="00D222AD" w:rsidP="002E255C">
      <w:pPr>
        <w:pStyle w:val="Heading2"/>
        <w:spacing w:before="0" w:after="0" w:line="240" w:lineRule="auto"/>
        <w:ind w:left="576"/>
        <w:rPr>
          <w:rFonts w:asciiTheme="minorHAnsi" w:hAnsiTheme="minorHAnsi" w:cs="Arial"/>
          <w:color w:val="auto"/>
        </w:rPr>
      </w:pPr>
      <w:bookmarkStart w:id="10" w:name="_Toc341014940"/>
      <w:r w:rsidRPr="008B0669">
        <w:rPr>
          <w:rFonts w:asciiTheme="minorHAnsi" w:hAnsiTheme="minorHAnsi" w:cs="Arial"/>
          <w:color w:val="auto"/>
        </w:rPr>
        <w:t>TOR 2(a) - provisions in the legisl</w:t>
      </w:r>
      <w:r w:rsidR="00EB6626" w:rsidRPr="008B0669">
        <w:rPr>
          <w:rFonts w:asciiTheme="minorHAnsi" w:hAnsiTheme="minorHAnsi" w:cs="Arial"/>
          <w:color w:val="auto"/>
        </w:rPr>
        <w:t>ation which need to be updated</w:t>
      </w:r>
      <w:bookmarkEnd w:id="10"/>
    </w:p>
    <w:p w:rsidR="00F9375E" w:rsidRPr="008B0669" w:rsidRDefault="00F9375E" w:rsidP="002E255C">
      <w:pPr>
        <w:rPr>
          <w:rFonts w:asciiTheme="minorHAnsi" w:hAnsiTheme="minorHAnsi"/>
        </w:rPr>
      </w:pPr>
    </w:p>
    <w:p w:rsidR="00F173DB" w:rsidRPr="008B0669" w:rsidRDefault="00F173DB"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The Seafarers Act was enacted in 1992 and has not been comprehensively reviewed or updated since then.  Changes to the</w:t>
      </w:r>
      <w:r w:rsidR="00EB6626" w:rsidRPr="008B0669">
        <w:rPr>
          <w:rFonts w:asciiTheme="minorHAnsi" w:hAnsiTheme="minorHAnsi" w:cs="Arial"/>
          <w:sz w:val="22"/>
          <w:szCs w:val="22"/>
        </w:rPr>
        <w:t xml:space="preserve"> Seacare legislation may </w:t>
      </w:r>
      <w:r w:rsidRPr="008B0669">
        <w:rPr>
          <w:rFonts w:asciiTheme="minorHAnsi" w:hAnsiTheme="minorHAnsi" w:cs="Arial"/>
          <w:sz w:val="22"/>
          <w:szCs w:val="22"/>
        </w:rPr>
        <w:t xml:space="preserve">be needed </w:t>
      </w:r>
      <w:r w:rsidR="00EB6626" w:rsidRPr="008B0669">
        <w:rPr>
          <w:rFonts w:asciiTheme="minorHAnsi" w:hAnsiTheme="minorHAnsi" w:cs="Arial"/>
          <w:sz w:val="22"/>
          <w:szCs w:val="22"/>
        </w:rPr>
        <w:t xml:space="preserve">to bring it up to date in terms of references, drafting approaches and other technical issues.  </w:t>
      </w:r>
    </w:p>
    <w:p w:rsidR="00F173DB" w:rsidRPr="008B0669" w:rsidRDefault="00F173DB" w:rsidP="002E255C">
      <w:pPr>
        <w:pStyle w:val="NormalWeb"/>
        <w:shd w:val="clear" w:color="auto" w:fill="FFFFFF"/>
        <w:spacing w:before="0" w:after="0"/>
        <w:ind w:left="936" w:right="576"/>
        <w:rPr>
          <w:rFonts w:asciiTheme="minorHAnsi" w:hAnsiTheme="minorHAnsi" w:cs="Arial"/>
          <w:sz w:val="22"/>
          <w:szCs w:val="22"/>
        </w:rPr>
      </w:pPr>
    </w:p>
    <w:p w:rsidR="00EB6626" w:rsidRPr="008B0669" w:rsidRDefault="00EB6626"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lastRenderedPageBreak/>
        <w:t>The S</w:t>
      </w:r>
      <w:r w:rsidR="000D6637" w:rsidRPr="008B0669">
        <w:rPr>
          <w:rFonts w:asciiTheme="minorHAnsi" w:hAnsiTheme="minorHAnsi" w:cs="Arial"/>
          <w:sz w:val="22"/>
          <w:szCs w:val="22"/>
        </w:rPr>
        <w:t>eacare A</w:t>
      </w:r>
      <w:r w:rsidRPr="008B0669">
        <w:rPr>
          <w:rFonts w:asciiTheme="minorHAnsi" w:hAnsiTheme="minorHAnsi" w:cs="Arial"/>
          <w:sz w:val="22"/>
          <w:szCs w:val="22"/>
        </w:rPr>
        <w:t xml:space="preserve">uthority, Comcare and </w:t>
      </w:r>
      <w:r w:rsidR="003745CF">
        <w:rPr>
          <w:rFonts w:asciiTheme="minorHAnsi" w:hAnsiTheme="minorHAnsi" w:cs="Arial"/>
          <w:sz w:val="22"/>
          <w:szCs w:val="22"/>
        </w:rPr>
        <w:t>DEEWR</w:t>
      </w:r>
      <w:r w:rsidRPr="008B0669">
        <w:rPr>
          <w:rFonts w:asciiTheme="minorHAnsi" w:hAnsiTheme="minorHAnsi" w:cs="Arial"/>
          <w:sz w:val="22"/>
          <w:szCs w:val="22"/>
        </w:rPr>
        <w:t xml:space="preserve"> are being asked to identify what changes are required.  Other stakeholders and interested persons are invited to identify any areas, whether technical or not, that should be considered for updating.  Some of these may be covered by other terms of reference, but any person making a submission is welcome to draw attention to such matters in commenting on this term of reference or in any other part of a submission.</w:t>
      </w:r>
    </w:p>
    <w:p w:rsidR="00DA74C3" w:rsidRPr="008B0669" w:rsidRDefault="00DA74C3" w:rsidP="00F4071E">
      <w:pPr>
        <w:spacing w:line="120" w:lineRule="auto"/>
        <w:ind w:left="936"/>
        <w:rPr>
          <w:rFonts w:asciiTheme="minorHAnsi" w:hAnsiTheme="minorHAnsi"/>
        </w:rPr>
      </w:pPr>
    </w:p>
    <w:p w:rsidR="00EB6626" w:rsidRPr="008B0669" w:rsidRDefault="00DA74C3" w:rsidP="002E255C">
      <w:pPr>
        <w:pStyle w:val="ListParagraph"/>
        <w:ind w:left="936"/>
        <w:rPr>
          <w:rFonts w:asciiTheme="minorHAnsi" w:hAnsiTheme="minorHAnsi"/>
        </w:rPr>
      </w:pPr>
      <w:r w:rsidRPr="008B0669">
        <w:rPr>
          <w:rFonts w:asciiTheme="minorHAnsi" w:hAnsiTheme="minorHAnsi"/>
          <w:i/>
        </w:rPr>
        <w:t>TOR  2(a) – provisions in the legislation that may need updating</w:t>
      </w:r>
    </w:p>
    <w:tbl>
      <w:tblPr>
        <w:tblStyle w:val="TableGrid"/>
        <w:tblW w:w="0" w:type="auto"/>
        <w:tblInd w:w="1008" w:type="dxa"/>
        <w:shd w:val="clear" w:color="auto" w:fill="C6D9F1" w:themeFill="text2" w:themeFillTint="33"/>
        <w:tblLook w:val="04A0" w:firstRow="1" w:lastRow="0" w:firstColumn="1" w:lastColumn="0" w:noHBand="0" w:noVBand="1"/>
      </w:tblPr>
      <w:tblGrid>
        <w:gridCol w:w="9360"/>
      </w:tblGrid>
      <w:tr w:rsidR="00F9375E" w:rsidRPr="008B0669" w:rsidTr="00FA6B21">
        <w:tc>
          <w:tcPr>
            <w:tcW w:w="9360" w:type="dxa"/>
            <w:shd w:val="clear" w:color="auto" w:fill="C6D9F1" w:themeFill="text2" w:themeFillTint="33"/>
          </w:tcPr>
          <w:p w:rsidR="00D911E6" w:rsidRPr="00CC7EC4" w:rsidRDefault="00D911E6" w:rsidP="00CC7EC4">
            <w:pPr>
              <w:rPr>
                <w:rFonts w:asciiTheme="minorHAnsi" w:hAnsiTheme="minorHAnsi"/>
                <w:i/>
              </w:rPr>
            </w:pPr>
            <w:r w:rsidRPr="00CC7EC4">
              <w:rPr>
                <w:rFonts w:asciiTheme="minorHAnsi" w:hAnsiTheme="minorHAnsi"/>
                <w:i/>
              </w:rPr>
              <w:t>Discussion points</w:t>
            </w:r>
          </w:p>
          <w:p w:rsidR="00D911E6" w:rsidRPr="008B0669" w:rsidRDefault="00D911E6" w:rsidP="00F4071E">
            <w:pPr>
              <w:spacing w:line="120" w:lineRule="auto"/>
              <w:rPr>
                <w:rFonts w:asciiTheme="minorHAnsi" w:hAnsiTheme="minorHAnsi"/>
              </w:rPr>
            </w:pPr>
          </w:p>
          <w:p w:rsidR="00D911E6" w:rsidRPr="008B0669" w:rsidRDefault="00FA6B21" w:rsidP="002E255C">
            <w:pPr>
              <w:rPr>
                <w:rFonts w:asciiTheme="minorHAnsi" w:hAnsiTheme="minorHAnsi"/>
              </w:rPr>
            </w:pPr>
            <w:r w:rsidRPr="008B0669">
              <w:rPr>
                <w:rFonts w:asciiTheme="minorHAnsi" w:hAnsiTheme="minorHAnsi"/>
              </w:rPr>
              <w:t xml:space="preserve">Do </w:t>
            </w:r>
            <w:r w:rsidR="00D911E6" w:rsidRPr="008B0669">
              <w:rPr>
                <w:rFonts w:asciiTheme="minorHAnsi" w:hAnsiTheme="minorHAnsi"/>
              </w:rPr>
              <w:t xml:space="preserve">any </w:t>
            </w:r>
            <w:r w:rsidR="00F173DB" w:rsidRPr="008B0669">
              <w:rPr>
                <w:rFonts w:asciiTheme="minorHAnsi" w:hAnsiTheme="minorHAnsi"/>
              </w:rPr>
              <w:t>provisions</w:t>
            </w:r>
            <w:r w:rsidR="00D911E6" w:rsidRPr="008B0669">
              <w:rPr>
                <w:rFonts w:asciiTheme="minorHAnsi" w:hAnsiTheme="minorHAnsi"/>
              </w:rPr>
              <w:t xml:space="preserve"> in the Seacare scheme’s legislation </w:t>
            </w:r>
            <w:r w:rsidRPr="008B0669">
              <w:rPr>
                <w:rFonts w:asciiTheme="minorHAnsi" w:hAnsiTheme="minorHAnsi"/>
              </w:rPr>
              <w:t>require updating?</w:t>
            </w:r>
          </w:p>
          <w:p w:rsidR="00FA6B21" w:rsidRPr="008B0669" w:rsidRDefault="00FA6B21" w:rsidP="00F4071E">
            <w:pPr>
              <w:spacing w:line="120" w:lineRule="auto"/>
              <w:rPr>
                <w:rFonts w:asciiTheme="minorHAnsi" w:hAnsiTheme="minorHAnsi"/>
              </w:rPr>
            </w:pPr>
          </w:p>
          <w:p w:rsidR="00FA6B21" w:rsidRPr="008B0669" w:rsidRDefault="00FA6B21" w:rsidP="002E255C">
            <w:pPr>
              <w:rPr>
                <w:rFonts w:asciiTheme="minorHAnsi" w:hAnsiTheme="minorHAnsi"/>
                <w:sz w:val="24"/>
                <w:szCs w:val="24"/>
              </w:rPr>
            </w:pPr>
            <w:r w:rsidRPr="008B0669">
              <w:rPr>
                <w:rFonts w:asciiTheme="minorHAnsi" w:hAnsiTheme="minorHAnsi"/>
              </w:rPr>
              <w:t>If so, why and what change should be made?</w:t>
            </w:r>
          </w:p>
          <w:p w:rsidR="00F9375E" w:rsidRPr="008B0669" w:rsidRDefault="00F9375E" w:rsidP="00F4071E">
            <w:pPr>
              <w:spacing w:line="120" w:lineRule="auto"/>
              <w:rPr>
                <w:rFonts w:asciiTheme="minorHAnsi" w:hAnsiTheme="minorHAnsi"/>
              </w:rPr>
            </w:pPr>
          </w:p>
          <w:p w:rsidR="001D5F6C" w:rsidRPr="008B0669" w:rsidRDefault="001D5F6C" w:rsidP="00F4071E">
            <w:pPr>
              <w:rPr>
                <w:rFonts w:asciiTheme="minorHAnsi" w:hAnsiTheme="minorHAnsi"/>
                <w:i/>
                <w:sz w:val="20"/>
                <w:szCs w:val="20"/>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F4071E" w:rsidRPr="008B0669" w:rsidRDefault="00F4071E" w:rsidP="00F4071E">
            <w:pPr>
              <w:rPr>
                <w:rFonts w:asciiTheme="minorHAnsi" w:hAnsiTheme="minorHAnsi"/>
              </w:rPr>
            </w:pPr>
          </w:p>
        </w:tc>
      </w:tr>
    </w:tbl>
    <w:p w:rsidR="00043049" w:rsidRPr="008B0669" w:rsidRDefault="00043049" w:rsidP="00F4071E">
      <w:pPr>
        <w:pStyle w:val="Heading2"/>
        <w:spacing w:before="0" w:after="0" w:line="120" w:lineRule="auto"/>
        <w:ind w:left="576"/>
        <w:rPr>
          <w:rFonts w:asciiTheme="minorHAnsi" w:hAnsiTheme="minorHAnsi" w:cs="Arial"/>
          <w:color w:val="auto"/>
        </w:rPr>
      </w:pPr>
    </w:p>
    <w:p w:rsidR="005B7717" w:rsidRPr="008B0669" w:rsidRDefault="002B4390" w:rsidP="002E255C">
      <w:pPr>
        <w:pStyle w:val="Heading2"/>
        <w:spacing w:before="0" w:after="0" w:line="240" w:lineRule="auto"/>
        <w:ind w:left="576"/>
        <w:rPr>
          <w:rFonts w:asciiTheme="minorHAnsi" w:hAnsiTheme="minorHAnsi" w:cs="Arial"/>
          <w:b w:val="0"/>
          <w:color w:val="auto"/>
        </w:rPr>
      </w:pPr>
      <w:bookmarkStart w:id="11" w:name="_Toc341014941"/>
      <w:r w:rsidRPr="008B0669">
        <w:rPr>
          <w:rFonts w:asciiTheme="minorHAnsi" w:hAnsiTheme="minorHAnsi" w:cs="Arial"/>
          <w:color w:val="auto"/>
        </w:rPr>
        <w:t xml:space="preserve">TOR </w:t>
      </w:r>
      <w:r w:rsidR="00CB713D" w:rsidRPr="008B0669">
        <w:rPr>
          <w:rFonts w:asciiTheme="minorHAnsi" w:hAnsiTheme="minorHAnsi" w:cs="Arial"/>
          <w:color w:val="auto"/>
        </w:rPr>
        <w:t>2</w:t>
      </w:r>
      <w:r w:rsidR="00D222AD" w:rsidRPr="008B0669">
        <w:rPr>
          <w:rFonts w:asciiTheme="minorHAnsi" w:hAnsiTheme="minorHAnsi" w:cs="Arial"/>
          <w:color w:val="auto"/>
        </w:rPr>
        <w:t>(b)</w:t>
      </w:r>
      <w:r w:rsidRPr="008B0669">
        <w:rPr>
          <w:rFonts w:asciiTheme="minorHAnsi" w:hAnsiTheme="minorHAnsi" w:cs="Arial"/>
          <w:color w:val="auto"/>
        </w:rPr>
        <w:t xml:space="preserve"> - </w:t>
      </w:r>
      <w:r w:rsidR="00CB713D" w:rsidRPr="008B0669">
        <w:rPr>
          <w:rFonts w:asciiTheme="minorHAnsi" w:hAnsiTheme="minorHAnsi" w:cs="Arial"/>
          <w:color w:val="auto"/>
        </w:rPr>
        <w:t xml:space="preserve">legislative changes required to the OHS(MI) Act to ensure consistency with the model </w:t>
      </w:r>
      <w:r w:rsidR="00CB713D" w:rsidRPr="008B0669">
        <w:rPr>
          <w:rFonts w:asciiTheme="minorHAnsi" w:hAnsiTheme="minorHAnsi" w:cs="Arial"/>
          <w:b w:val="0"/>
          <w:color w:val="auto"/>
        </w:rPr>
        <w:t>work health and safety laws.</w:t>
      </w:r>
      <w:bookmarkEnd w:id="11"/>
    </w:p>
    <w:p w:rsidR="005B7717" w:rsidRPr="008B0669" w:rsidRDefault="005B7717" w:rsidP="002E255C">
      <w:pPr>
        <w:pStyle w:val="numberlist"/>
        <w:numPr>
          <w:ilvl w:val="0"/>
          <w:numId w:val="0"/>
        </w:numPr>
        <w:spacing w:after="0"/>
        <w:ind w:left="720" w:right="576"/>
        <w:rPr>
          <w:rFonts w:asciiTheme="minorHAnsi" w:hAnsiTheme="minorHAnsi" w:cs="Arial"/>
          <w:szCs w:val="24"/>
        </w:rPr>
      </w:pPr>
    </w:p>
    <w:p w:rsidR="005B7717" w:rsidRPr="008B0669" w:rsidRDefault="005F61AC" w:rsidP="002E255C">
      <w:pPr>
        <w:pStyle w:val="NormalWeb"/>
        <w:numPr>
          <w:ilvl w:val="0"/>
          <w:numId w:val="6"/>
        </w:numPr>
        <w:shd w:val="clear" w:color="auto" w:fill="FFFFFF"/>
        <w:spacing w:before="0" w:after="0"/>
        <w:ind w:right="576"/>
        <w:rPr>
          <w:rFonts w:asciiTheme="minorHAnsi" w:hAnsiTheme="minorHAnsi" w:cs="Arial"/>
          <w:sz w:val="22"/>
          <w:szCs w:val="22"/>
        </w:rPr>
      </w:pPr>
      <w:r w:rsidRPr="008B0669">
        <w:rPr>
          <w:rFonts w:asciiTheme="minorHAnsi" w:hAnsiTheme="minorHAnsi" w:cs="Arial"/>
          <w:sz w:val="22"/>
          <w:szCs w:val="22"/>
        </w:rPr>
        <w:t xml:space="preserve">The </w:t>
      </w:r>
      <w:r w:rsidR="000D6637" w:rsidRPr="008B0669">
        <w:rPr>
          <w:rFonts w:asciiTheme="minorHAnsi" w:hAnsiTheme="minorHAnsi" w:cs="Arial"/>
          <w:sz w:val="22"/>
          <w:szCs w:val="22"/>
        </w:rPr>
        <w:t xml:space="preserve">national </w:t>
      </w:r>
      <w:r w:rsidR="00FE22EC" w:rsidRPr="008B0669">
        <w:rPr>
          <w:rFonts w:asciiTheme="minorHAnsi" w:hAnsiTheme="minorHAnsi" w:cs="Arial"/>
          <w:sz w:val="22"/>
          <w:szCs w:val="22"/>
        </w:rPr>
        <w:t>work</w:t>
      </w:r>
      <w:r w:rsidRPr="008B0669">
        <w:rPr>
          <w:rFonts w:asciiTheme="minorHAnsi" w:hAnsiTheme="minorHAnsi" w:cs="Arial"/>
          <w:sz w:val="22"/>
          <w:szCs w:val="22"/>
        </w:rPr>
        <w:t xml:space="preserve"> health and safety harmonisation process is still underway</w:t>
      </w:r>
      <w:r w:rsidR="00391E14" w:rsidRPr="008B0669">
        <w:rPr>
          <w:rFonts w:asciiTheme="minorHAnsi" w:hAnsiTheme="minorHAnsi" w:cs="Arial"/>
          <w:sz w:val="22"/>
          <w:szCs w:val="22"/>
        </w:rPr>
        <w:t xml:space="preserve">.  </w:t>
      </w:r>
      <w:r w:rsidR="00CB713D" w:rsidRPr="008B0669">
        <w:rPr>
          <w:rFonts w:asciiTheme="minorHAnsi" w:hAnsiTheme="minorHAnsi" w:cs="Arial"/>
          <w:sz w:val="22"/>
          <w:szCs w:val="22"/>
        </w:rPr>
        <w:t xml:space="preserve">Even so, </w:t>
      </w:r>
      <w:r w:rsidR="00A23364">
        <w:rPr>
          <w:rFonts w:asciiTheme="minorHAnsi" w:hAnsiTheme="minorHAnsi" w:cs="Arial"/>
          <w:sz w:val="22"/>
          <w:szCs w:val="22"/>
        </w:rPr>
        <w:t>seven</w:t>
      </w:r>
      <w:r w:rsidR="00A23364" w:rsidRPr="008B0669">
        <w:rPr>
          <w:rFonts w:asciiTheme="minorHAnsi" w:hAnsiTheme="minorHAnsi" w:cs="Arial"/>
          <w:sz w:val="22"/>
          <w:szCs w:val="22"/>
        </w:rPr>
        <w:t xml:space="preserve"> </w:t>
      </w:r>
      <w:r w:rsidR="00391E14" w:rsidRPr="008B0669">
        <w:rPr>
          <w:rFonts w:asciiTheme="minorHAnsi" w:hAnsiTheme="minorHAnsi" w:cs="Arial"/>
          <w:sz w:val="22"/>
          <w:szCs w:val="22"/>
        </w:rPr>
        <w:t>S</w:t>
      </w:r>
      <w:r w:rsidRPr="008B0669">
        <w:rPr>
          <w:rFonts w:asciiTheme="minorHAnsi" w:hAnsiTheme="minorHAnsi" w:cs="Arial"/>
          <w:sz w:val="22"/>
          <w:szCs w:val="22"/>
        </w:rPr>
        <w:t xml:space="preserve">tates and </w:t>
      </w:r>
      <w:r w:rsidR="00391E14" w:rsidRPr="008B0669">
        <w:rPr>
          <w:rFonts w:asciiTheme="minorHAnsi" w:hAnsiTheme="minorHAnsi" w:cs="Arial"/>
          <w:sz w:val="22"/>
          <w:szCs w:val="22"/>
        </w:rPr>
        <w:t>T</w:t>
      </w:r>
      <w:r w:rsidRPr="008B0669">
        <w:rPr>
          <w:rFonts w:asciiTheme="minorHAnsi" w:hAnsiTheme="minorHAnsi" w:cs="Arial"/>
          <w:sz w:val="22"/>
          <w:szCs w:val="22"/>
        </w:rPr>
        <w:t>erritories have enacted legislation based on the model Work Health and Safety Act.</w:t>
      </w:r>
      <w:r w:rsidR="008C42AE" w:rsidRPr="008B0669">
        <w:rPr>
          <w:rStyle w:val="FootnoteReference"/>
          <w:rFonts w:asciiTheme="minorHAnsi" w:hAnsiTheme="minorHAnsi" w:cs="Arial"/>
          <w:sz w:val="22"/>
          <w:szCs w:val="22"/>
        </w:rPr>
        <w:footnoteReference w:id="18"/>
      </w:r>
    </w:p>
    <w:p w:rsidR="005F61AC" w:rsidRPr="008B0669" w:rsidRDefault="005F61AC" w:rsidP="002E255C">
      <w:pPr>
        <w:pStyle w:val="numberlist"/>
        <w:numPr>
          <w:ilvl w:val="0"/>
          <w:numId w:val="0"/>
        </w:numPr>
        <w:spacing w:after="0"/>
        <w:ind w:left="720" w:right="576"/>
        <w:rPr>
          <w:rFonts w:asciiTheme="minorHAnsi" w:hAnsiTheme="minorHAnsi" w:cs="Arial"/>
          <w:sz w:val="22"/>
          <w:szCs w:val="22"/>
        </w:rPr>
      </w:pPr>
    </w:p>
    <w:p w:rsidR="006948F9" w:rsidRPr="008B0669" w:rsidRDefault="005F427E" w:rsidP="002E255C">
      <w:pPr>
        <w:pStyle w:val="numberlist"/>
        <w:numPr>
          <w:ilvl w:val="0"/>
          <w:numId w:val="6"/>
        </w:numPr>
        <w:spacing w:after="0"/>
        <w:ind w:right="576"/>
        <w:rPr>
          <w:rFonts w:asciiTheme="minorHAnsi" w:hAnsiTheme="minorHAnsi"/>
        </w:rPr>
      </w:pPr>
      <w:r w:rsidRPr="008B0669">
        <w:rPr>
          <w:rFonts w:asciiTheme="minorHAnsi" w:hAnsiTheme="minorHAnsi" w:cs="Arial"/>
          <w:sz w:val="22"/>
          <w:szCs w:val="22"/>
        </w:rPr>
        <w:t>When it was drafted, the OHS(MI) Act was based on the Commonwealth</w:t>
      </w:r>
      <w:r w:rsidR="00391E14" w:rsidRPr="008B0669">
        <w:rPr>
          <w:rFonts w:asciiTheme="minorHAnsi" w:hAnsiTheme="minorHAnsi" w:cs="Arial"/>
          <w:sz w:val="22"/>
          <w:szCs w:val="22"/>
        </w:rPr>
        <w:t>’s</w:t>
      </w:r>
      <w:r w:rsidRPr="008B0669">
        <w:rPr>
          <w:rFonts w:asciiTheme="minorHAnsi" w:hAnsiTheme="minorHAnsi" w:cs="Arial"/>
          <w:sz w:val="22"/>
          <w:szCs w:val="22"/>
        </w:rPr>
        <w:t xml:space="preserve"> </w:t>
      </w:r>
      <w:r w:rsidRPr="008B0669">
        <w:rPr>
          <w:rFonts w:asciiTheme="minorHAnsi" w:hAnsiTheme="minorHAnsi" w:cs="Arial"/>
          <w:i/>
          <w:sz w:val="22"/>
          <w:szCs w:val="22"/>
        </w:rPr>
        <w:t>Occupational Health and Safety Act 1991</w:t>
      </w:r>
      <w:r w:rsidRPr="008B0669">
        <w:rPr>
          <w:rFonts w:asciiTheme="minorHAnsi" w:hAnsiTheme="minorHAnsi" w:cs="Arial"/>
          <w:sz w:val="22"/>
          <w:szCs w:val="22"/>
        </w:rPr>
        <w:t xml:space="preserve"> (OHS Act)</w:t>
      </w:r>
      <w:r w:rsidR="00391E14" w:rsidRPr="008B0669">
        <w:rPr>
          <w:rFonts w:asciiTheme="minorHAnsi" w:hAnsiTheme="minorHAnsi" w:cs="Arial"/>
          <w:sz w:val="22"/>
          <w:szCs w:val="22"/>
        </w:rPr>
        <w:t>,</w:t>
      </w:r>
      <w:r w:rsidRPr="008B0669">
        <w:rPr>
          <w:rFonts w:asciiTheme="minorHAnsi" w:hAnsiTheme="minorHAnsi" w:cs="Arial"/>
          <w:sz w:val="22"/>
          <w:szCs w:val="22"/>
        </w:rPr>
        <w:t xml:space="preserve"> which has been replaced by the </w:t>
      </w:r>
      <w:r w:rsidR="00391E14" w:rsidRPr="008B0669">
        <w:rPr>
          <w:rFonts w:asciiTheme="minorHAnsi" w:hAnsiTheme="minorHAnsi" w:cs="Arial"/>
          <w:sz w:val="22"/>
          <w:szCs w:val="22"/>
        </w:rPr>
        <w:t>Commonwealth’s</w:t>
      </w:r>
      <w:r w:rsidR="00391E14" w:rsidRPr="008B0669">
        <w:rPr>
          <w:rFonts w:asciiTheme="minorHAnsi" w:hAnsiTheme="minorHAnsi" w:cs="Arial"/>
          <w:i/>
          <w:sz w:val="22"/>
          <w:szCs w:val="22"/>
        </w:rPr>
        <w:t xml:space="preserve"> </w:t>
      </w:r>
      <w:r w:rsidRPr="008B0669">
        <w:rPr>
          <w:rFonts w:asciiTheme="minorHAnsi" w:hAnsiTheme="minorHAnsi" w:cs="Arial"/>
          <w:i/>
          <w:sz w:val="22"/>
          <w:szCs w:val="22"/>
        </w:rPr>
        <w:t>Work Health and Safety Act 2011</w:t>
      </w:r>
      <w:r w:rsidRPr="008B0669">
        <w:rPr>
          <w:rFonts w:asciiTheme="minorHAnsi" w:hAnsiTheme="minorHAnsi" w:cs="Arial"/>
          <w:sz w:val="22"/>
          <w:szCs w:val="22"/>
        </w:rPr>
        <w:t xml:space="preserve"> (WHS Act).  </w:t>
      </w:r>
      <w:r w:rsidR="00CB713D" w:rsidRPr="008B0669">
        <w:rPr>
          <w:rFonts w:asciiTheme="minorHAnsi" w:hAnsiTheme="minorHAnsi" w:cs="Arial"/>
          <w:sz w:val="22"/>
          <w:szCs w:val="22"/>
        </w:rPr>
        <w:t xml:space="preserve">The review </w:t>
      </w:r>
      <w:r w:rsidR="00F4071E" w:rsidRPr="008B0669">
        <w:rPr>
          <w:rFonts w:asciiTheme="minorHAnsi" w:hAnsiTheme="minorHAnsi" w:cs="Arial"/>
          <w:sz w:val="22"/>
          <w:szCs w:val="22"/>
        </w:rPr>
        <w:t>is required to</w:t>
      </w:r>
      <w:r w:rsidR="00CB713D" w:rsidRPr="008B0669">
        <w:rPr>
          <w:rFonts w:asciiTheme="minorHAnsi" w:hAnsiTheme="minorHAnsi" w:cs="Arial"/>
          <w:sz w:val="22"/>
          <w:szCs w:val="22"/>
        </w:rPr>
        <w:t xml:space="preserve"> examine what changes should be made to align the OHS(MI) Act with the </w:t>
      </w:r>
      <w:r w:rsidR="00F4071E" w:rsidRPr="008B0669">
        <w:rPr>
          <w:rFonts w:asciiTheme="minorHAnsi" w:hAnsiTheme="minorHAnsi" w:cs="Arial"/>
          <w:sz w:val="22"/>
          <w:szCs w:val="22"/>
        </w:rPr>
        <w:t xml:space="preserve">model </w:t>
      </w:r>
      <w:r w:rsidR="00CB713D" w:rsidRPr="008B0669">
        <w:rPr>
          <w:rFonts w:asciiTheme="minorHAnsi" w:hAnsiTheme="minorHAnsi" w:cs="Arial"/>
          <w:sz w:val="22"/>
          <w:szCs w:val="22"/>
        </w:rPr>
        <w:t>WHS Act.</w:t>
      </w:r>
      <w:r w:rsidRPr="008B0669">
        <w:rPr>
          <w:rFonts w:asciiTheme="minorHAnsi" w:hAnsiTheme="minorHAnsi" w:cs="Arial"/>
          <w:sz w:val="22"/>
          <w:szCs w:val="22"/>
        </w:rPr>
        <w:t xml:space="preserve"> </w:t>
      </w:r>
      <w:r w:rsidR="00F4071E" w:rsidRPr="008B0669">
        <w:rPr>
          <w:rFonts w:asciiTheme="minorHAnsi" w:hAnsiTheme="minorHAnsi" w:cs="Arial"/>
          <w:sz w:val="22"/>
          <w:szCs w:val="22"/>
        </w:rPr>
        <w:t xml:space="preserve">  Safe Work Australia has prepared guidance on the model Act.</w:t>
      </w:r>
      <w:r w:rsidR="00F4071E" w:rsidRPr="008B0669">
        <w:rPr>
          <w:rStyle w:val="FootnoteReference"/>
          <w:rFonts w:asciiTheme="minorHAnsi" w:hAnsiTheme="minorHAnsi" w:cs="Arial"/>
          <w:sz w:val="22"/>
          <w:szCs w:val="22"/>
        </w:rPr>
        <w:footnoteReference w:id="19"/>
      </w:r>
      <w:r w:rsidR="00F4071E" w:rsidRPr="008B0669">
        <w:rPr>
          <w:rFonts w:asciiTheme="minorHAnsi" w:hAnsiTheme="minorHAnsi" w:cs="Arial"/>
          <w:sz w:val="22"/>
          <w:szCs w:val="22"/>
        </w:rPr>
        <w:t xml:space="preserve"> </w:t>
      </w:r>
    </w:p>
    <w:p w:rsidR="00F4071E" w:rsidRPr="008B0669" w:rsidRDefault="00F4071E" w:rsidP="00F4071E">
      <w:pPr>
        <w:pStyle w:val="ListParagraph"/>
        <w:rPr>
          <w:rFonts w:asciiTheme="minorHAnsi" w:hAnsiTheme="minorHAnsi"/>
        </w:rPr>
      </w:pPr>
    </w:p>
    <w:p w:rsidR="006948F9" w:rsidRPr="008B0669" w:rsidRDefault="006948F9"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Appendix</w:t>
      </w:r>
      <w:r w:rsidR="008C42AE" w:rsidRPr="008B0669">
        <w:rPr>
          <w:rFonts w:asciiTheme="minorHAnsi" w:hAnsiTheme="minorHAnsi" w:cs="Arial"/>
          <w:sz w:val="22"/>
          <w:szCs w:val="22"/>
        </w:rPr>
        <w:t xml:space="preserve"> 3</w:t>
      </w:r>
      <w:r w:rsidRPr="008B0669">
        <w:rPr>
          <w:rFonts w:asciiTheme="minorHAnsi" w:hAnsiTheme="minorHAnsi" w:cs="Arial"/>
          <w:sz w:val="22"/>
          <w:szCs w:val="22"/>
        </w:rPr>
        <w:t xml:space="preserve"> </w:t>
      </w:r>
      <w:r w:rsidR="00B765CF" w:rsidRPr="008B0669">
        <w:rPr>
          <w:rFonts w:asciiTheme="minorHAnsi" w:hAnsiTheme="minorHAnsi" w:cs="Arial"/>
          <w:sz w:val="22"/>
          <w:szCs w:val="22"/>
        </w:rPr>
        <w:t xml:space="preserve">sets out </w:t>
      </w:r>
      <w:r w:rsidR="00800B07" w:rsidRPr="008B0669">
        <w:rPr>
          <w:rFonts w:asciiTheme="minorHAnsi" w:hAnsiTheme="minorHAnsi" w:cs="Arial"/>
          <w:sz w:val="22"/>
          <w:szCs w:val="22"/>
        </w:rPr>
        <w:t>key</w:t>
      </w:r>
      <w:r w:rsidR="00B765CF" w:rsidRPr="008B0669">
        <w:rPr>
          <w:rFonts w:asciiTheme="minorHAnsi" w:hAnsiTheme="minorHAnsi" w:cs="Arial"/>
          <w:sz w:val="22"/>
          <w:szCs w:val="22"/>
        </w:rPr>
        <w:t xml:space="preserve"> differences between the OHS(MI) Act and the </w:t>
      </w:r>
      <w:r w:rsidR="00F4071E" w:rsidRPr="008B0669">
        <w:rPr>
          <w:rFonts w:asciiTheme="minorHAnsi" w:hAnsiTheme="minorHAnsi" w:cs="Arial"/>
          <w:sz w:val="22"/>
          <w:szCs w:val="22"/>
        </w:rPr>
        <w:t xml:space="preserve">model </w:t>
      </w:r>
      <w:r w:rsidR="00B765CF" w:rsidRPr="008B0669">
        <w:rPr>
          <w:rFonts w:asciiTheme="minorHAnsi" w:hAnsiTheme="minorHAnsi" w:cs="Arial"/>
          <w:sz w:val="22"/>
          <w:szCs w:val="22"/>
        </w:rPr>
        <w:t>WHS Act.</w:t>
      </w:r>
      <w:r w:rsidR="00F4071E" w:rsidRPr="008B0669">
        <w:rPr>
          <w:rFonts w:asciiTheme="minorHAnsi" w:hAnsiTheme="minorHAnsi" w:cs="Arial"/>
          <w:sz w:val="22"/>
          <w:szCs w:val="22"/>
        </w:rPr>
        <w:t xml:space="preserve">  </w:t>
      </w:r>
    </w:p>
    <w:p w:rsidR="005F427E" w:rsidRPr="008B0669" w:rsidRDefault="005F427E" w:rsidP="00043049">
      <w:pPr>
        <w:pStyle w:val="ListParagraph"/>
        <w:spacing w:line="120" w:lineRule="auto"/>
        <w:ind w:right="576"/>
        <w:rPr>
          <w:rFonts w:asciiTheme="minorHAnsi" w:hAnsiTheme="minorHAnsi"/>
        </w:rPr>
      </w:pPr>
    </w:p>
    <w:p w:rsidR="005F427E" w:rsidRPr="008B0669" w:rsidRDefault="00F4071E" w:rsidP="002E255C">
      <w:pPr>
        <w:pStyle w:val="numberlist"/>
        <w:numPr>
          <w:ilvl w:val="0"/>
          <w:numId w:val="6"/>
        </w:numPr>
        <w:spacing w:after="0"/>
        <w:ind w:right="576"/>
        <w:rPr>
          <w:rFonts w:asciiTheme="minorHAnsi" w:hAnsiTheme="minorHAnsi" w:cs="Arial"/>
          <w:szCs w:val="24"/>
        </w:rPr>
      </w:pPr>
      <w:r w:rsidRPr="008B0669">
        <w:rPr>
          <w:rFonts w:asciiTheme="minorHAnsi" w:hAnsiTheme="minorHAnsi" w:cs="Arial"/>
          <w:sz w:val="22"/>
          <w:szCs w:val="22"/>
        </w:rPr>
        <w:t>C</w:t>
      </w:r>
      <w:r w:rsidR="00CB713D" w:rsidRPr="008B0669">
        <w:rPr>
          <w:rFonts w:asciiTheme="minorHAnsi" w:hAnsiTheme="minorHAnsi" w:cs="Arial"/>
          <w:sz w:val="22"/>
          <w:szCs w:val="22"/>
        </w:rPr>
        <w:t xml:space="preserve">overage under </w:t>
      </w:r>
      <w:r w:rsidR="00116F2D" w:rsidRPr="008B0669">
        <w:rPr>
          <w:rFonts w:asciiTheme="minorHAnsi" w:hAnsiTheme="minorHAnsi" w:cs="Arial"/>
          <w:sz w:val="22"/>
          <w:szCs w:val="22"/>
        </w:rPr>
        <w:t xml:space="preserve">the OHS(MI) Act and the Seafarers Act </w:t>
      </w:r>
      <w:r w:rsidR="00CB713D" w:rsidRPr="008B0669">
        <w:rPr>
          <w:rFonts w:asciiTheme="minorHAnsi" w:hAnsiTheme="minorHAnsi" w:cs="Arial"/>
          <w:sz w:val="22"/>
          <w:szCs w:val="22"/>
        </w:rPr>
        <w:t>is</w:t>
      </w:r>
      <w:r w:rsidR="00116F2D" w:rsidRPr="008B0669">
        <w:rPr>
          <w:rFonts w:asciiTheme="minorHAnsi" w:hAnsiTheme="minorHAnsi" w:cs="Arial"/>
          <w:sz w:val="22"/>
          <w:szCs w:val="22"/>
        </w:rPr>
        <w:t xml:space="preserve"> linked to the Navigation Act.  </w:t>
      </w:r>
      <w:r w:rsidRPr="008B0669">
        <w:rPr>
          <w:rFonts w:asciiTheme="minorHAnsi" w:hAnsiTheme="minorHAnsi" w:cs="Arial"/>
          <w:sz w:val="22"/>
          <w:szCs w:val="22"/>
        </w:rPr>
        <w:t>A</w:t>
      </w:r>
      <w:r w:rsidR="00116F2D" w:rsidRPr="008B0669">
        <w:rPr>
          <w:rFonts w:asciiTheme="minorHAnsi" w:hAnsiTheme="minorHAnsi" w:cs="Arial"/>
          <w:sz w:val="22"/>
          <w:szCs w:val="22"/>
        </w:rPr>
        <w:t xml:space="preserve">mendments to the OHS(MI) Act </w:t>
      </w:r>
      <w:r w:rsidR="00F173DB" w:rsidRPr="008B0669">
        <w:rPr>
          <w:rFonts w:asciiTheme="minorHAnsi" w:hAnsiTheme="minorHAnsi" w:cs="Arial"/>
          <w:sz w:val="22"/>
          <w:szCs w:val="22"/>
        </w:rPr>
        <w:t>may require appropriate</w:t>
      </w:r>
      <w:r w:rsidR="00116F2D" w:rsidRPr="008B0669">
        <w:rPr>
          <w:rFonts w:asciiTheme="minorHAnsi" w:hAnsiTheme="minorHAnsi" w:cs="Arial"/>
          <w:sz w:val="22"/>
          <w:szCs w:val="22"/>
        </w:rPr>
        <w:t xml:space="preserve"> consiste</w:t>
      </w:r>
      <w:r w:rsidR="000D6637" w:rsidRPr="008B0669">
        <w:rPr>
          <w:rFonts w:asciiTheme="minorHAnsi" w:hAnsiTheme="minorHAnsi" w:cs="Arial"/>
          <w:sz w:val="22"/>
          <w:szCs w:val="22"/>
        </w:rPr>
        <w:t>ncy of application and coverage with the other Acts.</w:t>
      </w:r>
    </w:p>
    <w:p w:rsidR="005F61AC" w:rsidRPr="008B0669" w:rsidRDefault="005F61AC" w:rsidP="00043049">
      <w:pPr>
        <w:pStyle w:val="numberlist"/>
        <w:numPr>
          <w:ilvl w:val="0"/>
          <w:numId w:val="0"/>
        </w:numPr>
        <w:spacing w:after="0" w:line="120" w:lineRule="auto"/>
        <w:ind w:left="936" w:right="576"/>
        <w:rPr>
          <w:rFonts w:asciiTheme="minorHAnsi" w:hAnsiTheme="minorHAnsi" w:cs="Arial"/>
          <w:szCs w:val="24"/>
        </w:rPr>
      </w:pPr>
    </w:p>
    <w:p w:rsidR="00DA74C3" w:rsidRPr="008B0669" w:rsidRDefault="00DA74C3" w:rsidP="002E255C">
      <w:pPr>
        <w:pStyle w:val="numberlist"/>
        <w:numPr>
          <w:ilvl w:val="0"/>
          <w:numId w:val="0"/>
        </w:numPr>
        <w:spacing w:after="0"/>
        <w:ind w:left="936" w:right="576"/>
        <w:rPr>
          <w:rFonts w:asciiTheme="minorHAnsi" w:hAnsiTheme="minorHAnsi" w:cs="Arial"/>
          <w:sz w:val="22"/>
          <w:szCs w:val="22"/>
        </w:rPr>
      </w:pPr>
      <w:r w:rsidRPr="008B0669">
        <w:rPr>
          <w:rFonts w:asciiTheme="minorHAnsi" w:hAnsiTheme="minorHAnsi" w:cs="Arial"/>
          <w:i/>
          <w:sz w:val="22"/>
          <w:szCs w:val="22"/>
        </w:rPr>
        <w:t xml:space="preserve">TOR 2(b) - </w:t>
      </w:r>
      <w:r w:rsidR="00F4071E" w:rsidRPr="008B0669">
        <w:rPr>
          <w:rFonts w:asciiTheme="minorHAnsi" w:hAnsiTheme="minorHAnsi" w:cs="Arial"/>
          <w:i/>
          <w:sz w:val="22"/>
          <w:szCs w:val="22"/>
        </w:rPr>
        <w:t>amendments</w:t>
      </w:r>
      <w:r w:rsidRPr="008B0669">
        <w:rPr>
          <w:rFonts w:asciiTheme="minorHAnsi" w:hAnsiTheme="minorHAnsi" w:cs="Arial"/>
          <w:i/>
          <w:sz w:val="22"/>
          <w:szCs w:val="22"/>
        </w:rPr>
        <w:t xml:space="preserve"> to the OHS(MI) Act to ensure consistency with the model </w:t>
      </w:r>
      <w:r w:rsidR="00F4071E" w:rsidRPr="008B0669">
        <w:rPr>
          <w:rFonts w:asciiTheme="minorHAnsi" w:hAnsiTheme="minorHAnsi" w:cs="Arial"/>
          <w:i/>
          <w:sz w:val="22"/>
          <w:szCs w:val="22"/>
        </w:rPr>
        <w:t>WHS</w:t>
      </w:r>
      <w:r w:rsidRPr="008B0669">
        <w:rPr>
          <w:rFonts w:asciiTheme="minorHAnsi" w:hAnsiTheme="minorHAnsi" w:cs="Arial"/>
          <w:i/>
          <w:sz w:val="22"/>
          <w:szCs w:val="22"/>
        </w:rPr>
        <w:t xml:space="preserve"> laws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ook w:val="04A0" w:firstRow="1" w:lastRow="0" w:firstColumn="1" w:lastColumn="0" w:noHBand="0" w:noVBand="1"/>
      </w:tblPr>
      <w:tblGrid>
        <w:gridCol w:w="9360"/>
      </w:tblGrid>
      <w:tr w:rsidR="00116B09" w:rsidRPr="008B0669" w:rsidTr="00FA6B21">
        <w:tc>
          <w:tcPr>
            <w:tcW w:w="9360" w:type="dxa"/>
            <w:shd w:val="clear" w:color="auto" w:fill="C6D9F1" w:themeFill="text2" w:themeFillTint="33"/>
            <w:vAlign w:val="center"/>
          </w:tcPr>
          <w:p w:rsidR="00264526" w:rsidRPr="00CC7EC4" w:rsidRDefault="00867570" w:rsidP="00CC7EC4">
            <w:pPr>
              <w:rPr>
                <w:rFonts w:asciiTheme="minorHAnsi" w:hAnsiTheme="minorHAnsi"/>
                <w:i/>
              </w:rPr>
            </w:pPr>
            <w:r w:rsidRPr="00CC7EC4">
              <w:rPr>
                <w:rFonts w:asciiTheme="minorHAnsi" w:hAnsiTheme="minorHAnsi"/>
                <w:i/>
              </w:rPr>
              <w:t>Discussion points</w:t>
            </w:r>
          </w:p>
          <w:p w:rsidR="00391E14" w:rsidRPr="008B0669" w:rsidRDefault="00391E14" w:rsidP="00043049">
            <w:pPr>
              <w:keepNext/>
              <w:spacing w:line="120" w:lineRule="auto"/>
              <w:ind w:right="576"/>
              <w:rPr>
                <w:rFonts w:asciiTheme="minorHAnsi" w:hAnsiTheme="minorHAnsi"/>
                <w:sz w:val="24"/>
                <w:szCs w:val="24"/>
              </w:rPr>
            </w:pPr>
          </w:p>
          <w:p w:rsidR="00391E14" w:rsidRPr="008B0669" w:rsidRDefault="009803A7" w:rsidP="002E255C">
            <w:pPr>
              <w:keepNext/>
              <w:ind w:right="576"/>
              <w:rPr>
                <w:rFonts w:asciiTheme="minorHAnsi" w:hAnsiTheme="minorHAnsi"/>
              </w:rPr>
            </w:pPr>
            <w:r w:rsidRPr="008B0669">
              <w:rPr>
                <w:rFonts w:asciiTheme="minorHAnsi" w:hAnsiTheme="minorHAnsi"/>
              </w:rPr>
              <w:t xml:space="preserve">What changes are necessary to align the OHS(MI) Act with the Commonwealth’s </w:t>
            </w:r>
            <w:r w:rsidRPr="008B0669">
              <w:rPr>
                <w:rFonts w:asciiTheme="minorHAnsi" w:hAnsiTheme="minorHAnsi"/>
                <w:i/>
              </w:rPr>
              <w:t>Work Health and Safety Act</w:t>
            </w:r>
            <w:r w:rsidRPr="008B0669">
              <w:rPr>
                <w:rFonts w:asciiTheme="minorHAnsi" w:hAnsiTheme="minorHAnsi"/>
              </w:rPr>
              <w:t>?</w:t>
            </w:r>
          </w:p>
          <w:p w:rsidR="009803A7" w:rsidRPr="008B0669" w:rsidRDefault="009803A7" w:rsidP="00043049">
            <w:pPr>
              <w:keepNext/>
              <w:spacing w:line="120" w:lineRule="auto"/>
              <w:ind w:right="576"/>
              <w:rPr>
                <w:rFonts w:asciiTheme="minorHAnsi" w:hAnsiTheme="minorHAnsi"/>
              </w:rPr>
            </w:pPr>
          </w:p>
          <w:p w:rsidR="009803A7" w:rsidRPr="008B0669" w:rsidRDefault="009803A7" w:rsidP="002E255C">
            <w:pPr>
              <w:keepNext/>
              <w:ind w:right="576"/>
              <w:rPr>
                <w:rFonts w:asciiTheme="minorHAnsi" w:hAnsiTheme="minorHAnsi"/>
                <w:sz w:val="24"/>
                <w:szCs w:val="24"/>
              </w:rPr>
            </w:pPr>
            <w:r w:rsidRPr="008B0669">
              <w:rPr>
                <w:rFonts w:asciiTheme="minorHAnsi" w:hAnsiTheme="minorHAnsi"/>
              </w:rPr>
              <w:t>Are there any considerations that would require a different approach in any area?</w:t>
            </w:r>
          </w:p>
          <w:p w:rsidR="00CB713D" w:rsidRPr="008B0669" w:rsidRDefault="00CB713D" w:rsidP="00043049">
            <w:pPr>
              <w:keepNext/>
              <w:spacing w:line="120" w:lineRule="auto"/>
              <w:ind w:right="576"/>
              <w:rPr>
                <w:rFonts w:asciiTheme="minorHAnsi" w:hAnsiTheme="minorHAnsi"/>
                <w:sz w:val="24"/>
                <w:szCs w:val="24"/>
              </w:rPr>
            </w:pPr>
          </w:p>
          <w:p w:rsidR="001D5F6C" w:rsidRPr="008B0669" w:rsidRDefault="001D5F6C" w:rsidP="00043049">
            <w:pPr>
              <w:rPr>
                <w:rFonts w:asciiTheme="minorHAnsi" w:hAnsiTheme="minorHAnsi"/>
                <w:i/>
                <w:sz w:val="20"/>
                <w:szCs w:val="20"/>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F4071E" w:rsidRPr="008B0669" w:rsidRDefault="00F4071E" w:rsidP="00043049">
            <w:pPr>
              <w:rPr>
                <w:rFonts w:asciiTheme="minorHAnsi" w:hAnsiTheme="minorHAnsi"/>
                <w:sz w:val="24"/>
                <w:szCs w:val="24"/>
              </w:rPr>
            </w:pPr>
          </w:p>
        </w:tc>
      </w:tr>
    </w:tbl>
    <w:p w:rsidR="005F427E" w:rsidRPr="008B0669" w:rsidRDefault="005F427E" w:rsidP="002E255C">
      <w:pPr>
        <w:pStyle w:val="numberlist"/>
        <w:numPr>
          <w:ilvl w:val="0"/>
          <w:numId w:val="0"/>
        </w:numPr>
        <w:spacing w:after="0"/>
        <w:ind w:left="720" w:right="576"/>
        <w:rPr>
          <w:rFonts w:asciiTheme="minorHAnsi" w:hAnsiTheme="minorHAnsi" w:cs="Arial"/>
          <w:szCs w:val="24"/>
        </w:rPr>
      </w:pPr>
    </w:p>
    <w:p w:rsidR="005B7717" w:rsidRPr="008B0669" w:rsidRDefault="002B4390" w:rsidP="002E255C">
      <w:pPr>
        <w:pStyle w:val="Heading2"/>
        <w:spacing w:before="0" w:after="0" w:line="240" w:lineRule="auto"/>
        <w:ind w:left="576"/>
        <w:rPr>
          <w:rFonts w:asciiTheme="minorHAnsi" w:hAnsiTheme="minorHAnsi" w:cs="Arial"/>
          <w:color w:val="auto"/>
        </w:rPr>
      </w:pPr>
      <w:bookmarkStart w:id="12" w:name="_Toc341014942"/>
      <w:r w:rsidRPr="008B0669">
        <w:rPr>
          <w:rFonts w:asciiTheme="minorHAnsi" w:hAnsiTheme="minorHAnsi" w:cs="Arial"/>
          <w:color w:val="auto"/>
        </w:rPr>
        <w:t>TOR 2</w:t>
      </w:r>
      <w:r w:rsidR="00D222AD" w:rsidRPr="008B0669">
        <w:rPr>
          <w:rFonts w:asciiTheme="minorHAnsi" w:hAnsiTheme="minorHAnsi" w:cs="Arial"/>
          <w:color w:val="auto"/>
        </w:rPr>
        <w:t>(c)</w:t>
      </w:r>
      <w:r w:rsidRPr="008B0669">
        <w:rPr>
          <w:rFonts w:asciiTheme="minorHAnsi" w:hAnsiTheme="minorHAnsi" w:cs="Arial"/>
          <w:color w:val="auto"/>
        </w:rPr>
        <w:t xml:space="preserve"> - </w:t>
      </w:r>
      <w:r w:rsidR="00EA77BE" w:rsidRPr="008B0669">
        <w:rPr>
          <w:rFonts w:asciiTheme="minorHAnsi" w:hAnsiTheme="minorHAnsi" w:cs="Arial"/>
          <w:color w:val="auto"/>
        </w:rPr>
        <w:t xml:space="preserve">Consistency with </w:t>
      </w:r>
      <w:r w:rsidR="009803A7" w:rsidRPr="008B0669">
        <w:rPr>
          <w:rFonts w:asciiTheme="minorHAnsi" w:hAnsiTheme="minorHAnsi" w:cs="Arial"/>
          <w:color w:val="auto"/>
        </w:rPr>
        <w:t xml:space="preserve">the </w:t>
      </w:r>
      <w:r w:rsidR="00EA77BE" w:rsidRPr="008B0669">
        <w:rPr>
          <w:rFonts w:asciiTheme="minorHAnsi" w:hAnsiTheme="minorHAnsi" w:cs="Arial"/>
          <w:color w:val="auto"/>
        </w:rPr>
        <w:t>Safety, Rehabilitation and Compensation Act</w:t>
      </w:r>
      <w:bookmarkEnd w:id="12"/>
    </w:p>
    <w:p w:rsidR="005B7717" w:rsidRPr="008B0669" w:rsidRDefault="005B7717" w:rsidP="002E255C">
      <w:pPr>
        <w:pStyle w:val="numberlist"/>
        <w:numPr>
          <w:ilvl w:val="0"/>
          <w:numId w:val="0"/>
        </w:numPr>
        <w:spacing w:after="0"/>
        <w:ind w:left="720" w:right="576"/>
        <w:rPr>
          <w:rFonts w:asciiTheme="minorHAnsi" w:hAnsiTheme="minorHAnsi" w:cs="Arial"/>
          <w:szCs w:val="24"/>
        </w:rPr>
      </w:pPr>
    </w:p>
    <w:p w:rsidR="00F173DB" w:rsidRPr="008B0669" w:rsidRDefault="00EA77BE"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A </w:t>
      </w:r>
      <w:r w:rsidR="00557D2A" w:rsidRPr="008B0669">
        <w:rPr>
          <w:rFonts w:asciiTheme="minorHAnsi" w:hAnsiTheme="minorHAnsi" w:cs="Arial"/>
          <w:sz w:val="22"/>
          <w:szCs w:val="22"/>
        </w:rPr>
        <w:t xml:space="preserve">related </w:t>
      </w:r>
      <w:r w:rsidRPr="008B0669">
        <w:rPr>
          <w:rFonts w:asciiTheme="minorHAnsi" w:hAnsiTheme="minorHAnsi" w:cs="Arial"/>
          <w:sz w:val="22"/>
          <w:szCs w:val="22"/>
        </w:rPr>
        <w:t xml:space="preserve">review of the </w:t>
      </w:r>
      <w:r w:rsidRPr="003745CF">
        <w:rPr>
          <w:rFonts w:asciiTheme="minorHAnsi" w:hAnsiTheme="minorHAnsi" w:cs="Arial"/>
          <w:i/>
          <w:sz w:val="22"/>
          <w:szCs w:val="22"/>
        </w:rPr>
        <w:t xml:space="preserve">Safety, Rehabilitation and Compensation Act 1988 </w:t>
      </w:r>
      <w:r w:rsidRPr="008B0669">
        <w:rPr>
          <w:rFonts w:asciiTheme="minorHAnsi" w:hAnsiTheme="minorHAnsi" w:cs="Arial"/>
          <w:sz w:val="22"/>
          <w:szCs w:val="22"/>
        </w:rPr>
        <w:t xml:space="preserve">(SRC Act) was announced by the Minister </w:t>
      </w:r>
      <w:r w:rsidR="00622521" w:rsidRPr="008B0669">
        <w:rPr>
          <w:rFonts w:asciiTheme="minorHAnsi" w:hAnsiTheme="minorHAnsi" w:cs="Arial"/>
          <w:sz w:val="22"/>
          <w:szCs w:val="22"/>
        </w:rPr>
        <w:t xml:space="preserve">for Employment and Workplace Relations, the Hon Bill Shorten MP, </w:t>
      </w:r>
      <w:r w:rsidRPr="008B0669">
        <w:rPr>
          <w:rFonts w:asciiTheme="minorHAnsi" w:hAnsiTheme="minorHAnsi" w:cs="Arial"/>
          <w:sz w:val="22"/>
          <w:szCs w:val="22"/>
        </w:rPr>
        <w:t>on 24 July 2012.  T</w:t>
      </w:r>
      <w:r w:rsidR="001A0AFF" w:rsidRPr="008B0669">
        <w:rPr>
          <w:rFonts w:asciiTheme="minorHAnsi" w:hAnsiTheme="minorHAnsi" w:cs="Arial"/>
          <w:sz w:val="22"/>
          <w:szCs w:val="22"/>
        </w:rPr>
        <w:t xml:space="preserve">he </w:t>
      </w:r>
      <w:r w:rsidRPr="008B0669">
        <w:rPr>
          <w:rFonts w:asciiTheme="minorHAnsi" w:hAnsiTheme="minorHAnsi" w:cs="Arial"/>
          <w:sz w:val="22"/>
          <w:szCs w:val="22"/>
        </w:rPr>
        <w:t xml:space="preserve">terms of reference for the </w:t>
      </w:r>
      <w:r w:rsidR="001A0AFF" w:rsidRPr="008B0669">
        <w:rPr>
          <w:rFonts w:asciiTheme="minorHAnsi" w:hAnsiTheme="minorHAnsi" w:cs="Arial"/>
          <w:sz w:val="22"/>
          <w:szCs w:val="22"/>
        </w:rPr>
        <w:t xml:space="preserve">review </w:t>
      </w:r>
      <w:r w:rsidRPr="008B0669">
        <w:rPr>
          <w:rFonts w:asciiTheme="minorHAnsi" w:hAnsiTheme="minorHAnsi" w:cs="Arial"/>
          <w:sz w:val="22"/>
          <w:szCs w:val="22"/>
        </w:rPr>
        <w:t xml:space="preserve">of the Seacare Scheme </w:t>
      </w:r>
      <w:r w:rsidR="00F173DB" w:rsidRPr="008B0669">
        <w:rPr>
          <w:rFonts w:asciiTheme="minorHAnsi" w:hAnsiTheme="minorHAnsi" w:cs="Arial"/>
          <w:sz w:val="22"/>
          <w:szCs w:val="22"/>
        </w:rPr>
        <w:t>indicate</w:t>
      </w:r>
      <w:r w:rsidRPr="008B0669">
        <w:rPr>
          <w:rFonts w:asciiTheme="minorHAnsi" w:hAnsiTheme="minorHAnsi" w:cs="Arial"/>
          <w:sz w:val="22"/>
          <w:szCs w:val="22"/>
        </w:rPr>
        <w:t xml:space="preserve"> that the Seafarers Act should be consistent with the wording and application of the SRC Act.  </w:t>
      </w:r>
    </w:p>
    <w:p w:rsidR="00043049" w:rsidRPr="008B0669" w:rsidRDefault="00043049" w:rsidP="00043049">
      <w:pPr>
        <w:pStyle w:val="ListParagraph"/>
        <w:rPr>
          <w:rFonts w:asciiTheme="minorHAnsi" w:hAnsiTheme="minorHAnsi"/>
        </w:rPr>
      </w:pPr>
    </w:p>
    <w:p w:rsidR="00EA77BE" w:rsidRPr="008B0669" w:rsidRDefault="00E265CC"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Th</w:t>
      </w:r>
      <w:r w:rsidR="00557D2A" w:rsidRPr="008B0669">
        <w:rPr>
          <w:rFonts w:asciiTheme="minorHAnsi" w:hAnsiTheme="minorHAnsi" w:cs="Arial"/>
          <w:sz w:val="22"/>
          <w:szCs w:val="22"/>
        </w:rPr>
        <w:t>e</w:t>
      </w:r>
      <w:r w:rsidRPr="008B0669">
        <w:rPr>
          <w:rFonts w:asciiTheme="minorHAnsi" w:hAnsiTheme="minorHAnsi" w:cs="Arial"/>
          <w:sz w:val="22"/>
          <w:szCs w:val="22"/>
        </w:rPr>
        <w:t xml:space="preserve"> review </w:t>
      </w:r>
      <w:r w:rsidR="00557D2A" w:rsidRPr="008B0669">
        <w:rPr>
          <w:rFonts w:asciiTheme="minorHAnsi" w:hAnsiTheme="minorHAnsi" w:cs="Arial"/>
          <w:sz w:val="22"/>
          <w:szCs w:val="22"/>
        </w:rPr>
        <w:t xml:space="preserve">of the SRC Act </w:t>
      </w:r>
      <w:r w:rsidRPr="008B0669">
        <w:rPr>
          <w:rFonts w:asciiTheme="minorHAnsi" w:hAnsiTheme="minorHAnsi" w:cs="Arial"/>
          <w:sz w:val="22"/>
          <w:szCs w:val="22"/>
        </w:rPr>
        <w:t xml:space="preserve">issued </w:t>
      </w:r>
      <w:r w:rsidR="00557D2A" w:rsidRPr="008B0669">
        <w:rPr>
          <w:rFonts w:asciiTheme="minorHAnsi" w:hAnsiTheme="minorHAnsi" w:cs="Arial"/>
          <w:sz w:val="22"/>
          <w:szCs w:val="22"/>
        </w:rPr>
        <w:t>its</w:t>
      </w:r>
      <w:r w:rsidRPr="008B0669">
        <w:rPr>
          <w:rFonts w:asciiTheme="minorHAnsi" w:hAnsiTheme="minorHAnsi" w:cs="Arial"/>
          <w:sz w:val="22"/>
          <w:szCs w:val="22"/>
        </w:rPr>
        <w:t xml:space="preserve"> issues paper in September 2012.  Submissions have been published on that review’s web page.</w:t>
      </w:r>
      <w:r w:rsidR="00557D2A" w:rsidRPr="008B0669">
        <w:rPr>
          <w:rStyle w:val="FootnoteReference"/>
          <w:rFonts w:asciiTheme="minorHAnsi" w:hAnsiTheme="minorHAnsi" w:cs="Arial"/>
          <w:sz w:val="22"/>
          <w:szCs w:val="22"/>
        </w:rPr>
        <w:footnoteReference w:id="20"/>
      </w:r>
      <w:r w:rsidRPr="008B0669">
        <w:rPr>
          <w:rFonts w:asciiTheme="minorHAnsi" w:hAnsiTheme="minorHAnsi" w:cs="Arial"/>
          <w:sz w:val="22"/>
          <w:szCs w:val="22"/>
        </w:rPr>
        <w:t xml:space="preserve">  I</w:t>
      </w:r>
      <w:r w:rsidR="00622521" w:rsidRPr="008B0669">
        <w:rPr>
          <w:rFonts w:asciiTheme="minorHAnsi" w:hAnsiTheme="minorHAnsi" w:cs="Arial"/>
          <w:sz w:val="22"/>
          <w:szCs w:val="22"/>
        </w:rPr>
        <w:t xml:space="preserve">t will be </w:t>
      </w:r>
      <w:r w:rsidR="00EA77BE" w:rsidRPr="008B0669">
        <w:rPr>
          <w:rFonts w:asciiTheme="minorHAnsi" w:hAnsiTheme="minorHAnsi" w:cs="Arial"/>
          <w:sz w:val="22"/>
          <w:szCs w:val="22"/>
        </w:rPr>
        <w:t xml:space="preserve">necessary to be mindful of any </w:t>
      </w:r>
      <w:r w:rsidR="00F77B56" w:rsidRPr="008B0669">
        <w:rPr>
          <w:rFonts w:asciiTheme="minorHAnsi" w:hAnsiTheme="minorHAnsi" w:cs="Arial"/>
          <w:sz w:val="22"/>
          <w:szCs w:val="22"/>
        </w:rPr>
        <w:t xml:space="preserve">accepted </w:t>
      </w:r>
      <w:r w:rsidR="00EA77BE" w:rsidRPr="008B0669">
        <w:rPr>
          <w:rFonts w:asciiTheme="minorHAnsi" w:hAnsiTheme="minorHAnsi" w:cs="Arial"/>
          <w:sz w:val="22"/>
          <w:szCs w:val="22"/>
        </w:rPr>
        <w:t xml:space="preserve">recommendations for </w:t>
      </w:r>
      <w:r w:rsidRPr="008B0669">
        <w:rPr>
          <w:rFonts w:asciiTheme="minorHAnsi" w:hAnsiTheme="minorHAnsi" w:cs="Arial"/>
          <w:sz w:val="22"/>
          <w:szCs w:val="22"/>
        </w:rPr>
        <w:t>changes</w:t>
      </w:r>
      <w:r w:rsidR="00EA77BE" w:rsidRPr="008B0669">
        <w:rPr>
          <w:rFonts w:asciiTheme="minorHAnsi" w:hAnsiTheme="minorHAnsi" w:cs="Arial"/>
          <w:sz w:val="22"/>
          <w:szCs w:val="22"/>
        </w:rPr>
        <w:t xml:space="preserve"> to the SRC Act that </w:t>
      </w:r>
      <w:r w:rsidR="00391E14" w:rsidRPr="008B0669">
        <w:rPr>
          <w:rFonts w:asciiTheme="minorHAnsi" w:hAnsiTheme="minorHAnsi" w:cs="Arial"/>
          <w:sz w:val="22"/>
          <w:szCs w:val="22"/>
        </w:rPr>
        <w:t>m</w:t>
      </w:r>
      <w:r w:rsidR="00A51A81" w:rsidRPr="008B0669">
        <w:rPr>
          <w:rFonts w:asciiTheme="minorHAnsi" w:hAnsiTheme="minorHAnsi" w:cs="Arial"/>
          <w:sz w:val="22"/>
          <w:szCs w:val="22"/>
        </w:rPr>
        <w:t>ight</w:t>
      </w:r>
      <w:r w:rsidR="00EA77BE" w:rsidRPr="008B0669">
        <w:rPr>
          <w:rFonts w:asciiTheme="minorHAnsi" w:hAnsiTheme="minorHAnsi" w:cs="Arial"/>
          <w:sz w:val="22"/>
          <w:szCs w:val="22"/>
        </w:rPr>
        <w:t xml:space="preserve"> flow </w:t>
      </w:r>
      <w:r w:rsidR="00391E14" w:rsidRPr="008B0669">
        <w:rPr>
          <w:rFonts w:asciiTheme="minorHAnsi" w:hAnsiTheme="minorHAnsi" w:cs="Arial"/>
          <w:sz w:val="22"/>
          <w:szCs w:val="22"/>
        </w:rPr>
        <w:t>through to</w:t>
      </w:r>
      <w:r w:rsidR="00EA77BE" w:rsidRPr="008B0669">
        <w:rPr>
          <w:rFonts w:asciiTheme="minorHAnsi" w:hAnsiTheme="minorHAnsi" w:cs="Arial"/>
          <w:sz w:val="22"/>
          <w:szCs w:val="22"/>
        </w:rPr>
        <w:t xml:space="preserve"> the Seafarers Act and associated legislation.</w:t>
      </w:r>
      <w:r w:rsidR="00FB7039" w:rsidRPr="008B0669">
        <w:rPr>
          <w:rFonts w:asciiTheme="minorHAnsi" w:hAnsiTheme="minorHAnsi" w:cs="Arial"/>
          <w:sz w:val="22"/>
          <w:szCs w:val="22"/>
        </w:rPr>
        <w:t xml:space="preserve">  </w:t>
      </w:r>
      <w:r w:rsidR="00A51A81" w:rsidRPr="008B0669">
        <w:rPr>
          <w:rFonts w:asciiTheme="minorHAnsi" w:hAnsiTheme="minorHAnsi" w:cs="Arial"/>
          <w:sz w:val="22"/>
          <w:szCs w:val="22"/>
        </w:rPr>
        <w:t>This could include issues</w:t>
      </w:r>
      <w:r w:rsidR="00F173DB" w:rsidRPr="008B0669">
        <w:rPr>
          <w:rFonts w:asciiTheme="minorHAnsi" w:hAnsiTheme="minorHAnsi" w:cs="Arial"/>
          <w:sz w:val="22"/>
          <w:szCs w:val="22"/>
        </w:rPr>
        <w:t xml:space="preserve"> about the coverage of injuries and eligibility for compensation.</w:t>
      </w:r>
    </w:p>
    <w:p w:rsidR="00557D2A" w:rsidRPr="008B0669" w:rsidRDefault="00557D2A" w:rsidP="002E255C">
      <w:pPr>
        <w:pStyle w:val="numberlist"/>
        <w:numPr>
          <w:ilvl w:val="0"/>
          <w:numId w:val="0"/>
        </w:numPr>
        <w:spacing w:after="0"/>
        <w:ind w:left="720" w:right="576"/>
        <w:rPr>
          <w:rFonts w:asciiTheme="minorHAnsi" w:hAnsiTheme="minorHAnsi" w:cs="Arial"/>
          <w:sz w:val="22"/>
          <w:szCs w:val="22"/>
        </w:rPr>
      </w:pPr>
    </w:p>
    <w:p w:rsidR="0082791D" w:rsidRPr="008B0669" w:rsidRDefault="00F173DB" w:rsidP="002E255C">
      <w:pPr>
        <w:pStyle w:val="Default"/>
        <w:numPr>
          <w:ilvl w:val="0"/>
          <w:numId w:val="6"/>
        </w:numPr>
        <w:rPr>
          <w:rFonts w:asciiTheme="minorHAnsi" w:hAnsiTheme="minorHAnsi" w:cs="Arial"/>
          <w:color w:val="auto"/>
          <w:sz w:val="22"/>
          <w:szCs w:val="22"/>
        </w:rPr>
      </w:pPr>
      <w:r w:rsidRPr="008B0669">
        <w:rPr>
          <w:rFonts w:asciiTheme="minorHAnsi" w:hAnsiTheme="minorHAnsi" w:cs="Arial"/>
          <w:color w:val="auto"/>
          <w:sz w:val="22"/>
          <w:szCs w:val="22"/>
        </w:rPr>
        <w:t xml:space="preserve">One particular issue that requires attention relates to the age at which such eligibility ceases.  </w:t>
      </w:r>
      <w:r w:rsidR="00E952AC" w:rsidRPr="008B0669">
        <w:rPr>
          <w:rFonts w:asciiTheme="minorHAnsi" w:hAnsiTheme="minorHAnsi" w:cs="Arial"/>
          <w:color w:val="auto"/>
          <w:sz w:val="22"/>
          <w:szCs w:val="22"/>
        </w:rPr>
        <w:t>As the issues paper for the SRC Act notes</w:t>
      </w:r>
      <w:r w:rsidR="00E952AC" w:rsidRPr="008B0669">
        <w:rPr>
          <w:rStyle w:val="FootnoteReference"/>
          <w:rFonts w:asciiTheme="minorHAnsi" w:hAnsiTheme="minorHAnsi" w:cs="Arial"/>
          <w:color w:val="auto"/>
          <w:sz w:val="22"/>
          <w:szCs w:val="22"/>
        </w:rPr>
        <w:footnoteReference w:id="21"/>
      </w:r>
      <w:r w:rsidR="00E952AC" w:rsidRPr="008B0669">
        <w:rPr>
          <w:rFonts w:asciiTheme="minorHAnsi" w:hAnsiTheme="minorHAnsi" w:cs="Arial"/>
          <w:color w:val="auto"/>
          <w:sz w:val="22"/>
          <w:szCs w:val="22"/>
        </w:rPr>
        <w:t xml:space="preserve">, most Australian workers’ compensation schemes (apart from Queensland and Western Australia) remove the entitlement to weekly incapacity benefits for injured employees when they reach the age of 65.  </w:t>
      </w:r>
    </w:p>
    <w:p w:rsidR="0082791D" w:rsidRPr="008B0669" w:rsidRDefault="0082791D" w:rsidP="0082791D">
      <w:pPr>
        <w:pStyle w:val="ListParagraph"/>
        <w:rPr>
          <w:rFonts w:asciiTheme="minorHAnsi" w:hAnsiTheme="minorHAnsi"/>
        </w:rPr>
      </w:pPr>
    </w:p>
    <w:p w:rsidR="00E952AC" w:rsidRPr="008B0669" w:rsidRDefault="00E952AC" w:rsidP="002E255C">
      <w:pPr>
        <w:pStyle w:val="Default"/>
        <w:numPr>
          <w:ilvl w:val="0"/>
          <w:numId w:val="6"/>
        </w:numPr>
        <w:rPr>
          <w:rFonts w:asciiTheme="minorHAnsi" w:hAnsiTheme="minorHAnsi" w:cs="Arial"/>
          <w:color w:val="auto"/>
          <w:sz w:val="22"/>
          <w:szCs w:val="22"/>
        </w:rPr>
      </w:pPr>
      <w:r w:rsidRPr="008B0669">
        <w:rPr>
          <w:rFonts w:asciiTheme="minorHAnsi" w:hAnsiTheme="minorHAnsi" w:cs="Arial"/>
          <w:color w:val="auto"/>
          <w:sz w:val="22"/>
          <w:szCs w:val="22"/>
        </w:rPr>
        <w:t xml:space="preserve">This includes the Seacare scheme [see s 38(1) of the Seafarers Act]. For employees who are injured at the age of 64 or over, </w:t>
      </w:r>
      <w:proofErr w:type="spellStart"/>
      <w:r w:rsidRPr="008B0669">
        <w:rPr>
          <w:rFonts w:asciiTheme="minorHAnsi" w:hAnsiTheme="minorHAnsi" w:cs="Arial"/>
          <w:color w:val="auto"/>
          <w:sz w:val="22"/>
          <w:szCs w:val="22"/>
        </w:rPr>
        <w:t>s.38</w:t>
      </w:r>
      <w:proofErr w:type="spellEnd"/>
      <w:r w:rsidRPr="008B0669">
        <w:rPr>
          <w:rFonts w:asciiTheme="minorHAnsi" w:hAnsiTheme="minorHAnsi" w:cs="Arial"/>
          <w:color w:val="auto"/>
          <w:sz w:val="22"/>
          <w:szCs w:val="22"/>
        </w:rPr>
        <w:t xml:space="preserve">(2) provides for the payment of weekly incapacity benefits for a maximum period of 12 months.  However, medical and rehabilitation costs, and lump sum payments for permanent impairment, are paid irrespective of age. </w:t>
      </w:r>
    </w:p>
    <w:p w:rsidR="00043049" w:rsidRPr="008B0669" w:rsidRDefault="00043049" w:rsidP="00043049">
      <w:pPr>
        <w:pStyle w:val="Default"/>
        <w:ind w:left="936"/>
        <w:rPr>
          <w:rFonts w:asciiTheme="minorHAnsi" w:hAnsiTheme="minorHAnsi" w:cs="Arial"/>
          <w:color w:val="auto"/>
          <w:sz w:val="22"/>
          <w:szCs w:val="22"/>
        </w:rPr>
      </w:pPr>
    </w:p>
    <w:p w:rsidR="00E952AC" w:rsidRPr="008B0669" w:rsidRDefault="00E952AC" w:rsidP="002E255C">
      <w:pPr>
        <w:pStyle w:val="Default"/>
        <w:numPr>
          <w:ilvl w:val="0"/>
          <w:numId w:val="6"/>
        </w:numPr>
        <w:rPr>
          <w:rFonts w:asciiTheme="minorHAnsi" w:hAnsiTheme="minorHAnsi" w:cs="Arial"/>
          <w:color w:val="auto"/>
          <w:sz w:val="22"/>
          <w:szCs w:val="22"/>
        </w:rPr>
      </w:pPr>
      <w:r w:rsidRPr="008B0669">
        <w:rPr>
          <w:rFonts w:asciiTheme="minorHAnsi" w:hAnsiTheme="minorHAnsi" w:cs="Arial"/>
          <w:color w:val="auto"/>
          <w:sz w:val="22"/>
          <w:szCs w:val="22"/>
        </w:rPr>
        <w:t xml:space="preserve">Age cut-offs in workers’ compensation laws </w:t>
      </w:r>
      <w:r w:rsidR="00F173DB" w:rsidRPr="008B0669">
        <w:rPr>
          <w:rFonts w:asciiTheme="minorHAnsi" w:hAnsiTheme="minorHAnsi" w:cs="Arial"/>
          <w:color w:val="auto"/>
          <w:sz w:val="22"/>
          <w:szCs w:val="22"/>
        </w:rPr>
        <w:t>are based on</w:t>
      </w:r>
      <w:r w:rsidRPr="008B0669">
        <w:rPr>
          <w:rFonts w:asciiTheme="minorHAnsi" w:hAnsiTheme="minorHAnsi" w:cs="Arial"/>
          <w:color w:val="auto"/>
          <w:sz w:val="22"/>
          <w:szCs w:val="22"/>
        </w:rPr>
        <w:t xml:space="preserve"> employees retiring at age 65 with access to other means of financial support, e.g., the age pension and superannuation. </w:t>
      </w:r>
      <w:r w:rsidR="00F173DB" w:rsidRPr="008B0669">
        <w:rPr>
          <w:rFonts w:asciiTheme="minorHAnsi" w:hAnsiTheme="minorHAnsi" w:cs="Arial"/>
          <w:color w:val="auto"/>
          <w:sz w:val="22"/>
          <w:szCs w:val="22"/>
        </w:rPr>
        <w:t xml:space="preserve"> </w:t>
      </w:r>
      <w:r w:rsidRPr="008B0669">
        <w:rPr>
          <w:rFonts w:asciiTheme="minorHAnsi" w:hAnsiTheme="minorHAnsi" w:cs="Arial"/>
          <w:color w:val="auto"/>
          <w:sz w:val="22"/>
          <w:szCs w:val="22"/>
        </w:rPr>
        <w:t>Between 2017 and 2023, the eligibility age for the age pension is to be progressively increased from 65 to 67.</w:t>
      </w:r>
      <w:r w:rsidRPr="008B0669">
        <w:rPr>
          <w:rStyle w:val="FootnoteReference"/>
          <w:rFonts w:asciiTheme="minorHAnsi" w:hAnsiTheme="minorHAnsi" w:cs="Arial"/>
          <w:color w:val="auto"/>
          <w:sz w:val="22"/>
          <w:szCs w:val="22"/>
        </w:rPr>
        <w:footnoteReference w:id="22"/>
      </w:r>
      <w:r w:rsidRPr="008B0669">
        <w:rPr>
          <w:rFonts w:asciiTheme="minorHAnsi" w:hAnsiTheme="minorHAnsi" w:cs="Arial"/>
          <w:color w:val="auto"/>
          <w:sz w:val="22"/>
          <w:szCs w:val="22"/>
        </w:rPr>
        <w:t xml:space="preserve">  Accordingly, an injured employee who is ineligible for incapacity benefits at age 65 will not have access to the age pension until he or she is 67. </w:t>
      </w:r>
    </w:p>
    <w:p w:rsidR="00272068" w:rsidRPr="008B0669" w:rsidRDefault="00272068" w:rsidP="00272068">
      <w:pPr>
        <w:pStyle w:val="Default"/>
        <w:ind w:left="936"/>
        <w:rPr>
          <w:rFonts w:asciiTheme="minorHAnsi" w:hAnsiTheme="minorHAnsi" w:cs="Arial"/>
          <w:color w:val="auto"/>
          <w:sz w:val="22"/>
          <w:szCs w:val="22"/>
        </w:rPr>
      </w:pPr>
    </w:p>
    <w:p w:rsidR="00E952AC" w:rsidRPr="008B0669" w:rsidRDefault="00F173DB" w:rsidP="002E255C">
      <w:pPr>
        <w:pStyle w:val="Default"/>
        <w:numPr>
          <w:ilvl w:val="0"/>
          <w:numId w:val="6"/>
        </w:numPr>
        <w:rPr>
          <w:rFonts w:asciiTheme="minorHAnsi" w:hAnsiTheme="minorHAnsi" w:cs="Arial"/>
          <w:color w:val="auto"/>
          <w:sz w:val="22"/>
          <w:szCs w:val="22"/>
        </w:rPr>
      </w:pPr>
      <w:r w:rsidRPr="008B0669">
        <w:rPr>
          <w:rFonts w:asciiTheme="minorHAnsi" w:hAnsiTheme="minorHAnsi" w:cs="Arial"/>
          <w:color w:val="auto"/>
          <w:sz w:val="22"/>
          <w:szCs w:val="22"/>
        </w:rPr>
        <w:t>Australian e</w:t>
      </w:r>
      <w:r w:rsidR="00E952AC" w:rsidRPr="008B0669">
        <w:rPr>
          <w:rFonts w:asciiTheme="minorHAnsi" w:hAnsiTheme="minorHAnsi" w:cs="Arial"/>
          <w:color w:val="auto"/>
          <w:sz w:val="22"/>
          <w:szCs w:val="22"/>
        </w:rPr>
        <w:t xml:space="preserve">mployees are already increasingly continuing in employment after the age of 65.  A higher eligibility age for the age pension is likely to increase the number of employees who </w:t>
      </w:r>
      <w:r w:rsidRPr="008B0669">
        <w:rPr>
          <w:rFonts w:asciiTheme="minorHAnsi" w:hAnsiTheme="minorHAnsi" w:cs="Arial"/>
          <w:color w:val="auto"/>
          <w:sz w:val="22"/>
          <w:szCs w:val="22"/>
        </w:rPr>
        <w:t>do so</w:t>
      </w:r>
      <w:r w:rsidR="00E952AC" w:rsidRPr="008B0669">
        <w:rPr>
          <w:rFonts w:asciiTheme="minorHAnsi" w:hAnsiTheme="minorHAnsi" w:cs="Arial"/>
          <w:color w:val="auto"/>
          <w:sz w:val="22"/>
          <w:szCs w:val="22"/>
        </w:rPr>
        <w:t xml:space="preserve">.  </w:t>
      </w:r>
    </w:p>
    <w:p w:rsidR="00272068" w:rsidRPr="008B0669" w:rsidRDefault="00272068" w:rsidP="00272068">
      <w:pPr>
        <w:pStyle w:val="ListParagraph"/>
        <w:rPr>
          <w:rFonts w:asciiTheme="minorHAnsi" w:hAnsiTheme="minorHAnsi"/>
        </w:rPr>
      </w:pPr>
    </w:p>
    <w:p w:rsidR="00E952AC" w:rsidRPr="008B0669" w:rsidRDefault="00E952AC" w:rsidP="002E255C">
      <w:pPr>
        <w:pStyle w:val="Default"/>
        <w:numPr>
          <w:ilvl w:val="0"/>
          <w:numId w:val="6"/>
        </w:numPr>
        <w:rPr>
          <w:rFonts w:asciiTheme="minorHAnsi" w:hAnsiTheme="minorHAnsi" w:cs="Arial"/>
          <w:color w:val="auto"/>
          <w:sz w:val="22"/>
          <w:szCs w:val="22"/>
        </w:rPr>
      </w:pPr>
      <w:r w:rsidRPr="008B0669">
        <w:rPr>
          <w:rFonts w:asciiTheme="minorHAnsi" w:hAnsiTheme="minorHAnsi" w:cs="Arial"/>
          <w:color w:val="auto"/>
          <w:sz w:val="22"/>
          <w:szCs w:val="22"/>
        </w:rPr>
        <w:t>Nonetheless, while the workforce is ageing, most employees still retire before age 65.</w:t>
      </w:r>
      <w:r w:rsidRPr="008B0669">
        <w:rPr>
          <w:rStyle w:val="FootnoteReference"/>
          <w:rFonts w:asciiTheme="minorHAnsi" w:hAnsiTheme="minorHAnsi" w:cs="Arial"/>
          <w:color w:val="auto"/>
          <w:sz w:val="22"/>
          <w:szCs w:val="22"/>
        </w:rPr>
        <w:footnoteReference w:id="23"/>
      </w:r>
      <w:r w:rsidRPr="008B0669">
        <w:rPr>
          <w:rFonts w:asciiTheme="minorHAnsi" w:hAnsiTheme="minorHAnsi" w:cs="Arial"/>
          <w:color w:val="auto"/>
          <w:sz w:val="22"/>
          <w:szCs w:val="22"/>
        </w:rPr>
        <w:t xml:space="preserve"> In 2007, the House of Representatives Standing Committee on Legal and Constitutional Affairs released its report: </w:t>
      </w:r>
      <w:r w:rsidRPr="008B0669">
        <w:rPr>
          <w:rFonts w:asciiTheme="minorHAnsi" w:hAnsiTheme="minorHAnsi" w:cs="Arial"/>
          <w:i/>
          <w:iCs/>
          <w:color w:val="auto"/>
          <w:sz w:val="22"/>
          <w:szCs w:val="22"/>
        </w:rPr>
        <w:t>Older People and the Law</w:t>
      </w:r>
      <w:r w:rsidRPr="008B0669">
        <w:rPr>
          <w:rFonts w:asciiTheme="minorHAnsi" w:hAnsiTheme="minorHAnsi" w:cs="Arial"/>
          <w:color w:val="auto"/>
          <w:sz w:val="22"/>
          <w:szCs w:val="22"/>
        </w:rPr>
        <w:t>.</w:t>
      </w:r>
      <w:r w:rsidRPr="008B0669">
        <w:rPr>
          <w:rStyle w:val="FootnoteReference"/>
          <w:rFonts w:asciiTheme="minorHAnsi" w:hAnsiTheme="minorHAnsi" w:cs="Arial"/>
          <w:color w:val="auto"/>
          <w:sz w:val="22"/>
          <w:szCs w:val="22"/>
        </w:rPr>
        <w:footnoteReference w:id="24"/>
      </w:r>
      <w:r w:rsidRPr="008B0669">
        <w:rPr>
          <w:rFonts w:asciiTheme="minorHAnsi" w:hAnsiTheme="minorHAnsi" w:cs="Arial"/>
          <w:color w:val="auto"/>
          <w:sz w:val="22"/>
          <w:szCs w:val="22"/>
        </w:rPr>
        <w:t xml:space="preserve">  Recommendation 42 (</w:t>
      </w:r>
      <w:proofErr w:type="spellStart"/>
      <w:r w:rsidRPr="008B0669">
        <w:rPr>
          <w:rFonts w:asciiTheme="minorHAnsi" w:hAnsiTheme="minorHAnsi" w:cs="Arial"/>
          <w:color w:val="auto"/>
          <w:sz w:val="22"/>
          <w:szCs w:val="22"/>
        </w:rPr>
        <w:t>R.42</w:t>
      </w:r>
      <w:proofErr w:type="spellEnd"/>
      <w:r w:rsidRPr="008B0669">
        <w:rPr>
          <w:rFonts w:asciiTheme="minorHAnsi" w:hAnsiTheme="minorHAnsi" w:cs="Arial"/>
          <w:color w:val="auto"/>
          <w:sz w:val="22"/>
          <w:szCs w:val="22"/>
        </w:rPr>
        <w:t xml:space="preserve">) was for the Australian Government, in cooperation with State and Territory governments, to review the application of workers’ compensation legislation to ensure that older employees were not disadvantaged. </w:t>
      </w:r>
    </w:p>
    <w:p w:rsidR="00272068" w:rsidRPr="008B0669" w:rsidRDefault="00272068" w:rsidP="00272068">
      <w:pPr>
        <w:pStyle w:val="ListParagraph"/>
        <w:rPr>
          <w:rFonts w:asciiTheme="minorHAnsi" w:hAnsiTheme="minorHAnsi"/>
        </w:rPr>
      </w:pPr>
    </w:p>
    <w:p w:rsidR="00E952AC" w:rsidRPr="008B0669" w:rsidRDefault="00E952AC" w:rsidP="002E255C">
      <w:pPr>
        <w:pStyle w:val="Default"/>
        <w:numPr>
          <w:ilvl w:val="0"/>
          <w:numId w:val="6"/>
        </w:numPr>
        <w:rPr>
          <w:rFonts w:asciiTheme="minorHAnsi" w:hAnsiTheme="minorHAnsi" w:cs="Arial"/>
          <w:color w:val="auto"/>
          <w:sz w:val="22"/>
          <w:szCs w:val="22"/>
          <w:lang w:val="en"/>
        </w:rPr>
      </w:pPr>
      <w:r w:rsidRPr="008B0669">
        <w:rPr>
          <w:rFonts w:asciiTheme="minorHAnsi" w:hAnsiTheme="minorHAnsi" w:cs="Arial"/>
          <w:color w:val="auto"/>
          <w:sz w:val="22"/>
          <w:szCs w:val="22"/>
        </w:rPr>
        <w:t xml:space="preserve">The Australian Government referred </w:t>
      </w:r>
      <w:proofErr w:type="spellStart"/>
      <w:r w:rsidRPr="008B0669">
        <w:rPr>
          <w:rFonts w:asciiTheme="minorHAnsi" w:hAnsiTheme="minorHAnsi" w:cs="Arial"/>
          <w:color w:val="auto"/>
          <w:sz w:val="22"/>
          <w:szCs w:val="22"/>
        </w:rPr>
        <w:t>R.42</w:t>
      </w:r>
      <w:proofErr w:type="spellEnd"/>
      <w:r w:rsidRPr="008B0669">
        <w:rPr>
          <w:rFonts w:asciiTheme="minorHAnsi" w:hAnsiTheme="minorHAnsi" w:cs="Arial"/>
          <w:color w:val="auto"/>
          <w:sz w:val="22"/>
          <w:szCs w:val="22"/>
        </w:rPr>
        <w:t xml:space="preserve"> to the former Workplace Relations Ministers Council, which asked Safe Work Australia to consider it. Safe Work Australia has included the matter in the 2012 work program of the Strategic Issues Group on Workers’ Compensation. </w:t>
      </w:r>
    </w:p>
    <w:p w:rsidR="00E952AC" w:rsidRPr="008B0669" w:rsidRDefault="00E952AC" w:rsidP="002E255C">
      <w:pPr>
        <w:pStyle w:val="Default"/>
        <w:ind w:left="360"/>
        <w:rPr>
          <w:rFonts w:asciiTheme="minorHAnsi" w:hAnsiTheme="minorHAnsi" w:cs="Arial"/>
          <w:color w:val="auto"/>
          <w:sz w:val="22"/>
          <w:szCs w:val="22"/>
          <w:lang w:val="en"/>
        </w:rPr>
      </w:pPr>
    </w:p>
    <w:p w:rsidR="00E952AC" w:rsidRPr="008B0669" w:rsidRDefault="00E952AC" w:rsidP="002E255C">
      <w:pPr>
        <w:pStyle w:val="Default"/>
        <w:numPr>
          <w:ilvl w:val="0"/>
          <w:numId w:val="6"/>
        </w:numPr>
        <w:rPr>
          <w:rFonts w:asciiTheme="minorHAnsi" w:hAnsiTheme="minorHAnsi" w:cs="Arial"/>
          <w:color w:val="auto"/>
          <w:sz w:val="22"/>
          <w:szCs w:val="22"/>
          <w:lang w:val="en"/>
        </w:rPr>
      </w:pPr>
      <w:r w:rsidRPr="008B0669">
        <w:rPr>
          <w:rFonts w:asciiTheme="minorHAnsi" w:hAnsiTheme="minorHAnsi" w:cs="Arial"/>
          <w:color w:val="auto"/>
          <w:sz w:val="22"/>
          <w:szCs w:val="22"/>
        </w:rPr>
        <w:t>The Australian Law Reform Commission (</w:t>
      </w:r>
      <w:proofErr w:type="spellStart"/>
      <w:r w:rsidRPr="008B0669">
        <w:rPr>
          <w:rFonts w:asciiTheme="minorHAnsi" w:hAnsiTheme="minorHAnsi" w:cs="Arial"/>
          <w:color w:val="auto"/>
          <w:sz w:val="22"/>
          <w:szCs w:val="22"/>
        </w:rPr>
        <w:t>ALRC</w:t>
      </w:r>
      <w:proofErr w:type="spellEnd"/>
      <w:r w:rsidRPr="008B0669">
        <w:rPr>
          <w:rFonts w:asciiTheme="minorHAnsi" w:hAnsiTheme="minorHAnsi" w:cs="Arial"/>
          <w:color w:val="auto"/>
          <w:sz w:val="22"/>
          <w:szCs w:val="22"/>
        </w:rPr>
        <w:t>) is currently undertaking the ‘Age Barriers to Work inquiry’. It</w:t>
      </w:r>
      <w:r w:rsidRPr="008B0669">
        <w:rPr>
          <w:rFonts w:asciiTheme="minorHAnsi" w:hAnsiTheme="minorHAnsi" w:cs="Arial"/>
          <w:color w:val="auto"/>
          <w:sz w:val="22"/>
          <w:szCs w:val="22"/>
          <w:lang w:val="en"/>
        </w:rPr>
        <w:t xml:space="preserve"> was initiated as part of the Australian Government’s response to population ageing.  The </w:t>
      </w:r>
      <w:proofErr w:type="spellStart"/>
      <w:r w:rsidRPr="008B0669">
        <w:rPr>
          <w:rFonts w:asciiTheme="minorHAnsi" w:hAnsiTheme="minorHAnsi" w:cs="Arial"/>
          <w:color w:val="auto"/>
          <w:sz w:val="22"/>
          <w:szCs w:val="22"/>
          <w:lang w:val="en"/>
        </w:rPr>
        <w:t>ALRC</w:t>
      </w:r>
      <w:proofErr w:type="spellEnd"/>
      <w:r w:rsidRPr="008B0669">
        <w:rPr>
          <w:rFonts w:asciiTheme="minorHAnsi" w:hAnsiTheme="minorHAnsi" w:cs="Arial"/>
          <w:color w:val="auto"/>
          <w:sz w:val="22"/>
          <w:szCs w:val="22"/>
          <w:lang w:val="en"/>
        </w:rPr>
        <w:t xml:space="preserve"> was asked to consider Commonwealth legislation and related legal frameworks that either directly, or indirectly, impose limitations or barriers that could discourage older persons from participating, or continuing to participate, in the workforce or other productive work.</w:t>
      </w:r>
    </w:p>
    <w:p w:rsidR="00E952AC" w:rsidRPr="008B0669" w:rsidRDefault="00E952AC" w:rsidP="002E255C">
      <w:pPr>
        <w:rPr>
          <w:rFonts w:asciiTheme="minorHAnsi" w:hAnsiTheme="minorHAnsi"/>
        </w:rPr>
      </w:pPr>
    </w:p>
    <w:p w:rsidR="00E952AC" w:rsidRPr="008B0669" w:rsidRDefault="00E952AC" w:rsidP="002E255C">
      <w:pPr>
        <w:pStyle w:val="ListParagraph"/>
        <w:numPr>
          <w:ilvl w:val="0"/>
          <w:numId w:val="6"/>
        </w:numPr>
        <w:rPr>
          <w:rFonts w:asciiTheme="minorHAnsi" w:hAnsiTheme="minorHAnsi"/>
          <w:lang w:val="en"/>
        </w:rPr>
      </w:pPr>
      <w:r w:rsidRPr="008B0669">
        <w:rPr>
          <w:rFonts w:asciiTheme="minorHAnsi" w:hAnsiTheme="minorHAnsi"/>
          <w:lang w:val="en"/>
        </w:rPr>
        <w:t xml:space="preserve">The </w:t>
      </w:r>
      <w:proofErr w:type="spellStart"/>
      <w:r w:rsidRPr="008B0669">
        <w:rPr>
          <w:rFonts w:asciiTheme="minorHAnsi" w:hAnsiTheme="minorHAnsi"/>
          <w:lang w:val="en"/>
        </w:rPr>
        <w:t>ALRC</w:t>
      </w:r>
      <w:proofErr w:type="spellEnd"/>
      <w:r w:rsidRPr="008B0669">
        <w:rPr>
          <w:rFonts w:asciiTheme="minorHAnsi" w:hAnsiTheme="minorHAnsi"/>
          <w:lang w:val="en"/>
        </w:rPr>
        <w:t xml:space="preserve"> released a discussion paper, </w:t>
      </w:r>
      <w:hyperlink r:id="rId10" w:tgtFrame="_blank" w:history="1">
        <w:r w:rsidRPr="008B0669">
          <w:rPr>
            <w:rStyle w:val="Emphasis"/>
            <w:rFonts w:asciiTheme="minorHAnsi" w:hAnsiTheme="minorHAnsi"/>
            <w:lang w:val="en"/>
          </w:rPr>
          <w:t>Grey Areas: Age Barriers to Work in Commonwealth Laws</w:t>
        </w:r>
      </w:hyperlink>
      <w:r w:rsidRPr="008B0669">
        <w:rPr>
          <w:rFonts w:asciiTheme="minorHAnsi" w:hAnsiTheme="minorHAnsi"/>
          <w:lang w:val="en"/>
        </w:rPr>
        <w:t xml:space="preserve">  on 2 October 2012.</w:t>
      </w:r>
      <w:r w:rsidR="00B4787F" w:rsidRPr="008B0669">
        <w:rPr>
          <w:rStyle w:val="FootnoteReference"/>
          <w:rFonts w:asciiTheme="minorHAnsi" w:hAnsiTheme="minorHAnsi"/>
          <w:lang w:val="en"/>
        </w:rPr>
        <w:footnoteReference w:id="25"/>
      </w:r>
      <w:r w:rsidRPr="008B0669">
        <w:rPr>
          <w:rFonts w:asciiTheme="minorHAnsi" w:hAnsiTheme="minorHAnsi"/>
          <w:lang w:val="en"/>
        </w:rPr>
        <w:t xml:space="preserve">  Relevant proposals include</w:t>
      </w:r>
      <w:r w:rsidR="003D6402" w:rsidRPr="008B0669">
        <w:rPr>
          <w:rFonts w:asciiTheme="minorHAnsi" w:hAnsiTheme="minorHAnsi"/>
          <w:lang w:val="en"/>
        </w:rPr>
        <w:t xml:space="preserve"> the two shown in the following box.</w:t>
      </w:r>
    </w:p>
    <w:p w:rsidR="00E952AC" w:rsidRPr="008B0669" w:rsidRDefault="00E952AC" w:rsidP="002E255C">
      <w:pPr>
        <w:rPr>
          <w:rFonts w:asciiTheme="minorHAnsi" w:hAnsiTheme="minorHAnsi"/>
          <w:lang w:val="en"/>
        </w:rPr>
      </w:pPr>
    </w:p>
    <w:p w:rsidR="00C94968" w:rsidRPr="008B0669" w:rsidRDefault="00C94968" w:rsidP="002E255C">
      <w:pPr>
        <w:rPr>
          <w:rFonts w:asciiTheme="minorHAnsi" w:hAnsiTheme="minorHAnsi"/>
          <w:lang w:val="en"/>
        </w:rPr>
      </w:pPr>
    </w:p>
    <w:tbl>
      <w:tblPr>
        <w:tblStyle w:val="TableGrid"/>
        <w:tblW w:w="0" w:type="auto"/>
        <w:tblInd w:w="1098" w:type="dxa"/>
        <w:tblLook w:val="04A0" w:firstRow="1" w:lastRow="0" w:firstColumn="1" w:lastColumn="0" w:noHBand="0" w:noVBand="1"/>
      </w:tblPr>
      <w:tblGrid>
        <w:gridCol w:w="9270"/>
      </w:tblGrid>
      <w:tr w:rsidR="003D6402" w:rsidRPr="008B0669" w:rsidTr="003D6402">
        <w:tc>
          <w:tcPr>
            <w:tcW w:w="9270" w:type="dxa"/>
          </w:tcPr>
          <w:p w:rsidR="003D6402" w:rsidRPr="008B0669" w:rsidRDefault="003D6402" w:rsidP="002E255C">
            <w:pPr>
              <w:rPr>
                <w:rFonts w:asciiTheme="minorHAnsi" w:hAnsiTheme="minorHAnsi"/>
                <w:bCs/>
              </w:rPr>
            </w:pPr>
            <w:proofErr w:type="spellStart"/>
            <w:r w:rsidRPr="008B0669">
              <w:rPr>
                <w:rFonts w:asciiTheme="minorHAnsi" w:hAnsiTheme="minorHAnsi"/>
                <w:bCs/>
                <w:i/>
              </w:rPr>
              <w:lastRenderedPageBreak/>
              <w:t>ALRC</w:t>
            </w:r>
            <w:proofErr w:type="spellEnd"/>
            <w:r w:rsidRPr="008B0669">
              <w:rPr>
                <w:rFonts w:asciiTheme="minorHAnsi" w:hAnsiTheme="minorHAnsi"/>
                <w:bCs/>
                <w:i/>
              </w:rPr>
              <w:t xml:space="preserve"> proposal 3–5</w:t>
            </w:r>
          </w:p>
          <w:p w:rsidR="003D6402" w:rsidRPr="008B0669" w:rsidRDefault="003D6402" w:rsidP="002E255C">
            <w:pPr>
              <w:rPr>
                <w:rFonts w:asciiTheme="minorHAnsi" w:hAnsiTheme="minorHAnsi"/>
                <w:bCs/>
              </w:rPr>
            </w:pPr>
          </w:p>
          <w:p w:rsidR="003D6402" w:rsidRPr="008B0669" w:rsidRDefault="003D6402" w:rsidP="002E255C">
            <w:pPr>
              <w:rPr>
                <w:rFonts w:asciiTheme="minorHAnsi" w:hAnsiTheme="minorHAnsi"/>
              </w:rPr>
            </w:pPr>
            <w:r w:rsidRPr="008B0669">
              <w:rPr>
                <w:rFonts w:asciiTheme="minorHAnsi" w:hAnsiTheme="minorHAnsi"/>
              </w:rPr>
              <w:t xml:space="preserve">The </w:t>
            </w:r>
            <w:r w:rsidRPr="008B0669">
              <w:rPr>
                <w:rFonts w:asciiTheme="minorHAnsi" w:hAnsiTheme="minorHAnsi"/>
                <w:iCs/>
              </w:rPr>
              <w:t>Seafarers Act and certain other laws</w:t>
            </w:r>
            <w:r w:rsidRPr="008B0669">
              <w:rPr>
                <w:rFonts w:asciiTheme="minorHAnsi" w:hAnsiTheme="minorHAnsi"/>
              </w:rPr>
              <w:t xml:space="preserve"> (including the SRC Act) should be amended to ensure that retirement provisions are tied to the qualifying age for the Age Pension. </w:t>
            </w:r>
          </w:p>
          <w:p w:rsidR="003D6402" w:rsidRPr="008B0669" w:rsidRDefault="003D6402" w:rsidP="002E255C">
            <w:pPr>
              <w:ind w:left="576"/>
              <w:rPr>
                <w:rFonts w:asciiTheme="minorHAnsi" w:hAnsiTheme="minorHAnsi"/>
              </w:rPr>
            </w:pPr>
          </w:p>
          <w:p w:rsidR="003D6402" w:rsidRPr="008B0669" w:rsidRDefault="003D6402" w:rsidP="002E255C">
            <w:pPr>
              <w:rPr>
                <w:rFonts w:asciiTheme="minorHAnsi" w:hAnsiTheme="minorHAnsi"/>
                <w:bCs/>
                <w:i/>
              </w:rPr>
            </w:pPr>
            <w:proofErr w:type="spellStart"/>
            <w:r w:rsidRPr="008B0669">
              <w:rPr>
                <w:rFonts w:asciiTheme="minorHAnsi" w:hAnsiTheme="minorHAnsi"/>
                <w:bCs/>
                <w:i/>
              </w:rPr>
              <w:t>ALRC</w:t>
            </w:r>
            <w:proofErr w:type="spellEnd"/>
            <w:r w:rsidRPr="008B0669">
              <w:rPr>
                <w:rFonts w:asciiTheme="minorHAnsi" w:hAnsiTheme="minorHAnsi"/>
                <w:bCs/>
                <w:i/>
              </w:rPr>
              <w:t xml:space="preserve"> proposal 3–6</w:t>
            </w:r>
          </w:p>
          <w:p w:rsidR="003D6402" w:rsidRPr="008B0669" w:rsidRDefault="003D6402" w:rsidP="002E255C">
            <w:pPr>
              <w:rPr>
                <w:rFonts w:asciiTheme="minorHAnsi" w:hAnsiTheme="minorHAnsi"/>
                <w:bCs/>
                <w:i/>
              </w:rPr>
            </w:pPr>
          </w:p>
          <w:p w:rsidR="003D6402" w:rsidRPr="008B0669" w:rsidRDefault="003D6402" w:rsidP="002E255C">
            <w:pPr>
              <w:rPr>
                <w:rFonts w:asciiTheme="minorHAnsi" w:hAnsiTheme="minorHAnsi"/>
                <w:lang w:val="en"/>
              </w:rPr>
            </w:pPr>
            <w:r w:rsidRPr="008B0669">
              <w:rPr>
                <w:rFonts w:asciiTheme="minorHAnsi" w:hAnsiTheme="minorHAnsi"/>
                <w:bCs/>
              </w:rPr>
              <w:t>T</w:t>
            </w:r>
            <w:r w:rsidRPr="008B0669">
              <w:rPr>
                <w:rFonts w:asciiTheme="minorHAnsi" w:hAnsiTheme="minorHAnsi"/>
              </w:rPr>
              <w:t xml:space="preserve">he </w:t>
            </w:r>
            <w:r w:rsidRPr="008B0669">
              <w:rPr>
                <w:rFonts w:asciiTheme="minorHAnsi" w:hAnsiTheme="minorHAnsi"/>
                <w:iCs/>
              </w:rPr>
              <w:t>Seafarers Act and certain other laws</w:t>
            </w:r>
            <w:r w:rsidRPr="008B0669">
              <w:rPr>
                <w:rFonts w:asciiTheme="minorHAnsi" w:hAnsiTheme="minorHAnsi"/>
              </w:rPr>
              <w:t xml:space="preserve"> (including the SRC Act) should be amended to provide that workers who are injured at any age after two years prior to the eligibility age for the age pension may receive incapacity payments for up to 104 weeks.</w:t>
            </w:r>
          </w:p>
          <w:p w:rsidR="003D6402" w:rsidRPr="008B0669" w:rsidRDefault="003D6402" w:rsidP="002E255C">
            <w:pPr>
              <w:rPr>
                <w:rFonts w:asciiTheme="minorHAnsi" w:hAnsiTheme="minorHAnsi"/>
                <w:lang w:val="en"/>
              </w:rPr>
            </w:pPr>
          </w:p>
        </w:tc>
      </w:tr>
    </w:tbl>
    <w:p w:rsidR="00B4787F" w:rsidRPr="008B0669" w:rsidRDefault="00E952AC" w:rsidP="002E255C">
      <w:pPr>
        <w:pStyle w:val="ListParagraph"/>
        <w:ind w:left="1296"/>
        <w:rPr>
          <w:rFonts w:asciiTheme="minorHAnsi" w:hAnsiTheme="minorHAnsi"/>
        </w:rPr>
      </w:pPr>
      <w:r w:rsidRPr="008B0669">
        <w:rPr>
          <w:rFonts w:asciiTheme="minorHAnsi" w:hAnsiTheme="minorHAnsi"/>
        </w:rPr>
        <w:t xml:space="preserve"> </w:t>
      </w:r>
    </w:p>
    <w:p w:rsidR="00EA77BE" w:rsidRPr="008B0669" w:rsidRDefault="00E952AC" w:rsidP="002E255C">
      <w:pPr>
        <w:pStyle w:val="ListParagraph"/>
        <w:numPr>
          <w:ilvl w:val="0"/>
          <w:numId w:val="6"/>
        </w:numPr>
        <w:rPr>
          <w:rFonts w:asciiTheme="minorHAnsi" w:hAnsiTheme="minorHAnsi"/>
        </w:rPr>
      </w:pPr>
      <w:r w:rsidRPr="008B0669">
        <w:rPr>
          <w:rFonts w:asciiTheme="minorHAnsi" w:hAnsiTheme="minorHAnsi"/>
        </w:rPr>
        <w:t xml:space="preserve">The </w:t>
      </w:r>
      <w:proofErr w:type="spellStart"/>
      <w:r w:rsidRPr="008B0669">
        <w:rPr>
          <w:rFonts w:asciiTheme="minorHAnsi" w:hAnsiTheme="minorHAnsi"/>
        </w:rPr>
        <w:t>ALRC</w:t>
      </w:r>
      <w:proofErr w:type="spellEnd"/>
      <w:r w:rsidRPr="008B0669">
        <w:rPr>
          <w:rFonts w:asciiTheme="minorHAnsi" w:hAnsiTheme="minorHAnsi"/>
        </w:rPr>
        <w:t xml:space="preserve"> also asked </w:t>
      </w:r>
      <w:r w:rsidRPr="003745CF">
        <w:rPr>
          <w:rFonts w:asciiTheme="minorHAnsi" w:hAnsiTheme="minorHAnsi"/>
          <w:i/>
        </w:rPr>
        <w:t>(</w:t>
      </w:r>
      <w:proofErr w:type="spellStart"/>
      <w:r w:rsidR="00B4787F" w:rsidRPr="008B0669">
        <w:rPr>
          <w:rFonts w:asciiTheme="minorHAnsi" w:hAnsiTheme="minorHAnsi"/>
          <w:i/>
        </w:rPr>
        <w:t>ALRC</w:t>
      </w:r>
      <w:proofErr w:type="spellEnd"/>
      <w:r w:rsidR="00B4787F" w:rsidRPr="008B0669">
        <w:rPr>
          <w:rFonts w:asciiTheme="minorHAnsi" w:hAnsiTheme="minorHAnsi"/>
          <w:i/>
        </w:rPr>
        <w:t xml:space="preserve"> </w:t>
      </w:r>
      <w:r w:rsidRPr="008B0669">
        <w:rPr>
          <w:rFonts w:asciiTheme="minorHAnsi" w:hAnsiTheme="minorHAnsi"/>
          <w:bCs/>
          <w:i/>
        </w:rPr>
        <w:t>question 3–1)</w:t>
      </w:r>
      <w:r w:rsidRPr="008B0669">
        <w:rPr>
          <w:rFonts w:asciiTheme="minorHAnsi" w:hAnsiTheme="minorHAnsi"/>
          <w:bCs/>
        </w:rPr>
        <w:t xml:space="preserve"> whether</w:t>
      </w:r>
      <w:r w:rsidRPr="008B0669">
        <w:rPr>
          <w:rFonts w:asciiTheme="minorHAnsi" w:hAnsiTheme="minorHAnsi"/>
        </w:rPr>
        <w:t xml:space="preserve"> the </w:t>
      </w:r>
      <w:r w:rsidRPr="008B0669">
        <w:rPr>
          <w:rFonts w:asciiTheme="minorHAnsi" w:hAnsiTheme="minorHAnsi"/>
          <w:iCs/>
        </w:rPr>
        <w:t xml:space="preserve">Seafarers Act and certain other Acts should be amended </w:t>
      </w:r>
      <w:r w:rsidRPr="008B0669">
        <w:rPr>
          <w:rFonts w:asciiTheme="minorHAnsi" w:hAnsiTheme="minorHAnsi"/>
        </w:rPr>
        <w:t>to provide that, where a worker is injured after two years before the eligibility age for the age pension, the worker should receive incapacity payments for more than 104 weeks.</w:t>
      </w:r>
    </w:p>
    <w:p w:rsidR="00835440" w:rsidRPr="008B0669" w:rsidRDefault="00835440" w:rsidP="00776468">
      <w:pPr>
        <w:pStyle w:val="numberlist"/>
        <w:numPr>
          <w:ilvl w:val="0"/>
          <w:numId w:val="0"/>
        </w:numPr>
        <w:spacing w:after="0"/>
        <w:ind w:left="720" w:right="576"/>
        <w:rPr>
          <w:rFonts w:asciiTheme="minorHAnsi" w:hAnsiTheme="minorHAnsi" w:cs="Arial"/>
          <w:szCs w:val="24"/>
        </w:rPr>
      </w:pPr>
    </w:p>
    <w:p w:rsidR="00DA74C3" w:rsidRPr="008B0669" w:rsidRDefault="00DA74C3" w:rsidP="002E255C">
      <w:pPr>
        <w:ind w:left="936"/>
        <w:rPr>
          <w:rFonts w:asciiTheme="minorHAnsi" w:hAnsiTheme="minorHAnsi"/>
          <w:szCs w:val="24"/>
        </w:rPr>
      </w:pPr>
      <w:r w:rsidRPr="008B0669">
        <w:rPr>
          <w:rFonts w:asciiTheme="minorHAnsi" w:hAnsiTheme="minorHAnsi"/>
          <w:i/>
        </w:rPr>
        <w:t>TOR 2(c) - Consistency with the SRC Act</w:t>
      </w:r>
    </w:p>
    <w:tbl>
      <w:tblPr>
        <w:tblStyle w:val="TableGrid"/>
        <w:tblW w:w="0" w:type="auto"/>
        <w:tblInd w:w="10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ook w:val="04A0" w:firstRow="1" w:lastRow="0" w:firstColumn="1" w:lastColumn="0" w:noHBand="0" w:noVBand="1"/>
      </w:tblPr>
      <w:tblGrid>
        <w:gridCol w:w="9270"/>
      </w:tblGrid>
      <w:tr w:rsidR="00116B09" w:rsidRPr="008B0669" w:rsidTr="003F4C52">
        <w:tc>
          <w:tcPr>
            <w:tcW w:w="9270" w:type="dxa"/>
            <w:shd w:val="clear" w:color="auto" w:fill="C6D9F1" w:themeFill="text2" w:themeFillTint="33"/>
            <w:vAlign w:val="center"/>
          </w:tcPr>
          <w:p w:rsidR="00264526" w:rsidRPr="00CC7EC4" w:rsidRDefault="00867570" w:rsidP="00CC7EC4">
            <w:pPr>
              <w:rPr>
                <w:rFonts w:asciiTheme="minorHAnsi" w:hAnsiTheme="minorHAnsi"/>
                <w:i/>
              </w:rPr>
            </w:pPr>
            <w:r w:rsidRPr="00CC7EC4">
              <w:rPr>
                <w:rFonts w:asciiTheme="minorHAnsi" w:hAnsiTheme="minorHAnsi"/>
                <w:i/>
              </w:rPr>
              <w:t>Discussion points</w:t>
            </w:r>
          </w:p>
          <w:p w:rsidR="002B4390" w:rsidRPr="008B0669" w:rsidRDefault="002B4390" w:rsidP="002E255C">
            <w:pPr>
              <w:keepNext/>
              <w:ind w:right="576"/>
              <w:rPr>
                <w:rFonts w:asciiTheme="minorHAnsi" w:hAnsiTheme="minorHAnsi"/>
                <w:sz w:val="24"/>
                <w:szCs w:val="24"/>
              </w:rPr>
            </w:pPr>
          </w:p>
          <w:p w:rsidR="00EA77BE" w:rsidRPr="008B0669" w:rsidRDefault="00EA77BE" w:rsidP="002E255C">
            <w:pPr>
              <w:keepNext/>
              <w:ind w:right="576"/>
              <w:rPr>
                <w:rFonts w:asciiTheme="minorHAnsi" w:hAnsiTheme="minorHAnsi"/>
              </w:rPr>
            </w:pPr>
            <w:r w:rsidRPr="008B0669">
              <w:rPr>
                <w:rFonts w:asciiTheme="minorHAnsi" w:hAnsiTheme="minorHAnsi"/>
              </w:rPr>
              <w:t>What contemporary workers’ compensation</w:t>
            </w:r>
            <w:r w:rsidR="002146A5" w:rsidRPr="008B0669">
              <w:rPr>
                <w:rFonts w:asciiTheme="minorHAnsi" w:hAnsiTheme="minorHAnsi"/>
              </w:rPr>
              <w:t xml:space="preserve"> considerations should</w:t>
            </w:r>
            <w:r w:rsidRPr="008B0669">
              <w:rPr>
                <w:rFonts w:asciiTheme="minorHAnsi" w:hAnsiTheme="minorHAnsi"/>
              </w:rPr>
              <w:t xml:space="preserve"> be </w:t>
            </w:r>
            <w:r w:rsidR="002B4390" w:rsidRPr="008B0669">
              <w:rPr>
                <w:rFonts w:asciiTheme="minorHAnsi" w:hAnsiTheme="minorHAnsi"/>
              </w:rPr>
              <w:t>considered in</w:t>
            </w:r>
            <w:r w:rsidRPr="008B0669">
              <w:rPr>
                <w:rFonts w:asciiTheme="minorHAnsi" w:hAnsiTheme="minorHAnsi"/>
              </w:rPr>
              <w:t xml:space="preserve"> the review of the Seafarers Act?</w:t>
            </w:r>
          </w:p>
          <w:p w:rsidR="00094D29" w:rsidRPr="008B0669" w:rsidRDefault="00094D29" w:rsidP="002E255C">
            <w:pPr>
              <w:keepNext/>
              <w:ind w:right="576"/>
              <w:rPr>
                <w:rFonts w:asciiTheme="minorHAnsi" w:hAnsiTheme="minorHAnsi"/>
              </w:rPr>
            </w:pPr>
          </w:p>
          <w:p w:rsidR="00094D29" w:rsidRPr="008B0669" w:rsidRDefault="003D6402" w:rsidP="002E255C">
            <w:pPr>
              <w:keepNext/>
              <w:ind w:right="576"/>
              <w:rPr>
                <w:rFonts w:asciiTheme="minorHAnsi" w:hAnsiTheme="minorHAnsi"/>
              </w:rPr>
            </w:pPr>
            <w:r w:rsidRPr="008B0669">
              <w:rPr>
                <w:rFonts w:asciiTheme="minorHAnsi" w:hAnsiTheme="minorHAnsi"/>
              </w:rPr>
              <w:t>Aside from coverage, a</w:t>
            </w:r>
            <w:r w:rsidR="00094D29" w:rsidRPr="008B0669">
              <w:rPr>
                <w:rFonts w:asciiTheme="minorHAnsi" w:hAnsiTheme="minorHAnsi"/>
              </w:rPr>
              <w:t>re there</w:t>
            </w:r>
            <w:r w:rsidRPr="008B0669">
              <w:rPr>
                <w:rFonts w:asciiTheme="minorHAnsi" w:hAnsiTheme="minorHAnsi"/>
              </w:rPr>
              <w:t xml:space="preserve"> any</w:t>
            </w:r>
            <w:r w:rsidR="00094D29" w:rsidRPr="008B0669">
              <w:rPr>
                <w:rFonts w:asciiTheme="minorHAnsi" w:hAnsiTheme="minorHAnsi"/>
              </w:rPr>
              <w:t xml:space="preserve"> aspects of the Seafarers </w:t>
            </w:r>
            <w:r w:rsidRPr="008B0669">
              <w:rPr>
                <w:rFonts w:asciiTheme="minorHAnsi" w:hAnsiTheme="minorHAnsi"/>
              </w:rPr>
              <w:t xml:space="preserve">Act’s </w:t>
            </w:r>
            <w:r w:rsidR="00094D29" w:rsidRPr="008B0669">
              <w:rPr>
                <w:rFonts w:asciiTheme="minorHAnsi" w:hAnsiTheme="minorHAnsi"/>
              </w:rPr>
              <w:t xml:space="preserve">rehabilitation and compensation scheme that should </w:t>
            </w:r>
            <w:r w:rsidR="00282A1B" w:rsidRPr="008B0669">
              <w:rPr>
                <w:rFonts w:asciiTheme="minorHAnsi" w:hAnsiTheme="minorHAnsi"/>
              </w:rPr>
              <w:t xml:space="preserve">be </w:t>
            </w:r>
            <w:r w:rsidRPr="008B0669">
              <w:rPr>
                <w:rFonts w:asciiTheme="minorHAnsi" w:hAnsiTheme="minorHAnsi"/>
              </w:rPr>
              <w:t>different from</w:t>
            </w:r>
            <w:r w:rsidR="00094D29" w:rsidRPr="008B0669">
              <w:rPr>
                <w:rFonts w:asciiTheme="minorHAnsi" w:hAnsiTheme="minorHAnsi"/>
              </w:rPr>
              <w:t xml:space="preserve"> </w:t>
            </w:r>
            <w:r w:rsidRPr="008B0669">
              <w:rPr>
                <w:rFonts w:asciiTheme="minorHAnsi" w:hAnsiTheme="minorHAnsi"/>
              </w:rPr>
              <w:t xml:space="preserve">what is provided under </w:t>
            </w:r>
            <w:r w:rsidR="00094D29" w:rsidRPr="008B0669">
              <w:rPr>
                <w:rFonts w:asciiTheme="minorHAnsi" w:hAnsiTheme="minorHAnsi"/>
              </w:rPr>
              <w:t xml:space="preserve">the SRC Act? </w:t>
            </w:r>
          </w:p>
          <w:p w:rsidR="002B4390" w:rsidRPr="008B0669" w:rsidRDefault="002B4390" w:rsidP="002E255C">
            <w:pPr>
              <w:keepNext/>
              <w:ind w:right="576"/>
              <w:rPr>
                <w:rFonts w:asciiTheme="minorHAnsi" w:hAnsiTheme="minorHAnsi"/>
              </w:rPr>
            </w:pPr>
          </w:p>
          <w:p w:rsidR="00B4787F" w:rsidRPr="008B0669" w:rsidRDefault="00B4787F" w:rsidP="002E255C">
            <w:pPr>
              <w:keepNext/>
              <w:ind w:right="576"/>
              <w:rPr>
                <w:rFonts w:asciiTheme="minorHAnsi" w:hAnsiTheme="minorHAnsi"/>
              </w:rPr>
            </w:pPr>
            <w:r w:rsidRPr="008B0669">
              <w:rPr>
                <w:rFonts w:asciiTheme="minorHAnsi" w:hAnsiTheme="minorHAnsi"/>
              </w:rPr>
              <w:t xml:space="preserve">Are there issues of age discrimination that should be addressed and, if so, are the proposals of the </w:t>
            </w:r>
            <w:proofErr w:type="spellStart"/>
            <w:r w:rsidRPr="008B0669">
              <w:rPr>
                <w:rFonts w:asciiTheme="minorHAnsi" w:hAnsiTheme="minorHAnsi"/>
              </w:rPr>
              <w:t>ALRC</w:t>
            </w:r>
            <w:proofErr w:type="spellEnd"/>
            <w:r w:rsidRPr="008B0669">
              <w:rPr>
                <w:rFonts w:asciiTheme="minorHAnsi" w:hAnsiTheme="minorHAnsi"/>
              </w:rPr>
              <w:t xml:space="preserve"> (see above) for the </w:t>
            </w:r>
            <w:r w:rsidR="003D6402" w:rsidRPr="008B0669">
              <w:rPr>
                <w:rFonts w:asciiTheme="minorHAnsi" w:hAnsiTheme="minorHAnsi"/>
              </w:rPr>
              <w:t xml:space="preserve">consistent amendment of </w:t>
            </w:r>
            <w:r w:rsidRPr="008B0669">
              <w:rPr>
                <w:rFonts w:asciiTheme="minorHAnsi" w:hAnsiTheme="minorHAnsi"/>
              </w:rPr>
              <w:t>Seafarers Act and the SRC Act appropriate?</w:t>
            </w:r>
          </w:p>
          <w:p w:rsidR="001D5F6C" w:rsidRPr="008B0669" w:rsidRDefault="001D5F6C" w:rsidP="002E255C">
            <w:pPr>
              <w:rPr>
                <w:rFonts w:asciiTheme="minorHAnsi" w:hAnsiTheme="minorHAnsi"/>
                <w:i/>
                <w:sz w:val="20"/>
                <w:szCs w:val="20"/>
              </w:rPr>
            </w:pPr>
          </w:p>
          <w:p w:rsidR="001D5F6C" w:rsidRPr="008B0669" w:rsidRDefault="001D5F6C" w:rsidP="002E255C">
            <w:pPr>
              <w:rPr>
                <w:rFonts w:asciiTheme="minorHAnsi" w:hAnsiTheme="minorHAnsi"/>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p w:rsidR="002B4390" w:rsidRPr="008B0669" w:rsidRDefault="002B4390" w:rsidP="002E255C">
            <w:pPr>
              <w:keepNext/>
              <w:ind w:left="576" w:right="576"/>
              <w:rPr>
                <w:rFonts w:asciiTheme="minorHAnsi" w:hAnsiTheme="minorHAnsi"/>
                <w:sz w:val="24"/>
                <w:szCs w:val="24"/>
              </w:rPr>
            </w:pPr>
          </w:p>
        </w:tc>
      </w:tr>
    </w:tbl>
    <w:p w:rsidR="00EA77BE" w:rsidRPr="008B0669" w:rsidRDefault="00EA77BE" w:rsidP="002E255C">
      <w:pPr>
        <w:pStyle w:val="numberlist"/>
        <w:numPr>
          <w:ilvl w:val="0"/>
          <w:numId w:val="0"/>
        </w:numPr>
        <w:spacing w:after="0"/>
        <w:ind w:left="720" w:right="576"/>
        <w:rPr>
          <w:rFonts w:asciiTheme="minorHAnsi" w:hAnsiTheme="minorHAnsi" w:cs="Arial"/>
          <w:szCs w:val="24"/>
        </w:rPr>
      </w:pPr>
    </w:p>
    <w:p w:rsidR="005B7717" w:rsidRPr="008B0669" w:rsidRDefault="002B4390" w:rsidP="002E255C">
      <w:pPr>
        <w:pStyle w:val="Heading2"/>
        <w:spacing w:before="0" w:after="0" w:line="240" w:lineRule="auto"/>
        <w:ind w:left="576"/>
        <w:rPr>
          <w:rFonts w:asciiTheme="minorHAnsi" w:hAnsiTheme="minorHAnsi" w:cs="Arial"/>
          <w:b w:val="0"/>
          <w:color w:val="auto"/>
        </w:rPr>
      </w:pPr>
      <w:bookmarkStart w:id="13" w:name="_Toc341014943"/>
      <w:r w:rsidRPr="008B0669">
        <w:rPr>
          <w:rFonts w:asciiTheme="minorHAnsi" w:hAnsiTheme="minorHAnsi" w:cs="Arial"/>
          <w:b w:val="0"/>
          <w:color w:val="auto"/>
        </w:rPr>
        <w:t xml:space="preserve">TOR 3 - </w:t>
      </w:r>
      <w:r w:rsidR="005B7717" w:rsidRPr="008B0669">
        <w:rPr>
          <w:rFonts w:asciiTheme="minorHAnsi" w:hAnsiTheme="minorHAnsi" w:cs="Arial"/>
          <w:b w:val="0"/>
          <w:color w:val="auto"/>
        </w:rPr>
        <w:t>Workers’ Compensation Premium Issues</w:t>
      </w:r>
      <w:bookmarkEnd w:id="13"/>
    </w:p>
    <w:p w:rsidR="005B7717" w:rsidRPr="008B0669" w:rsidRDefault="005B7717" w:rsidP="002E255C">
      <w:pPr>
        <w:pStyle w:val="numberlist"/>
        <w:numPr>
          <w:ilvl w:val="0"/>
          <w:numId w:val="0"/>
        </w:numPr>
        <w:spacing w:after="0"/>
        <w:ind w:left="720" w:right="576"/>
        <w:rPr>
          <w:rFonts w:asciiTheme="minorHAnsi" w:hAnsiTheme="minorHAnsi" w:cs="Arial"/>
          <w:szCs w:val="24"/>
        </w:rPr>
      </w:pPr>
    </w:p>
    <w:p w:rsidR="00E076A8" w:rsidRPr="008B0669" w:rsidRDefault="00E076A8" w:rsidP="002E255C">
      <w:pPr>
        <w:pStyle w:val="ListParagraph"/>
        <w:numPr>
          <w:ilvl w:val="0"/>
          <w:numId w:val="6"/>
        </w:numPr>
        <w:rPr>
          <w:rFonts w:asciiTheme="minorHAnsi" w:hAnsiTheme="minorHAnsi"/>
        </w:rPr>
      </w:pPr>
      <w:r w:rsidRPr="008B0669">
        <w:rPr>
          <w:rFonts w:asciiTheme="minorHAnsi" w:hAnsiTheme="minorHAnsi"/>
        </w:rPr>
        <w:t>The Seacare Authority has sought to achieve best practice within the existing scheme by administrative improvements, including by providing guidance to employers and insurers.  Even so, any such strategy is constrained by the nature, scope and design of the scheme.</w:t>
      </w:r>
    </w:p>
    <w:p w:rsidR="00E076A8" w:rsidRPr="008B0669" w:rsidRDefault="00E076A8" w:rsidP="002E255C">
      <w:pPr>
        <w:pStyle w:val="numberlist"/>
        <w:numPr>
          <w:ilvl w:val="0"/>
          <w:numId w:val="0"/>
        </w:numPr>
        <w:spacing w:after="0"/>
        <w:ind w:left="720" w:right="576"/>
        <w:rPr>
          <w:rFonts w:asciiTheme="minorHAnsi" w:hAnsiTheme="minorHAnsi" w:cs="Arial"/>
          <w:sz w:val="22"/>
          <w:szCs w:val="22"/>
        </w:rPr>
      </w:pPr>
    </w:p>
    <w:p w:rsidR="003D13B4" w:rsidRPr="008B0669" w:rsidRDefault="003D13B4"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The Seacare scheme </w:t>
      </w:r>
      <w:r w:rsidR="003D6402" w:rsidRPr="008B0669">
        <w:rPr>
          <w:rFonts w:asciiTheme="minorHAnsi" w:hAnsiTheme="minorHAnsi" w:cs="Arial"/>
          <w:sz w:val="22"/>
          <w:szCs w:val="22"/>
        </w:rPr>
        <w:t>uses</w:t>
      </w:r>
      <w:r w:rsidRPr="008B0669">
        <w:rPr>
          <w:rFonts w:asciiTheme="minorHAnsi" w:hAnsiTheme="minorHAnsi" w:cs="Arial"/>
          <w:sz w:val="22"/>
          <w:szCs w:val="22"/>
        </w:rPr>
        <w:t xml:space="preserve"> a privately underwritten scheme funding model. Under this model</w:t>
      </w:r>
      <w:r w:rsidR="002B4390" w:rsidRPr="008B0669">
        <w:rPr>
          <w:rFonts w:asciiTheme="minorHAnsi" w:hAnsiTheme="minorHAnsi" w:cs="Arial"/>
          <w:sz w:val="22"/>
          <w:szCs w:val="22"/>
        </w:rPr>
        <w:t>,</w:t>
      </w:r>
      <w:r w:rsidRPr="008B0669">
        <w:rPr>
          <w:rFonts w:asciiTheme="minorHAnsi" w:hAnsiTheme="minorHAnsi" w:cs="Arial"/>
          <w:sz w:val="22"/>
          <w:szCs w:val="22"/>
        </w:rPr>
        <w:t xml:space="preserve"> a small number of private sector insurance companies provide cover for workers’ compensation liabilities to employers in the scheme. Claims management and rehabilitation functions are performed by the employers themselves or contracted out to insurers or specialist providers. </w:t>
      </w:r>
    </w:p>
    <w:p w:rsidR="009F5D10" w:rsidRPr="008B0669" w:rsidRDefault="009F5D10" w:rsidP="002E255C">
      <w:pPr>
        <w:pStyle w:val="numberlist"/>
        <w:numPr>
          <w:ilvl w:val="0"/>
          <w:numId w:val="0"/>
        </w:numPr>
        <w:spacing w:after="0"/>
        <w:ind w:left="720" w:right="576"/>
        <w:rPr>
          <w:rFonts w:asciiTheme="minorHAnsi" w:hAnsiTheme="minorHAnsi" w:cs="Arial"/>
          <w:sz w:val="22"/>
          <w:szCs w:val="22"/>
        </w:rPr>
      </w:pPr>
    </w:p>
    <w:p w:rsidR="00401E09" w:rsidRPr="008B0669" w:rsidRDefault="00401E09"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Other funding models used in Australian workers’ compensation schemes include:</w:t>
      </w:r>
    </w:p>
    <w:p w:rsidR="00401E09" w:rsidRPr="008B0669" w:rsidRDefault="00401E09" w:rsidP="002E255C">
      <w:pPr>
        <w:pStyle w:val="ListParagraph"/>
        <w:rPr>
          <w:rFonts w:asciiTheme="minorHAnsi" w:hAnsiTheme="minorHAnsi"/>
        </w:rPr>
      </w:pPr>
    </w:p>
    <w:p w:rsidR="00401E09" w:rsidRPr="008B0669" w:rsidRDefault="00401E09" w:rsidP="002E255C">
      <w:pPr>
        <w:pStyle w:val="numberlist"/>
        <w:numPr>
          <w:ilvl w:val="0"/>
          <w:numId w:val="23"/>
        </w:numPr>
        <w:spacing w:after="0"/>
        <w:ind w:left="1296" w:right="576"/>
        <w:rPr>
          <w:rFonts w:asciiTheme="minorHAnsi" w:hAnsiTheme="minorHAnsi" w:cs="Arial"/>
          <w:sz w:val="22"/>
          <w:szCs w:val="22"/>
        </w:rPr>
      </w:pPr>
      <w:r w:rsidRPr="008B0669">
        <w:rPr>
          <w:rFonts w:asciiTheme="minorHAnsi" w:hAnsiTheme="minorHAnsi" w:cs="Arial"/>
          <w:sz w:val="22"/>
          <w:szCs w:val="22"/>
        </w:rPr>
        <w:t>c</w:t>
      </w:r>
      <w:r w:rsidR="003D13B4" w:rsidRPr="008B0669">
        <w:rPr>
          <w:rFonts w:asciiTheme="minorHAnsi" w:hAnsiTheme="minorHAnsi" w:cs="Arial"/>
          <w:sz w:val="22"/>
          <w:szCs w:val="22"/>
        </w:rPr>
        <w:t>entrally funded schemes</w:t>
      </w:r>
      <w:r w:rsidRPr="008B0669">
        <w:rPr>
          <w:rFonts w:asciiTheme="minorHAnsi" w:hAnsiTheme="minorHAnsi" w:cs="Arial"/>
          <w:sz w:val="22"/>
          <w:szCs w:val="22"/>
        </w:rPr>
        <w:t>, which</w:t>
      </w:r>
      <w:r w:rsidR="003D13B4" w:rsidRPr="008B0669">
        <w:rPr>
          <w:rFonts w:asciiTheme="minorHAnsi" w:hAnsiTheme="minorHAnsi" w:cs="Arial"/>
          <w:sz w:val="22"/>
          <w:szCs w:val="22"/>
        </w:rPr>
        <w:t xml:space="preserve"> </w:t>
      </w:r>
      <w:r w:rsidRPr="008B0669">
        <w:rPr>
          <w:rFonts w:asciiTheme="minorHAnsi" w:hAnsiTheme="minorHAnsi" w:cs="Arial"/>
          <w:sz w:val="22"/>
          <w:szCs w:val="22"/>
        </w:rPr>
        <w:t>have</w:t>
      </w:r>
      <w:r w:rsidR="003D13B4" w:rsidRPr="008B0669">
        <w:rPr>
          <w:rFonts w:asciiTheme="minorHAnsi" w:hAnsiTheme="minorHAnsi" w:cs="Arial"/>
          <w:sz w:val="22"/>
          <w:szCs w:val="22"/>
        </w:rPr>
        <w:t xml:space="preserve"> a single public sector insurer providing insurance services</w:t>
      </w:r>
      <w:r w:rsidR="002B4390" w:rsidRPr="008B0669">
        <w:rPr>
          <w:rFonts w:asciiTheme="minorHAnsi" w:hAnsiTheme="minorHAnsi" w:cs="Arial"/>
          <w:sz w:val="22"/>
          <w:szCs w:val="22"/>
        </w:rPr>
        <w:t>,</w:t>
      </w:r>
      <w:r w:rsidR="003D13B4" w:rsidRPr="008B0669">
        <w:rPr>
          <w:rFonts w:asciiTheme="minorHAnsi" w:hAnsiTheme="minorHAnsi" w:cs="Arial"/>
          <w:sz w:val="22"/>
          <w:szCs w:val="22"/>
        </w:rPr>
        <w:t xml:space="preserve"> underwriting the workers’ compensation liabilities and centralised claims management services</w:t>
      </w:r>
      <w:r w:rsidRPr="008B0669">
        <w:rPr>
          <w:rFonts w:asciiTheme="minorHAnsi" w:hAnsiTheme="minorHAnsi" w:cs="Arial"/>
          <w:sz w:val="22"/>
          <w:szCs w:val="22"/>
        </w:rPr>
        <w:t>;</w:t>
      </w:r>
      <w:r w:rsidR="003D13B4" w:rsidRPr="008B0669">
        <w:rPr>
          <w:rFonts w:asciiTheme="minorHAnsi" w:hAnsiTheme="minorHAnsi" w:cs="Arial"/>
          <w:sz w:val="22"/>
          <w:szCs w:val="22"/>
        </w:rPr>
        <w:t xml:space="preserve"> </w:t>
      </w:r>
    </w:p>
    <w:p w:rsidR="00401E09" w:rsidRPr="008B0669" w:rsidRDefault="00401E09" w:rsidP="002E255C">
      <w:pPr>
        <w:pStyle w:val="numberlist"/>
        <w:numPr>
          <w:ilvl w:val="0"/>
          <w:numId w:val="0"/>
        </w:numPr>
        <w:spacing w:after="0"/>
        <w:ind w:left="576" w:right="576"/>
        <w:rPr>
          <w:rFonts w:asciiTheme="minorHAnsi" w:hAnsiTheme="minorHAnsi" w:cs="Arial"/>
          <w:sz w:val="22"/>
          <w:szCs w:val="22"/>
        </w:rPr>
      </w:pPr>
    </w:p>
    <w:p w:rsidR="002B4390" w:rsidRPr="008B0669" w:rsidRDefault="00401E09" w:rsidP="002E255C">
      <w:pPr>
        <w:pStyle w:val="numberlist"/>
        <w:numPr>
          <w:ilvl w:val="0"/>
          <w:numId w:val="23"/>
        </w:numPr>
        <w:spacing w:after="0"/>
        <w:ind w:left="1296" w:right="576"/>
        <w:rPr>
          <w:rFonts w:asciiTheme="minorHAnsi" w:hAnsiTheme="minorHAnsi" w:cs="Arial"/>
          <w:sz w:val="22"/>
          <w:szCs w:val="22"/>
        </w:rPr>
      </w:pPr>
      <w:r w:rsidRPr="008B0669">
        <w:rPr>
          <w:rFonts w:asciiTheme="minorHAnsi" w:hAnsiTheme="minorHAnsi" w:cs="Arial"/>
          <w:sz w:val="22"/>
          <w:szCs w:val="22"/>
        </w:rPr>
        <w:t>h</w:t>
      </w:r>
      <w:r w:rsidR="003D13B4" w:rsidRPr="008B0669">
        <w:rPr>
          <w:rFonts w:asciiTheme="minorHAnsi" w:hAnsiTheme="minorHAnsi" w:cs="Arial"/>
          <w:sz w:val="22"/>
          <w:szCs w:val="22"/>
        </w:rPr>
        <w:t>ybrid schemes</w:t>
      </w:r>
      <w:r w:rsidRPr="008B0669">
        <w:rPr>
          <w:rFonts w:asciiTheme="minorHAnsi" w:hAnsiTheme="minorHAnsi" w:cs="Arial"/>
          <w:sz w:val="22"/>
          <w:szCs w:val="22"/>
        </w:rPr>
        <w:t xml:space="preserve">, </w:t>
      </w:r>
      <w:r w:rsidR="00800B07" w:rsidRPr="008B0669">
        <w:rPr>
          <w:rFonts w:asciiTheme="minorHAnsi" w:hAnsiTheme="minorHAnsi" w:cs="Arial"/>
          <w:sz w:val="22"/>
          <w:szCs w:val="22"/>
        </w:rPr>
        <w:t>which usually</w:t>
      </w:r>
      <w:r w:rsidR="003D13B4" w:rsidRPr="008B0669">
        <w:rPr>
          <w:rFonts w:asciiTheme="minorHAnsi" w:hAnsiTheme="minorHAnsi" w:cs="Arial"/>
          <w:sz w:val="22"/>
          <w:szCs w:val="22"/>
        </w:rPr>
        <w:t xml:space="preserve"> operate with a public sector insurer underwriting the scheme and contracting out claims management services to approved agents. </w:t>
      </w:r>
    </w:p>
    <w:p w:rsidR="002B4390" w:rsidRPr="008B0669" w:rsidRDefault="002B4390" w:rsidP="002E255C">
      <w:pPr>
        <w:pStyle w:val="ListParagraph"/>
        <w:rPr>
          <w:rFonts w:asciiTheme="minorHAnsi" w:hAnsiTheme="minorHAnsi"/>
        </w:rPr>
      </w:pPr>
    </w:p>
    <w:p w:rsidR="003D13B4" w:rsidRPr="008B0669" w:rsidRDefault="003D13B4"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lastRenderedPageBreak/>
        <w:t xml:space="preserve">Under all three scheme funding models, self-insurance arrangements </w:t>
      </w:r>
      <w:r w:rsidR="002B4390" w:rsidRPr="008B0669">
        <w:rPr>
          <w:rFonts w:asciiTheme="minorHAnsi" w:hAnsiTheme="minorHAnsi" w:cs="Arial"/>
          <w:sz w:val="22"/>
          <w:szCs w:val="22"/>
        </w:rPr>
        <w:t>may be available,</w:t>
      </w:r>
      <w:r w:rsidRPr="008B0669">
        <w:rPr>
          <w:rFonts w:asciiTheme="minorHAnsi" w:hAnsiTheme="minorHAnsi" w:cs="Arial"/>
          <w:sz w:val="22"/>
          <w:szCs w:val="22"/>
        </w:rPr>
        <w:t xml:space="preserve"> subject to meeting various prudential and other requirements. </w:t>
      </w:r>
    </w:p>
    <w:p w:rsidR="009F5D10" w:rsidRPr="008B0669" w:rsidRDefault="009F5D10" w:rsidP="002E255C">
      <w:pPr>
        <w:pStyle w:val="ListParagraph"/>
        <w:ind w:right="576"/>
        <w:rPr>
          <w:rFonts w:asciiTheme="minorHAnsi" w:hAnsiTheme="minorHAnsi"/>
        </w:rPr>
      </w:pPr>
    </w:p>
    <w:p w:rsidR="004A0F59" w:rsidRPr="008B0669" w:rsidRDefault="00401E09"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Unlike the SRC Act, </w:t>
      </w:r>
      <w:r w:rsidR="003A315A" w:rsidRPr="008B0669">
        <w:rPr>
          <w:rFonts w:asciiTheme="minorHAnsi" w:hAnsiTheme="minorHAnsi" w:cs="Arial"/>
          <w:sz w:val="22"/>
          <w:szCs w:val="22"/>
        </w:rPr>
        <w:t xml:space="preserve">however, </w:t>
      </w:r>
      <w:r w:rsidR="003D13B4" w:rsidRPr="008B0669">
        <w:rPr>
          <w:rFonts w:asciiTheme="minorHAnsi" w:hAnsiTheme="minorHAnsi" w:cs="Arial"/>
          <w:sz w:val="22"/>
          <w:szCs w:val="22"/>
        </w:rPr>
        <w:t xml:space="preserve">self-insurance arrangements </w:t>
      </w:r>
      <w:r w:rsidR="002B4390" w:rsidRPr="008B0669">
        <w:rPr>
          <w:rFonts w:asciiTheme="minorHAnsi" w:hAnsiTheme="minorHAnsi" w:cs="Arial"/>
          <w:sz w:val="22"/>
          <w:szCs w:val="22"/>
        </w:rPr>
        <w:t xml:space="preserve">are </w:t>
      </w:r>
      <w:r w:rsidRPr="008B0669">
        <w:rPr>
          <w:rFonts w:asciiTheme="minorHAnsi" w:hAnsiTheme="minorHAnsi" w:cs="Arial"/>
          <w:sz w:val="22"/>
          <w:szCs w:val="22"/>
        </w:rPr>
        <w:t>not p</w:t>
      </w:r>
      <w:r w:rsidR="002B4390" w:rsidRPr="008B0669">
        <w:rPr>
          <w:rFonts w:asciiTheme="minorHAnsi" w:hAnsiTheme="minorHAnsi" w:cs="Arial"/>
          <w:sz w:val="22"/>
          <w:szCs w:val="22"/>
        </w:rPr>
        <w:t>rovided for</w:t>
      </w:r>
      <w:r w:rsidR="003D13B4" w:rsidRPr="008B0669">
        <w:rPr>
          <w:rFonts w:asciiTheme="minorHAnsi" w:hAnsiTheme="minorHAnsi" w:cs="Arial"/>
          <w:sz w:val="22"/>
          <w:szCs w:val="22"/>
        </w:rPr>
        <w:t xml:space="preserve"> under the Seacare scheme. </w:t>
      </w:r>
      <w:r w:rsidRPr="008B0669">
        <w:rPr>
          <w:rFonts w:asciiTheme="minorHAnsi" w:hAnsiTheme="minorHAnsi" w:cs="Arial"/>
          <w:sz w:val="22"/>
          <w:szCs w:val="22"/>
        </w:rPr>
        <w:t xml:space="preserve"> Nonetheless, t</w:t>
      </w:r>
      <w:r w:rsidR="003D13B4" w:rsidRPr="008B0669">
        <w:rPr>
          <w:rFonts w:asciiTheme="minorHAnsi" w:hAnsiTheme="minorHAnsi" w:cs="Arial"/>
          <w:sz w:val="22"/>
          <w:szCs w:val="22"/>
        </w:rPr>
        <w:t xml:space="preserve">o reduce insurance premiums, </w:t>
      </w:r>
      <w:r w:rsidR="002B4390" w:rsidRPr="008B0669">
        <w:rPr>
          <w:rFonts w:asciiTheme="minorHAnsi" w:hAnsiTheme="minorHAnsi" w:cs="Arial"/>
          <w:sz w:val="22"/>
          <w:szCs w:val="22"/>
        </w:rPr>
        <w:t>some</w:t>
      </w:r>
      <w:r w:rsidR="003D13B4" w:rsidRPr="008B0669">
        <w:rPr>
          <w:rFonts w:asciiTheme="minorHAnsi" w:hAnsiTheme="minorHAnsi" w:cs="Arial"/>
          <w:sz w:val="22"/>
          <w:szCs w:val="22"/>
        </w:rPr>
        <w:t xml:space="preserve"> employers </w:t>
      </w:r>
      <w:r w:rsidR="002B4390" w:rsidRPr="008B0669">
        <w:rPr>
          <w:rFonts w:asciiTheme="minorHAnsi" w:hAnsiTheme="minorHAnsi" w:cs="Arial"/>
          <w:sz w:val="22"/>
          <w:szCs w:val="22"/>
        </w:rPr>
        <w:t>have</w:t>
      </w:r>
      <w:r w:rsidR="003D13B4" w:rsidRPr="008B0669">
        <w:rPr>
          <w:rFonts w:asciiTheme="minorHAnsi" w:hAnsiTheme="minorHAnsi" w:cs="Arial"/>
          <w:sz w:val="22"/>
          <w:szCs w:val="22"/>
        </w:rPr>
        <w:t xml:space="preserve"> very high claims excesses on their insurance policies</w:t>
      </w:r>
      <w:r w:rsidR="002B4390" w:rsidRPr="008B0669">
        <w:rPr>
          <w:rFonts w:asciiTheme="minorHAnsi" w:hAnsiTheme="minorHAnsi" w:cs="Arial"/>
          <w:sz w:val="22"/>
          <w:szCs w:val="22"/>
        </w:rPr>
        <w:t>,</w:t>
      </w:r>
      <w:r w:rsidR="003D13B4" w:rsidRPr="008B0669">
        <w:rPr>
          <w:rFonts w:asciiTheme="minorHAnsi" w:hAnsiTheme="minorHAnsi" w:cs="Arial"/>
          <w:sz w:val="22"/>
          <w:szCs w:val="22"/>
        </w:rPr>
        <w:t xml:space="preserve"> </w:t>
      </w:r>
      <w:r w:rsidRPr="008B0669">
        <w:rPr>
          <w:rFonts w:asciiTheme="minorHAnsi" w:hAnsiTheme="minorHAnsi" w:cs="Arial"/>
          <w:sz w:val="22"/>
          <w:szCs w:val="22"/>
        </w:rPr>
        <w:t xml:space="preserve">thereby </w:t>
      </w:r>
      <w:r w:rsidR="003D13B4" w:rsidRPr="008B0669">
        <w:rPr>
          <w:rFonts w:asciiTheme="minorHAnsi" w:hAnsiTheme="minorHAnsi" w:cs="Arial"/>
          <w:sz w:val="22"/>
          <w:szCs w:val="22"/>
        </w:rPr>
        <w:t>operating as de facto self-insurers</w:t>
      </w:r>
      <w:r w:rsidR="002B4390" w:rsidRPr="008B0669">
        <w:rPr>
          <w:rFonts w:asciiTheme="minorHAnsi" w:hAnsiTheme="minorHAnsi" w:cs="Arial"/>
          <w:sz w:val="22"/>
          <w:szCs w:val="22"/>
        </w:rPr>
        <w:t xml:space="preserve"> up to the limit of the excess.</w:t>
      </w:r>
      <w:r w:rsidR="003D13B4" w:rsidRPr="008B0669">
        <w:rPr>
          <w:rFonts w:asciiTheme="minorHAnsi" w:hAnsiTheme="minorHAnsi" w:cs="Arial"/>
          <w:sz w:val="22"/>
          <w:szCs w:val="22"/>
        </w:rPr>
        <w:t xml:space="preserve"> </w:t>
      </w:r>
      <w:r w:rsidR="004A0F59" w:rsidRPr="008B0669">
        <w:rPr>
          <w:rFonts w:asciiTheme="minorHAnsi" w:hAnsiTheme="minorHAnsi" w:cs="Arial"/>
          <w:sz w:val="22"/>
          <w:szCs w:val="22"/>
        </w:rPr>
        <w:t xml:space="preserve"> </w:t>
      </w:r>
    </w:p>
    <w:p w:rsidR="00FB7A01" w:rsidRPr="008B0669" w:rsidRDefault="00FB7A01" w:rsidP="002E255C">
      <w:pPr>
        <w:pStyle w:val="ListParagraph"/>
        <w:rPr>
          <w:rFonts w:asciiTheme="minorHAnsi" w:hAnsiTheme="minorHAnsi"/>
        </w:rPr>
      </w:pPr>
    </w:p>
    <w:p w:rsidR="00FB7A01" w:rsidRPr="008B0669" w:rsidRDefault="00FB7A01"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Owing to the small number of employers in the scheme and the small number of insurers providing insurance and claims services, the scheme could be susceptible to diseconomies of scale and inefficiencies.  Alternative funding (centralised funding, self-insurance) and service delivery models (centralised claims management services) might provide an opportunity to improve services to injured seafarers, improve efficiencies and reduce costs to employers.</w:t>
      </w:r>
    </w:p>
    <w:tbl>
      <w:tblPr>
        <w:tblW w:w="10881" w:type="dxa"/>
        <w:tblInd w:w="144" w:type="dxa"/>
        <w:tblBorders>
          <w:top w:val="nil"/>
          <w:left w:val="nil"/>
          <w:bottom w:val="nil"/>
          <w:right w:val="nil"/>
        </w:tblBorders>
        <w:tblLayout w:type="fixed"/>
        <w:tblLook w:val="0000" w:firstRow="0" w:lastRow="0" w:firstColumn="0" w:lastColumn="0" w:noHBand="0" w:noVBand="0"/>
      </w:tblPr>
      <w:tblGrid>
        <w:gridCol w:w="10881"/>
      </w:tblGrid>
      <w:tr w:rsidR="00116B09" w:rsidRPr="008B0669" w:rsidTr="00C31319">
        <w:trPr>
          <w:trHeight w:val="116"/>
        </w:trPr>
        <w:tc>
          <w:tcPr>
            <w:tcW w:w="10881" w:type="dxa"/>
          </w:tcPr>
          <w:p w:rsidR="009F5D10" w:rsidRPr="008B0669" w:rsidRDefault="009F5D10" w:rsidP="002E255C">
            <w:pPr>
              <w:pStyle w:val="numberlist"/>
              <w:numPr>
                <w:ilvl w:val="0"/>
                <w:numId w:val="0"/>
              </w:numPr>
              <w:spacing w:after="0"/>
              <w:ind w:left="576" w:right="576"/>
              <w:rPr>
                <w:rFonts w:asciiTheme="minorHAnsi" w:hAnsiTheme="minorHAnsi" w:cs="Arial"/>
                <w:sz w:val="22"/>
                <w:szCs w:val="22"/>
              </w:rPr>
            </w:pPr>
          </w:p>
          <w:p w:rsidR="000E6194" w:rsidRPr="008B0669" w:rsidRDefault="000E6194" w:rsidP="002E255C">
            <w:pPr>
              <w:pStyle w:val="numberlist"/>
              <w:numPr>
                <w:ilvl w:val="0"/>
                <w:numId w:val="6"/>
              </w:numPr>
              <w:spacing w:after="0"/>
              <w:ind w:left="756" w:right="576"/>
              <w:rPr>
                <w:rFonts w:asciiTheme="minorHAnsi" w:hAnsiTheme="minorHAnsi" w:cs="Arial"/>
                <w:sz w:val="22"/>
                <w:szCs w:val="22"/>
              </w:rPr>
            </w:pPr>
            <w:r w:rsidRPr="008B0669">
              <w:rPr>
                <w:rFonts w:asciiTheme="minorHAnsi" w:hAnsiTheme="minorHAnsi" w:cs="Arial"/>
                <w:sz w:val="22"/>
                <w:szCs w:val="22"/>
              </w:rPr>
              <w:t>Premium costs may be positively influenced by more efficient and effective rehabilitation and durable return to work.  Consideration could be given to improving the legislation (in this regard, the findings of the separate review of the SRC Act will be of particular interest) and the approach taken by all interested parties to rehabilitation and return to work.</w:t>
            </w:r>
          </w:p>
          <w:p w:rsidR="000E6194" w:rsidRPr="008B0669" w:rsidRDefault="000E6194" w:rsidP="002E255C">
            <w:pPr>
              <w:pStyle w:val="numberlist"/>
              <w:numPr>
                <w:ilvl w:val="0"/>
                <w:numId w:val="0"/>
              </w:numPr>
              <w:spacing w:after="0"/>
              <w:ind w:left="756" w:right="576"/>
              <w:rPr>
                <w:rFonts w:asciiTheme="minorHAnsi" w:hAnsiTheme="minorHAnsi" w:cs="Arial"/>
                <w:sz w:val="22"/>
                <w:szCs w:val="22"/>
              </w:rPr>
            </w:pPr>
          </w:p>
          <w:p w:rsidR="003D13B4" w:rsidRPr="008B0669" w:rsidRDefault="003D13B4" w:rsidP="002E255C">
            <w:pPr>
              <w:pStyle w:val="numberlist"/>
              <w:numPr>
                <w:ilvl w:val="0"/>
                <w:numId w:val="6"/>
              </w:numPr>
              <w:spacing w:after="0"/>
              <w:ind w:left="756" w:right="576"/>
              <w:rPr>
                <w:rFonts w:asciiTheme="minorHAnsi" w:hAnsiTheme="minorHAnsi" w:cs="Arial"/>
                <w:sz w:val="22"/>
                <w:szCs w:val="22"/>
              </w:rPr>
            </w:pPr>
            <w:r w:rsidRPr="008B0669">
              <w:rPr>
                <w:rFonts w:asciiTheme="minorHAnsi" w:hAnsiTheme="minorHAnsi" w:cs="Arial"/>
                <w:sz w:val="22"/>
                <w:szCs w:val="22"/>
              </w:rPr>
              <w:t>The Seacare scheme operates in an industry where insurance ha</w:t>
            </w:r>
            <w:r w:rsidR="00800B07" w:rsidRPr="008B0669">
              <w:rPr>
                <w:rFonts w:asciiTheme="minorHAnsi" w:hAnsiTheme="minorHAnsi" w:cs="Arial"/>
                <w:sz w:val="22"/>
                <w:szCs w:val="22"/>
              </w:rPr>
              <w:t>s</w:t>
            </w:r>
            <w:r w:rsidRPr="008B0669">
              <w:rPr>
                <w:rFonts w:asciiTheme="minorHAnsi" w:hAnsiTheme="minorHAnsi" w:cs="Arial"/>
                <w:sz w:val="22"/>
                <w:szCs w:val="22"/>
              </w:rPr>
              <w:t xml:space="preserve"> traditionally been provided through Protection and Indemnity Associations (</w:t>
            </w:r>
            <w:proofErr w:type="spellStart"/>
            <w:r w:rsidRPr="008B0669">
              <w:rPr>
                <w:rFonts w:asciiTheme="minorHAnsi" w:hAnsiTheme="minorHAnsi" w:cs="Arial"/>
                <w:sz w:val="22"/>
                <w:szCs w:val="22"/>
              </w:rPr>
              <w:t>P&amp;I</w:t>
            </w:r>
            <w:proofErr w:type="spellEnd"/>
            <w:r w:rsidRPr="008B0669">
              <w:rPr>
                <w:rFonts w:asciiTheme="minorHAnsi" w:hAnsiTheme="minorHAnsi" w:cs="Arial"/>
                <w:sz w:val="22"/>
                <w:szCs w:val="22"/>
              </w:rPr>
              <w:t xml:space="preserve"> Clubs). </w:t>
            </w:r>
            <w:r w:rsidR="00800B07" w:rsidRPr="008B0669">
              <w:rPr>
                <w:rFonts w:asciiTheme="minorHAnsi" w:hAnsiTheme="minorHAnsi" w:cs="Arial"/>
                <w:sz w:val="22"/>
                <w:szCs w:val="22"/>
              </w:rPr>
              <w:t xml:space="preserve"> </w:t>
            </w:r>
            <w:r w:rsidRPr="008B0669">
              <w:rPr>
                <w:rFonts w:asciiTheme="minorHAnsi" w:hAnsiTheme="minorHAnsi" w:cs="Arial"/>
                <w:sz w:val="22"/>
                <w:szCs w:val="22"/>
              </w:rPr>
              <w:t xml:space="preserve">The </w:t>
            </w:r>
            <w:proofErr w:type="spellStart"/>
            <w:r w:rsidRPr="008B0669">
              <w:rPr>
                <w:rFonts w:asciiTheme="minorHAnsi" w:hAnsiTheme="minorHAnsi" w:cs="Arial"/>
                <w:sz w:val="22"/>
                <w:szCs w:val="22"/>
              </w:rPr>
              <w:t>P&amp;I</w:t>
            </w:r>
            <w:proofErr w:type="spellEnd"/>
            <w:r w:rsidRPr="008B0669">
              <w:rPr>
                <w:rFonts w:asciiTheme="minorHAnsi" w:hAnsiTheme="minorHAnsi" w:cs="Arial"/>
                <w:sz w:val="22"/>
                <w:szCs w:val="22"/>
              </w:rPr>
              <w:t xml:space="preserve"> Clubs typically provide cover for all aspects of the vessels operations (hull, cargo, environmental, service and crew protection). Currently no </w:t>
            </w:r>
            <w:proofErr w:type="spellStart"/>
            <w:r w:rsidRPr="008B0669">
              <w:rPr>
                <w:rFonts w:asciiTheme="minorHAnsi" w:hAnsiTheme="minorHAnsi" w:cs="Arial"/>
                <w:sz w:val="22"/>
                <w:szCs w:val="22"/>
              </w:rPr>
              <w:t>P&amp;I</w:t>
            </w:r>
            <w:proofErr w:type="spellEnd"/>
            <w:r w:rsidRPr="008B0669">
              <w:rPr>
                <w:rFonts w:asciiTheme="minorHAnsi" w:hAnsiTheme="minorHAnsi" w:cs="Arial"/>
                <w:sz w:val="22"/>
                <w:szCs w:val="22"/>
              </w:rPr>
              <w:t xml:space="preserve"> Clubs are willing to provide workers’ compensation cover for Seafarers Act benefits, requiring the employer/operator to take out separate workers’ compensation cover from private insurers.</w:t>
            </w:r>
            <w:r w:rsidR="00AA7E24" w:rsidRPr="008B0669">
              <w:rPr>
                <w:rFonts w:asciiTheme="minorHAnsi" w:hAnsiTheme="minorHAnsi" w:cs="Arial"/>
                <w:sz w:val="22"/>
                <w:szCs w:val="22"/>
              </w:rPr>
              <w:t xml:space="preserve"> </w:t>
            </w:r>
            <w:r w:rsidRPr="008B0669">
              <w:rPr>
                <w:rFonts w:asciiTheme="minorHAnsi" w:hAnsiTheme="minorHAnsi" w:cs="Arial"/>
                <w:sz w:val="22"/>
                <w:szCs w:val="22"/>
              </w:rPr>
              <w:t xml:space="preserve"> </w:t>
            </w:r>
            <w:proofErr w:type="spellStart"/>
            <w:r w:rsidRPr="008B0669">
              <w:rPr>
                <w:rFonts w:asciiTheme="minorHAnsi" w:hAnsiTheme="minorHAnsi" w:cs="Arial"/>
                <w:sz w:val="22"/>
                <w:szCs w:val="22"/>
              </w:rPr>
              <w:t>P&amp;I</w:t>
            </w:r>
            <w:proofErr w:type="spellEnd"/>
            <w:r w:rsidRPr="008B0669">
              <w:rPr>
                <w:rFonts w:asciiTheme="minorHAnsi" w:hAnsiTheme="minorHAnsi" w:cs="Arial"/>
                <w:sz w:val="22"/>
                <w:szCs w:val="22"/>
              </w:rPr>
              <w:t xml:space="preserve"> Clubs </w:t>
            </w:r>
            <w:r w:rsidR="00AA7E24" w:rsidRPr="008B0669">
              <w:rPr>
                <w:rFonts w:asciiTheme="minorHAnsi" w:hAnsiTheme="minorHAnsi" w:cs="Arial"/>
                <w:sz w:val="22"/>
                <w:szCs w:val="22"/>
              </w:rPr>
              <w:t>may be</w:t>
            </w:r>
            <w:r w:rsidRPr="008B0669">
              <w:rPr>
                <w:rFonts w:asciiTheme="minorHAnsi" w:hAnsiTheme="minorHAnsi" w:cs="Arial"/>
                <w:sz w:val="22"/>
                <w:szCs w:val="22"/>
              </w:rPr>
              <w:t xml:space="preserve"> unwilling to provide cover due to the long tail nature of incapacity benefits and the limitations on settling claims through cash redemptions under the Seafarers Act.</w:t>
            </w:r>
            <w:r w:rsidR="00A86580" w:rsidRPr="008B0669">
              <w:rPr>
                <w:rFonts w:asciiTheme="minorHAnsi" w:hAnsiTheme="minorHAnsi" w:cs="Arial"/>
                <w:sz w:val="22"/>
                <w:szCs w:val="22"/>
              </w:rPr>
              <w:t xml:space="preserve">  </w:t>
            </w:r>
            <w:r w:rsidR="00C60DF1" w:rsidRPr="008B0669">
              <w:rPr>
                <w:rFonts w:asciiTheme="minorHAnsi" w:hAnsiTheme="minorHAnsi" w:cs="Arial"/>
                <w:sz w:val="22"/>
                <w:szCs w:val="22"/>
              </w:rPr>
              <w:t>There is a question of whether</w:t>
            </w:r>
            <w:r w:rsidR="00AA7E24" w:rsidRPr="008B0669">
              <w:rPr>
                <w:rFonts w:asciiTheme="minorHAnsi" w:hAnsiTheme="minorHAnsi" w:cs="Arial"/>
                <w:sz w:val="22"/>
                <w:szCs w:val="22"/>
              </w:rPr>
              <w:t xml:space="preserve"> </w:t>
            </w:r>
            <w:proofErr w:type="spellStart"/>
            <w:r w:rsidR="00AA7E24" w:rsidRPr="008B0669">
              <w:rPr>
                <w:rFonts w:asciiTheme="minorHAnsi" w:hAnsiTheme="minorHAnsi" w:cs="Arial"/>
                <w:sz w:val="22"/>
                <w:szCs w:val="22"/>
              </w:rPr>
              <w:t>P&amp;I</w:t>
            </w:r>
            <w:proofErr w:type="spellEnd"/>
            <w:r w:rsidR="00AA7E24" w:rsidRPr="008B0669">
              <w:rPr>
                <w:rFonts w:asciiTheme="minorHAnsi" w:hAnsiTheme="minorHAnsi" w:cs="Arial"/>
                <w:sz w:val="22"/>
                <w:szCs w:val="22"/>
              </w:rPr>
              <w:t xml:space="preserve"> Clubs</w:t>
            </w:r>
            <w:r w:rsidR="00A86580" w:rsidRPr="008B0669">
              <w:rPr>
                <w:rFonts w:asciiTheme="minorHAnsi" w:hAnsiTheme="minorHAnsi" w:cs="Arial"/>
                <w:sz w:val="22"/>
                <w:szCs w:val="22"/>
              </w:rPr>
              <w:t xml:space="preserve"> </w:t>
            </w:r>
            <w:r w:rsidR="00C60DF1" w:rsidRPr="008B0669">
              <w:rPr>
                <w:rFonts w:asciiTheme="minorHAnsi" w:hAnsiTheme="minorHAnsi" w:cs="Arial"/>
                <w:sz w:val="22"/>
                <w:szCs w:val="22"/>
              </w:rPr>
              <w:t xml:space="preserve">would have a beneficial effect for </w:t>
            </w:r>
            <w:r w:rsidR="00A86580" w:rsidRPr="008B0669">
              <w:rPr>
                <w:rFonts w:asciiTheme="minorHAnsi" w:hAnsiTheme="minorHAnsi" w:cs="Arial"/>
                <w:sz w:val="22"/>
                <w:szCs w:val="22"/>
              </w:rPr>
              <w:t>the scheme</w:t>
            </w:r>
            <w:r w:rsidR="00C60DF1" w:rsidRPr="008B0669">
              <w:rPr>
                <w:rFonts w:asciiTheme="minorHAnsi" w:hAnsiTheme="minorHAnsi" w:cs="Arial"/>
                <w:sz w:val="22"/>
                <w:szCs w:val="22"/>
              </w:rPr>
              <w:t xml:space="preserve"> and, if so, how they might become involved.</w:t>
            </w:r>
          </w:p>
          <w:p w:rsidR="003D13B4" w:rsidRPr="008B0669" w:rsidRDefault="003D13B4" w:rsidP="002E255C">
            <w:pPr>
              <w:pStyle w:val="numberlist"/>
              <w:numPr>
                <w:ilvl w:val="0"/>
                <w:numId w:val="0"/>
              </w:numPr>
              <w:spacing w:after="0"/>
              <w:ind w:left="576" w:right="576"/>
              <w:rPr>
                <w:rFonts w:asciiTheme="minorHAnsi" w:hAnsiTheme="minorHAnsi" w:cs="Arial"/>
                <w:sz w:val="22"/>
                <w:szCs w:val="22"/>
              </w:rPr>
            </w:pPr>
          </w:p>
          <w:p w:rsidR="00E33790" w:rsidRPr="008B0669" w:rsidRDefault="00E33790" w:rsidP="002E255C">
            <w:pPr>
              <w:ind w:left="756"/>
              <w:rPr>
                <w:rFonts w:asciiTheme="minorHAnsi" w:hAnsiTheme="minorHAnsi"/>
              </w:rPr>
            </w:pPr>
            <w:r w:rsidRPr="008B0669">
              <w:rPr>
                <w:rFonts w:asciiTheme="minorHAnsi" w:hAnsiTheme="minorHAnsi"/>
                <w:i/>
              </w:rPr>
              <w:t>TOR 3 - Workers’ Compensation Premium Issues</w:t>
            </w:r>
          </w:p>
          <w:tbl>
            <w:tblPr>
              <w:tblStyle w:val="TableGrid"/>
              <w:tblW w:w="0" w:type="auto"/>
              <w:tblInd w:w="7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ayout w:type="fixed"/>
              <w:tblLook w:val="04A0" w:firstRow="1" w:lastRow="0" w:firstColumn="1" w:lastColumn="0" w:noHBand="0" w:noVBand="1"/>
            </w:tblPr>
            <w:tblGrid>
              <w:gridCol w:w="9360"/>
            </w:tblGrid>
            <w:tr w:rsidR="00116B09" w:rsidRPr="008B0669" w:rsidTr="000215A8">
              <w:tc>
                <w:tcPr>
                  <w:tcW w:w="9360" w:type="dxa"/>
                  <w:shd w:val="clear" w:color="auto" w:fill="C6D9F1" w:themeFill="text2" w:themeFillTint="33"/>
                  <w:vAlign w:val="center"/>
                </w:tcPr>
                <w:p w:rsidR="00264526" w:rsidRPr="00CC7EC4" w:rsidRDefault="00867570" w:rsidP="00CC7EC4">
                  <w:pPr>
                    <w:rPr>
                      <w:rFonts w:asciiTheme="minorHAnsi" w:hAnsiTheme="minorHAnsi"/>
                      <w:i/>
                    </w:rPr>
                  </w:pPr>
                  <w:r w:rsidRPr="00CC7EC4">
                    <w:rPr>
                      <w:rFonts w:asciiTheme="minorHAnsi" w:hAnsiTheme="minorHAnsi"/>
                      <w:i/>
                    </w:rPr>
                    <w:t>Discussion points</w:t>
                  </w:r>
                </w:p>
                <w:p w:rsidR="00391E14" w:rsidRPr="008B0669" w:rsidRDefault="00391E14" w:rsidP="00043049">
                  <w:pPr>
                    <w:keepNext/>
                    <w:spacing w:line="120" w:lineRule="auto"/>
                    <w:ind w:right="576"/>
                    <w:rPr>
                      <w:rFonts w:asciiTheme="minorHAnsi" w:hAnsiTheme="minorHAnsi"/>
                    </w:rPr>
                  </w:pPr>
                </w:p>
                <w:p w:rsidR="009803A7" w:rsidRPr="008B0669" w:rsidRDefault="00A86580" w:rsidP="002E255C">
                  <w:pPr>
                    <w:keepNext/>
                    <w:ind w:right="576"/>
                    <w:rPr>
                      <w:rFonts w:asciiTheme="minorHAnsi" w:hAnsiTheme="minorHAnsi"/>
                    </w:rPr>
                  </w:pPr>
                  <w:r w:rsidRPr="008B0669">
                    <w:rPr>
                      <w:rFonts w:asciiTheme="minorHAnsi" w:hAnsiTheme="minorHAnsi"/>
                    </w:rPr>
                    <w:t>What is the appropriate funding model for the Seacare scheme?</w:t>
                  </w:r>
                </w:p>
                <w:p w:rsidR="009803A7" w:rsidRPr="008B0669" w:rsidRDefault="009803A7" w:rsidP="00043049">
                  <w:pPr>
                    <w:keepNext/>
                    <w:spacing w:line="120" w:lineRule="auto"/>
                    <w:ind w:right="576"/>
                    <w:rPr>
                      <w:rFonts w:asciiTheme="minorHAnsi" w:hAnsiTheme="minorHAnsi"/>
                    </w:rPr>
                  </w:pPr>
                </w:p>
                <w:p w:rsidR="00A86580" w:rsidRPr="008B0669" w:rsidRDefault="009803A7" w:rsidP="002E255C">
                  <w:pPr>
                    <w:rPr>
                      <w:rFonts w:asciiTheme="minorHAnsi" w:hAnsiTheme="minorHAnsi"/>
                    </w:rPr>
                  </w:pPr>
                  <w:r w:rsidRPr="008B0669">
                    <w:rPr>
                      <w:rFonts w:asciiTheme="minorHAnsi" w:hAnsiTheme="minorHAnsi"/>
                    </w:rPr>
                    <w:t>Are there any changes to the existing arrangements that would</w:t>
                  </w:r>
                  <w:r w:rsidR="00A86580" w:rsidRPr="008B0669">
                    <w:rPr>
                      <w:rFonts w:asciiTheme="minorHAnsi" w:hAnsiTheme="minorHAnsi"/>
                    </w:rPr>
                    <w:t xml:space="preserve"> </w:t>
                  </w:r>
                  <w:r w:rsidRPr="008B0669">
                    <w:rPr>
                      <w:rFonts w:asciiTheme="minorHAnsi" w:hAnsiTheme="minorHAnsi"/>
                    </w:rPr>
                    <w:t xml:space="preserve">be likely to reduce premiums? </w:t>
                  </w:r>
                </w:p>
                <w:p w:rsidR="00391E14" w:rsidRPr="008B0669" w:rsidRDefault="00391E14" w:rsidP="00043049">
                  <w:pPr>
                    <w:keepNext/>
                    <w:spacing w:line="120" w:lineRule="auto"/>
                    <w:ind w:right="576"/>
                    <w:rPr>
                      <w:rFonts w:asciiTheme="minorHAnsi" w:hAnsiTheme="minorHAnsi"/>
                    </w:rPr>
                  </w:pPr>
                </w:p>
                <w:p w:rsidR="00A86580" w:rsidRPr="008B0669" w:rsidRDefault="00A86580" w:rsidP="002E255C">
                  <w:pPr>
                    <w:keepNext/>
                    <w:ind w:right="576"/>
                    <w:rPr>
                      <w:rFonts w:asciiTheme="minorHAnsi" w:hAnsiTheme="minorHAnsi"/>
                    </w:rPr>
                  </w:pPr>
                  <w:r w:rsidRPr="008B0669">
                    <w:rPr>
                      <w:rFonts w:asciiTheme="minorHAnsi" w:hAnsiTheme="minorHAnsi"/>
                    </w:rPr>
                    <w:t xml:space="preserve">Should </w:t>
                  </w:r>
                  <w:r w:rsidR="003758D6" w:rsidRPr="008B0669">
                    <w:rPr>
                      <w:rFonts w:asciiTheme="minorHAnsi" w:hAnsiTheme="minorHAnsi"/>
                    </w:rPr>
                    <w:t>self-insurance</w:t>
                  </w:r>
                  <w:r w:rsidRPr="008B0669">
                    <w:rPr>
                      <w:rFonts w:asciiTheme="minorHAnsi" w:hAnsiTheme="minorHAnsi"/>
                    </w:rPr>
                    <w:t xml:space="preserve"> options be available under the Seafarers Act</w:t>
                  </w:r>
                  <w:r w:rsidR="008D1E37" w:rsidRPr="008B0669">
                    <w:rPr>
                      <w:rFonts w:asciiTheme="minorHAnsi" w:hAnsiTheme="minorHAnsi"/>
                    </w:rPr>
                    <w:t xml:space="preserve"> and,</w:t>
                  </w:r>
                  <w:r w:rsidR="00401E09" w:rsidRPr="008B0669">
                    <w:rPr>
                      <w:rFonts w:asciiTheme="minorHAnsi" w:hAnsiTheme="minorHAnsi"/>
                    </w:rPr>
                    <w:t xml:space="preserve"> </w:t>
                  </w:r>
                  <w:r w:rsidR="008D1E37" w:rsidRPr="008B0669">
                    <w:rPr>
                      <w:rFonts w:asciiTheme="minorHAnsi" w:hAnsiTheme="minorHAnsi"/>
                    </w:rPr>
                    <w:t>if so, what rules should apply to them?</w:t>
                  </w:r>
                </w:p>
                <w:p w:rsidR="00391E14" w:rsidRPr="008B0669" w:rsidRDefault="00391E14" w:rsidP="00043049">
                  <w:pPr>
                    <w:pStyle w:val="numberlist"/>
                    <w:numPr>
                      <w:ilvl w:val="0"/>
                      <w:numId w:val="0"/>
                    </w:numPr>
                    <w:spacing w:after="0" w:line="120" w:lineRule="auto"/>
                    <w:ind w:right="576"/>
                    <w:rPr>
                      <w:rFonts w:asciiTheme="minorHAnsi" w:eastAsia="Calibri" w:hAnsiTheme="minorHAnsi" w:cs="Arial"/>
                      <w:sz w:val="22"/>
                      <w:szCs w:val="22"/>
                    </w:rPr>
                  </w:pPr>
                </w:p>
                <w:p w:rsidR="00A86580" w:rsidRPr="008B0669" w:rsidRDefault="00A86580" w:rsidP="002E255C">
                  <w:pPr>
                    <w:pStyle w:val="numberlist"/>
                    <w:numPr>
                      <w:ilvl w:val="0"/>
                      <w:numId w:val="0"/>
                    </w:numPr>
                    <w:spacing w:after="0"/>
                    <w:ind w:right="576"/>
                    <w:rPr>
                      <w:rFonts w:asciiTheme="minorHAnsi" w:eastAsia="Calibri" w:hAnsiTheme="minorHAnsi" w:cs="Arial"/>
                      <w:sz w:val="22"/>
                      <w:szCs w:val="22"/>
                    </w:rPr>
                  </w:pPr>
                  <w:r w:rsidRPr="008B0669">
                    <w:rPr>
                      <w:rFonts w:asciiTheme="minorHAnsi" w:eastAsia="Calibri" w:hAnsiTheme="minorHAnsi" w:cs="Arial"/>
                      <w:sz w:val="22"/>
                      <w:szCs w:val="22"/>
                    </w:rPr>
                    <w:t xml:space="preserve">Should limitations be placed on employers operating with very high claims excesses on their insurance policies? </w:t>
                  </w:r>
                </w:p>
                <w:p w:rsidR="008D1E37" w:rsidRPr="008B0669" w:rsidRDefault="008D1E37" w:rsidP="00043049">
                  <w:pPr>
                    <w:pStyle w:val="numberlist"/>
                    <w:numPr>
                      <w:ilvl w:val="0"/>
                      <w:numId w:val="0"/>
                    </w:numPr>
                    <w:spacing w:after="0" w:line="120" w:lineRule="auto"/>
                    <w:ind w:right="576"/>
                    <w:rPr>
                      <w:rFonts w:asciiTheme="minorHAnsi" w:eastAsia="Calibri" w:hAnsiTheme="minorHAnsi" w:cs="Arial"/>
                      <w:sz w:val="22"/>
                      <w:szCs w:val="22"/>
                    </w:rPr>
                  </w:pPr>
                </w:p>
                <w:p w:rsidR="008D1E37" w:rsidRPr="008B0669" w:rsidRDefault="008D1E37" w:rsidP="002E255C">
                  <w:pPr>
                    <w:pStyle w:val="numberlist"/>
                    <w:numPr>
                      <w:ilvl w:val="0"/>
                      <w:numId w:val="0"/>
                    </w:numPr>
                    <w:spacing w:after="0"/>
                    <w:ind w:right="576"/>
                    <w:rPr>
                      <w:rFonts w:asciiTheme="minorHAnsi" w:eastAsia="Calibri" w:hAnsiTheme="minorHAnsi" w:cs="Arial"/>
                      <w:sz w:val="22"/>
                      <w:szCs w:val="22"/>
                    </w:rPr>
                  </w:pPr>
                  <w:r w:rsidRPr="008B0669">
                    <w:rPr>
                      <w:rFonts w:asciiTheme="minorHAnsi" w:eastAsia="Calibri" w:hAnsiTheme="minorHAnsi" w:cs="Arial"/>
                      <w:sz w:val="22"/>
                      <w:szCs w:val="22"/>
                    </w:rPr>
                    <w:t>How could rehabilitation and return to work be improved in ways that would be fair to all parties and have a meaningful effect on reducing premium costs?</w:t>
                  </w:r>
                </w:p>
                <w:p w:rsidR="00A86580" w:rsidRPr="008B0669" w:rsidRDefault="00A86580" w:rsidP="00043049">
                  <w:pPr>
                    <w:pStyle w:val="numberlist"/>
                    <w:numPr>
                      <w:ilvl w:val="0"/>
                      <w:numId w:val="0"/>
                    </w:numPr>
                    <w:spacing w:after="0" w:line="120" w:lineRule="auto"/>
                    <w:ind w:right="576"/>
                    <w:rPr>
                      <w:rFonts w:asciiTheme="minorHAnsi" w:eastAsia="Calibri" w:hAnsiTheme="minorHAnsi" w:cs="Arial"/>
                      <w:sz w:val="22"/>
                      <w:szCs w:val="22"/>
                    </w:rPr>
                  </w:pPr>
                </w:p>
                <w:p w:rsidR="00A86580" w:rsidRPr="008B0669" w:rsidRDefault="00FE22EC" w:rsidP="002E255C">
                  <w:pPr>
                    <w:pStyle w:val="numberlist"/>
                    <w:numPr>
                      <w:ilvl w:val="0"/>
                      <w:numId w:val="0"/>
                    </w:numPr>
                    <w:spacing w:after="0"/>
                    <w:ind w:right="576"/>
                    <w:rPr>
                      <w:rFonts w:asciiTheme="minorHAnsi" w:eastAsia="Calibri" w:hAnsiTheme="minorHAnsi" w:cs="Arial"/>
                      <w:sz w:val="22"/>
                      <w:szCs w:val="22"/>
                    </w:rPr>
                  </w:pPr>
                  <w:r w:rsidRPr="008B0669">
                    <w:rPr>
                      <w:rFonts w:asciiTheme="minorHAnsi" w:eastAsia="Calibri" w:hAnsiTheme="minorHAnsi" w:cs="Arial"/>
                      <w:sz w:val="22"/>
                      <w:szCs w:val="22"/>
                    </w:rPr>
                    <w:t xml:space="preserve">Should </w:t>
                  </w:r>
                  <w:proofErr w:type="spellStart"/>
                  <w:r w:rsidR="00A86580" w:rsidRPr="008B0669">
                    <w:rPr>
                      <w:rFonts w:asciiTheme="minorHAnsi" w:eastAsia="Calibri" w:hAnsiTheme="minorHAnsi" w:cs="Arial"/>
                      <w:sz w:val="22"/>
                      <w:szCs w:val="22"/>
                    </w:rPr>
                    <w:t>P&amp;I</w:t>
                  </w:r>
                  <w:proofErr w:type="spellEnd"/>
                  <w:r w:rsidR="00A86580" w:rsidRPr="008B0669">
                    <w:rPr>
                      <w:rFonts w:asciiTheme="minorHAnsi" w:eastAsia="Calibri" w:hAnsiTheme="minorHAnsi" w:cs="Arial"/>
                      <w:sz w:val="22"/>
                      <w:szCs w:val="22"/>
                    </w:rPr>
                    <w:t xml:space="preserve"> Clubs </w:t>
                  </w:r>
                  <w:r w:rsidRPr="008B0669">
                    <w:rPr>
                      <w:rFonts w:asciiTheme="minorHAnsi" w:eastAsia="Calibri" w:hAnsiTheme="minorHAnsi" w:cs="Arial"/>
                      <w:sz w:val="22"/>
                      <w:szCs w:val="22"/>
                    </w:rPr>
                    <w:t>be encouraged to operate in</w:t>
                  </w:r>
                  <w:r w:rsidR="00A86580" w:rsidRPr="008B0669">
                    <w:rPr>
                      <w:rFonts w:asciiTheme="minorHAnsi" w:eastAsia="Calibri" w:hAnsiTheme="minorHAnsi" w:cs="Arial"/>
                      <w:sz w:val="22"/>
                      <w:szCs w:val="22"/>
                    </w:rPr>
                    <w:t xml:space="preserve"> the scheme?</w:t>
                  </w:r>
                </w:p>
                <w:p w:rsidR="00C60DF1" w:rsidRPr="008B0669" w:rsidRDefault="00C60DF1" w:rsidP="00043049">
                  <w:pPr>
                    <w:pStyle w:val="numberlist"/>
                    <w:numPr>
                      <w:ilvl w:val="0"/>
                      <w:numId w:val="0"/>
                    </w:numPr>
                    <w:spacing w:after="0" w:line="120" w:lineRule="auto"/>
                    <w:ind w:right="576"/>
                    <w:rPr>
                      <w:rFonts w:asciiTheme="minorHAnsi" w:eastAsia="Calibri" w:hAnsiTheme="minorHAnsi" w:cs="Arial"/>
                      <w:sz w:val="22"/>
                      <w:szCs w:val="22"/>
                    </w:rPr>
                  </w:pPr>
                </w:p>
                <w:p w:rsidR="00C60DF1" w:rsidRPr="008B0669" w:rsidRDefault="00C60DF1" w:rsidP="002E255C">
                  <w:pPr>
                    <w:pStyle w:val="numberlist"/>
                    <w:numPr>
                      <w:ilvl w:val="0"/>
                      <w:numId w:val="0"/>
                    </w:numPr>
                    <w:spacing w:after="0"/>
                    <w:ind w:right="576"/>
                    <w:rPr>
                      <w:rFonts w:asciiTheme="minorHAnsi" w:eastAsia="Calibri" w:hAnsiTheme="minorHAnsi" w:cs="Arial"/>
                      <w:sz w:val="22"/>
                      <w:szCs w:val="22"/>
                    </w:rPr>
                  </w:pPr>
                  <w:r w:rsidRPr="008B0669">
                    <w:rPr>
                      <w:rFonts w:asciiTheme="minorHAnsi" w:eastAsia="Calibri" w:hAnsiTheme="minorHAnsi" w:cs="Arial"/>
                      <w:sz w:val="22"/>
                      <w:szCs w:val="22"/>
                    </w:rPr>
                    <w:t>If so, how?</w:t>
                  </w:r>
                </w:p>
                <w:p w:rsidR="00A86580" w:rsidRPr="008B0669" w:rsidRDefault="00A86580" w:rsidP="002E255C">
                  <w:pPr>
                    <w:keepNext/>
                    <w:ind w:right="576"/>
                    <w:rPr>
                      <w:rFonts w:asciiTheme="minorHAnsi" w:hAnsiTheme="minorHAnsi"/>
                    </w:rPr>
                  </w:pPr>
                </w:p>
                <w:p w:rsidR="001D5F6C" w:rsidRPr="008B0669" w:rsidRDefault="001D5F6C" w:rsidP="00043049">
                  <w:pPr>
                    <w:rPr>
                      <w:rFonts w:asciiTheme="minorHAnsi" w:hAnsiTheme="minorHAnsi"/>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tc>
            </w:tr>
          </w:tbl>
          <w:p w:rsidR="003D13B4" w:rsidRPr="008B0669" w:rsidRDefault="003D13B4" w:rsidP="002E255C">
            <w:pPr>
              <w:pStyle w:val="numberlist"/>
              <w:numPr>
                <w:ilvl w:val="0"/>
                <w:numId w:val="0"/>
              </w:numPr>
              <w:spacing w:after="0"/>
              <w:ind w:left="576" w:right="576"/>
              <w:rPr>
                <w:rFonts w:asciiTheme="minorHAnsi" w:hAnsiTheme="minorHAnsi" w:cs="Arial"/>
                <w:sz w:val="22"/>
                <w:szCs w:val="22"/>
              </w:rPr>
            </w:pPr>
          </w:p>
        </w:tc>
      </w:tr>
    </w:tbl>
    <w:p w:rsidR="00C94968" w:rsidRPr="008B0669" w:rsidRDefault="00C94968" w:rsidP="005B5F04">
      <w:pPr>
        <w:pStyle w:val="Heading2"/>
        <w:spacing w:before="0" w:after="0" w:line="240" w:lineRule="auto"/>
        <w:ind w:left="576"/>
        <w:rPr>
          <w:rFonts w:asciiTheme="minorHAnsi" w:hAnsiTheme="minorHAnsi" w:cs="Arial"/>
          <w:b w:val="0"/>
          <w:color w:val="auto"/>
        </w:rPr>
      </w:pPr>
    </w:p>
    <w:p w:rsidR="005B7717" w:rsidRPr="008B0669" w:rsidRDefault="002B4390" w:rsidP="005B5F04">
      <w:pPr>
        <w:pStyle w:val="Heading2"/>
        <w:spacing w:before="0" w:after="0" w:line="240" w:lineRule="auto"/>
        <w:ind w:left="576"/>
        <w:rPr>
          <w:rFonts w:asciiTheme="minorHAnsi" w:hAnsiTheme="minorHAnsi" w:cs="Arial"/>
          <w:b w:val="0"/>
          <w:color w:val="auto"/>
        </w:rPr>
      </w:pPr>
      <w:bookmarkStart w:id="14" w:name="_Toc341014944"/>
      <w:r w:rsidRPr="008B0669">
        <w:rPr>
          <w:rFonts w:asciiTheme="minorHAnsi" w:hAnsiTheme="minorHAnsi" w:cs="Arial"/>
          <w:b w:val="0"/>
          <w:color w:val="auto"/>
        </w:rPr>
        <w:t xml:space="preserve">TOR 4 - </w:t>
      </w:r>
      <w:r w:rsidR="005B7717" w:rsidRPr="008B0669">
        <w:rPr>
          <w:rFonts w:asciiTheme="minorHAnsi" w:hAnsiTheme="minorHAnsi" w:cs="Arial"/>
          <w:b w:val="0"/>
          <w:color w:val="auto"/>
        </w:rPr>
        <w:t>Governance Issues</w:t>
      </w:r>
      <w:bookmarkEnd w:id="14"/>
    </w:p>
    <w:p w:rsidR="005B7717" w:rsidRPr="008B0669" w:rsidRDefault="005B7717" w:rsidP="002E255C">
      <w:pPr>
        <w:pStyle w:val="numberlist"/>
        <w:numPr>
          <w:ilvl w:val="0"/>
          <w:numId w:val="0"/>
        </w:numPr>
        <w:spacing w:after="0"/>
        <w:ind w:left="720" w:right="576"/>
        <w:jc w:val="center"/>
        <w:rPr>
          <w:rFonts w:asciiTheme="minorHAnsi" w:hAnsiTheme="minorHAnsi" w:cs="Arial"/>
          <w:szCs w:val="24"/>
        </w:rPr>
      </w:pPr>
    </w:p>
    <w:p w:rsidR="00776468" w:rsidRPr="008B0669" w:rsidRDefault="00862C28" w:rsidP="00776468">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The Seacare Authority is a Commonwealth statutory authority established under section 103 of the Seafarers Act. </w:t>
      </w:r>
      <w:r w:rsidR="003B5C64" w:rsidRPr="008B0669">
        <w:rPr>
          <w:rFonts w:asciiTheme="minorHAnsi" w:hAnsiTheme="minorHAnsi" w:cs="Arial"/>
          <w:sz w:val="22"/>
          <w:szCs w:val="22"/>
        </w:rPr>
        <w:t xml:space="preserve"> </w:t>
      </w:r>
      <w:r w:rsidR="00F77B56" w:rsidRPr="008B0669">
        <w:rPr>
          <w:rFonts w:asciiTheme="minorHAnsi" w:hAnsiTheme="minorHAnsi" w:cs="Arial"/>
          <w:sz w:val="22"/>
          <w:szCs w:val="22"/>
        </w:rPr>
        <w:t xml:space="preserve">As mentioned earlier, </w:t>
      </w:r>
      <w:r w:rsidR="003B5C64" w:rsidRPr="008B0669">
        <w:rPr>
          <w:rFonts w:asciiTheme="minorHAnsi" w:hAnsiTheme="minorHAnsi" w:cs="Arial"/>
          <w:sz w:val="22"/>
          <w:szCs w:val="22"/>
        </w:rPr>
        <w:t>it</w:t>
      </w:r>
      <w:r w:rsidRPr="008B0669">
        <w:rPr>
          <w:rFonts w:asciiTheme="minorHAnsi" w:hAnsiTheme="minorHAnsi" w:cs="Arial"/>
          <w:sz w:val="22"/>
          <w:szCs w:val="22"/>
        </w:rPr>
        <w:t xml:space="preserve"> </w:t>
      </w:r>
      <w:r w:rsidR="00F77B56" w:rsidRPr="008B0669">
        <w:rPr>
          <w:rFonts w:asciiTheme="minorHAnsi" w:hAnsiTheme="minorHAnsi" w:cs="Arial"/>
          <w:sz w:val="22"/>
          <w:szCs w:val="22"/>
        </w:rPr>
        <w:t>consists of</w:t>
      </w:r>
      <w:r w:rsidRPr="008B0669">
        <w:rPr>
          <w:rFonts w:asciiTheme="minorHAnsi" w:hAnsiTheme="minorHAnsi" w:cs="Arial"/>
          <w:sz w:val="22"/>
          <w:szCs w:val="22"/>
        </w:rPr>
        <w:t xml:space="preserve"> an independent Chairperson, a deputy Chairperson, two employer representatives, two employee representatives and the </w:t>
      </w:r>
      <w:proofErr w:type="spellStart"/>
      <w:r w:rsidRPr="008B0669">
        <w:rPr>
          <w:rFonts w:asciiTheme="minorHAnsi" w:hAnsiTheme="minorHAnsi" w:cs="Arial"/>
          <w:sz w:val="22"/>
          <w:szCs w:val="22"/>
        </w:rPr>
        <w:t>CEO</w:t>
      </w:r>
      <w:proofErr w:type="spellEnd"/>
      <w:r w:rsidRPr="008B0669">
        <w:rPr>
          <w:rFonts w:asciiTheme="minorHAnsi" w:hAnsiTheme="minorHAnsi" w:cs="Arial"/>
          <w:sz w:val="22"/>
          <w:szCs w:val="22"/>
        </w:rPr>
        <w:t xml:space="preserve"> of </w:t>
      </w:r>
      <w:proofErr w:type="spellStart"/>
      <w:r w:rsidRPr="008B0669">
        <w:rPr>
          <w:rFonts w:asciiTheme="minorHAnsi" w:hAnsiTheme="minorHAnsi" w:cs="Arial"/>
          <w:sz w:val="22"/>
          <w:szCs w:val="22"/>
        </w:rPr>
        <w:t>AMSA</w:t>
      </w:r>
      <w:proofErr w:type="spellEnd"/>
      <w:r w:rsidRPr="008B0669">
        <w:rPr>
          <w:rFonts w:asciiTheme="minorHAnsi" w:hAnsiTheme="minorHAnsi" w:cs="Arial"/>
          <w:sz w:val="22"/>
          <w:szCs w:val="22"/>
        </w:rPr>
        <w:t xml:space="preserve">. </w:t>
      </w:r>
      <w:r w:rsidR="00401E09" w:rsidRPr="008B0669">
        <w:rPr>
          <w:rFonts w:asciiTheme="minorHAnsi" w:hAnsiTheme="minorHAnsi" w:cs="Arial"/>
          <w:sz w:val="22"/>
          <w:szCs w:val="22"/>
        </w:rPr>
        <w:t xml:space="preserve"> </w:t>
      </w:r>
      <w:r w:rsidR="003B5C64" w:rsidRPr="008B0669">
        <w:rPr>
          <w:rFonts w:asciiTheme="minorHAnsi" w:hAnsiTheme="minorHAnsi"/>
          <w:sz w:val="22"/>
          <w:szCs w:val="22"/>
        </w:rPr>
        <w:t xml:space="preserve">The Minister appoints six of the seven members (in the case of the Chairperson and Deputy Chairperson, for five </w:t>
      </w:r>
      <w:r w:rsidR="003B5C64" w:rsidRPr="008B0669">
        <w:rPr>
          <w:rFonts w:asciiTheme="minorHAnsi" w:hAnsiTheme="minorHAnsi"/>
          <w:sz w:val="22"/>
          <w:szCs w:val="22"/>
        </w:rPr>
        <w:lastRenderedPageBreak/>
        <w:t xml:space="preserve">year terms; other members have three year terms).  The </w:t>
      </w:r>
      <w:proofErr w:type="spellStart"/>
      <w:r w:rsidR="003B5C64" w:rsidRPr="008B0669">
        <w:rPr>
          <w:rFonts w:asciiTheme="minorHAnsi" w:hAnsiTheme="minorHAnsi"/>
          <w:sz w:val="22"/>
          <w:szCs w:val="22"/>
        </w:rPr>
        <w:t>CEO</w:t>
      </w:r>
      <w:proofErr w:type="spellEnd"/>
      <w:r w:rsidR="003B5C64" w:rsidRPr="008B0669">
        <w:rPr>
          <w:rFonts w:asciiTheme="minorHAnsi" w:hAnsiTheme="minorHAnsi"/>
          <w:sz w:val="22"/>
          <w:szCs w:val="22"/>
        </w:rPr>
        <w:t xml:space="preserve"> of </w:t>
      </w:r>
      <w:proofErr w:type="spellStart"/>
      <w:r w:rsidR="003B5C64" w:rsidRPr="008B0669">
        <w:rPr>
          <w:rFonts w:asciiTheme="minorHAnsi" w:hAnsiTheme="minorHAnsi"/>
          <w:sz w:val="22"/>
          <w:szCs w:val="22"/>
        </w:rPr>
        <w:t>AMSA</w:t>
      </w:r>
      <w:proofErr w:type="spellEnd"/>
      <w:r w:rsidR="003B5C64" w:rsidRPr="008B0669">
        <w:rPr>
          <w:rFonts w:asciiTheme="minorHAnsi" w:hAnsiTheme="minorHAnsi"/>
          <w:sz w:val="22"/>
          <w:szCs w:val="22"/>
        </w:rPr>
        <w:t xml:space="preserve"> is an ex officio member.</w:t>
      </w:r>
      <w:r w:rsidR="003B5C64" w:rsidRPr="008B0669">
        <w:rPr>
          <w:rStyle w:val="FootnoteReference"/>
          <w:rFonts w:asciiTheme="minorHAnsi" w:hAnsiTheme="minorHAnsi"/>
          <w:sz w:val="22"/>
          <w:szCs w:val="22"/>
        </w:rPr>
        <w:footnoteReference w:id="26"/>
      </w:r>
      <w:r w:rsidR="003B5C64" w:rsidRPr="008B0669">
        <w:rPr>
          <w:rFonts w:asciiTheme="minorHAnsi" w:hAnsiTheme="minorHAnsi"/>
          <w:sz w:val="22"/>
          <w:szCs w:val="22"/>
        </w:rPr>
        <w:t xml:space="preserve">  The Authority reports to the Minister and advises the Minister about anything relating to its functions and powers and other matters relating to the compensation and rehabilitation of employees </w:t>
      </w:r>
      <w:r w:rsidR="00776468" w:rsidRPr="008B0669">
        <w:rPr>
          <w:rFonts w:asciiTheme="minorHAnsi" w:hAnsiTheme="minorHAnsi"/>
          <w:sz w:val="22"/>
          <w:szCs w:val="22"/>
        </w:rPr>
        <w:t>under</w:t>
      </w:r>
      <w:r w:rsidR="003B5C64" w:rsidRPr="008B0669">
        <w:rPr>
          <w:rFonts w:asciiTheme="minorHAnsi" w:hAnsiTheme="minorHAnsi"/>
          <w:sz w:val="22"/>
          <w:szCs w:val="22"/>
        </w:rPr>
        <w:t xml:space="preserve"> the scheme. </w:t>
      </w:r>
      <w:r w:rsidR="00776468" w:rsidRPr="008B0669">
        <w:rPr>
          <w:rFonts w:asciiTheme="minorHAnsi" w:hAnsiTheme="minorHAnsi"/>
          <w:sz w:val="22"/>
          <w:szCs w:val="22"/>
        </w:rPr>
        <w:t xml:space="preserve"> The Authority also advises the Minister on certain matters under the OHS(MI) Act - see details below. </w:t>
      </w:r>
      <w:r w:rsidR="003B5C64" w:rsidRPr="008B0669">
        <w:rPr>
          <w:rFonts w:asciiTheme="minorHAnsi" w:hAnsiTheme="minorHAnsi"/>
          <w:sz w:val="22"/>
          <w:szCs w:val="22"/>
        </w:rPr>
        <w:t xml:space="preserve"> The Minister’s Department </w:t>
      </w:r>
      <w:r w:rsidR="00776468" w:rsidRPr="008B0669">
        <w:rPr>
          <w:rFonts w:asciiTheme="minorHAnsi" w:hAnsiTheme="minorHAnsi"/>
          <w:sz w:val="22"/>
          <w:szCs w:val="22"/>
        </w:rPr>
        <w:t>gives the</w:t>
      </w:r>
      <w:r w:rsidR="003B5C64" w:rsidRPr="008B0669">
        <w:rPr>
          <w:rFonts w:asciiTheme="minorHAnsi" w:hAnsiTheme="minorHAnsi"/>
          <w:sz w:val="22"/>
          <w:szCs w:val="22"/>
        </w:rPr>
        <w:t xml:space="preserve"> principal policy advice to the Minister on the scheme.   </w:t>
      </w:r>
    </w:p>
    <w:p w:rsidR="00776468" w:rsidRPr="008B0669" w:rsidRDefault="00776468" w:rsidP="00776468">
      <w:pPr>
        <w:pStyle w:val="numberlist"/>
        <w:numPr>
          <w:ilvl w:val="0"/>
          <w:numId w:val="0"/>
        </w:numPr>
        <w:spacing w:after="0"/>
        <w:ind w:left="936" w:right="576"/>
        <w:rPr>
          <w:rFonts w:asciiTheme="minorHAnsi" w:hAnsiTheme="minorHAnsi" w:cs="Arial"/>
          <w:sz w:val="22"/>
          <w:szCs w:val="22"/>
        </w:rPr>
      </w:pPr>
    </w:p>
    <w:p w:rsidR="003B5C64" w:rsidRPr="008B0669" w:rsidRDefault="00776468" w:rsidP="00776468">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While the Seacare Authority is a separate statutory authority, it has no budget and does not employ any staff.  </w:t>
      </w:r>
      <w:r w:rsidR="003B5C64" w:rsidRPr="008B0669">
        <w:rPr>
          <w:rFonts w:asciiTheme="minorHAnsi" w:hAnsiTheme="minorHAnsi"/>
          <w:sz w:val="22"/>
          <w:szCs w:val="22"/>
        </w:rPr>
        <w:t xml:space="preserve">Under </w:t>
      </w:r>
      <w:proofErr w:type="spellStart"/>
      <w:r w:rsidR="003B5C64" w:rsidRPr="008B0669">
        <w:rPr>
          <w:rFonts w:asciiTheme="minorHAnsi" w:hAnsiTheme="minorHAnsi"/>
          <w:sz w:val="22"/>
          <w:szCs w:val="22"/>
        </w:rPr>
        <w:t>s.72A</w:t>
      </w:r>
      <w:proofErr w:type="spellEnd"/>
      <w:r w:rsidR="003B5C64" w:rsidRPr="008B0669">
        <w:rPr>
          <w:rFonts w:asciiTheme="minorHAnsi" w:hAnsiTheme="minorHAnsi"/>
          <w:sz w:val="22"/>
          <w:szCs w:val="22"/>
        </w:rPr>
        <w:t xml:space="preserve"> of the </w:t>
      </w:r>
      <w:r w:rsidR="003B5C64" w:rsidRPr="00C64318">
        <w:rPr>
          <w:rFonts w:asciiTheme="minorHAnsi" w:hAnsiTheme="minorHAnsi"/>
          <w:i/>
          <w:sz w:val="22"/>
          <w:szCs w:val="22"/>
        </w:rPr>
        <w:t>Safety Compensation and Rehabilitation Act 1988</w:t>
      </w:r>
      <w:r w:rsidR="003B5C64" w:rsidRPr="008B0669">
        <w:rPr>
          <w:rFonts w:asciiTheme="minorHAnsi" w:hAnsiTheme="minorHAnsi"/>
          <w:sz w:val="22"/>
          <w:szCs w:val="22"/>
        </w:rPr>
        <w:t>, Comcare</w:t>
      </w:r>
      <w:r w:rsidR="007311D9" w:rsidRPr="008B0669">
        <w:rPr>
          <w:rFonts w:asciiTheme="minorHAnsi" w:hAnsiTheme="minorHAnsi"/>
          <w:sz w:val="22"/>
          <w:szCs w:val="22"/>
        </w:rPr>
        <w:t xml:space="preserve">, </w:t>
      </w:r>
      <w:r w:rsidR="007311D9" w:rsidRPr="008B0669">
        <w:rPr>
          <w:rFonts w:asciiTheme="minorHAnsi" w:hAnsiTheme="minorHAnsi" w:cs="Arial"/>
          <w:sz w:val="22"/>
          <w:szCs w:val="22"/>
        </w:rPr>
        <w:t>which is the Commonwealth’s WHS and workers’ compensation regulator,</w:t>
      </w:r>
      <w:r w:rsidR="003B5C64" w:rsidRPr="008B0669">
        <w:rPr>
          <w:rFonts w:asciiTheme="minorHAnsi" w:hAnsiTheme="minorHAnsi"/>
          <w:sz w:val="22"/>
          <w:szCs w:val="22"/>
        </w:rPr>
        <w:t xml:space="preserve"> must give the </w:t>
      </w:r>
      <w:r w:rsidRPr="008B0669">
        <w:rPr>
          <w:rFonts w:asciiTheme="minorHAnsi" w:hAnsiTheme="minorHAnsi"/>
          <w:sz w:val="22"/>
          <w:szCs w:val="22"/>
        </w:rPr>
        <w:t>A</w:t>
      </w:r>
      <w:r w:rsidR="003B5C64" w:rsidRPr="008B0669">
        <w:rPr>
          <w:rFonts w:asciiTheme="minorHAnsi" w:hAnsiTheme="minorHAnsi"/>
          <w:sz w:val="22"/>
          <w:szCs w:val="22"/>
        </w:rPr>
        <w:t xml:space="preserve">uthority </w:t>
      </w:r>
      <w:r w:rsidRPr="008B0669">
        <w:rPr>
          <w:rFonts w:asciiTheme="minorHAnsi" w:hAnsiTheme="minorHAnsi"/>
          <w:sz w:val="22"/>
          <w:szCs w:val="22"/>
        </w:rPr>
        <w:t xml:space="preserve">such </w:t>
      </w:r>
      <w:r w:rsidR="003B5C64" w:rsidRPr="008B0669">
        <w:rPr>
          <w:rFonts w:asciiTheme="minorHAnsi" w:hAnsiTheme="minorHAnsi"/>
          <w:sz w:val="22"/>
          <w:szCs w:val="22"/>
        </w:rPr>
        <w:t xml:space="preserve">secretarial and other assistance, as well as provide resources, including staff, as </w:t>
      </w:r>
      <w:r w:rsidRPr="008B0669">
        <w:rPr>
          <w:rFonts w:asciiTheme="minorHAnsi" w:hAnsiTheme="minorHAnsi"/>
          <w:sz w:val="22"/>
          <w:szCs w:val="22"/>
        </w:rPr>
        <w:t>it</w:t>
      </w:r>
      <w:r w:rsidR="003B5C64" w:rsidRPr="008B0669">
        <w:rPr>
          <w:rFonts w:asciiTheme="minorHAnsi" w:hAnsiTheme="minorHAnsi"/>
          <w:sz w:val="22"/>
          <w:szCs w:val="22"/>
        </w:rPr>
        <w:t xml:space="preserve"> reasonably requests.   Under the</w:t>
      </w:r>
      <w:r w:rsidR="007311D9" w:rsidRPr="008B0669">
        <w:rPr>
          <w:rFonts w:asciiTheme="minorHAnsi" w:hAnsiTheme="minorHAnsi"/>
          <w:sz w:val="22"/>
          <w:szCs w:val="22"/>
        </w:rPr>
        <w:t>se</w:t>
      </w:r>
      <w:r w:rsidR="003B5C64" w:rsidRPr="008B0669">
        <w:rPr>
          <w:rFonts w:asciiTheme="minorHAnsi" w:hAnsiTheme="minorHAnsi"/>
          <w:sz w:val="22"/>
          <w:szCs w:val="22"/>
        </w:rPr>
        <w:t xml:space="preserve"> arrangements, Comcare provides staff </w:t>
      </w:r>
      <w:r w:rsidRPr="008B0669">
        <w:rPr>
          <w:rFonts w:asciiTheme="minorHAnsi" w:hAnsiTheme="minorHAnsi"/>
          <w:sz w:val="22"/>
          <w:szCs w:val="22"/>
        </w:rPr>
        <w:t>for</w:t>
      </w:r>
      <w:r w:rsidR="003B5C64" w:rsidRPr="008B0669">
        <w:rPr>
          <w:rFonts w:asciiTheme="minorHAnsi" w:hAnsiTheme="minorHAnsi"/>
          <w:sz w:val="22"/>
          <w:szCs w:val="22"/>
        </w:rPr>
        <w:t xml:space="preserve"> the Seacare Management Section</w:t>
      </w:r>
      <w:r w:rsidR="007311D9" w:rsidRPr="008B0669">
        <w:rPr>
          <w:rFonts w:asciiTheme="minorHAnsi" w:hAnsiTheme="minorHAnsi"/>
        </w:rPr>
        <w:t xml:space="preserve"> </w:t>
      </w:r>
      <w:r w:rsidR="007311D9" w:rsidRPr="008B0669">
        <w:rPr>
          <w:rFonts w:asciiTheme="minorHAnsi" w:hAnsiTheme="minorHAnsi"/>
          <w:sz w:val="22"/>
          <w:szCs w:val="22"/>
        </w:rPr>
        <w:t xml:space="preserve">and </w:t>
      </w:r>
      <w:r w:rsidR="007311D9" w:rsidRPr="008B0669">
        <w:rPr>
          <w:rFonts w:asciiTheme="minorHAnsi" w:hAnsiTheme="minorHAnsi" w:cs="Arial"/>
          <w:sz w:val="22"/>
          <w:szCs w:val="22"/>
        </w:rPr>
        <w:t>performs various functions on delegation from the Authority.</w:t>
      </w:r>
      <w:r w:rsidR="007311D9" w:rsidRPr="008B0669">
        <w:rPr>
          <w:rStyle w:val="FootnoteReference"/>
          <w:rFonts w:asciiTheme="minorHAnsi" w:hAnsiTheme="minorHAnsi" w:cs="Arial"/>
          <w:sz w:val="22"/>
          <w:szCs w:val="22"/>
        </w:rPr>
        <w:footnoteReference w:id="27"/>
      </w:r>
    </w:p>
    <w:p w:rsidR="003B5C64" w:rsidRPr="008B0669" w:rsidRDefault="003B5C64" w:rsidP="003B5C64">
      <w:pPr>
        <w:pStyle w:val="ListParagraph"/>
        <w:rPr>
          <w:rFonts w:asciiTheme="minorHAnsi" w:hAnsiTheme="minorHAnsi"/>
        </w:rPr>
      </w:pPr>
    </w:p>
    <w:p w:rsidR="003B5C64" w:rsidRPr="008B0669" w:rsidRDefault="003B5C64" w:rsidP="003B5C64">
      <w:pPr>
        <w:pStyle w:val="numberlist"/>
        <w:numPr>
          <w:ilvl w:val="0"/>
          <w:numId w:val="6"/>
        </w:numPr>
        <w:spacing w:after="0"/>
        <w:ind w:right="576"/>
        <w:rPr>
          <w:rFonts w:asciiTheme="minorHAnsi" w:hAnsiTheme="minorHAnsi"/>
          <w:sz w:val="22"/>
          <w:szCs w:val="22"/>
        </w:rPr>
      </w:pPr>
      <w:r w:rsidRPr="008B0669">
        <w:rPr>
          <w:rFonts w:asciiTheme="minorHAnsi" w:hAnsiTheme="minorHAnsi"/>
          <w:sz w:val="22"/>
          <w:szCs w:val="22"/>
        </w:rPr>
        <w:t>The Minister may give the Authority written directions about the performance of its functions and the exercise of its powers, but may not give such directions about particular cases.</w:t>
      </w:r>
      <w:r w:rsidRPr="008B0669">
        <w:rPr>
          <w:rStyle w:val="FootnoteReference"/>
          <w:rFonts w:asciiTheme="minorHAnsi" w:hAnsiTheme="minorHAnsi"/>
          <w:sz w:val="22"/>
          <w:szCs w:val="22"/>
        </w:rPr>
        <w:footnoteReference w:id="28"/>
      </w:r>
    </w:p>
    <w:p w:rsidR="003B5C64" w:rsidRPr="008B0669" w:rsidRDefault="003B5C64" w:rsidP="003B5C64">
      <w:pPr>
        <w:pStyle w:val="numberlist"/>
        <w:numPr>
          <w:ilvl w:val="0"/>
          <w:numId w:val="0"/>
        </w:numPr>
        <w:spacing w:after="0"/>
        <w:ind w:left="360" w:right="576" w:hanging="360"/>
        <w:rPr>
          <w:rFonts w:asciiTheme="minorHAnsi" w:hAnsiTheme="minorHAnsi" w:cs="Arial"/>
          <w:sz w:val="22"/>
          <w:szCs w:val="22"/>
        </w:rPr>
      </w:pPr>
    </w:p>
    <w:p w:rsidR="00391E14" w:rsidRPr="008B0669" w:rsidRDefault="00862C28"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The Seacare Authority is responsible for administering the following Commonwealth legislation</w:t>
      </w:r>
      <w:r w:rsidR="00B54A0A" w:rsidRPr="008B0669">
        <w:rPr>
          <w:rFonts w:asciiTheme="minorHAnsi" w:hAnsiTheme="minorHAnsi" w:cs="Arial"/>
          <w:sz w:val="22"/>
          <w:szCs w:val="22"/>
        </w:rPr>
        <w:t>:</w:t>
      </w:r>
    </w:p>
    <w:p w:rsidR="00391E14" w:rsidRPr="008B0669" w:rsidRDefault="00391E14" w:rsidP="002E255C">
      <w:pPr>
        <w:rPr>
          <w:rFonts w:asciiTheme="minorHAnsi" w:hAnsiTheme="minorHAnsi"/>
        </w:rPr>
      </w:pPr>
    </w:p>
    <w:p w:rsidR="00862C28" w:rsidRPr="008B0669" w:rsidRDefault="00862C28" w:rsidP="002E255C">
      <w:pPr>
        <w:pStyle w:val="Pa13"/>
        <w:numPr>
          <w:ilvl w:val="0"/>
          <w:numId w:val="7"/>
        </w:numPr>
        <w:spacing w:line="240" w:lineRule="auto"/>
        <w:ind w:right="576"/>
        <w:rPr>
          <w:rFonts w:asciiTheme="minorHAnsi" w:hAnsiTheme="minorHAnsi" w:cs="Arial"/>
          <w:sz w:val="22"/>
          <w:szCs w:val="22"/>
        </w:rPr>
      </w:pPr>
      <w:r w:rsidRPr="008B0669">
        <w:rPr>
          <w:rFonts w:asciiTheme="minorHAnsi" w:hAnsiTheme="minorHAnsi" w:cs="Arial"/>
          <w:i/>
          <w:iCs/>
          <w:sz w:val="22"/>
          <w:szCs w:val="22"/>
        </w:rPr>
        <w:t xml:space="preserve">Seafarers Rehabilitation and Compensation Act 1992 </w:t>
      </w:r>
      <w:r w:rsidRPr="008B0669">
        <w:rPr>
          <w:rFonts w:asciiTheme="minorHAnsi" w:hAnsiTheme="minorHAnsi" w:cs="Arial"/>
          <w:sz w:val="22"/>
          <w:szCs w:val="22"/>
        </w:rPr>
        <w:t xml:space="preserve">(Seafarers Act) </w:t>
      </w:r>
    </w:p>
    <w:p w:rsidR="00862C28" w:rsidRPr="008B0669" w:rsidRDefault="00862C28" w:rsidP="002E255C">
      <w:pPr>
        <w:pStyle w:val="Pa14"/>
        <w:numPr>
          <w:ilvl w:val="0"/>
          <w:numId w:val="7"/>
        </w:numPr>
        <w:spacing w:line="240" w:lineRule="auto"/>
        <w:ind w:right="576"/>
        <w:rPr>
          <w:rFonts w:asciiTheme="minorHAnsi" w:hAnsiTheme="minorHAnsi" w:cs="Arial"/>
          <w:sz w:val="22"/>
          <w:szCs w:val="22"/>
        </w:rPr>
      </w:pPr>
      <w:r w:rsidRPr="008B0669">
        <w:rPr>
          <w:rFonts w:asciiTheme="minorHAnsi" w:hAnsiTheme="minorHAnsi" w:cs="Arial"/>
          <w:i/>
          <w:iCs/>
          <w:sz w:val="22"/>
          <w:szCs w:val="22"/>
        </w:rPr>
        <w:t xml:space="preserve">Seafarers Rehabilitation and Compensation Regulations 1993 </w:t>
      </w:r>
    </w:p>
    <w:p w:rsidR="00862C28" w:rsidRPr="008B0669" w:rsidRDefault="00862C28" w:rsidP="002E255C">
      <w:pPr>
        <w:pStyle w:val="Pa13"/>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 xml:space="preserve">Seafarers Rehabilitation and Compensation Levy Act 1992 (Levy Act) </w:t>
      </w:r>
    </w:p>
    <w:p w:rsidR="00862C28" w:rsidRPr="008B0669" w:rsidRDefault="00862C28" w:rsidP="002E255C">
      <w:pPr>
        <w:pStyle w:val="Pa14"/>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 xml:space="preserve">Seafarers Rehabilitation and Compensation Levy Regulations 2002 </w:t>
      </w:r>
    </w:p>
    <w:p w:rsidR="009F5D10" w:rsidRPr="008B0669" w:rsidRDefault="00862C28" w:rsidP="002E255C">
      <w:pPr>
        <w:pStyle w:val="Pa13"/>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Seafarers Rehabilitation and Compensation Levy Collection Act 1992 (Levy Collection Act)</w:t>
      </w:r>
    </w:p>
    <w:p w:rsidR="001E254D" w:rsidRPr="008B0669" w:rsidRDefault="00862C28" w:rsidP="002E255C">
      <w:pPr>
        <w:pStyle w:val="Pa14"/>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Seafarers Rehabilitation and Compensation Levy Collection Regulations 2002</w:t>
      </w:r>
    </w:p>
    <w:p w:rsidR="00FA5E00" w:rsidRPr="008B0669" w:rsidRDefault="001E254D" w:rsidP="002E255C">
      <w:pPr>
        <w:pStyle w:val="Pa13"/>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Seafarers Rehabilitation and Compensation(Transitional Provisions and Consequential Amendments)Act 1992 (Transitional Act)</w:t>
      </w:r>
      <w:r w:rsidR="00862C28" w:rsidRPr="008B0669">
        <w:rPr>
          <w:rFonts w:asciiTheme="minorHAnsi" w:hAnsiTheme="minorHAnsi" w:cs="Arial"/>
          <w:i/>
          <w:iCs/>
          <w:sz w:val="22"/>
          <w:szCs w:val="22"/>
        </w:rPr>
        <w:t xml:space="preserve"> </w:t>
      </w:r>
    </w:p>
    <w:p w:rsidR="006D3511" w:rsidRPr="008B0669" w:rsidRDefault="00862C28" w:rsidP="002E255C">
      <w:pPr>
        <w:pStyle w:val="Pa13"/>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 xml:space="preserve">Occupational Health and Safety (Maritime Industry) Act 1993 (OHS(MI) Act) </w:t>
      </w:r>
    </w:p>
    <w:p w:rsidR="00862C28" w:rsidRPr="008B0669" w:rsidRDefault="00862C28" w:rsidP="002E255C">
      <w:pPr>
        <w:pStyle w:val="Pa14"/>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 xml:space="preserve">Occupational Health and Safety (Maritime Industry) (National Standards) Regulations 2003 </w:t>
      </w:r>
    </w:p>
    <w:p w:rsidR="00FA5E00" w:rsidRPr="008B0669" w:rsidRDefault="006D3511" w:rsidP="002E255C">
      <w:pPr>
        <w:pStyle w:val="Pa14"/>
        <w:numPr>
          <w:ilvl w:val="0"/>
          <w:numId w:val="7"/>
        </w:numPr>
        <w:spacing w:line="240" w:lineRule="auto"/>
        <w:ind w:right="576"/>
        <w:rPr>
          <w:rFonts w:asciiTheme="minorHAnsi" w:hAnsiTheme="minorHAnsi" w:cs="Arial"/>
          <w:i/>
          <w:iCs/>
          <w:sz w:val="22"/>
          <w:szCs w:val="22"/>
        </w:rPr>
      </w:pPr>
      <w:r w:rsidRPr="008B0669">
        <w:rPr>
          <w:rFonts w:asciiTheme="minorHAnsi" w:hAnsiTheme="minorHAnsi" w:cs="Arial"/>
          <w:i/>
          <w:iCs/>
          <w:sz w:val="22"/>
          <w:szCs w:val="22"/>
        </w:rPr>
        <w:t>Occupational Health and Safety (Maritime Industry) Regulations 1995</w:t>
      </w:r>
    </w:p>
    <w:p w:rsidR="00FA5E00" w:rsidRPr="008B0669" w:rsidRDefault="00FA5E00" w:rsidP="002E255C">
      <w:pPr>
        <w:ind w:left="720" w:right="576"/>
        <w:rPr>
          <w:rFonts w:asciiTheme="minorHAnsi" w:hAnsiTheme="minorHAnsi"/>
        </w:rPr>
      </w:pPr>
    </w:p>
    <w:p w:rsidR="00862C28" w:rsidRPr="008B0669" w:rsidRDefault="00862C28"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Under the OHS(MI) Act (</w:t>
      </w:r>
      <w:proofErr w:type="spellStart"/>
      <w:r w:rsidRPr="008B0669">
        <w:rPr>
          <w:rFonts w:asciiTheme="minorHAnsi" w:hAnsiTheme="minorHAnsi" w:cs="Arial"/>
          <w:sz w:val="22"/>
          <w:szCs w:val="22"/>
        </w:rPr>
        <w:t>s</w:t>
      </w:r>
      <w:r w:rsidR="00D153D1" w:rsidRPr="008B0669">
        <w:rPr>
          <w:rFonts w:asciiTheme="minorHAnsi" w:hAnsiTheme="minorHAnsi" w:cs="Arial"/>
          <w:sz w:val="22"/>
          <w:szCs w:val="22"/>
        </w:rPr>
        <w:t>.</w:t>
      </w:r>
      <w:r w:rsidRPr="008B0669">
        <w:rPr>
          <w:rFonts w:asciiTheme="minorHAnsi" w:hAnsiTheme="minorHAnsi" w:cs="Arial"/>
          <w:sz w:val="22"/>
          <w:szCs w:val="22"/>
        </w:rPr>
        <w:t>9</w:t>
      </w:r>
      <w:proofErr w:type="spellEnd"/>
      <w:r w:rsidRPr="008B0669">
        <w:rPr>
          <w:rFonts w:asciiTheme="minorHAnsi" w:hAnsiTheme="minorHAnsi" w:cs="Arial"/>
          <w:sz w:val="22"/>
          <w:szCs w:val="22"/>
        </w:rPr>
        <w:t xml:space="preserve">), the </w:t>
      </w:r>
      <w:proofErr w:type="spellStart"/>
      <w:r w:rsidRPr="008B0669">
        <w:rPr>
          <w:rFonts w:asciiTheme="minorHAnsi" w:hAnsiTheme="minorHAnsi" w:cs="Arial"/>
          <w:sz w:val="22"/>
          <w:szCs w:val="22"/>
        </w:rPr>
        <w:t>Seacare</w:t>
      </w:r>
      <w:proofErr w:type="spellEnd"/>
      <w:r w:rsidRPr="008B0669">
        <w:rPr>
          <w:rFonts w:asciiTheme="minorHAnsi" w:hAnsiTheme="minorHAnsi" w:cs="Arial"/>
          <w:sz w:val="22"/>
          <w:szCs w:val="22"/>
        </w:rPr>
        <w:t xml:space="preserve"> Authority has the following functions: </w:t>
      </w:r>
    </w:p>
    <w:p w:rsidR="00C31319" w:rsidRPr="008B0669" w:rsidRDefault="00C31319" w:rsidP="002E255C">
      <w:pPr>
        <w:rPr>
          <w:rFonts w:asciiTheme="minorHAnsi" w:hAnsiTheme="minorHAnsi"/>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ensure </w:t>
      </w:r>
      <w:r w:rsidR="00401E09" w:rsidRPr="008B0669">
        <w:rPr>
          <w:rFonts w:asciiTheme="minorHAnsi" w:hAnsiTheme="minorHAnsi" w:cs="Arial"/>
          <w:sz w:val="22"/>
          <w:szCs w:val="22"/>
        </w:rPr>
        <w:t>compliance with</w:t>
      </w:r>
      <w:r w:rsidRPr="008B0669">
        <w:rPr>
          <w:rFonts w:asciiTheme="minorHAnsi" w:hAnsiTheme="minorHAnsi" w:cs="Arial"/>
          <w:sz w:val="22"/>
          <w:szCs w:val="22"/>
        </w:rPr>
        <w:t xml:space="preserve"> obligations under the OHS(MI) Act and regulations</w:t>
      </w:r>
      <w:r w:rsidR="00401E09" w:rsidRPr="008B0669">
        <w:rPr>
          <w:rFonts w:asciiTheme="minorHAnsi" w:hAnsiTheme="minorHAnsi" w:cs="Arial"/>
          <w:sz w:val="22"/>
          <w:szCs w:val="22"/>
        </w:rPr>
        <w:t>;</w:t>
      </w:r>
      <w:r w:rsidRPr="008B0669">
        <w:rPr>
          <w:rFonts w:asciiTheme="minorHAnsi" w:hAnsiTheme="minorHAnsi" w:cs="Arial"/>
          <w:sz w:val="22"/>
          <w:szCs w:val="22"/>
        </w:rPr>
        <w:t xml:space="preserve"> </w:t>
      </w:r>
    </w:p>
    <w:p w:rsidR="00391E14" w:rsidRPr="008B0669" w:rsidRDefault="00391E14" w:rsidP="002E255C">
      <w:pPr>
        <w:rPr>
          <w:rFonts w:asciiTheme="minorHAnsi" w:hAnsiTheme="minorHAnsi"/>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to advise operat</w:t>
      </w:r>
      <w:r w:rsidR="00D153D1" w:rsidRPr="008B0669">
        <w:rPr>
          <w:rFonts w:asciiTheme="minorHAnsi" w:hAnsiTheme="minorHAnsi" w:cs="Arial"/>
          <w:sz w:val="22"/>
          <w:szCs w:val="22"/>
        </w:rPr>
        <w:t xml:space="preserve">ors, employees and contractors </w:t>
      </w:r>
      <w:r w:rsidRPr="008B0669">
        <w:rPr>
          <w:rFonts w:asciiTheme="minorHAnsi" w:hAnsiTheme="minorHAnsi" w:cs="Arial"/>
          <w:sz w:val="22"/>
          <w:szCs w:val="22"/>
        </w:rPr>
        <w:t xml:space="preserve">on </w:t>
      </w:r>
      <w:r w:rsidR="00D153D1" w:rsidRPr="008B0669">
        <w:rPr>
          <w:rFonts w:asciiTheme="minorHAnsi" w:hAnsiTheme="minorHAnsi" w:cs="Arial"/>
          <w:sz w:val="22"/>
          <w:szCs w:val="22"/>
        </w:rPr>
        <w:t>OHS</w:t>
      </w:r>
      <w:r w:rsidRPr="008B0669">
        <w:rPr>
          <w:rFonts w:asciiTheme="minorHAnsi" w:hAnsiTheme="minorHAnsi" w:cs="Arial"/>
          <w:sz w:val="22"/>
          <w:szCs w:val="22"/>
        </w:rPr>
        <w:t xml:space="preserve"> matters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2E255C">
      <w:pPr>
        <w:pStyle w:val="Pa9"/>
        <w:spacing w:line="240" w:lineRule="auto"/>
        <w:ind w:left="576" w:right="576"/>
        <w:rPr>
          <w:rFonts w:asciiTheme="minorHAnsi" w:hAnsiTheme="minorHAnsi" w:cs="Arial"/>
          <w:sz w:val="22"/>
          <w:szCs w:val="22"/>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collect, interpret and report information relating to </w:t>
      </w:r>
      <w:r w:rsidR="00D153D1" w:rsidRPr="008B0669">
        <w:rPr>
          <w:rFonts w:asciiTheme="minorHAnsi" w:hAnsiTheme="minorHAnsi" w:cs="Arial"/>
          <w:sz w:val="22"/>
          <w:szCs w:val="22"/>
        </w:rPr>
        <w:t>OHS;</w:t>
      </w:r>
      <w:r w:rsidRPr="008B0669">
        <w:rPr>
          <w:rFonts w:asciiTheme="minorHAnsi" w:hAnsiTheme="minorHAnsi" w:cs="Arial"/>
          <w:sz w:val="22"/>
          <w:szCs w:val="22"/>
        </w:rPr>
        <w:t xml:space="preserve"> </w:t>
      </w:r>
    </w:p>
    <w:p w:rsidR="00C31319" w:rsidRPr="008B0669" w:rsidRDefault="00C31319" w:rsidP="002E255C">
      <w:pPr>
        <w:pStyle w:val="Pa9"/>
        <w:spacing w:line="240" w:lineRule="auto"/>
        <w:ind w:left="576" w:right="576"/>
        <w:rPr>
          <w:rFonts w:asciiTheme="minorHAnsi" w:hAnsiTheme="minorHAnsi" w:cs="Arial"/>
          <w:sz w:val="22"/>
          <w:szCs w:val="22"/>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formulate policies and strategies relating to the </w:t>
      </w:r>
      <w:r w:rsidR="00D153D1" w:rsidRPr="008B0669">
        <w:rPr>
          <w:rFonts w:asciiTheme="minorHAnsi" w:hAnsiTheme="minorHAnsi" w:cs="Arial"/>
          <w:sz w:val="22"/>
          <w:szCs w:val="22"/>
        </w:rPr>
        <w:t>OHS</w:t>
      </w:r>
      <w:r w:rsidRPr="008B0669">
        <w:rPr>
          <w:rFonts w:asciiTheme="minorHAnsi" w:hAnsiTheme="minorHAnsi" w:cs="Arial"/>
          <w:sz w:val="22"/>
          <w:szCs w:val="22"/>
        </w:rPr>
        <w:t xml:space="preserve"> of employees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2E255C">
      <w:pPr>
        <w:pStyle w:val="Pa9"/>
        <w:spacing w:line="240" w:lineRule="auto"/>
        <w:ind w:left="576" w:right="576"/>
        <w:rPr>
          <w:rFonts w:asciiTheme="minorHAnsi" w:hAnsiTheme="minorHAnsi" w:cs="Arial"/>
          <w:sz w:val="22"/>
          <w:szCs w:val="22"/>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accredit </w:t>
      </w:r>
      <w:r w:rsidR="00D153D1" w:rsidRPr="008B0669">
        <w:rPr>
          <w:rFonts w:asciiTheme="minorHAnsi" w:hAnsiTheme="minorHAnsi" w:cs="Arial"/>
          <w:sz w:val="22"/>
          <w:szCs w:val="22"/>
        </w:rPr>
        <w:t>OHS</w:t>
      </w:r>
      <w:r w:rsidRPr="008B0669">
        <w:rPr>
          <w:rFonts w:asciiTheme="minorHAnsi" w:hAnsiTheme="minorHAnsi" w:cs="Arial"/>
          <w:sz w:val="22"/>
          <w:szCs w:val="22"/>
        </w:rPr>
        <w:t xml:space="preserve"> training courses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2E255C">
      <w:pPr>
        <w:pStyle w:val="Pa9"/>
        <w:spacing w:line="240" w:lineRule="auto"/>
        <w:ind w:left="576" w:right="576"/>
        <w:rPr>
          <w:rFonts w:asciiTheme="minorHAnsi" w:hAnsiTheme="minorHAnsi" w:cs="Arial"/>
          <w:sz w:val="22"/>
          <w:szCs w:val="22"/>
        </w:rPr>
      </w:pPr>
    </w:p>
    <w:p w:rsidR="00862C28" w:rsidRPr="008B0669" w:rsidRDefault="00862C28" w:rsidP="002E255C">
      <w:pPr>
        <w:pStyle w:val="Pa9"/>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liaise with other bodies concerned with </w:t>
      </w:r>
      <w:r w:rsidR="00D153D1" w:rsidRPr="008B0669">
        <w:rPr>
          <w:rFonts w:asciiTheme="minorHAnsi" w:hAnsiTheme="minorHAnsi" w:cs="Arial"/>
          <w:sz w:val="22"/>
          <w:szCs w:val="22"/>
        </w:rPr>
        <w:t>OHS; and</w:t>
      </w:r>
      <w:r w:rsidRPr="008B0669">
        <w:rPr>
          <w:rFonts w:asciiTheme="minorHAnsi" w:hAnsiTheme="minorHAnsi" w:cs="Arial"/>
          <w:sz w:val="22"/>
          <w:szCs w:val="22"/>
        </w:rPr>
        <w:t xml:space="preserve"> </w:t>
      </w:r>
    </w:p>
    <w:p w:rsidR="00C31319" w:rsidRPr="008B0669" w:rsidRDefault="00C31319" w:rsidP="002E255C">
      <w:pPr>
        <w:pStyle w:val="Pa13"/>
        <w:spacing w:line="240" w:lineRule="auto"/>
        <w:ind w:left="576" w:right="576"/>
        <w:rPr>
          <w:rFonts w:asciiTheme="minorHAnsi" w:hAnsiTheme="minorHAnsi" w:cs="Arial"/>
          <w:sz w:val="22"/>
          <w:szCs w:val="22"/>
        </w:rPr>
      </w:pPr>
    </w:p>
    <w:p w:rsidR="00862C28" w:rsidRPr="008B0669" w:rsidRDefault="00862C28" w:rsidP="002E255C">
      <w:pPr>
        <w:pStyle w:val="Pa13"/>
        <w:numPr>
          <w:ilvl w:val="0"/>
          <w:numId w:val="8"/>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to advise the Minister</w:t>
      </w:r>
      <w:r w:rsidR="00D153D1" w:rsidRPr="008B0669">
        <w:rPr>
          <w:rFonts w:asciiTheme="minorHAnsi" w:hAnsiTheme="minorHAnsi" w:cs="Arial"/>
          <w:sz w:val="22"/>
          <w:szCs w:val="22"/>
        </w:rPr>
        <w:t xml:space="preserve"> on</w:t>
      </w:r>
      <w:r w:rsidRPr="008B0669">
        <w:rPr>
          <w:rFonts w:asciiTheme="minorHAnsi" w:hAnsiTheme="minorHAnsi" w:cs="Arial"/>
          <w:sz w:val="22"/>
          <w:szCs w:val="22"/>
        </w:rPr>
        <w:t xml:space="preserve">: </w:t>
      </w:r>
    </w:p>
    <w:p w:rsidR="00C31319" w:rsidRPr="008B0669" w:rsidRDefault="00C31319" w:rsidP="002E255C">
      <w:pPr>
        <w:pStyle w:val="Pa16"/>
        <w:spacing w:line="240" w:lineRule="auto"/>
        <w:ind w:left="576" w:right="576"/>
        <w:rPr>
          <w:rFonts w:asciiTheme="minorHAnsi" w:hAnsiTheme="minorHAnsi" w:cs="Arial"/>
          <w:sz w:val="22"/>
          <w:szCs w:val="22"/>
        </w:rPr>
      </w:pPr>
    </w:p>
    <w:p w:rsidR="00862C28" w:rsidRPr="008B0669" w:rsidRDefault="00862C28" w:rsidP="002E255C">
      <w:pPr>
        <w:pStyle w:val="Pa16"/>
        <w:numPr>
          <w:ilvl w:val="0"/>
          <w:numId w:val="9"/>
        </w:numPr>
        <w:spacing w:line="240" w:lineRule="auto"/>
        <w:ind w:left="1656" w:right="576"/>
        <w:rPr>
          <w:rFonts w:asciiTheme="minorHAnsi" w:hAnsiTheme="minorHAnsi" w:cs="Arial"/>
          <w:sz w:val="22"/>
          <w:szCs w:val="22"/>
        </w:rPr>
      </w:pPr>
      <w:r w:rsidRPr="008B0669">
        <w:rPr>
          <w:rFonts w:asciiTheme="minorHAnsi" w:hAnsiTheme="minorHAnsi" w:cs="Arial"/>
          <w:sz w:val="22"/>
          <w:szCs w:val="22"/>
        </w:rPr>
        <w:t xml:space="preserve">the most effective means of giving effect to the objects of the Act </w:t>
      </w:r>
    </w:p>
    <w:p w:rsidR="00C31319" w:rsidRPr="008B0669" w:rsidRDefault="00C31319" w:rsidP="002E255C">
      <w:pPr>
        <w:pStyle w:val="Pa16"/>
        <w:spacing w:line="240" w:lineRule="auto"/>
        <w:ind w:left="936" w:right="576"/>
        <w:rPr>
          <w:rFonts w:asciiTheme="minorHAnsi" w:hAnsiTheme="minorHAnsi" w:cs="Arial"/>
          <w:sz w:val="22"/>
          <w:szCs w:val="22"/>
        </w:rPr>
      </w:pPr>
    </w:p>
    <w:p w:rsidR="00862C28" w:rsidRPr="008B0669" w:rsidRDefault="00862C28" w:rsidP="002E255C">
      <w:pPr>
        <w:pStyle w:val="Pa16"/>
        <w:numPr>
          <w:ilvl w:val="0"/>
          <w:numId w:val="9"/>
        </w:numPr>
        <w:spacing w:line="240" w:lineRule="auto"/>
        <w:ind w:left="1656" w:right="576"/>
        <w:rPr>
          <w:rFonts w:asciiTheme="minorHAnsi" w:hAnsiTheme="minorHAnsi" w:cs="Arial"/>
          <w:sz w:val="22"/>
          <w:szCs w:val="22"/>
        </w:rPr>
      </w:pPr>
      <w:r w:rsidRPr="008B0669">
        <w:rPr>
          <w:rFonts w:asciiTheme="minorHAnsi" w:hAnsiTheme="minorHAnsi" w:cs="Arial"/>
          <w:sz w:val="22"/>
          <w:szCs w:val="22"/>
        </w:rPr>
        <w:t xml:space="preserve">the making of regulations under the Act, and </w:t>
      </w:r>
    </w:p>
    <w:p w:rsidR="00C31319" w:rsidRPr="008B0669" w:rsidRDefault="00C31319" w:rsidP="002E255C">
      <w:pPr>
        <w:pStyle w:val="Pa15"/>
        <w:spacing w:line="240" w:lineRule="auto"/>
        <w:ind w:left="936" w:right="576"/>
        <w:rPr>
          <w:rFonts w:asciiTheme="minorHAnsi" w:hAnsiTheme="minorHAnsi" w:cs="Arial"/>
          <w:sz w:val="22"/>
          <w:szCs w:val="22"/>
        </w:rPr>
      </w:pPr>
    </w:p>
    <w:p w:rsidR="00862C28" w:rsidRPr="008B0669" w:rsidRDefault="00862C28" w:rsidP="002E255C">
      <w:pPr>
        <w:pStyle w:val="Pa15"/>
        <w:numPr>
          <w:ilvl w:val="0"/>
          <w:numId w:val="9"/>
        </w:numPr>
        <w:spacing w:line="240" w:lineRule="auto"/>
        <w:ind w:left="1656" w:right="576"/>
        <w:rPr>
          <w:rFonts w:asciiTheme="minorHAnsi" w:hAnsiTheme="minorHAnsi" w:cs="Arial"/>
          <w:sz w:val="22"/>
          <w:szCs w:val="22"/>
        </w:rPr>
      </w:pPr>
      <w:r w:rsidRPr="008B0669">
        <w:rPr>
          <w:rFonts w:asciiTheme="minorHAnsi" w:hAnsiTheme="minorHAnsi" w:cs="Arial"/>
          <w:sz w:val="22"/>
          <w:szCs w:val="22"/>
        </w:rPr>
        <w:t xml:space="preserve">the approval of codes of practice. </w:t>
      </w:r>
    </w:p>
    <w:p w:rsidR="00862C28" w:rsidRPr="008B0669" w:rsidRDefault="00862C28"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lastRenderedPageBreak/>
        <w:t>Under the Seafarers Act (</w:t>
      </w:r>
      <w:proofErr w:type="spellStart"/>
      <w:r w:rsidRPr="008B0669">
        <w:rPr>
          <w:rFonts w:asciiTheme="minorHAnsi" w:hAnsiTheme="minorHAnsi" w:cs="Arial"/>
          <w:sz w:val="22"/>
          <w:szCs w:val="22"/>
        </w:rPr>
        <w:t>s</w:t>
      </w:r>
      <w:r w:rsidR="00D153D1" w:rsidRPr="008B0669">
        <w:rPr>
          <w:rFonts w:asciiTheme="minorHAnsi" w:hAnsiTheme="minorHAnsi" w:cs="Arial"/>
          <w:sz w:val="22"/>
          <w:szCs w:val="22"/>
        </w:rPr>
        <w:t>.</w:t>
      </w:r>
      <w:r w:rsidRPr="008B0669">
        <w:rPr>
          <w:rFonts w:asciiTheme="minorHAnsi" w:hAnsiTheme="minorHAnsi" w:cs="Arial"/>
          <w:sz w:val="22"/>
          <w:szCs w:val="22"/>
        </w:rPr>
        <w:t>104</w:t>
      </w:r>
      <w:proofErr w:type="spellEnd"/>
      <w:r w:rsidRPr="008B0669">
        <w:rPr>
          <w:rFonts w:asciiTheme="minorHAnsi" w:hAnsiTheme="minorHAnsi" w:cs="Arial"/>
          <w:sz w:val="22"/>
          <w:szCs w:val="22"/>
        </w:rPr>
        <w:t xml:space="preserve">), the </w:t>
      </w:r>
      <w:proofErr w:type="spellStart"/>
      <w:r w:rsidRPr="008B0669">
        <w:rPr>
          <w:rFonts w:asciiTheme="minorHAnsi" w:hAnsiTheme="minorHAnsi" w:cs="Arial"/>
          <w:sz w:val="22"/>
          <w:szCs w:val="22"/>
        </w:rPr>
        <w:t>Seacare</w:t>
      </w:r>
      <w:proofErr w:type="spellEnd"/>
      <w:r w:rsidRPr="008B0669">
        <w:rPr>
          <w:rFonts w:asciiTheme="minorHAnsi" w:hAnsiTheme="minorHAnsi" w:cs="Arial"/>
          <w:sz w:val="22"/>
          <w:szCs w:val="22"/>
        </w:rPr>
        <w:t xml:space="preserve"> Authority has the following functions: </w:t>
      </w:r>
    </w:p>
    <w:p w:rsidR="00C31319" w:rsidRPr="008B0669" w:rsidRDefault="00C31319" w:rsidP="00C94968">
      <w:pPr>
        <w:pStyle w:val="Pa9"/>
        <w:spacing w:line="120" w:lineRule="auto"/>
        <w:ind w:left="720" w:right="576"/>
        <w:rPr>
          <w:rFonts w:asciiTheme="minorHAnsi" w:hAnsiTheme="minorHAnsi" w:cs="Arial"/>
          <w:sz w:val="22"/>
          <w:szCs w:val="22"/>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monitor the </w:t>
      </w:r>
      <w:r w:rsidR="00D153D1" w:rsidRPr="008B0669">
        <w:rPr>
          <w:rFonts w:asciiTheme="minorHAnsi" w:hAnsiTheme="minorHAnsi" w:cs="Arial"/>
          <w:sz w:val="22"/>
          <w:szCs w:val="22"/>
        </w:rPr>
        <w:t>Act’s operations;</w:t>
      </w:r>
    </w:p>
    <w:p w:rsidR="00C31319" w:rsidRPr="008B0669" w:rsidRDefault="00C31319" w:rsidP="00C94968">
      <w:pPr>
        <w:pStyle w:val="Pa9"/>
        <w:spacing w:line="120" w:lineRule="auto"/>
        <w:ind w:left="576" w:right="576"/>
        <w:rPr>
          <w:rFonts w:asciiTheme="minorHAnsi" w:hAnsiTheme="minorHAnsi" w:cs="Arial"/>
          <w:sz w:val="22"/>
          <w:szCs w:val="22"/>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to promote high operational standards of claims management and effective rehabilitation procedures by employers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C94968">
      <w:pPr>
        <w:pStyle w:val="Pa9"/>
        <w:spacing w:line="120" w:lineRule="auto"/>
        <w:ind w:left="576" w:right="576"/>
        <w:rPr>
          <w:rFonts w:asciiTheme="minorHAnsi" w:hAnsiTheme="minorHAnsi" w:cs="Arial"/>
          <w:sz w:val="22"/>
          <w:szCs w:val="22"/>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co-operate with other bodies or persons </w:t>
      </w:r>
      <w:r w:rsidR="00D153D1" w:rsidRPr="008B0669">
        <w:rPr>
          <w:rFonts w:asciiTheme="minorHAnsi" w:hAnsiTheme="minorHAnsi" w:cs="Arial"/>
          <w:sz w:val="22"/>
          <w:szCs w:val="22"/>
        </w:rPr>
        <w:t>to</w:t>
      </w:r>
      <w:r w:rsidRPr="008B0669">
        <w:rPr>
          <w:rFonts w:asciiTheme="minorHAnsi" w:hAnsiTheme="minorHAnsi" w:cs="Arial"/>
          <w:sz w:val="22"/>
          <w:szCs w:val="22"/>
        </w:rPr>
        <w:t xml:space="preserve"> reduc</w:t>
      </w:r>
      <w:r w:rsidR="00D153D1" w:rsidRPr="008B0669">
        <w:rPr>
          <w:rFonts w:asciiTheme="minorHAnsi" w:hAnsiTheme="minorHAnsi" w:cs="Arial"/>
          <w:sz w:val="22"/>
          <w:szCs w:val="22"/>
        </w:rPr>
        <w:t>e</w:t>
      </w:r>
      <w:r w:rsidRPr="008B0669">
        <w:rPr>
          <w:rFonts w:asciiTheme="minorHAnsi" w:hAnsiTheme="minorHAnsi" w:cs="Arial"/>
          <w:sz w:val="22"/>
          <w:szCs w:val="22"/>
        </w:rPr>
        <w:t xml:space="preserve"> the incidence of injuries to employees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C94968">
      <w:pPr>
        <w:pStyle w:val="Pa9"/>
        <w:spacing w:line="120" w:lineRule="auto"/>
        <w:ind w:left="576" w:right="576"/>
        <w:rPr>
          <w:rFonts w:asciiTheme="minorHAnsi" w:hAnsiTheme="minorHAnsi" w:cs="Arial"/>
          <w:sz w:val="22"/>
          <w:szCs w:val="22"/>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to publish material relating to the</w:t>
      </w:r>
      <w:r w:rsidR="00D153D1" w:rsidRPr="008B0669">
        <w:rPr>
          <w:rFonts w:asciiTheme="minorHAnsi" w:hAnsiTheme="minorHAnsi" w:cs="Arial"/>
          <w:sz w:val="22"/>
          <w:szCs w:val="22"/>
        </w:rPr>
        <w:t>se functions;</w:t>
      </w:r>
    </w:p>
    <w:p w:rsidR="00E265CC" w:rsidRPr="008B0669" w:rsidRDefault="00E265CC" w:rsidP="00C94968">
      <w:pPr>
        <w:spacing w:line="120" w:lineRule="auto"/>
        <w:rPr>
          <w:rFonts w:asciiTheme="minorHAnsi" w:hAnsiTheme="minorHAnsi"/>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formulate policies and strategies relating to the </w:t>
      </w:r>
      <w:r w:rsidR="00B54A0A" w:rsidRPr="008B0669">
        <w:rPr>
          <w:rFonts w:asciiTheme="minorHAnsi" w:hAnsiTheme="minorHAnsi" w:cs="Arial"/>
          <w:sz w:val="22"/>
          <w:szCs w:val="22"/>
        </w:rPr>
        <w:t>OHS</w:t>
      </w:r>
      <w:r w:rsidRPr="008B0669">
        <w:rPr>
          <w:rFonts w:asciiTheme="minorHAnsi" w:hAnsiTheme="minorHAnsi" w:cs="Arial"/>
          <w:sz w:val="22"/>
          <w:szCs w:val="22"/>
        </w:rPr>
        <w:t xml:space="preserve"> of employees</w:t>
      </w:r>
      <w:r w:rsidR="00D153D1" w:rsidRPr="008B0669">
        <w:rPr>
          <w:rFonts w:asciiTheme="minorHAnsi" w:hAnsiTheme="minorHAnsi" w:cs="Arial"/>
          <w:sz w:val="22"/>
          <w:szCs w:val="22"/>
        </w:rPr>
        <w:t>;</w:t>
      </w:r>
      <w:r w:rsidRPr="008B0669">
        <w:rPr>
          <w:rFonts w:asciiTheme="minorHAnsi" w:hAnsiTheme="minorHAnsi" w:cs="Arial"/>
          <w:sz w:val="22"/>
          <w:szCs w:val="22"/>
        </w:rPr>
        <w:t xml:space="preserve"> </w:t>
      </w:r>
    </w:p>
    <w:p w:rsidR="00C31319" w:rsidRPr="008B0669" w:rsidRDefault="00C31319" w:rsidP="00C94968">
      <w:pPr>
        <w:pStyle w:val="Pa9"/>
        <w:spacing w:line="120" w:lineRule="auto"/>
        <w:ind w:left="576" w:right="576"/>
        <w:rPr>
          <w:rFonts w:asciiTheme="minorHAnsi" w:hAnsiTheme="minorHAnsi" w:cs="Arial"/>
          <w:sz w:val="22"/>
          <w:szCs w:val="22"/>
        </w:rPr>
      </w:pPr>
    </w:p>
    <w:p w:rsidR="00862C28" w:rsidRPr="008B0669" w:rsidRDefault="00862C28" w:rsidP="002E255C">
      <w:pPr>
        <w:pStyle w:val="Pa9"/>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accredit </w:t>
      </w:r>
      <w:r w:rsidR="00D153D1" w:rsidRPr="008B0669">
        <w:rPr>
          <w:rFonts w:asciiTheme="minorHAnsi" w:hAnsiTheme="minorHAnsi" w:cs="Arial"/>
          <w:sz w:val="22"/>
          <w:szCs w:val="22"/>
        </w:rPr>
        <w:t>OHS</w:t>
      </w:r>
      <w:r w:rsidRPr="008B0669">
        <w:rPr>
          <w:rFonts w:asciiTheme="minorHAnsi" w:hAnsiTheme="minorHAnsi" w:cs="Arial"/>
          <w:sz w:val="22"/>
          <w:szCs w:val="22"/>
        </w:rPr>
        <w:t xml:space="preserve"> training courses</w:t>
      </w:r>
      <w:r w:rsidR="00D153D1" w:rsidRPr="008B0669">
        <w:rPr>
          <w:rFonts w:asciiTheme="minorHAnsi" w:hAnsiTheme="minorHAnsi" w:cs="Arial"/>
          <w:sz w:val="22"/>
          <w:szCs w:val="22"/>
        </w:rPr>
        <w:t>; and</w:t>
      </w:r>
      <w:r w:rsidRPr="008B0669">
        <w:rPr>
          <w:rFonts w:asciiTheme="minorHAnsi" w:hAnsiTheme="minorHAnsi" w:cs="Arial"/>
          <w:sz w:val="22"/>
          <w:szCs w:val="22"/>
        </w:rPr>
        <w:t xml:space="preserve"> </w:t>
      </w:r>
    </w:p>
    <w:p w:rsidR="00C31319" w:rsidRPr="008B0669" w:rsidRDefault="00C31319" w:rsidP="00C94968">
      <w:pPr>
        <w:pStyle w:val="Pa10"/>
        <w:spacing w:line="120" w:lineRule="auto"/>
        <w:ind w:left="576" w:right="576"/>
        <w:rPr>
          <w:rFonts w:asciiTheme="minorHAnsi" w:hAnsiTheme="minorHAnsi" w:cs="Arial"/>
          <w:sz w:val="22"/>
          <w:szCs w:val="22"/>
        </w:rPr>
      </w:pPr>
    </w:p>
    <w:p w:rsidR="00862C28" w:rsidRPr="008B0669" w:rsidRDefault="00862C28" w:rsidP="002E255C">
      <w:pPr>
        <w:pStyle w:val="Pa10"/>
        <w:numPr>
          <w:ilvl w:val="0"/>
          <w:numId w:val="10"/>
        </w:numPr>
        <w:spacing w:line="240" w:lineRule="auto"/>
        <w:ind w:left="1296" w:right="576"/>
        <w:rPr>
          <w:rFonts w:asciiTheme="minorHAnsi" w:hAnsiTheme="minorHAnsi" w:cs="Arial"/>
          <w:sz w:val="22"/>
          <w:szCs w:val="22"/>
        </w:rPr>
      </w:pPr>
      <w:r w:rsidRPr="008B0669">
        <w:rPr>
          <w:rFonts w:asciiTheme="minorHAnsi" w:hAnsiTheme="minorHAnsi" w:cs="Arial"/>
          <w:sz w:val="22"/>
          <w:szCs w:val="22"/>
        </w:rPr>
        <w:t xml:space="preserve">to advise the Minister about anything relating to the Authority’s functions and powers and other matters relating to the compensation and rehabilitation of employees. </w:t>
      </w:r>
    </w:p>
    <w:p w:rsidR="00C31319" w:rsidRPr="008B0669" w:rsidRDefault="00C31319" w:rsidP="00C94968">
      <w:pPr>
        <w:pStyle w:val="numberlist"/>
        <w:numPr>
          <w:ilvl w:val="0"/>
          <w:numId w:val="0"/>
        </w:numPr>
        <w:spacing w:after="0" w:line="120" w:lineRule="auto"/>
        <w:ind w:left="720" w:right="576"/>
        <w:rPr>
          <w:rFonts w:asciiTheme="minorHAnsi" w:hAnsiTheme="minorHAnsi" w:cs="Arial"/>
          <w:sz w:val="22"/>
          <w:szCs w:val="22"/>
        </w:rPr>
      </w:pPr>
    </w:p>
    <w:p w:rsidR="009355FF" w:rsidRPr="008B0669" w:rsidRDefault="00383F08"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T</w:t>
      </w:r>
      <w:r w:rsidR="00835440" w:rsidRPr="008B0669">
        <w:rPr>
          <w:rFonts w:asciiTheme="minorHAnsi" w:hAnsiTheme="minorHAnsi" w:cs="Arial"/>
          <w:sz w:val="22"/>
          <w:szCs w:val="22"/>
        </w:rPr>
        <w:t xml:space="preserve">he Seacare Authority </w:t>
      </w:r>
      <w:r w:rsidR="00E03AF1" w:rsidRPr="008B0669">
        <w:rPr>
          <w:rFonts w:asciiTheme="minorHAnsi" w:hAnsiTheme="minorHAnsi" w:cs="Arial"/>
          <w:sz w:val="22"/>
          <w:szCs w:val="22"/>
        </w:rPr>
        <w:t>has</w:t>
      </w:r>
      <w:r w:rsidR="00835440" w:rsidRPr="008B0669">
        <w:rPr>
          <w:rFonts w:asciiTheme="minorHAnsi" w:hAnsiTheme="minorHAnsi" w:cs="Arial"/>
          <w:sz w:val="22"/>
          <w:szCs w:val="22"/>
        </w:rPr>
        <w:t xml:space="preserve"> regulatory oversight </w:t>
      </w:r>
      <w:r w:rsidR="00E03AF1" w:rsidRPr="008B0669">
        <w:rPr>
          <w:rFonts w:asciiTheme="minorHAnsi" w:hAnsiTheme="minorHAnsi" w:cs="Arial"/>
          <w:sz w:val="22"/>
          <w:szCs w:val="22"/>
        </w:rPr>
        <w:t>of</w:t>
      </w:r>
      <w:r w:rsidR="00835440" w:rsidRPr="008B0669">
        <w:rPr>
          <w:rFonts w:asciiTheme="minorHAnsi" w:hAnsiTheme="minorHAnsi" w:cs="Arial"/>
          <w:sz w:val="22"/>
          <w:szCs w:val="22"/>
        </w:rPr>
        <w:t xml:space="preserve"> the scheme but rel</w:t>
      </w:r>
      <w:r w:rsidR="00E03AF1" w:rsidRPr="008B0669">
        <w:rPr>
          <w:rFonts w:asciiTheme="minorHAnsi" w:hAnsiTheme="minorHAnsi" w:cs="Arial"/>
          <w:sz w:val="22"/>
          <w:szCs w:val="22"/>
        </w:rPr>
        <w:t>ies</w:t>
      </w:r>
      <w:r w:rsidR="00835440" w:rsidRPr="008B0669">
        <w:rPr>
          <w:rFonts w:asciiTheme="minorHAnsi" w:hAnsiTheme="minorHAnsi" w:cs="Arial"/>
          <w:sz w:val="22"/>
          <w:szCs w:val="22"/>
        </w:rPr>
        <w:t xml:space="preserve"> on Comcare to assist in performing </w:t>
      </w:r>
      <w:r w:rsidR="00D153D1" w:rsidRPr="008B0669">
        <w:rPr>
          <w:rFonts w:asciiTheme="minorHAnsi" w:hAnsiTheme="minorHAnsi" w:cs="Arial"/>
          <w:sz w:val="22"/>
          <w:szCs w:val="22"/>
        </w:rPr>
        <w:t xml:space="preserve">its </w:t>
      </w:r>
      <w:r w:rsidR="00835440" w:rsidRPr="008B0669">
        <w:rPr>
          <w:rFonts w:asciiTheme="minorHAnsi" w:hAnsiTheme="minorHAnsi" w:cs="Arial"/>
          <w:sz w:val="22"/>
          <w:szCs w:val="22"/>
        </w:rPr>
        <w:t xml:space="preserve">functions and </w:t>
      </w:r>
      <w:r w:rsidR="00E03AF1" w:rsidRPr="008B0669">
        <w:rPr>
          <w:rFonts w:asciiTheme="minorHAnsi" w:hAnsiTheme="minorHAnsi" w:cs="Arial"/>
          <w:sz w:val="22"/>
          <w:szCs w:val="22"/>
        </w:rPr>
        <w:t xml:space="preserve">on </w:t>
      </w:r>
      <w:proofErr w:type="spellStart"/>
      <w:r w:rsidR="00E03AF1" w:rsidRPr="008B0669">
        <w:rPr>
          <w:rFonts w:asciiTheme="minorHAnsi" w:hAnsiTheme="minorHAnsi" w:cs="Arial"/>
          <w:sz w:val="22"/>
          <w:szCs w:val="22"/>
        </w:rPr>
        <w:t>AMSA</w:t>
      </w:r>
      <w:proofErr w:type="spellEnd"/>
      <w:r w:rsidR="00E03AF1" w:rsidRPr="008B0669">
        <w:rPr>
          <w:rFonts w:asciiTheme="minorHAnsi" w:hAnsiTheme="minorHAnsi" w:cs="Arial"/>
          <w:sz w:val="22"/>
          <w:szCs w:val="22"/>
        </w:rPr>
        <w:t xml:space="preserve"> for </w:t>
      </w:r>
      <w:r w:rsidR="00835440" w:rsidRPr="008B0669">
        <w:rPr>
          <w:rFonts w:asciiTheme="minorHAnsi" w:hAnsiTheme="minorHAnsi" w:cs="Arial"/>
          <w:sz w:val="22"/>
          <w:szCs w:val="22"/>
        </w:rPr>
        <w:t>OHS Inspect</w:t>
      </w:r>
      <w:r w:rsidR="00D153D1" w:rsidRPr="008B0669">
        <w:rPr>
          <w:rFonts w:asciiTheme="minorHAnsi" w:hAnsiTheme="minorHAnsi" w:cs="Arial"/>
          <w:sz w:val="22"/>
          <w:szCs w:val="22"/>
        </w:rPr>
        <w:t>ions</w:t>
      </w:r>
      <w:r w:rsidR="00835440" w:rsidRPr="008B0669">
        <w:rPr>
          <w:rFonts w:asciiTheme="minorHAnsi" w:hAnsiTheme="minorHAnsi" w:cs="Arial"/>
          <w:sz w:val="22"/>
          <w:szCs w:val="22"/>
        </w:rPr>
        <w:t>.</w:t>
      </w:r>
      <w:r w:rsidR="00201ADB" w:rsidRPr="008B0669">
        <w:rPr>
          <w:rFonts w:asciiTheme="minorHAnsi" w:hAnsiTheme="minorHAnsi" w:cs="Arial"/>
          <w:sz w:val="22"/>
          <w:szCs w:val="22"/>
        </w:rPr>
        <w:t xml:space="preserve">  </w:t>
      </w:r>
      <w:proofErr w:type="spellStart"/>
      <w:r w:rsidR="00D153D1" w:rsidRPr="008B0669">
        <w:rPr>
          <w:rFonts w:asciiTheme="minorHAnsi" w:hAnsiTheme="minorHAnsi" w:cs="Arial"/>
          <w:sz w:val="22"/>
          <w:szCs w:val="22"/>
        </w:rPr>
        <w:t>AMSA’s</w:t>
      </w:r>
      <w:proofErr w:type="spellEnd"/>
      <w:r w:rsidR="000B0465" w:rsidRPr="008B0669">
        <w:rPr>
          <w:rFonts w:asciiTheme="minorHAnsi" w:hAnsiTheme="minorHAnsi" w:cs="Arial"/>
          <w:sz w:val="22"/>
          <w:szCs w:val="22"/>
        </w:rPr>
        <w:t xml:space="preserve"> functions</w:t>
      </w:r>
      <w:r w:rsidR="00201ADB" w:rsidRPr="008B0669">
        <w:rPr>
          <w:rFonts w:asciiTheme="minorHAnsi" w:hAnsiTheme="minorHAnsi" w:cs="Arial"/>
          <w:sz w:val="22"/>
          <w:szCs w:val="22"/>
        </w:rPr>
        <w:t xml:space="preserve"> and powers</w:t>
      </w:r>
      <w:r w:rsidR="00F77B56" w:rsidRPr="008B0669">
        <w:rPr>
          <w:rFonts w:asciiTheme="minorHAnsi" w:hAnsiTheme="minorHAnsi" w:cs="Arial"/>
          <w:sz w:val="22"/>
          <w:szCs w:val="22"/>
        </w:rPr>
        <w:t xml:space="preserve"> </w:t>
      </w:r>
      <w:r w:rsidR="00201ADB" w:rsidRPr="008B0669">
        <w:rPr>
          <w:rFonts w:asciiTheme="minorHAnsi" w:hAnsiTheme="minorHAnsi" w:cs="Arial"/>
          <w:sz w:val="22"/>
          <w:szCs w:val="22"/>
        </w:rPr>
        <w:t>are</w:t>
      </w:r>
      <w:r w:rsidR="00F77B56" w:rsidRPr="008B0669">
        <w:rPr>
          <w:rFonts w:asciiTheme="minorHAnsi" w:hAnsiTheme="minorHAnsi" w:cs="Arial"/>
          <w:sz w:val="22"/>
          <w:szCs w:val="22"/>
        </w:rPr>
        <w:t>, for these purposes,</w:t>
      </w:r>
      <w:r w:rsidR="00201ADB" w:rsidRPr="008B0669">
        <w:rPr>
          <w:rFonts w:asciiTheme="minorHAnsi" w:hAnsiTheme="minorHAnsi" w:cs="Arial"/>
          <w:sz w:val="22"/>
          <w:szCs w:val="22"/>
        </w:rPr>
        <w:t xml:space="preserve"> prescribed under </w:t>
      </w:r>
      <w:proofErr w:type="spellStart"/>
      <w:r w:rsidR="00F77B56" w:rsidRPr="008B0669">
        <w:rPr>
          <w:rFonts w:asciiTheme="minorHAnsi" w:hAnsiTheme="minorHAnsi" w:cs="Arial"/>
          <w:sz w:val="22"/>
          <w:szCs w:val="22"/>
        </w:rPr>
        <w:t>s.</w:t>
      </w:r>
      <w:r w:rsidR="00201ADB" w:rsidRPr="008B0669">
        <w:rPr>
          <w:rFonts w:asciiTheme="minorHAnsi" w:hAnsiTheme="minorHAnsi" w:cs="Arial"/>
          <w:sz w:val="22"/>
          <w:szCs w:val="22"/>
        </w:rPr>
        <w:t>82</w:t>
      </w:r>
      <w:proofErr w:type="spellEnd"/>
      <w:r w:rsidR="00201ADB" w:rsidRPr="008B0669">
        <w:rPr>
          <w:rFonts w:asciiTheme="minorHAnsi" w:hAnsiTheme="minorHAnsi" w:cs="Arial"/>
          <w:sz w:val="22"/>
          <w:szCs w:val="22"/>
        </w:rPr>
        <w:t xml:space="preserve"> of the OHS(MI) Act.</w:t>
      </w:r>
      <w:r w:rsidRPr="008B0669">
        <w:rPr>
          <w:rFonts w:asciiTheme="minorHAnsi" w:hAnsiTheme="minorHAnsi" w:cs="Arial"/>
          <w:sz w:val="22"/>
          <w:szCs w:val="22"/>
        </w:rPr>
        <w:t xml:space="preserve">  The Administrative Appeals Tribunal </w:t>
      </w:r>
      <w:r w:rsidR="00E01366">
        <w:rPr>
          <w:rFonts w:asciiTheme="minorHAnsi" w:hAnsiTheme="minorHAnsi" w:cs="Arial"/>
          <w:sz w:val="22"/>
          <w:szCs w:val="22"/>
        </w:rPr>
        <w:br/>
      </w:r>
      <w:r w:rsidRPr="008B0669">
        <w:rPr>
          <w:rFonts w:asciiTheme="minorHAnsi" w:hAnsiTheme="minorHAnsi" w:cs="Arial"/>
          <w:sz w:val="22"/>
          <w:szCs w:val="22"/>
        </w:rPr>
        <w:t>(the AAT) can review compensation decisions.</w:t>
      </w:r>
      <w:r w:rsidRPr="008B0669">
        <w:rPr>
          <w:rStyle w:val="FootnoteReference"/>
          <w:rFonts w:asciiTheme="minorHAnsi" w:hAnsiTheme="minorHAnsi" w:cs="Arial"/>
          <w:sz w:val="22"/>
          <w:szCs w:val="22"/>
        </w:rPr>
        <w:footnoteReference w:id="29"/>
      </w:r>
    </w:p>
    <w:p w:rsidR="009F5D10" w:rsidRPr="008B0669" w:rsidRDefault="009F5D10" w:rsidP="00C94968">
      <w:pPr>
        <w:pStyle w:val="numberlist"/>
        <w:numPr>
          <w:ilvl w:val="0"/>
          <w:numId w:val="0"/>
        </w:numPr>
        <w:spacing w:after="0" w:line="120" w:lineRule="auto"/>
        <w:ind w:left="720" w:right="576"/>
        <w:rPr>
          <w:rFonts w:asciiTheme="minorHAnsi" w:hAnsiTheme="minorHAnsi" w:cs="Arial"/>
          <w:sz w:val="22"/>
          <w:szCs w:val="22"/>
        </w:rPr>
      </w:pPr>
    </w:p>
    <w:p w:rsidR="00835440" w:rsidRPr="008B0669" w:rsidRDefault="00835440"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 xml:space="preserve">Regulatory charges are not met by the participants </w:t>
      </w:r>
      <w:r w:rsidR="00B54A0A" w:rsidRPr="008B0669">
        <w:rPr>
          <w:rFonts w:asciiTheme="minorHAnsi" w:hAnsiTheme="minorHAnsi" w:cs="Arial"/>
          <w:sz w:val="22"/>
          <w:szCs w:val="22"/>
        </w:rPr>
        <w:t xml:space="preserve">in the Seacare scheme </w:t>
      </w:r>
      <w:r w:rsidR="00E265CC" w:rsidRPr="008B0669">
        <w:rPr>
          <w:rFonts w:asciiTheme="minorHAnsi" w:hAnsiTheme="minorHAnsi" w:cs="Arial"/>
          <w:sz w:val="22"/>
          <w:szCs w:val="22"/>
        </w:rPr>
        <w:t xml:space="preserve">who are </w:t>
      </w:r>
      <w:r w:rsidRPr="008B0669">
        <w:rPr>
          <w:rFonts w:asciiTheme="minorHAnsi" w:hAnsiTheme="minorHAnsi" w:cs="Arial"/>
          <w:sz w:val="22"/>
          <w:szCs w:val="22"/>
        </w:rPr>
        <w:t xml:space="preserve">being regulated. The scheme is unique in the Australian context in that </w:t>
      </w:r>
      <w:r w:rsidR="00383F08" w:rsidRPr="008B0669">
        <w:rPr>
          <w:rFonts w:asciiTheme="minorHAnsi" w:hAnsiTheme="minorHAnsi" w:cs="Arial"/>
          <w:sz w:val="22"/>
          <w:szCs w:val="22"/>
        </w:rPr>
        <w:t>its</w:t>
      </w:r>
      <w:r w:rsidRPr="008B0669">
        <w:rPr>
          <w:rFonts w:asciiTheme="minorHAnsi" w:hAnsiTheme="minorHAnsi" w:cs="Arial"/>
          <w:sz w:val="22"/>
          <w:szCs w:val="22"/>
        </w:rPr>
        <w:t xml:space="preserve"> participants do not pay directly </w:t>
      </w:r>
      <w:r w:rsidR="00B54A0A" w:rsidRPr="008B0669">
        <w:rPr>
          <w:rFonts w:asciiTheme="minorHAnsi" w:hAnsiTheme="minorHAnsi" w:cs="Arial"/>
          <w:sz w:val="22"/>
          <w:szCs w:val="22"/>
        </w:rPr>
        <w:t xml:space="preserve">for regulatory administration. </w:t>
      </w:r>
      <w:r w:rsidR="00383F08" w:rsidRPr="008B0669">
        <w:rPr>
          <w:rFonts w:asciiTheme="minorHAnsi" w:hAnsiTheme="minorHAnsi" w:cs="Arial"/>
          <w:sz w:val="22"/>
          <w:szCs w:val="22"/>
        </w:rPr>
        <w:t xml:space="preserve"> S</w:t>
      </w:r>
      <w:r w:rsidR="00B54A0A" w:rsidRPr="008B0669">
        <w:rPr>
          <w:rFonts w:asciiTheme="minorHAnsi" w:hAnsiTheme="minorHAnsi" w:cs="Arial"/>
          <w:sz w:val="22"/>
          <w:szCs w:val="22"/>
        </w:rPr>
        <w:t>cheme regulatory costs</w:t>
      </w:r>
      <w:r w:rsidRPr="008B0669">
        <w:rPr>
          <w:rFonts w:asciiTheme="minorHAnsi" w:hAnsiTheme="minorHAnsi" w:cs="Arial"/>
          <w:sz w:val="22"/>
          <w:szCs w:val="22"/>
        </w:rPr>
        <w:t xml:space="preserve"> are met from </w:t>
      </w:r>
      <w:r w:rsidR="000B0465" w:rsidRPr="008B0669">
        <w:rPr>
          <w:rFonts w:asciiTheme="minorHAnsi" w:hAnsiTheme="minorHAnsi" w:cs="Arial"/>
          <w:sz w:val="22"/>
          <w:szCs w:val="22"/>
        </w:rPr>
        <w:t>consolidated</w:t>
      </w:r>
      <w:r w:rsidRPr="008B0669">
        <w:rPr>
          <w:rFonts w:asciiTheme="minorHAnsi" w:hAnsiTheme="minorHAnsi" w:cs="Arial"/>
          <w:sz w:val="22"/>
          <w:szCs w:val="22"/>
        </w:rPr>
        <w:t xml:space="preserve"> revenue and </w:t>
      </w:r>
      <w:r w:rsidR="00B54A0A" w:rsidRPr="008B0669">
        <w:rPr>
          <w:rFonts w:asciiTheme="minorHAnsi" w:hAnsiTheme="minorHAnsi" w:cs="Arial"/>
          <w:sz w:val="22"/>
          <w:szCs w:val="22"/>
        </w:rPr>
        <w:t>by</w:t>
      </w:r>
      <w:r w:rsidRPr="008B0669">
        <w:rPr>
          <w:rFonts w:asciiTheme="minorHAnsi" w:hAnsiTheme="minorHAnsi" w:cs="Arial"/>
          <w:sz w:val="22"/>
          <w:szCs w:val="22"/>
        </w:rPr>
        <w:t xml:space="preserve"> Comcare</w:t>
      </w:r>
      <w:r w:rsidR="00B54A0A" w:rsidRPr="008B0669">
        <w:rPr>
          <w:rFonts w:asciiTheme="minorHAnsi" w:hAnsiTheme="minorHAnsi" w:cs="Arial"/>
          <w:sz w:val="22"/>
          <w:szCs w:val="22"/>
        </w:rPr>
        <w:t>.  I</w:t>
      </w:r>
      <w:r w:rsidRPr="008B0669">
        <w:rPr>
          <w:rFonts w:asciiTheme="minorHAnsi" w:hAnsiTheme="minorHAnsi" w:cs="Arial"/>
          <w:sz w:val="22"/>
          <w:szCs w:val="22"/>
        </w:rPr>
        <w:t xml:space="preserve">n the case of </w:t>
      </w:r>
      <w:proofErr w:type="spellStart"/>
      <w:r w:rsidRPr="008B0669">
        <w:rPr>
          <w:rFonts w:asciiTheme="minorHAnsi" w:hAnsiTheme="minorHAnsi" w:cs="Arial"/>
          <w:sz w:val="22"/>
          <w:szCs w:val="22"/>
        </w:rPr>
        <w:t>AMSA’s</w:t>
      </w:r>
      <w:proofErr w:type="spellEnd"/>
      <w:r w:rsidRPr="008B0669">
        <w:rPr>
          <w:rFonts w:asciiTheme="minorHAnsi" w:hAnsiTheme="minorHAnsi" w:cs="Arial"/>
          <w:sz w:val="22"/>
          <w:szCs w:val="22"/>
        </w:rPr>
        <w:t xml:space="preserve"> OHS inspectorate costs</w:t>
      </w:r>
      <w:r w:rsidR="00B54A0A" w:rsidRPr="008B0669">
        <w:rPr>
          <w:rFonts w:asciiTheme="minorHAnsi" w:hAnsiTheme="minorHAnsi" w:cs="Arial"/>
          <w:sz w:val="22"/>
          <w:szCs w:val="22"/>
        </w:rPr>
        <w:t xml:space="preserve">, costs are met </w:t>
      </w:r>
      <w:r w:rsidRPr="008B0669">
        <w:rPr>
          <w:rFonts w:asciiTheme="minorHAnsi" w:hAnsiTheme="minorHAnsi" w:cs="Arial"/>
          <w:sz w:val="22"/>
          <w:szCs w:val="22"/>
        </w:rPr>
        <w:t xml:space="preserve">by </w:t>
      </w:r>
      <w:proofErr w:type="spellStart"/>
      <w:r w:rsidRPr="008B0669">
        <w:rPr>
          <w:rFonts w:asciiTheme="minorHAnsi" w:hAnsiTheme="minorHAnsi" w:cs="Arial"/>
          <w:sz w:val="22"/>
          <w:szCs w:val="22"/>
        </w:rPr>
        <w:t>AMSA</w:t>
      </w:r>
      <w:proofErr w:type="spellEnd"/>
      <w:r w:rsidRPr="008B0669">
        <w:rPr>
          <w:rFonts w:asciiTheme="minorHAnsi" w:hAnsiTheme="minorHAnsi" w:cs="Arial"/>
          <w:sz w:val="22"/>
          <w:szCs w:val="22"/>
        </w:rPr>
        <w:t xml:space="preserve"> levy payers.</w:t>
      </w:r>
      <w:r w:rsidR="009355FF" w:rsidRPr="008B0669">
        <w:rPr>
          <w:rStyle w:val="FootnoteReference"/>
          <w:rFonts w:asciiTheme="minorHAnsi" w:hAnsiTheme="minorHAnsi" w:cs="Arial"/>
          <w:sz w:val="22"/>
          <w:szCs w:val="22"/>
        </w:rPr>
        <w:footnoteReference w:id="30"/>
      </w:r>
      <w:r w:rsidR="009355FF" w:rsidRPr="008B0669">
        <w:rPr>
          <w:rFonts w:asciiTheme="minorHAnsi" w:hAnsiTheme="minorHAnsi" w:cs="Arial"/>
          <w:sz w:val="22"/>
          <w:szCs w:val="22"/>
        </w:rPr>
        <w:t xml:space="preserve">  Dispute resolution costs are met from the AAT’s appropriation.</w:t>
      </w:r>
    </w:p>
    <w:p w:rsidR="00E03AF1" w:rsidRPr="008B0669" w:rsidRDefault="00E03AF1" w:rsidP="00C94968">
      <w:pPr>
        <w:pStyle w:val="ListParagraph"/>
        <w:spacing w:line="120" w:lineRule="auto"/>
        <w:rPr>
          <w:rFonts w:asciiTheme="minorHAnsi" w:hAnsiTheme="minorHAnsi"/>
        </w:rPr>
      </w:pPr>
    </w:p>
    <w:p w:rsidR="00FA1259" w:rsidRPr="008B0669" w:rsidRDefault="00E03AF1"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t>The Seafarers Act provides for a Seafarers Safety Net Fund (the Fund).</w:t>
      </w:r>
      <w:r w:rsidRPr="008B0669">
        <w:rPr>
          <w:rStyle w:val="FootnoteReference"/>
          <w:rFonts w:asciiTheme="minorHAnsi" w:hAnsiTheme="minorHAnsi" w:cs="Arial"/>
          <w:sz w:val="22"/>
          <w:szCs w:val="22"/>
        </w:rPr>
        <w:footnoteReference w:id="31"/>
      </w:r>
      <w:r w:rsidRPr="008B0669">
        <w:rPr>
          <w:rFonts w:asciiTheme="minorHAnsi" w:hAnsiTheme="minorHAnsi" w:cs="Arial"/>
          <w:sz w:val="22"/>
          <w:szCs w:val="22"/>
        </w:rPr>
        <w:t xml:space="preserve">  The Fund </w:t>
      </w:r>
      <w:r w:rsidR="00C94968" w:rsidRPr="008B0669">
        <w:rPr>
          <w:rFonts w:asciiTheme="minorHAnsi" w:hAnsiTheme="minorHAnsi" w:cs="Arial"/>
          <w:sz w:val="22"/>
          <w:szCs w:val="22"/>
        </w:rPr>
        <w:t>is</w:t>
      </w:r>
      <w:r w:rsidRPr="008B0669">
        <w:rPr>
          <w:rFonts w:asciiTheme="minorHAnsi" w:hAnsiTheme="minorHAnsi" w:cs="Arial"/>
          <w:sz w:val="22"/>
          <w:szCs w:val="22"/>
        </w:rPr>
        <w:t xml:space="preserve"> a default ‘employer’ for the purposes of the Act if there ceases to be an employer against whom an injured seafarer may claim (for example, if the employer is bankrupt or ceases to exist and cannot  meet liabilities under the Act).  The Fund is supported by </w:t>
      </w:r>
      <w:r w:rsidR="00FA1259" w:rsidRPr="008B0669">
        <w:rPr>
          <w:rFonts w:asciiTheme="minorHAnsi" w:hAnsiTheme="minorHAnsi" w:cs="Arial"/>
          <w:sz w:val="22"/>
          <w:szCs w:val="22"/>
        </w:rPr>
        <w:t xml:space="preserve">a </w:t>
      </w:r>
      <w:r w:rsidRPr="008B0669">
        <w:rPr>
          <w:rFonts w:asciiTheme="minorHAnsi" w:hAnsiTheme="minorHAnsi" w:cs="Arial"/>
          <w:sz w:val="22"/>
          <w:szCs w:val="22"/>
        </w:rPr>
        <w:t>lev</w:t>
      </w:r>
      <w:r w:rsidR="00FA1259" w:rsidRPr="008B0669">
        <w:rPr>
          <w:rFonts w:asciiTheme="minorHAnsi" w:hAnsiTheme="minorHAnsi" w:cs="Arial"/>
          <w:sz w:val="22"/>
          <w:szCs w:val="22"/>
        </w:rPr>
        <w:t>y</w:t>
      </w:r>
      <w:r w:rsidRPr="008B0669">
        <w:rPr>
          <w:rFonts w:asciiTheme="minorHAnsi" w:hAnsiTheme="minorHAnsi" w:cs="Arial"/>
          <w:sz w:val="22"/>
          <w:szCs w:val="22"/>
        </w:rPr>
        <w:t xml:space="preserve"> on employers under the</w:t>
      </w:r>
      <w:r w:rsidR="00FA1259" w:rsidRPr="008B0669">
        <w:rPr>
          <w:rFonts w:asciiTheme="minorHAnsi" w:hAnsiTheme="minorHAnsi" w:cs="Arial"/>
          <w:sz w:val="22"/>
          <w:szCs w:val="22"/>
        </w:rPr>
        <w:t xml:space="preserve"> Levy </w:t>
      </w:r>
      <w:r w:rsidRPr="008B0669">
        <w:rPr>
          <w:rFonts w:asciiTheme="minorHAnsi" w:hAnsiTheme="minorHAnsi" w:cs="Arial"/>
          <w:sz w:val="22"/>
          <w:szCs w:val="22"/>
        </w:rPr>
        <w:t>Act</w:t>
      </w:r>
      <w:r w:rsidR="00FA1259" w:rsidRPr="008B0669">
        <w:rPr>
          <w:rFonts w:asciiTheme="minorHAnsi" w:hAnsiTheme="minorHAnsi" w:cs="Arial"/>
          <w:sz w:val="22"/>
          <w:szCs w:val="22"/>
        </w:rPr>
        <w:t>.</w:t>
      </w:r>
      <w:r w:rsidR="00C94968" w:rsidRPr="008B0669">
        <w:rPr>
          <w:rStyle w:val="FootnoteReference"/>
          <w:rFonts w:asciiTheme="minorHAnsi" w:hAnsiTheme="minorHAnsi" w:cs="Arial"/>
          <w:sz w:val="22"/>
          <w:szCs w:val="22"/>
        </w:rPr>
        <w:footnoteReference w:id="32"/>
      </w:r>
      <w:r w:rsidR="00FA1259" w:rsidRPr="008B0669">
        <w:rPr>
          <w:rFonts w:asciiTheme="minorHAnsi" w:hAnsiTheme="minorHAnsi" w:cs="Arial"/>
          <w:sz w:val="22"/>
          <w:szCs w:val="22"/>
        </w:rPr>
        <w:t xml:space="preserve">  Employers </w:t>
      </w:r>
      <w:r w:rsidR="00C94968" w:rsidRPr="008B0669">
        <w:rPr>
          <w:rFonts w:asciiTheme="minorHAnsi" w:hAnsiTheme="minorHAnsi" w:cs="Arial"/>
          <w:sz w:val="22"/>
          <w:szCs w:val="22"/>
        </w:rPr>
        <w:t>with</w:t>
      </w:r>
      <w:r w:rsidR="00FA1259" w:rsidRPr="008B0669">
        <w:rPr>
          <w:rFonts w:asciiTheme="minorHAnsi" w:hAnsiTheme="minorHAnsi" w:cs="Arial"/>
          <w:sz w:val="22"/>
          <w:szCs w:val="22"/>
        </w:rPr>
        <w:t xml:space="preserve"> exemptions under the Seafarers Act (</w:t>
      </w:r>
      <w:proofErr w:type="spellStart"/>
      <w:r w:rsidR="00FA1259" w:rsidRPr="008B0669">
        <w:rPr>
          <w:rFonts w:asciiTheme="minorHAnsi" w:hAnsiTheme="minorHAnsi" w:cs="Arial"/>
          <w:sz w:val="22"/>
          <w:szCs w:val="22"/>
        </w:rPr>
        <w:t>s.20A</w:t>
      </w:r>
      <w:proofErr w:type="spellEnd"/>
      <w:r w:rsidR="00FA1259" w:rsidRPr="008B0669">
        <w:rPr>
          <w:rFonts w:asciiTheme="minorHAnsi" w:hAnsiTheme="minorHAnsi" w:cs="Arial"/>
          <w:sz w:val="22"/>
          <w:szCs w:val="22"/>
        </w:rPr>
        <w:t xml:space="preserve">) </w:t>
      </w:r>
      <w:r w:rsidR="00C94968" w:rsidRPr="008B0669">
        <w:rPr>
          <w:rFonts w:asciiTheme="minorHAnsi" w:hAnsiTheme="minorHAnsi" w:cs="Arial"/>
          <w:sz w:val="22"/>
          <w:szCs w:val="22"/>
        </w:rPr>
        <w:t>must</w:t>
      </w:r>
      <w:r w:rsidR="00FA1259" w:rsidRPr="008B0669">
        <w:rPr>
          <w:rFonts w:asciiTheme="minorHAnsi" w:hAnsiTheme="minorHAnsi" w:cs="Arial"/>
          <w:sz w:val="22"/>
          <w:szCs w:val="22"/>
        </w:rPr>
        <w:t xml:space="preserve"> pay the levy unless granted a ministerial exemption</w:t>
      </w:r>
      <w:r w:rsidR="00E61132" w:rsidRPr="008B0669">
        <w:rPr>
          <w:rFonts w:asciiTheme="minorHAnsi" w:hAnsiTheme="minorHAnsi" w:cs="Arial"/>
          <w:sz w:val="22"/>
          <w:szCs w:val="22"/>
        </w:rPr>
        <w:t xml:space="preserve"> (by the Commonwealth Special Minister of State) as a waiver of a debt.  </w:t>
      </w:r>
      <w:r w:rsidR="008D1E37" w:rsidRPr="008B0669">
        <w:rPr>
          <w:rFonts w:asciiTheme="minorHAnsi" w:hAnsiTheme="minorHAnsi" w:cs="Arial"/>
          <w:sz w:val="22"/>
          <w:szCs w:val="22"/>
        </w:rPr>
        <w:t>Typically t</w:t>
      </w:r>
      <w:r w:rsidR="00E61132" w:rsidRPr="008B0669">
        <w:rPr>
          <w:rFonts w:asciiTheme="minorHAnsi" w:hAnsiTheme="minorHAnsi" w:cs="Arial"/>
          <w:sz w:val="22"/>
          <w:szCs w:val="22"/>
        </w:rPr>
        <w:t>he amounts are relatively small.</w:t>
      </w:r>
    </w:p>
    <w:p w:rsidR="00C94968" w:rsidRPr="008B0669" w:rsidRDefault="00C94968" w:rsidP="00C94968">
      <w:pPr>
        <w:pStyle w:val="ListParagraph"/>
        <w:spacing w:line="120" w:lineRule="auto"/>
        <w:rPr>
          <w:rFonts w:asciiTheme="minorHAnsi" w:hAnsiTheme="minorHAnsi"/>
        </w:rPr>
      </w:pPr>
    </w:p>
    <w:p w:rsidR="00C94968" w:rsidRPr="008B0669" w:rsidRDefault="00C94968" w:rsidP="00C94968">
      <w:pPr>
        <w:pStyle w:val="numberlist"/>
        <w:numPr>
          <w:ilvl w:val="0"/>
          <w:numId w:val="6"/>
        </w:numPr>
        <w:spacing w:after="0"/>
        <w:ind w:right="576"/>
        <w:rPr>
          <w:rFonts w:asciiTheme="minorHAnsi" w:hAnsiTheme="minorHAnsi"/>
          <w:szCs w:val="24"/>
        </w:rPr>
      </w:pPr>
      <w:r w:rsidRPr="008B0669">
        <w:rPr>
          <w:rFonts w:asciiTheme="minorHAnsi" w:hAnsiTheme="minorHAnsi" w:cs="Arial"/>
          <w:sz w:val="22"/>
          <w:szCs w:val="22"/>
        </w:rPr>
        <w:t>The Seacare authority, supported by Comcare, administers the Fund.  On actuarial advice, the Fund maintains a reserve of at least $906,000.  As required by the Act, the fund has a reinsurance policy.</w:t>
      </w:r>
      <w:r w:rsidRPr="008B0669">
        <w:rPr>
          <w:rStyle w:val="FootnoteReference"/>
          <w:rFonts w:asciiTheme="minorHAnsi" w:hAnsiTheme="minorHAnsi" w:cs="Arial"/>
          <w:sz w:val="22"/>
          <w:szCs w:val="22"/>
        </w:rPr>
        <w:footnoteReference w:id="33"/>
      </w:r>
      <w:r w:rsidRPr="008B0669">
        <w:rPr>
          <w:rFonts w:asciiTheme="minorHAnsi" w:hAnsiTheme="minorHAnsi" w:cs="Arial"/>
          <w:sz w:val="22"/>
          <w:szCs w:val="22"/>
        </w:rPr>
        <w:t xml:space="preserve">  </w:t>
      </w:r>
    </w:p>
    <w:p w:rsidR="00C94968" w:rsidRPr="008B0669" w:rsidRDefault="00C94968" w:rsidP="00C94968">
      <w:pPr>
        <w:pStyle w:val="ListParagraph"/>
        <w:spacing w:line="120" w:lineRule="auto"/>
        <w:ind w:left="936"/>
        <w:rPr>
          <w:rFonts w:asciiTheme="minorHAnsi" w:hAnsiTheme="minorHAnsi"/>
          <w:i/>
        </w:rPr>
      </w:pPr>
    </w:p>
    <w:p w:rsidR="005B0984" w:rsidRPr="008B0669" w:rsidRDefault="00383F08" w:rsidP="005B0984">
      <w:pPr>
        <w:ind w:left="936"/>
        <w:rPr>
          <w:rFonts w:asciiTheme="minorHAnsi" w:hAnsiTheme="minorHAnsi"/>
        </w:rPr>
      </w:pPr>
      <w:r w:rsidRPr="008B0669">
        <w:rPr>
          <w:rFonts w:asciiTheme="minorHAnsi" w:hAnsiTheme="minorHAnsi"/>
          <w:i/>
        </w:rPr>
        <w:t>TOR 4 – governance issues</w:t>
      </w:r>
    </w:p>
    <w:tbl>
      <w:tblPr>
        <w:tblStyle w:val="TableGrid"/>
        <w:tblW w:w="0" w:type="auto"/>
        <w:tblInd w:w="10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4A0" w:firstRow="1" w:lastRow="0" w:firstColumn="1" w:lastColumn="0" w:noHBand="0" w:noVBand="1"/>
      </w:tblPr>
      <w:tblGrid>
        <w:gridCol w:w="9270"/>
      </w:tblGrid>
      <w:tr w:rsidR="00116B09" w:rsidRPr="008B0669" w:rsidTr="00B54A0A">
        <w:tc>
          <w:tcPr>
            <w:tcW w:w="9270" w:type="dxa"/>
            <w:shd w:val="clear" w:color="auto" w:fill="C6D9F1" w:themeFill="text2" w:themeFillTint="33"/>
          </w:tcPr>
          <w:p w:rsidR="00391E14" w:rsidRPr="00CC7EC4" w:rsidRDefault="00867570" w:rsidP="00CC7EC4">
            <w:pPr>
              <w:rPr>
                <w:rFonts w:asciiTheme="minorHAnsi" w:hAnsiTheme="minorHAnsi"/>
                <w:i/>
              </w:rPr>
            </w:pPr>
            <w:r w:rsidRPr="00CC7EC4">
              <w:rPr>
                <w:rFonts w:asciiTheme="minorHAnsi" w:hAnsiTheme="minorHAnsi"/>
                <w:i/>
              </w:rPr>
              <w:t>Discussion points</w:t>
            </w:r>
          </w:p>
          <w:p w:rsidR="00383F08" w:rsidRPr="008B0669" w:rsidRDefault="00383F08" w:rsidP="00383F08">
            <w:pPr>
              <w:spacing w:line="120" w:lineRule="auto"/>
              <w:rPr>
                <w:rFonts w:asciiTheme="minorHAnsi" w:hAnsiTheme="minorHAnsi"/>
                <w:lang w:eastAsia="en-AU"/>
              </w:rPr>
            </w:pPr>
          </w:p>
          <w:p w:rsidR="00D35700" w:rsidRPr="008B0669" w:rsidRDefault="00D35700" w:rsidP="002E255C">
            <w:pPr>
              <w:keepNext/>
              <w:ind w:right="576"/>
              <w:rPr>
                <w:rFonts w:asciiTheme="minorHAnsi" w:hAnsiTheme="minorHAnsi"/>
              </w:rPr>
            </w:pPr>
            <w:r w:rsidRPr="008B0669">
              <w:rPr>
                <w:rFonts w:asciiTheme="minorHAnsi" w:hAnsiTheme="minorHAnsi"/>
              </w:rPr>
              <w:t xml:space="preserve">Do the governance arrangements </w:t>
            </w:r>
            <w:r w:rsidR="00383F08" w:rsidRPr="008B0669">
              <w:rPr>
                <w:rFonts w:asciiTheme="minorHAnsi" w:hAnsiTheme="minorHAnsi"/>
              </w:rPr>
              <w:t xml:space="preserve">maximise the Authority’s </w:t>
            </w:r>
            <w:r w:rsidR="00716A55" w:rsidRPr="008B0669">
              <w:rPr>
                <w:rFonts w:asciiTheme="minorHAnsi" w:hAnsiTheme="minorHAnsi"/>
              </w:rPr>
              <w:t>efficien</w:t>
            </w:r>
            <w:r w:rsidR="00383F08" w:rsidRPr="008B0669">
              <w:rPr>
                <w:rFonts w:asciiTheme="minorHAnsi" w:hAnsiTheme="minorHAnsi"/>
              </w:rPr>
              <w:t>cy and effectiveness</w:t>
            </w:r>
            <w:r w:rsidRPr="008B0669">
              <w:rPr>
                <w:rFonts w:asciiTheme="minorHAnsi" w:hAnsiTheme="minorHAnsi"/>
              </w:rPr>
              <w:t>?</w:t>
            </w:r>
          </w:p>
          <w:p w:rsidR="00716A55" w:rsidRPr="008B0669" w:rsidRDefault="00716A55" w:rsidP="00C94968">
            <w:pPr>
              <w:keepNext/>
              <w:spacing w:line="120" w:lineRule="auto"/>
              <w:ind w:right="576"/>
              <w:rPr>
                <w:rFonts w:asciiTheme="minorHAnsi" w:hAnsiTheme="minorHAnsi"/>
              </w:rPr>
            </w:pPr>
          </w:p>
          <w:p w:rsidR="00716A55" w:rsidRPr="008B0669" w:rsidRDefault="00716A55" w:rsidP="002E255C">
            <w:pPr>
              <w:keepNext/>
              <w:ind w:right="576"/>
              <w:rPr>
                <w:rFonts w:asciiTheme="minorHAnsi" w:hAnsiTheme="minorHAnsi"/>
              </w:rPr>
            </w:pPr>
            <w:r w:rsidRPr="008B0669">
              <w:rPr>
                <w:rFonts w:asciiTheme="minorHAnsi" w:hAnsiTheme="minorHAnsi"/>
              </w:rPr>
              <w:t>What changes, if any, should be made?</w:t>
            </w:r>
          </w:p>
          <w:p w:rsidR="00094D29" w:rsidRPr="008B0669" w:rsidRDefault="00094D29" w:rsidP="00C94968">
            <w:pPr>
              <w:keepNext/>
              <w:spacing w:line="120" w:lineRule="auto"/>
              <w:ind w:right="576"/>
              <w:rPr>
                <w:rFonts w:asciiTheme="minorHAnsi" w:hAnsiTheme="minorHAnsi"/>
              </w:rPr>
            </w:pPr>
          </w:p>
          <w:p w:rsidR="00094D29" w:rsidRPr="008B0669" w:rsidRDefault="00094D29" w:rsidP="002E255C">
            <w:pPr>
              <w:keepNext/>
              <w:ind w:right="576"/>
              <w:rPr>
                <w:rFonts w:asciiTheme="minorHAnsi" w:hAnsiTheme="minorHAnsi"/>
              </w:rPr>
            </w:pPr>
            <w:r w:rsidRPr="008B0669">
              <w:rPr>
                <w:rFonts w:asciiTheme="minorHAnsi" w:hAnsiTheme="minorHAnsi"/>
              </w:rPr>
              <w:t>Are there any changes that would improve accountability under the Seacare scheme and the transparency and review of decision making within the scheme?</w:t>
            </w:r>
          </w:p>
          <w:p w:rsidR="00E265CC" w:rsidRPr="008B0669" w:rsidRDefault="00E265CC" w:rsidP="00C94968">
            <w:pPr>
              <w:keepNext/>
              <w:spacing w:line="120" w:lineRule="auto"/>
              <w:ind w:right="576"/>
              <w:rPr>
                <w:rFonts w:asciiTheme="minorHAnsi" w:hAnsiTheme="minorHAnsi"/>
              </w:rPr>
            </w:pPr>
          </w:p>
          <w:p w:rsidR="00E265CC" w:rsidRPr="008B0669" w:rsidRDefault="00E265CC" w:rsidP="002E255C">
            <w:pPr>
              <w:keepNext/>
              <w:ind w:right="576"/>
              <w:rPr>
                <w:rFonts w:asciiTheme="minorHAnsi" w:hAnsiTheme="minorHAnsi"/>
              </w:rPr>
            </w:pPr>
            <w:r w:rsidRPr="008B0669">
              <w:rPr>
                <w:rFonts w:asciiTheme="minorHAnsi" w:hAnsiTheme="minorHAnsi"/>
              </w:rPr>
              <w:t>Should there be any change to how the cost of regulation is</w:t>
            </w:r>
            <w:r w:rsidR="00716A55" w:rsidRPr="008B0669">
              <w:rPr>
                <w:rFonts w:asciiTheme="minorHAnsi" w:hAnsiTheme="minorHAnsi"/>
              </w:rPr>
              <w:t xml:space="preserve"> met</w:t>
            </w:r>
            <w:r w:rsidRPr="008B0669">
              <w:rPr>
                <w:rFonts w:asciiTheme="minorHAnsi" w:hAnsiTheme="minorHAnsi"/>
              </w:rPr>
              <w:t>?</w:t>
            </w:r>
          </w:p>
          <w:p w:rsidR="00E61132" w:rsidRPr="008B0669" w:rsidRDefault="00E61132" w:rsidP="00C94968">
            <w:pPr>
              <w:keepNext/>
              <w:spacing w:line="120" w:lineRule="auto"/>
              <w:ind w:right="576"/>
              <w:rPr>
                <w:rFonts w:asciiTheme="minorHAnsi" w:hAnsiTheme="minorHAnsi"/>
              </w:rPr>
            </w:pPr>
          </w:p>
          <w:p w:rsidR="005B0984" w:rsidRPr="008B0669" w:rsidRDefault="00716A55" w:rsidP="002E255C">
            <w:pPr>
              <w:keepNext/>
              <w:ind w:right="576"/>
              <w:rPr>
                <w:rFonts w:asciiTheme="minorHAnsi" w:hAnsiTheme="minorHAnsi"/>
              </w:rPr>
            </w:pPr>
            <w:r w:rsidRPr="008B0669">
              <w:rPr>
                <w:rFonts w:asciiTheme="minorHAnsi" w:hAnsiTheme="minorHAnsi"/>
              </w:rPr>
              <w:t xml:space="preserve">Should </w:t>
            </w:r>
            <w:r w:rsidR="00E61132" w:rsidRPr="008B0669">
              <w:rPr>
                <w:rFonts w:asciiTheme="minorHAnsi" w:hAnsiTheme="minorHAnsi"/>
              </w:rPr>
              <w:t>any changes be made in relation to the Safety Net Fund?</w:t>
            </w:r>
          </w:p>
          <w:p w:rsidR="005B0984" w:rsidRPr="008B0669" w:rsidRDefault="005B0984" w:rsidP="005B0984">
            <w:pPr>
              <w:rPr>
                <w:rFonts w:asciiTheme="minorHAnsi" w:hAnsiTheme="minorHAnsi"/>
                <w:sz w:val="24"/>
                <w:szCs w:val="24"/>
              </w:rPr>
            </w:pPr>
            <w:r w:rsidRPr="008B0669">
              <w:rPr>
                <w:rFonts w:asciiTheme="minorHAnsi" w:hAnsiTheme="minorHAnsi"/>
                <w:i/>
                <w:sz w:val="20"/>
                <w:szCs w:val="20"/>
              </w:rPr>
              <w:t>These discussion points are intended to assist contributions to the examination of the issues within the review’s terms of reference – they are not exhaustive and if you wish to make a submission you may choose to address all or any of these discussion points or different issues that are of concern to you.</w:t>
            </w:r>
          </w:p>
        </w:tc>
      </w:tr>
    </w:tbl>
    <w:p w:rsidR="00D432BF" w:rsidRPr="008B0669" w:rsidRDefault="00D432BF" w:rsidP="002E255C">
      <w:pPr>
        <w:pStyle w:val="Heading2"/>
        <w:spacing w:before="0" w:after="0" w:line="240" w:lineRule="auto"/>
        <w:ind w:left="576"/>
        <w:rPr>
          <w:rFonts w:asciiTheme="minorHAnsi" w:hAnsiTheme="minorHAnsi" w:cs="Arial"/>
          <w:b w:val="0"/>
          <w:color w:val="auto"/>
        </w:rPr>
      </w:pPr>
    </w:p>
    <w:p w:rsidR="005B0984" w:rsidRPr="008B0669" w:rsidRDefault="005B0984">
      <w:pPr>
        <w:spacing w:after="200" w:line="276" w:lineRule="auto"/>
        <w:rPr>
          <w:rFonts w:asciiTheme="minorHAnsi" w:eastAsiaTheme="majorEastAsia" w:hAnsiTheme="minorHAnsi"/>
          <w:b/>
          <w:bCs/>
          <w:sz w:val="26"/>
          <w:szCs w:val="26"/>
        </w:rPr>
      </w:pPr>
      <w:r w:rsidRPr="008B0669">
        <w:rPr>
          <w:rFonts w:asciiTheme="minorHAnsi" w:hAnsiTheme="minorHAnsi"/>
        </w:rPr>
        <w:br w:type="page"/>
      </w:r>
    </w:p>
    <w:p w:rsidR="009803A7" w:rsidRPr="008B0669" w:rsidRDefault="009803A7" w:rsidP="002E255C">
      <w:pPr>
        <w:pStyle w:val="Heading2"/>
        <w:spacing w:before="0" w:after="0" w:line="240" w:lineRule="auto"/>
        <w:ind w:left="576"/>
        <w:rPr>
          <w:rFonts w:asciiTheme="minorHAnsi" w:hAnsiTheme="minorHAnsi" w:cs="Arial"/>
          <w:color w:val="auto"/>
        </w:rPr>
      </w:pPr>
      <w:bookmarkStart w:id="15" w:name="_Toc341014945"/>
      <w:r w:rsidRPr="008B0669">
        <w:rPr>
          <w:rFonts w:asciiTheme="minorHAnsi" w:hAnsiTheme="minorHAnsi" w:cs="Arial"/>
          <w:color w:val="auto"/>
        </w:rPr>
        <w:lastRenderedPageBreak/>
        <w:t>How to make a submission</w:t>
      </w:r>
      <w:bookmarkEnd w:id="15"/>
    </w:p>
    <w:p w:rsidR="00D432BF" w:rsidRPr="008B0669" w:rsidRDefault="00D432BF" w:rsidP="00D432BF">
      <w:pPr>
        <w:pStyle w:val="numberlist"/>
        <w:numPr>
          <w:ilvl w:val="0"/>
          <w:numId w:val="0"/>
        </w:numPr>
        <w:spacing w:after="0"/>
        <w:ind w:left="936" w:right="576"/>
        <w:rPr>
          <w:rFonts w:asciiTheme="minorHAnsi" w:hAnsiTheme="minorHAnsi" w:cs="Arial"/>
          <w:sz w:val="22"/>
          <w:szCs w:val="22"/>
        </w:rPr>
      </w:pPr>
    </w:p>
    <w:p w:rsidR="00F025E8" w:rsidRPr="00256D7A" w:rsidRDefault="00256D7A" w:rsidP="00256D7A">
      <w:pPr>
        <w:pStyle w:val="numberlist"/>
        <w:numPr>
          <w:ilvl w:val="0"/>
          <w:numId w:val="6"/>
        </w:numPr>
        <w:spacing w:after="0"/>
        <w:ind w:right="576"/>
        <w:rPr>
          <w:rFonts w:asciiTheme="minorHAnsi" w:hAnsiTheme="minorHAnsi" w:cs="Arial"/>
          <w:sz w:val="22"/>
          <w:szCs w:val="22"/>
        </w:rPr>
      </w:pPr>
      <w:r w:rsidRPr="00256D7A">
        <w:rPr>
          <w:rFonts w:asciiTheme="minorHAnsi" w:hAnsiTheme="minorHAnsi" w:cs="Arial"/>
          <w:sz w:val="22"/>
          <w:szCs w:val="22"/>
        </w:rPr>
        <w:t xml:space="preserve">The Review would be pleased to receive your submission on those matters raised in the Discussion Paper on which you wish to comment, as well as in relation to any other issues that are not discussed here that are of concern to you. In addressing any discussion points in the Paper and in making </w:t>
      </w:r>
      <w:r>
        <w:rPr>
          <w:rFonts w:asciiTheme="minorHAnsi" w:hAnsiTheme="minorHAnsi" w:cs="Arial"/>
          <w:sz w:val="22"/>
          <w:szCs w:val="22"/>
        </w:rPr>
        <w:t>any other comments or responses</w:t>
      </w:r>
      <w:r w:rsidR="00F025E8" w:rsidRPr="00256D7A">
        <w:rPr>
          <w:rFonts w:asciiTheme="minorHAnsi" w:hAnsiTheme="minorHAnsi" w:cs="Arial"/>
          <w:sz w:val="22"/>
          <w:szCs w:val="22"/>
        </w:rPr>
        <w:t>, the review would be assisted if you can detail the problems you have experienced or identified with the Seacare Scheme.  The Review would also be assisted by references to relevant cases and (where appropriate) factual scenarios.  The Review also encourages you to propose any potential solutions you might have thought about.</w:t>
      </w:r>
    </w:p>
    <w:p w:rsidR="00254C22" w:rsidRPr="00254C22" w:rsidRDefault="00254C22" w:rsidP="00254C22">
      <w:pPr>
        <w:pStyle w:val="numberlist"/>
        <w:numPr>
          <w:ilvl w:val="0"/>
          <w:numId w:val="0"/>
        </w:numPr>
        <w:spacing w:after="0" w:line="120" w:lineRule="auto"/>
        <w:ind w:left="720" w:right="576"/>
        <w:rPr>
          <w:rFonts w:asciiTheme="minorHAnsi" w:hAnsiTheme="minorHAnsi" w:cs="Arial"/>
          <w:sz w:val="22"/>
          <w:szCs w:val="22"/>
        </w:rPr>
      </w:pPr>
    </w:p>
    <w:p w:rsidR="00F025E8" w:rsidRPr="00254C22" w:rsidRDefault="00F025E8" w:rsidP="002E255C">
      <w:pPr>
        <w:pStyle w:val="numberlist"/>
        <w:numPr>
          <w:ilvl w:val="0"/>
          <w:numId w:val="6"/>
        </w:numPr>
        <w:spacing w:after="0"/>
        <w:ind w:right="576"/>
        <w:rPr>
          <w:rFonts w:asciiTheme="minorHAnsi" w:hAnsiTheme="minorHAnsi" w:cs="Arial"/>
          <w:sz w:val="22"/>
          <w:szCs w:val="22"/>
        </w:rPr>
      </w:pPr>
      <w:r w:rsidRPr="00254C22">
        <w:rPr>
          <w:rFonts w:asciiTheme="minorHAnsi" w:hAnsiTheme="minorHAnsi" w:cs="Arial"/>
          <w:sz w:val="22"/>
          <w:szCs w:val="22"/>
        </w:rPr>
        <w:t xml:space="preserve">The Review will be receiving submissions, in writing only, </w:t>
      </w:r>
      <w:r w:rsidR="00E95F1B">
        <w:rPr>
          <w:rFonts w:asciiTheme="minorHAnsi" w:hAnsiTheme="minorHAnsi" w:cs="Arial"/>
          <w:sz w:val="22"/>
          <w:szCs w:val="22"/>
        </w:rPr>
        <w:t>until close of business on 19 December 2012.</w:t>
      </w:r>
      <w:r w:rsidRPr="00254C22">
        <w:rPr>
          <w:rFonts w:asciiTheme="minorHAnsi" w:hAnsiTheme="minorHAnsi" w:cs="Arial"/>
          <w:sz w:val="22"/>
          <w:szCs w:val="22"/>
        </w:rPr>
        <w:t xml:space="preserve">  Submissions can be provided by email (preferred), fax or post as follows:</w:t>
      </w:r>
    </w:p>
    <w:p w:rsidR="00F025E8" w:rsidRPr="00F025E8" w:rsidRDefault="00F025E8" w:rsidP="00F025E8">
      <w:pPr>
        <w:pStyle w:val="numberlist"/>
        <w:numPr>
          <w:ilvl w:val="0"/>
          <w:numId w:val="0"/>
        </w:numPr>
        <w:spacing w:after="0"/>
        <w:ind w:left="936" w:right="576"/>
        <w:rPr>
          <w:rFonts w:asciiTheme="minorHAnsi" w:hAnsiTheme="minorHAnsi" w:cs="Arial"/>
          <w:sz w:val="22"/>
          <w:szCs w:val="22"/>
          <w:highlight w:val="yellow"/>
        </w:rPr>
      </w:pPr>
    </w:p>
    <w:tbl>
      <w:tblPr>
        <w:tblStyle w:val="TableGrid1"/>
        <w:tblW w:w="0" w:type="auto"/>
        <w:tblInd w:w="709" w:type="dxa"/>
        <w:tblLook w:val="04A0" w:firstRow="1" w:lastRow="0" w:firstColumn="1" w:lastColumn="0" w:noHBand="0" w:noVBand="1"/>
      </w:tblPr>
      <w:tblGrid>
        <w:gridCol w:w="1809"/>
        <w:gridCol w:w="6724"/>
      </w:tblGrid>
      <w:tr w:rsidR="00F025E8" w:rsidRPr="00F025E8" w:rsidTr="005D61D1">
        <w:tc>
          <w:tcPr>
            <w:tcW w:w="1809" w:type="dxa"/>
            <w:vAlign w:val="center"/>
          </w:tcPr>
          <w:p w:rsidR="00F025E8" w:rsidRPr="00F025E8" w:rsidRDefault="00F025E8" w:rsidP="00F025E8">
            <w:pPr>
              <w:spacing w:after="120"/>
              <w:rPr>
                <w:rFonts w:asciiTheme="minorHAnsi" w:eastAsiaTheme="minorHAnsi" w:hAnsiTheme="minorHAnsi" w:cs="Times New Roman"/>
                <w:b/>
                <w:sz w:val="24"/>
                <w:szCs w:val="24"/>
              </w:rPr>
            </w:pPr>
            <w:r w:rsidRPr="00F025E8">
              <w:rPr>
                <w:rFonts w:asciiTheme="minorHAnsi" w:eastAsiaTheme="minorHAnsi" w:hAnsiTheme="minorHAnsi" w:cs="Times New Roman"/>
                <w:b/>
                <w:sz w:val="24"/>
                <w:szCs w:val="24"/>
              </w:rPr>
              <w:t>Email</w:t>
            </w:r>
          </w:p>
        </w:tc>
        <w:tc>
          <w:tcPr>
            <w:tcW w:w="6724" w:type="dxa"/>
            <w:vAlign w:val="center"/>
          </w:tcPr>
          <w:p w:rsidR="00F025E8" w:rsidRPr="00F025E8" w:rsidRDefault="00733E1A" w:rsidP="00F025E8">
            <w:pPr>
              <w:spacing w:after="120"/>
              <w:rPr>
                <w:rFonts w:asciiTheme="minorHAnsi" w:eastAsiaTheme="minorHAnsi" w:hAnsiTheme="minorHAnsi" w:cs="Times New Roman"/>
                <w:sz w:val="24"/>
                <w:szCs w:val="24"/>
              </w:rPr>
            </w:pPr>
            <w:hyperlink r:id="rId11" w:history="1">
              <w:r w:rsidR="00F025E8" w:rsidRPr="00F025E8">
                <w:rPr>
                  <w:rFonts w:asciiTheme="minorHAnsi" w:eastAsiaTheme="majorEastAsia" w:hAnsiTheme="minorHAnsi" w:cstheme="minorHAnsi"/>
                  <w:color w:val="0000FF" w:themeColor="hyperlink"/>
                  <w:u w:val="single"/>
                </w:rPr>
                <w:t>WorkersCompensationPolicy@deewr.gov.au</w:t>
              </w:r>
            </w:hyperlink>
          </w:p>
        </w:tc>
      </w:tr>
      <w:tr w:rsidR="00F025E8" w:rsidRPr="00F025E8" w:rsidTr="005D61D1">
        <w:tc>
          <w:tcPr>
            <w:tcW w:w="1809" w:type="dxa"/>
            <w:vAlign w:val="center"/>
          </w:tcPr>
          <w:p w:rsidR="00F025E8" w:rsidRPr="00F025E8" w:rsidRDefault="00F025E8" w:rsidP="00F025E8">
            <w:pPr>
              <w:spacing w:after="120"/>
              <w:rPr>
                <w:rFonts w:asciiTheme="minorHAnsi" w:eastAsiaTheme="minorHAnsi" w:hAnsiTheme="minorHAnsi" w:cs="Times New Roman"/>
                <w:b/>
                <w:sz w:val="24"/>
                <w:szCs w:val="24"/>
              </w:rPr>
            </w:pPr>
            <w:r w:rsidRPr="00F025E8">
              <w:rPr>
                <w:rFonts w:asciiTheme="minorHAnsi" w:eastAsiaTheme="minorHAnsi" w:hAnsiTheme="minorHAnsi" w:cs="Times New Roman"/>
                <w:b/>
                <w:sz w:val="24"/>
                <w:szCs w:val="24"/>
              </w:rPr>
              <w:t>Fax</w:t>
            </w:r>
          </w:p>
        </w:tc>
        <w:tc>
          <w:tcPr>
            <w:tcW w:w="6724" w:type="dxa"/>
            <w:vAlign w:val="center"/>
          </w:tcPr>
          <w:p w:rsidR="00F025E8" w:rsidRPr="00F025E8" w:rsidRDefault="00F025E8" w:rsidP="00F025E8">
            <w:pPr>
              <w:ind w:left="34"/>
              <w:rPr>
                <w:rFonts w:asciiTheme="minorHAnsi" w:eastAsiaTheme="minorHAnsi" w:hAnsiTheme="minorHAnsi" w:cs="Times New Roman"/>
                <w:sz w:val="24"/>
                <w:szCs w:val="24"/>
              </w:rPr>
            </w:pPr>
            <w:r w:rsidRPr="00F025E8">
              <w:rPr>
                <w:rFonts w:asciiTheme="minorHAnsi" w:eastAsiaTheme="minorHAnsi" w:hAnsiTheme="minorHAnsi" w:cs="Times New Roman"/>
                <w:sz w:val="24"/>
                <w:szCs w:val="24"/>
              </w:rPr>
              <w:t>02 6123 7592</w:t>
            </w:r>
          </w:p>
        </w:tc>
      </w:tr>
      <w:tr w:rsidR="00F025E8" w:rsidRPr="00F025E8" w:rsidTr="005D61D1">
        <w:tc>
          <w:tcPr>
            <w:tcW w:w="1809" w:type="dxa"/>
            <w:vAlign w:val="center"/>
          </w:tcPr>
          <w:p w:rsidR="00F025E8" w:rsidRPr="00F025E8" w:rsidRDefault="00F025E8" w:rsidP="00F025E8">
            <w:pPr>
              <w:spacing w:after="120"/>
              <w:rPr>
                <w:rFonts w:asciiTheme="minorHAnsi" w:eastAsiaTheme="minorHAnsi" w:hAnsiTheme="minorHAnsi" w:cs="Times New Roman"/>
                <w:b/>
                <w:sz w:val="24"/>
                <w:szCs w:val="24"/>
              </w:rPr>
            </w:pPr>
            <w:r w:rsidRPr="00F025E8">
              <w:rPr>
                <w:rFonts w:asciiTheme="minorHAnsi" w:eastAsiaTheme="minorHAnsi" w:hAnsiTheme="minorHAnsi" w:cs="Times New Roman"/>
                <w:b/>
                <w:sz w:val="24"/>
                <w:szCs w:val="24"/>
              </w:rPr>
              <w:t>Post</w:t>
            </w:r>
          </w:p>
        </w:tc>
        <w:tc>
          <w:tcPr>
            <w:tcW w:w="6724" w:type="dxa"/>
            <w:vAlign w:val="center"/>
          </w:tcPr>
          <w:p w:rsidR="00F025E8" w:rsidRPr="00F025E8" w:rsidRDefault="00F025E8" w:rsidP="00F025E8">
            <w:pPr>
              <w:ind w:left="34"/>
              <w:rPr>
                <w:rFonts w:asciiTheme="minorHAnsi" w:eastAsiaTheme="minorHAnsi" w:hAnsiTheme="minorHAnsi" w:cs="Times New Roman"/>
                <w:sz w:val="24"/>
                <w:szCs w:val="24"/>
              </w:rPr>
            </w:pPr>
            <w:r w:rsidRPr="00F025E8">
              <w:rPr>
                <w:rFonts w:asciiTheme="minorHAnsi" w:eastAsiaTheme="minorHAnsi" w:hAnsiTheme="minorHAnsi" w:cs="Times New Roman"/>
                <w:sz w:val="24"/>
                <w:szCs w:val="24"/>
              </w:rPr>
              <w:t>S</w:t>
            </w:r>
            <w:r>
              <w:rPr>
                <w:rFonts w:asciiTheme="minorHAnsi" w:eastAsiaTheme="minorHAnsi" w:hAnsiTheme="minorHAnsi" w:cs="Times New Roman"/>
                <w:sz w:val="24"/>
                <w:szCs w:val="24"/>
              </w:rPr>
              <w:t>eacare</w:t>
            </w:r>
            <w:r w:rsidRPr="00F025E8">
              <w:rPr>
                <w:rFonts w:asciiTheme="minorHAnsi" w:eastAsiaTheme="minorHAnsi" w:hAnsiTheme="minorHAnsi" w:cs="Times New Roman"/>
                <w:sz w:val="24"/>
                <w:szCs w:val="24"/>
              </w:rPr>
              <w:t xml:space="preserve"> Review Secretariat</w:t>
            </w:r>
          </w:p>
          <w:p w:rsidR="00F025E8" w:rsidRPr="00F025E8" w:rsidRDefault="00F025E8" w:rsidP="00F025E8">
            <w:pPr>
              <w:ind w:left="34"/>
              <w:rPr>
                <w:rFonts w:asciiTheme="minorHAnsi" w:eastAsiaTheme="minorHAnsi" w:hAnsiTheme="minorHAnsi" w:cs="Times New Roman"/>
                <w:sz w:val="24"/>
                <w:szCs w:val="24"/>
              </w:rPr>
            </w:pPr>
            <w:r w:rsidRPr="00F025E8">
              <w:rPr>
                <w:rFonts w:asciiTheme="minorHAnsi" w:eastAsiaTheme="minorHAnsi" w:hAnsiTheme="minorHAnsi" w:cs="Times New Roman"/>
                <w:sz w:val="24"/>
                <w:szCs w:val="24"/>
              </w:rPr>
              <w:t>Workplace Relations Implementation and Safety Group</w:t>
            </w:r>
          </w:p>
          <w:p w:rsidR="00F025E8" w:rsidRPr="00F025E8" w:rsidRDefault="00F025E8" w:rsidP="00F025E8">
            <w:pPr>
              <w:ind w:left="34"/>
              <w:rPr>
                <w:rFonts w:asciiTheme="minorHAnsi" w:eastAsiaTheme="minorHAnsi" w:hAnsiTheme="minorHAnsi" w:cs="Times New Roman"/>
                <w:sz w:val="24"/>
                <w:szCs w:val="24"/>
              </w:rPr>
            </w:pPr>
            <w:r w:rsidRPr="00F025E8">
              <w:rPr>
                <w:rFonts w:asciiTheme="minorHAnsi" w:eastAsiaTheme="minorHAnsi" w:hAnsiTheme="minorHAnsi" w:cs="Times New Roman"/>
                <w:sz w:val="24"/>
                <w:szCs w:val="24"/>
              </w:rPr>
              <w:t>Department of Education, Employment and Workplace Relations</w:t>
            </w:r>
            <w:r w:rsidRPr="00F025E8">
              <w:rPr>
                <w:rFonts w:asciiTheme="minorHAnsi" w:eastAsiaTheme="minorHAnsi" w:hAnsiTheme="minorHAnsi" w:cs="Times New Roman"/>
                <w:sz w:val="24"/>
                <w:szCs w:val="24"/>
              </w:rPr>
              <w:br/>
              <w:t xml:space="preserve">Location code: </w:t>
            </w:r>
            <w:proofErr w:type="spellStart"/>
            <w:r w:rsidRPr="00F025E8">
              <w:rPr>
                <w:rFonts w:asciiTheme="minorHAnsi" w:eastAsiaTheme="minorHAnsi" w:hAnsiTheme="minorHAnsi" w:cs="Times New Roman"/>
                <w:sz w:val="24"/>
                <w:szCs w:val="24"/>
              </w:rPr>
              <w:t>C50MA1</w:t>
            </w:r>
            <w:proofErr w:type="spellEnd"/>
          </w:p>
          <w:p w:rsidR="00F025E8" w:rsidRPr="00F025E8" w:rsidRDefault="00F025E8" w:rsidP="00F025E8">
            <w:pPr>
              <w:spacing w:after="120"/>
              <w:ind w:left="34"/>
              <w:rPr>
                <w:rFonts w:asciiTheme="minorHAnsi" w:eastAsiaTheme="minorHAnsi" w:hAnsiTheme="minorHAnsi" w:cs="Times New Roman"/>
                <w:sz w:val="24"/>
                <w:szCs w:val="24"/>
              </w:rPr>
            </w:pPr>
            <w:r w:rsidRPr="00F025E8">
              <w:rPr>
                <w:rFonts w:asciiTheme="minorHAnsi" w:eastAsiaTheme="minorHAnsi" w:hAnsiTheme="minorHAnsi" w:cs="Times New Roman"/>
                <w:sz w:val="24"/>
                <w:szCs w:val="24"/>
              </w:rPr>
              <w:t xml:space="preserve">GPO Box 9880 </w:t>
            </w:r>
            <w:r w:rsidRPr="00F025E8">
              <w:rPr>
                <w:rFonts w:asciiTheme="minorHAnsi" w:eastAsiaTheme="minorHAnsi" w:hAnsiTheme="minorHAnsi" w:cs="Times New Roman"/>
                <w:sz w:val="24"/>
                <w:szCs w:val="24"/>
              </w:rPr>
              <w:br/>
              <w:t>CANBERRA ACT 2601</w:t>
            </w:r>
          </w:p>
        </w:tc>
      </w:tr>
    </w:tbl>
    <w:p w:rsidR="00F025E8" w:rsidRPr="008B0669" w:rsidRDefault="00F025E8" w:rsidP="00F025E8">
      <w:pPr>
        <w:pStyle w:val="numberlist"/>
        <w:numPr>
          <w:ilvl w:val="0"/>
          <w:numId w:val="0"/>
        </w:numPr>
        <w:spacing w:after="0"/>
        <w:ind w:right="576"/>
        <w:rPr>
          <w:rFonts w:asciiTheme="minorHAnsi" w:hAnsiTheme="minorHAnsi" w:cs="Arial"/>
          <w:sz w:val="22"/>
          <w:szCs w:val="22"/>
          <w:highlight w:val="yellow"/>
        </w:rPr>
      </w:pPr>
    </w:p>
    <w:p w:rsidR="000E6194" w:rsidRPr="008B0669" w:rsidRDefault="00254C22" w:rsidP="002E255C">
      <w:pPr>
        <w:pStyle w:val="numberlist"/>
        <w:numPr>
          <w:ilvl w:val="0"/>
          <w:numId w:val="0"/>
        </w:numPr>
        <w:spacing w:after="0"/>
        <w:ind w:left="936" w:right="576"/>
        <w:rPr>
          <w:rFonts w:asciiTheme="minorHAnsi" w:hAnsiTheme="minorHAnsi" w:cs="Arial"/>
          <w:sz w:val="22"/>
          <w:szCs w:val="22"/>
        </w:rPr>
      </w:pPr>
      <w:r>
        <w:rPr>
          <w:rFonts w:asciiTheme="minorHAnsi" w:hAnsiTheme="minorHAnsi" w:cs="Arial"/>
          <w:sz w:val="22"/>
          <w:szCs w:val="22"/>
        </w:rPr>
        <w:t>All submissions should be in Microsoft Word (.</w:t>
      </w:r>
      <w:proofErr w:type="spellStart"/>
      <w:r>
        <w:rPr>
          <w:rFonts w:asciiTheme="minorHAnsi" w:hAnsiTheme="minorHAnsi" w:cs="Arial"/>
          <w:sz w:val="22"/>
          <w:szCs w:val="22"/>
        </w:rPr>
        <w:t>docx</w:t>
      </w:r>
      <w:proofErr w:type="spellEnd"/>
      <w:r>
        <w:rPr>
          <w:rFonts w:asciiTheme="minorHAnsi" w:hAnsiTheme="minorHAnsi" w:cs="Arial"/>
          <w:sz w:val="22"/>
          <w:szCs w:val="22"/>
        </w:rPr>
        <w:t>) format.</w:t>
      </w:r>
    </w:p>
    <w:p w:rsidR="00867570" w:rsidRPr="008B0669" w:rsidRDefault="00867570" w:rsidP="002E255C">
      <w:pPr>
        <w:pStyle w:val="numberlist"/>
        <w:numPr>
          <w:ilvl w:val="0"/>
          <w:numId w:val="6"/>
        </w:numPr>
        <w:spacing w:after="0"/>
        <w:ind w:right="576"/>
        <w:rPr>
          <w:rFonts w:asciiTheme="minorHAnsi" w:hAnsiTheme="minorHAnsi" w:cs="Arial"/>
          <w:sz w:val="22"/>
          <w:szCs w:val="22"/>
        </w:rPr>
      </w:pPr>
      <w:r w:rsidRPr="008B0669">
        <w:rPr>
          <w:rFonts w:asciiTheme="minorHAnsi" w:hAnsiTheme="minorHAnsi" w:cs="Arial"/>
          <w:sz w:val="22"/>
          <w:szCs w:val="22"/>
        </w:rPr>
        <w:br w:type="page"/>
      </w:r>
    </w:p>
    <w:p w:rsidR="00D35700" w:rsidRPr="008B0669" w:rsidRDefault="00867570" w:rsidP="006202B0">
      <w:pPr>
        <w:pStyle w:val="Heading2"/>
        <w:spacing w:before="0" w:after="0" w:line="240" w:lineRule="auto"/>
        <w:ind w:left="576"/>
        <w:rPr>
          <w:rFonts w:asciiTheme="minorHAnsi" w:hAnsiTheme="minorHAnsi" w:cs="Arial"/>
          <w:color w:val="auto"/>
        </w:rPr>
      </w:pPr>
      <w:bookmarkStart w:id="16" w:name="_Toc341014946"/>
      <w:r w:rsidRPr="008B0669">
        <w:rPr>
          <w:rFonts w:asciiTheme="minorHAnsi" w:hAnsiTheme="minorHAnsi" w:cs="Arial"/>
          <w:color w:val="auto"/>
        </w:rPr>
        <w:lastRenderedPageBreak/>
        <w:t xml:space="preserve">APPENDIX 1 – </w:t>
      </w:r>
      <w:r w:rsidR="006202B0" w:rsidRPr="008B0669">
        <w:rPr>
          <w:rFonts w:asciiTheme="minorHAnsi" w:hAnsiTheme="minorHAnsi" w:cs="Arial"/>
          <w:color w:val="auto"/>
        </w:rPr>
        <w:t>Trends in premiums under the Seacare scheme</w:t>
      </w:r>
      <w:bookmarkEnd w:id="16"/>
    </w:p>
    <w:p w:rsidR="00867570" w:rsidRPr="008B0669" w:rsidRDefault="00867570" w:rsidP="002E255C">
      <w:pPr>
        <w:rPr>
          <w:rFonts w:asciiTheme="minorHAnsi" w:hAnsiTheme="minorHAnsi"/>
        </w:rPr>
      </w:pPr>
    </w:p>
    <w:p w:rsidR="006202B0" w:rsidRPr="008B0669" w:rsidRDefault="006202B0" w:rsidP="006202B0">
      <w:pPr>
        <w:ind w:left="576"/>
        <w:rPr>
          <w:rFonts w:asciiTheme="minorHAnsi" w:hAnsiTheme="minorHAnsi" w:cs="Helvetica 45 Light"/>
          <w:b/>
        </w:rPr>
      </w:pPr>
      <w:r w:rsidRPr="008B0669">
        <w:rPr>
          <w:rFonts w:asciiTheme="minorHAnsi" w:hAnsiTheme="minorHAnsi"/>
          <w:b/>
        </w:rPr>
        <w:t xml:space="preserve">Findings by the Seacare Authority’s actuary </w:t>
      </w:r>
      <w:r w:rsidRPr="008B0669">
        <w:rPr>
          <w:rFonts w:asciiTheme="minorHAnsi" w:hAnsiTheme="minorHAnsi" w:cs="Helvetica 45 Light"/>
          <w:b/>
        </w:rPr>
        <w:t>on Seacare scheme insurance arrangements in 2010–11</w:t>
      </w:r>
    </w:p>
    <w:p w:rsidR="006202B0" w:rsidRPr="008B0669" w:rsidRDefault="006202B0" w:rsidP="006202B0">
      <w:pPr>
        <w:ind w:left="576"/>
        <w:rPr>
          <w:rFonts w:asciiTheme="minorHAnsi" w:hAnsiTheme="minorHAnsi"/>
          <w:b/>
          <w:i/>
        </w:rPr>
      </w:pPr>
      <w:r w:rsidRPr="008B0669">
        <w:rPr>
          <w:rFonts w:asciiTheme="minorHAnsi" w:hAnsiTheme="minorHAnsi"/>
          <w:b/>
          <w:i/>
        </w:rPr>
        <w:t xml:space="preserve">Extract from the Seacare Authority’s Annual Report 2011-12, </w:t>
      </w:r>
      <w:proofErr w:type="spellStart"/>
      <w:r w:rsidRPr="008B0669">
        <w:rPr>
          <w:rFonts w:asciiTheme="minorHAnsi" w:hAnsiTheme="minorHAnsi"/>
          <w:b/>
          <w:i/>
        </w:rPr>
        <w:t>pp.56,57</w:t>
      </w:r>
      <w:proofErr w:type="spellEnd"/>
    </w:p>
    <w:p w:rsidR="006202B0" w:rsidRPr="008B0669" w:rsidRDefault="006202B0" w:rsidP="006202B0">
      <w:pPr>
        <w:ind w:left="576"/>
        <w:rPr>
          <w:rFonts w:asciiTheme="minorHAnsi" w:hAnsiTheme="minorHAnsi"/>
          <w:i/>
        </w:rPr>
      </w:pPr>
    </w:p>
    <w:p w:rsidR="006202B0" w:rsidRPr="008B0669" w:rsidRDefault="006202B0" w:rsidP="006202B0">
      <w:pPr>
        <w:ind w:left="576"/>
        <w:rPr>
          <w:rFonts w:asciiTheme="minorHAnsi" w:hAnsiTheme="minorHAnsi"/>
        </w:rPr>
      </w:pPr>
      <w:r w:rsidRPr="008B0669">
        <w:rPr>
          <w:rFonts w:asciiTheme="minorHAnsi" w:hAnsiTheme="minorHAnsi"/>
        </w:rPr>
        <w:t xml:space="preserve">In 2010-11, $19.7 </w:t>
      </w:r>
      <w:r w:rsidR="00AF0E99" w:rsidRPr="008B0669">
        <w:rPr>
          <w:rFonts w:asciiTheme="minorHAnsi" w:hAnsiTheme="minorHAnsi"/>
        </w:rPr>
        <w:t>m.</w:t>
      </w:r>
      <w:r w:rsidRPr="008B0669">
        <w:rPr>
          <w:rFonts w:asciiTheme="minorHAnsi" w:hAnsiTheme="minorHAnsi"/>
        </w:rPr>
        <w:t xml:space="preserve"> in premiums was paid by scheme employers to insurers against declared total remuneration of $863.5 </w:t>
      </w:r>
      <w:r w:rsidR="00AF0E99" w:rsidRPr="008B0669">
        <w:rPr>
          <w:rFonts w:asciiTheme="minorHAnsi" w:hAnsiTheme="minorHAnsi"/>
        </w:rPr>
        <w:t>m.</w:t>
      </w:r>
      <w:r w:rsidRPr="008B0669">
        <w:rPr>
          <w:rFonts w:asciiTheme="minorHAnsi" w:hAnsiTheme="minorHAnsi"/>
        </w:rPr>
        <w:t>, yielding an effective average premium rate of 2.28 per cent.  The premium income and rate include the employers’ deductibles which vary considerably from policy to policy.</w:t>
      </w:r>
    </w:p>
    <w:p w:rsidR="006202B0" w:rsidRPr="008B0669" w:rsidRDefault="006202B0" w:rsidP="006202B0">
      <w:pPr>
        <w:ind w:left="576"/>
        <w:rPr>
          <w:rFonts w:asciiTheme="minorHAnsi" w:hAnsiTheme="minorHAnsi"/>
        </w:rPr>
      </w:pPr>
    </w:p>
    <w:p w:rsidR="006202B0" w:rsidRPr="008B0669" w:rsidRDefault="006202B0" w:rsidP="006202B0">
      <w:pPr>
        <w:ind w:left="576"/>
        <w:rPr>
          <w:rFonts w:asciiTheme="minorHAnsi" w:hAnsiTheme="minorHAnsi"/>
        </w:rPr>
      </w:pPr>
      <w:r w:rsidRPr="008B0669">
        <w:rPr>
          <w:rFonts w:asciiTheme="minorHAnsi" w:hAnsiTheme="minorHAnsi"/>
        </w:rPr>
        <w:t xml:space="preserve">Standardising the level of deductibles to the equivalent of approximately five days incapacity ($2300) would have the effect of requiring a combined premium income of some $32.4 </w:t>
      </w:r>
      <w:r w:rsidR="00AF0E99" w:rsidRPr="008B0669">
        <w:rPr>
          <w:rFonts w:asciiTheme="minorHAnsi" w:hAnsiTheme="minorHAnsi"/>
        </w:rPr>
        <w:t>m.</w:t>
      </w:r>
      <w:r w:rsidRPr="008B0669">
        <w:rPr>
          <w:rFonts w:asciiTheme="minorHAnsi" w:hAnsiTheme="minorHAnsi"/>
        </w:rPr>
        <w:t>, or a premium rate of 3.76 per cent.</w:t>
      </w:r>
    </w:p>
    <w:p w:rsidR="006202B0" w:rsidRPr="008B0669" w:rsidRDefault="006202B0" w:rsidP="006202B0">
      <w:pPr>
        <w:rPr>
          <w:rFonts w:asciiTheme="minorHAnsi" w:hAnsiTheme="minorHAnsi"/>
        </w:rPr>
      </w:pPr>
    </w:p>
    <w:p w:rsidR="006202B0" w:rsidRPr="008B0669" w:rsidRDefault="006202B0" w:rsidP="006202B0">
      <w:pPr>
        <w:tabs>
          <w:tab w:val="left" w:pos="630"/>
        </w:tabs>
        <w:ind w:left="540"/>
        <w:rPr>
          <w:rFonts w:asciiTheme="minorHAnsi" w:hAnsiTheme="minorHAnsi"/>
        </w:rPr>
      </w:pPr>
      <w:r w:rsidRPr="008B0669">
        <w:rPr>
          <w:rFonts w:asciiTheme="minorHAnsi" w:hAnsiTheme="minorHAnsi"/>
        </w:rPr>
        <w:t xml:space="preserve">  Seacare insurance premium rates</w:t>
      </w:r>
    </w:p>
    <w:tbl>
      <w:tblPr>
        <w:tblW w:w="0" w:type="auto"/>
        <w:tblInd w:w="743" w:type="dxa"/>
        <w:tblCellMar>
          <w:left w:w="0" w:type="dxa"/>
          <w:right w:w="0" w:type="dxa"/>
        </w:tblCellMar>
        <w:tblLook w:val="04A0" w:firstRow="1" w:lastRow="0" w:firstColumn="1" w:lastColumn="0" w:noHBand="0" w:noVBand="1"/>
      </w:tblPr>
      <w:tblGrid>
        <w:gridCol w:w="4770"/>
        <w:gridCol w:w="1080"/>
        <w:gridCol w:w="990"/>
        <w:gridCol w:w="990"/>
        <w:gridCol w:w="990"/>
        <w:gridCol w:w="1080"/>
      </w:tblGrid>
      <w:tr w:rsidR="006202B0" w:rsidRPr="008B0669" w:rsidTr="006202B0">
        <w:trPr>
          <w:trHeight w:val="60"/>
        </w:trPr>
        <w:tc>
          <w:tcPr>
            <w:tcW w:w="4770" w:type="dxa"/>
            <w:tcBorders>
              <w:top w:val="single" w:sz="8" w:space="0" w:color="00436E"/>
              <w:left w:val="single" w:sz="8" w:space="0" w:color="auto"/>
              <w:bottom w:val="single" w:sz="8" w:space="0" w:color="00436E"/>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p>
        </w:tc>
        <w:tc>
          <w:tcPr>
            <w:tcW w:w="1080" w:type="dxa"/>
            <w:tcBorders>
              <w:top w:val="single" w:sz="8" w:space="0" w:color="auto"/>
              <w:left w:val="nil"/>
              <w:bottom w:val="single" w:sz="8" w:space="0" w:color="auto"/>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2006-07</w:t>
            </w:r>
          </w:p>
        </w:tc>
        <w:tc>
          <w:tcPr>
            <w:tcW w:w="990" w:type="dxa"/>
            <w:tcBorders>
              <w:top w:val="single" w:sz="8" w:space="0" w:color="auto"/>
              <w:left w:val="nil"/>
              <w:bottom w:val="single" w:sz="8" w:space="0" w:color="auto"/>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2007-08</w:t>
            </w:r>
          </w:p>
        </w:tc>
        <w:tc>
          <w:tcPr>
            <w:tcW w:w="990" w:type="dxa"/>
            <w:tcBorders>
              <w:top w:val="single" w:sz="8" w:space="0" w:color="auto"/>
              <w:left w:val="nil"/>
              <w:bottom w:val="single" w:sz="8" w:space="0" w:color="auto"/>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2008-09</w:t>
            </w:r>
          </w:p>
        </w:tc>
        <w:tc>
          <w:tcPr>
            <w:tcW w:w="990" w:type="dxa"/>
            <w:tcBorders>
              <w:top w:val="single" w:sz="8" w:space="0" w:color="auto"/>
              <w:left w:val="nil"/>
              <w:bottom w:val="single" w:sz="8" w:space="0" w:color="auto"/>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2009-10</w:t>
            </w:r>
          </w:p>
        </w:tc>
        <w:tc>
          <w:tcPr>
            <w:tcW w:w="1080" w:type="dxa"/>
            <w:tcBorders>
              <w:top w:val="single" w:sz="8" w:space="0" w:color="auto"/>
              <w:left w:val="nil"/>
              <w:bottom w:val="single" w:sz="8" w:space="0" w:color="auto"/>
              <w:right w:val="single" w:sz="8" w:space="0" w:color="auto"/>
            </w:tcBorders>
            <w:shd w:val="clear" w:color="auto" w:fill="B8CCE4"/>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2010-11</w:t>
            </w:r>
          </w:p>
        </w:tc>
      </w:tr>
      <w:tr w:rsidR="006202B0" w:rsidRPr="008B0669" w:rsidTr="006202B0">
        <w:trPr>
          <w:trHeight w:val="60"/>
        </w:trPr>
        <w:tc>
          <w:tcPr>
            <w:tcW w:w="4770" w:type="dxa"/>
            <w:tcBorders>
              <w:top w:val="nil"/>
              <w:left w:val="single" w:sz="8" w:space="0" w:color="auto"/>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252328">
            <w:pPr>
              <w:rPr>
                <w:rFonts w:asciiTheme="minorHAnsi" w:hAnsiTheme="minorHAnsi"/>
              </w:rPr>
            </w:pPr>
            <w:r w:rsidRPr="008B0669">
              <w:rPr>
                <w:rFonts w:asciiTheme="minorHAnsi" w:hAnsiTheme="minorHAnsi"/>
              </w:rPr>
              <w:t>Premium collected, or premium income (unadjusted premium income) (</w:t>
            </w:r>
            <w:r w:rsidR="006B0017">
              <w:rPr>
                <w:rFonts w:asciiTheme="minorHAnsi" w:hAnsiTheme="minorHAnsi"/>
              </w:rPr>
              <w:t>$</w:t>
            </w:r>
            <w:r w:rsidR="00AF0E99" w:rsidRPr="008B0669">
              <w:rPr>
                <w:rFonts w:asciiTheme="minorHAnsi" w:hAnsiTheme="minorHAnsi"/>
              </w:rPr>
              <w:t>m</w:t>
            </w:r>
            <w:r w:rsidR="006B0017">
              <w:rPr>
                <w:rFonts w:asciiTheme="minorHAnsi" w:hAnsiTheme="minorHAnsi"/>
              </w:rPr>
              <w:t>illion</w:t>
            </w:r>
            <w:r w:rsidR="006B0017" w:rsidRPr="008B0669">
              <w:rPr>
                <w:rFonts w:asciiTheme="minorHAnsi" w:hAnsiTheme="minorHAnsi"/>
              </w:rPr>
              <w:t>)</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$14.29</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$15.48</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$15.47</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$18.19</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$19.68</w:t>
            </w:r>
          </w:p>
        </w:tc>
      </w:tr>
      <w:tr w:rsidR="006202B0" w:rsidRPr="008B0669" w:rsidTr="006202B0">
        <w:trPr>
          <w:trHeight w:val="60"/>
        </w:trPr>
        <w:tc>
          <w:tcPr>
            <w:tcW w:w="4770" w:type="dxa"/>
            <w:tcBorders>
              <w:top w:val="nil"/>
              <w:left w:val="single" w:sz="8" w:space="0" w:color="auto"/>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Average raw premium (unadjusted premium rate)</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3.39%</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3.27%</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2.62%</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2.55%</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2.28%</w:t>
            </w:r>
          </w:p>
        </w:tc>
      </w:tr>
      <w:tr w:rsidR="006202B0" w:rsidRPr="008B0669" w:rsidTr="006202B0">
        <w:trPr>
          <w:trHeight w:val="60"/>
        </w:trPr>
        <w:tc>
          <w:tcPr>
            <w:tcW w:w="4770" w:type="dxa"/>
            <w:tcBorders>
              <w:top w:val="nil"/>
              <w:left w:val="single" w:sz="8" w:space="0" w:color="auto"/>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Average five day deductible premium income (adjusted premium Income) (</w:t>
            </w:r>
            <w:r w:rsidR="006B0017">
              <w:rPr>
                <w:rFonts w:asciiTheme="minorHAnsi" w:hAnsiTheme="minorHAnsi"/>
              </w:rPr>
              <w:t>$</w:t>
            </w:r>
            <w:r w:rsidR="006B0017" w:rsidRPr="008B0669">
              <w:rPr>
                <w:rFonts w:asciiTheme="minorHAnsi" w:hAnsiTheme="minorHAnsi"/>
              </w:rPr>
              <w:t>m</w:t>
            </w:r>
            <w:r w:rsidR="006B0017">
              <w:rPr>
                <w:rFonts w:asciiTheme="minorHAnsi" w:hAnsiTheme="minorHAnsi"/>
              </w:rPr>
              <w:t>illion)</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$24.78</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$24.23</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$24.55</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$27.60</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$32.43</w:t>
            </w:r>
          </w:p>
        </w:tc>
      </w:tr>
      <w:tr w:rsidR="006202B0" w:rsidRPr="008B0669" w:rsidTr="006202B0">
        <w:trPr>
          <w:trHeight w:val="60"/>
        </w:trPr>
        <w:tc>
          <w:tcPr>
            <w:tcW w:w="4770" w:type="dxa"/>
            <w:tcBorders>
              <w:top w:val="nil"/>
              <w:left w:val="single" w:sz="8" w:space="0" w:color="auto"/>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Average five day deductible premium equivalent rate (adjusted premium rate)</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5.88%</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5.12%</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4.16%</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3.87%</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3.76%</w:t>
            </w:r>
          </w:p>
        </w:tc>
      </w:tr>
      <w:tr w:rsidR="006202B0" w:rsidRPr="008B0669" w:rsidTr="006202B0">
        <w:trPr>
          <w:trHeight w:val="60"/>
        </w:trPr>
        <w:tc>
          <w:tcPr>
            <w:tcW w:w="4770" w:type="dxa"/>
            <w:tcBorders>
              <w:top w:val="nil"/>
              <w:left w:val="single" w:sz="8" w:space="0" w:color="auto"/>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Wages pool (remuneration) (</w:t>
            </w:r>
            <w:r w:rsidR="006B0017">
              <w:rPr>
                <w:rFonts w:asciiTheme="minorHAnsi" w:hAnsiTheme="minorHAnsi"/>
              </w:rPr>
              <w:t>$</w:t>
            </w:r>
            <w:r w:rsidR="006B0017" w:rsidRPr="008B0669">
              <w:rPr>
                <w:rFonts w:asciiTheme="minorHAnsi" w:hAnsiTheme="minorHAnsi"/>
              </w:rPr>
              <w:t>m</w:t>
            </w:r>
            <w:r w:rsidR="006B0017">
              <w:rPr>
                <w:rFonts w:asciiTheme="minorHAnsi" w:hAnsiTheme="minorHAnsi"/>
              </w:rPr>
              <w:t>illion)</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$421.85</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$472.89</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$590.63</w:t>
            </w:r>
          </w:p>
        </w:tc>
        <w:tc>
          <w:tcPr>
            <w:tcW w:w="99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$713.29</w:t>
            </w:r>
          </w:p>
        </w:tc>
        <w:tc>
          <w:tcPr>
            <w:tcW w:w="1080" w:type="dxa"/>
            <w:tcBorders>
              <w:top w:val="nil"/>
              <w:left w:val="nil"/>
              <w:bottom w:val="single" w:sz="8" w:space="0" w:color="auto"/>
              <w:right w:val="single" w:sz="8" w:space="0" w:color="auto"/>
            </w:tcBorders>
            <w:tcMar>
              <w:top w:w="102" w:type="dxa"/>
              <w:left w:w="113" w:type="dxa"/>
              <w:bottom w:w="102" w:type="dxa"/>
              <w:right w:w="113" w:type="dxa"/>
            </w:tcMar>
            <w:vAlign w:val="center"/>
            <w:hideMark/>
          </w:tcPr>
          <w:p w:rsidR="006202B0" w:rsidRPr="008B0669" w:rsidRDefault="006202B0" w:rsidP="00AF0E99">
            <w:pPr>
              <w:rPr>
                <w:rFonts w:asciiTheme="minorHAnsi" w:hAnsiTheme="minorHAnsi"/>
              </w:rPr>
            </w:pPr>
            <w:r w:rsidRPr="008B0669">
              <w:rPr>
                <w:rFonts w:asciiTheme="minorHAnsi" w:hAnsiTheme="minorHAnsi"/>
              </w:rPr>
              <w:t>$863.51</w:t>
            </w:r>
          </w:p>
        </w:tc>
      </w:tr>
    </w:tbl>
    <w:p w:rsidR="006202B0" w:rsidRPr="008B0669" w:rsidRDefault="006202B0" w:rsidP="006202B0">
      <w:pPr>
        <w:tabs>
          <w:tab w:val="left" w:pos="630"/>
        </w:tabs>
        <w:ind w:left="630"/>
        <w:rPr>
          <w:rFonts w:asciiTheme="minorHAnsi" w:hAnsiTheme="minorHAnsi" w:cs="Helvetica 45 Light"/>
          <w:i/>
        </w:rPr>
      </w:pPr>
      <w:r w:rsidRPr="008B0669">
        <w:rPr>
          <w:rFonts w:asciiTheme="minorHAnsi" w:hAnsiTheme="minorHAnsi" w:cs="Helvetica 45 Light"/>
          <w:i/>
        </w:rPr>
        <w:t xml:space="preserve"> Source: Taylor Fry</w:t>
      </w:r>
    </w:p>
    <w:p w:rsidR="006202B0" w:rsidRPr="008B0669" w:rsidRDefault="006202B0" w:rsidP="006202B0">
      <w:pPr>
        <w:rPr>
          <w:rFonts w:asciiTheme="minorHAnsi" w:hAnsiTheme="minorHAnsi"/>
        </w:rPr>
      </w:pPr>
    </w:p>
    <w:p w:rsidR="006202B0" w:rsidRPr="008B0669" w:rsidRDefault="006202B0" w:rsidP="006202B0">
      <w:pPr>
        <w:pStyle w:val="Pa3"/>
        <w:spacing w:line="240" w:lineRule="auto"/>
        <w:ind w:left="630"/>
        <w:rPr>
          <w:rFonts w:asciiTheme="minorHAnsi" w:hAnsiTheme="minorHAnsi" w:cs="Helvetica 45 Light"/>
          <w:sz w:val="22"/>
          <w:szCs w:val="22"/>
        </w:rPr>
      </w:pPr>
      <w:r w:rsidRPr="008B0669">
        <w:rPr>
          <w:rFonts w:asciiTheme="minorHAnsi" w:hAnsiTheme="minorHAnsi" w:cs="Helvetica 45 Light"/>
          <w:sz w:val="22"/>
          <w:szCs w:val="22"/>
        </w:rPr>
        <w:t xml:space="preserve">Although premiums and remuneration increased between 2009–10 and 2010–11, premium incomes increased at a slower rate resulting in a reduction of 10.6 per cent in the unadjusted premium rate. </w:t>
      </w:r>
    </w:p>
    <w:p w:rsidR="006202B0" w:rsidRPr="008B0669" w:rsidRDefault="006202B0" w:rsidP="006202B0">
      <w:pPr>
        <w:pStyle w:val="Pa3"/>
        <w:spacing w:line="240" w:lineRule="auto"/>
        <w:ind w:left="720"/>
        <w:rPr>
          <w:rFonts w:asciiTheme="minorHAnsi" w:hAnsiTheme="minorHAnsi" w:cs="Helvetica 45 Light"/>
          <w:sz w:val="22"/>
          <w:szCs w:val="22"/>
        </w:rPr>
      </w:pPr>
    </w:p>
    <w:p w:rsidR="006202B0" w:rsidRPr="008B0669" w:rsidRDefault="006202B0" w:rsidP="006202B0">
      <w:pPr>
        <w:pStyle w:val="Pa3"/>
        <w:spacing w:line="240" w:lineRule="auto"/>
        <w:ind w:left="630"/>
        <w:rPr>
          <w:rFonts w:asciiTheme="minorHAnsi" w:hAnsiTheme="minorHAnsi" w:cs="Helvetica 45 Light"/>
          <w:sz w:val="22"/>
          <w:szCs w:val="22"/>
        </w:rPr>
      </w:pPr>
      <w:r w:rsidRPr="008B0669">
        <w:rPr>
          <w:rFonts w:asciiTheme="minorHAnsi" w:hAnsiTheme="minorHAnsi" w:cs="Helvetica 45 Light"/>
          <w:sz w:val="22"/>
          <w:szCs w:val="22"/>
        </w:rPr>
        <w:t xml:space="preserve">The adjusted premium rate for 2010–11 has also reduced considerably from the rate calculated for 2009–10. The effect of </w:t>
      </w:r>
      <w:proofErr w:type="spellStart"/>
      <w:r w:rsidRPr="008B0669">
        <w:rPr>
          <w:rFonts w:asciiTheme="minorHAnsi" w:hAnsiTheme="minorHAnsi" w:cs="Helvetica 45 Light"/>
          <w:sz w:val="22"/>
          <w:szCs w:val="22"/>
        </w:rPr>
        <w:t>standardising</w:t>
      </w:r>
      <w:proofErr w:type="spellEnd"/>
      <w:r w:rsidRPr="008B0669">
        <w:rPr>
          <w:rFonts w:asciiTheme="minorHAnsi" w:hAnsiTheme="minorHAnsi" w:cs="Helvetica 45 Light"/>
          <w:sz w:val="22"/>
          <w:szCs w:val="22"/>
        </w:rPr>
        <w:t xml:space="preserve"> the premium rate has resulted in an increase in the adjusted premium rate for 2010–11 of 165 per cent (2.28 per cent to 3.76 per cent), the corresponding ratio for 2009–10 being 152 per cent </w:t>
      </w:r>
      <w:r w:rsidR="00E01366">
        <w:rPr>
          <w:rFonts w:asciiTheme="minorHAnsi" w:hAnsiTheme="minorHAnsi" w:cs="Helvetica 45 Light"/>
          <w:sz w:val="22"/>
          <w:szCs w:val="22"/>
        </w:rPr>
        <w:br/>
      </w:r>
      <w:r w:rsidRPr="008B0669">
        <w:rPr>
          <w:rFonts w:asciiTheme="minorHAnsi" w:hAnsiTheme="minorHAnsi" w:cs="Helvetica 45 Light"/>
          <w:sz w:val="22"/>
          <w:szCs w:val="22"/>
        </w:rPr>
        <w:t xml:space="preserve">(2.55 per cent to 3.87 per cent). </w:t>
      </w:r>
    </w:p>
    <w:p w:rsidR="006202B0" w:rsidRPr="008B0669" w:rsidRDefault="006202B0" w:rsidP="006202B0">
      <w:pPr>
        <w:ind w:left="720"/>
        <w:rPr>
          <w:rFonts w:asciiTheme="minorHAnsi" w:hAnsiTheme="minorHAnsi" w:cs="Helvetica 45 Light"/>
        </w:rPr>
      </w:pPr>
    </w:p>
    <w:p w:rsidR="006202B0" w:rsidRPr="008B0669" w:rsidRDefault="006202B0" w:rsidP="006202B0">
      <w:pPr>
        <w:ind w:left="630"/>
        <w:rPr>
          <w:rFonts w:asciiTheme="minorHAnsi" w:hAnsiTheme="minorHAnsi"/>
        </w:rPr>
      </w:pPr>
      <w:r w:rsidRPr="008B0669">
        <w:rPr>
          <w:rFonts w:asciiTheme="minorHAnsi" w:hAnsiTheme="minorHAnsi" w:cs="Helvetica 45 Light"/>
        </w:rPr>
        <w:t xml:space="preserve">Premium rates have reduced considerably over the past five years to 2010–11 and are now at levels experienced in the late </w:t>
      </w:r>
      <w:proofErr w:type="spellStart"/>
      <w:r w:rsidRPr="008B0669">
        <w:rPr>
          <w:rFonts w:asciiTheme="minorHAnsi" w:hAnsiTheme="minorHAnsi" w:cs="Helvetica 45 Light"/>
        </w:rPr>
        <w:t>1990s</w:t>
      </w:r>
      <w:proofErr w:type="spellEnd"/>
      <w:r w:rsidRPr="008B0669">
        <w:rPr>
          <w:rFonts w:asciiTheme="minorHAnsi" w:hAnsiTheme="minorHAnsi" w:cs="Helvetica 45 Light"/>
        </w:rPr>
        <w:t>. The reductions in premium rates are due in part to changes in claims experience and therefore calculated risk.</w:t>
      </w:r>
    </w:p>
    <w:p w:rsidR="006202B0" w:rsidRPr="008B0669" w:rsidRDefault="006202B0">
      <w:pPr>
        <w:spacing w:after="200" w:line="276" w:lineRule="auto"/>
        <w:rPr>
          <w:rFonts w:asciiTheme="minorHAnsi" w:hAnsiTheme="minorHAnsi"/>
          <w:i/>
          <w:highlight w:val="yellow"/>
        </w:rPr>
      </w:pPr>
      <w:r w:rsidRPr="008B0669">
        <w:rPr>
          <w:rFonts w:asciiTheme="minorHAnsi" w:hAnsiTheme="minorHAnsi"/>
          <w:i/>
          <w:highlight w:val="yellow"/>
        </w:rPr>
        <w:br w:type="page"/>
      </w:r>
    </w:p>
    <w:p w:rsidR="006202B0" w:rsidRPr="008B0669" w:rsidRDefault="006202B0" w:rsidP="006202B0">
      <w:pPr>
        <w:pStyle w:val="Heading2"/>
        <w:spacing w:before="0" w:after="0" w:line="240" w:lineRule="auto"/>
        <w:ind w:left="576"/>
        <w:rPr>
          <w:rFonts w:asciiTheme="minorHAnsi" w:hAnsiTheme="minorHAnsi" w:cs="Arial"/>
          <w:color w:val="auto"/>
        </w:rPr>
      </w:pPr>
      <w:bookmarkStart w:id="17" w:name="_Toc341014947"/>
      <w:r w:rsidRPr="008B0669">
        <w:rPr>
          <w:rFonts w:asciiTheme="minorHAnsi" w:hAnsiTheme="minorHAnsi" w:cs="Arial"/>
          <w:color w:val="auto"/>
        </w:rPr>
        <w:lastRenderedPageBreak/>
        <w:t>APPENDIX 2 – Application provisions of the Seafarers Act and the OHS(MI) Act</w:t>
      </w:r>
      <w:bookmarkEnd w:id="17"/>
    </w:p>
    <w:p w:rsidR="00A16DE7" w:rsidRPr="008B0669" w:rsidRDefault="00A16DE7" w:rsidP="00A16DE7">
      <w:pPr>
        <w:rPr>
          <w:rFonts w:asciiTheme="minorHAnsi" w:hAnsiTheme="minorHAnsi"/>
        </w:rPr>
      </w:pPr>
    </w:p>
    <w:p w:rsidR="00A16DE7" w:rsidRPr="008B0669" w:rsidRDefault="00A16DE7" w:rsidP="00A16DE7">
      <w:pPr>
        <w:ind w:left="576"/>
        <w:rPr>
          <w:rFonts w:asciiTheme="minorHAnsi" w:hAnsiTheme="minorHAnsi"/>
        </w:rPr>
      </w:pPr>
      <w:r w:rsidRPr="008B0669">
        <w:rPr>
          <w:rFonts w:asciiTheme="minorHAnsi" w:hAnsiTheme="minorHAnsi"/>
        </w:rPr>
        <w:t>This Appendix sets out key provisions from the application provisions in these Acts.  For a complete appreciation of the provisions, please refer to the full original sections and associated definitions in the Acts.</w:t>
      </w:r>
    </w:p>
    <w:p w:rsidR="00640ED3" w:rsidRPr="008B0669" w:rsidRDefault="00640ED3" w:rsidP="00640ED3">
      <w:pPr>
        <w:rPr>
          <w:rFonts w:asciiTheme="minorHAnsi" w:hAnsiTheme="minorHAnsi"/>
        </w:rPr>
      </w:pPr>
    </w:p>
    <w:tbl>
      <w:tblPr>
        <w:tblStyle w:val="TableGrid"/>
        <w:tblW w:w="0" w:type="auto"/>
        <w:tblInd w:w="648" w:type="dxa"/>
        <w:tblLook w:val="04A0" w:firstRow="1" w:lastRow="0" w:firstColumn="1" w:lastColumn="0" w:noHBand="0" w:noVBand="1"/>
      </w:tblPr>
      <w:tblGrid>
        <w:gridCol w:w="10080"/>
      </w:tblGrid>
      <w:tr w:rsidR="000B2678" w:rsidRPr="008B0669" w:rsidTr="00D432BF">
        <w:tc>
          <w:tcPr>
            <w:tcW w:w="10080" w:type="dxa"/>
          </w:tcPr>
          <w:p w:rsidR="00D432BF" w:rsidRPr="008B0669" w:rsidRDefault="00D432BF" w:rsidP="00A16DE7">
            <w:pPr>
              <w:rPr>
                <w:rFonts w:asciiTheme="minorHAnsi" w:hAnsiTheme="minorHAnsi"/>
                <w:b/>
                <w:i/>
              </w:rPr>
            </w:pPr>
            <w:r w:rsidRPr="008B0669">
              <w:rPr>
                <w:rFonts w:asciiTheme="minorHAnsi" w:hAnsiTheme="minorHAnsi"/>
                <w:b/>
                <w:i/>
              </w:rPr>
              <w:t>Seafarers Rehabilitation and Compensation Act 1992</w:t>
            </w:r>
          </w:p>
          <w:p w:rsidR="00D432BF" w:rsidRPr="008B0669" w:rsidRDefault="00D432BF" w:rsidP="00D432BF">
            <w:pPr>
              <w:rPr>
                <w:rFonts w:asciiTheme="minorHAnsi" w:hAnsiTheme="minorHAnsi"/>
                <w:b/>
              </w:rPr>
            </w:pPr>
            <w:r w:rsidRPr="008B0669">
              <w:rPr>
                <w:rFonts w:asciiTheme="minorHAnsi" w:hAnsiTheme="minorHAnsi"/>
              </w:rPr>
              <w:t xml:space="preserve">Extract from </w:t>
            </w:r>
            <w:proofErr w:type="spellStart"/>
            <w:r w:rsidRPr="008B0669">
              <w:rPr>
                <w:rFonts w:asciiTheme="minorHAnsi" w:hAnsiTheme="minorHAnsi"/>
              </w:rPr>
              <w:t>s.19</w:t>
            </w:r>
            <w:proofErr w:type="spellEnd"/>
            <w:r w:rsidRPr="008B0669">
              <w:rPr>
                <w:rFonts w:asciiTheme="minorHAnsi" w:hAnsiTheme="minorHAnsi"/>
                <w:i/>
              </w:rPr>
              <w:t>, Application of Act</w:t>
            </w:r>
          </w:p>
        </w:tc>
      </w:tr>
    </w:tbl>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 xml:space="preserve">(1) This Act applies to the employment of employees on a prescribed ship that is engaged in trade or commerce: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(a) between Australia and places outside Australia;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w:t>
      </w:r>
      <w:proofErr w:type="spellStart"/>
      <w:r w:rsidRPr="008B0669">
        <w:rPr>
          <w:rFonts w:asciiTheme="minorHAnsi" w:hAnsiTheme="minorHAnsi"/>
        </w:rPr>
        <w:t>aa</w:t>
      </w:r>
      <w:proofErr w:type="spellEnd"/>
      <w:r w:rsidRPr="008B0669">
        <w:rPr>
          <w:rFonts w:asciiTheme="minorHAnsi" w:hAnsiTheme="minorHAnsi"/>
        </w:rPr>
        <w:t xml:space="preserve">) between 2 places outside Australia;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among the States;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(c) within a Territory, between a State and a Territory or between 2 Territories. </w:t>
      </w:r>
    </w:p>
    <w:p w:rsidR="00640ED3" w:rsidRPr="008B0669" w:rsidRDefault="00640ED3" w:rsidP="00640ED3">
      <w:pPr>
        <w:ind w:left="936"/>
        <w:rPr>
          <w:rFonts w:asciiTheme="minorHAnsi" w:hAnsiTheme="minorHAnsi"/>
          <w:sz w:val="18"/>
          <w:szCs w:val="18"/>
        </w:rPr>
      </w:pPr>
    </w:p>
    <w:p w:rsidR="00640ED3" w:rsidRPr="008B0669" w:rsidRDefault="00640ED3" w:rsidP="00640ED3">
      <w:pPr>
        <w:ind w:left="576"/>
        <w:rPr>
          <w:rFonts w:asciiTheme="minorHAnsi" w:hAnsiTheme="minorHAnsi"/>
          <w:sz w:val="18"/>
          <w:szCs w:val="18"/>
        </w:rPr>
      </w:pPr>
      <w:r w:rsidRPr="008B0669">
        <w:rPr>
          <w:rFonts w:asciiTheme="minorHAnsi" w:hAnsiTheme="minorHAnsi"/>
          <w:sz w:val="18"/>
          <w:szCs w:val="18"/>
        </w:rPr>
        <w:t xml:space="preserve">Note: This Act does not apply if a prescribed ship is a ship registered in the Australian International Shipping Register, see paragraph </w:t>
      </w:r>
      <w:proofErr w:type="spellStart"/>
      <w:r w:rsidRPr="008B0669">
        <w:rPr>
          <w:rFonts w:asciiTheme="minorHAnsi" w:hAnsiTheme="minorHAnsi"/>
          <w:sz w:val="18"/>
          <w:szCs w:val="18"/>
        </w:rPr>
        <w:t>61AA</w:t>
      </w:r>
      <w:proofErr w:type="spellEnd"/>
      <w:r w:rsidRPr="008B0669">
        <w:rPr>
          <w:rFonts w:asciiTheme="minorHAnsi" w:hAnsiTheme="minorHAnsi"/>
          <w:sz w:val="18"/>
          <w:szCs w:val="18"/>
        </w:rPr>
        <w:t xml:space="preserve">(b) of the </w:t>
      </w:r>
      <w:r w:rsidRPr="008B0669">
        <w:rPr>
          <w:rFonts w:asciiTheme="minorHAnsi" w:hAnsiTheme="minorHAnsi"/>
          <w:i/>
          <w:iCs/>
          <w:sz w:val="18"/>
          <w:szCs w:val="18"/>
        </w:rPr>
        <w:t>Shipping Registration Act 1981</w:t>
      </w:r>
      <w:r w:rsidRPr="008B0669">
        <w:rPr>
          <w:rFonts w:asciiTheme="minorHAnsi" w:hAnsiTheme="minorHAnsi"/>
          <w:sz w:val="18"/>
          <w:szCs w:val="18"/>
        </w:rPr>
        <w:t xml:space="preserve">. </w:t>
      </w:r>
    </w:p>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w:t>
      </w:r>
      <w:proofErr w:type="spellStart"/>
      <w:r w:rsidRPr="008B0669">
        <w:rPr>
          <w:rFonts w:asciiTheme="minorHAnsi" w:hAnsiTheme="minorHAnsi"/>
        </w:rPr>
        <w:t>1AA</w:t>
      </w:r>
      <w:proofErr w:type="spellEnd"/>
      <w:r w:rsidRPr="008B0669">
        <w:rPr>
          <w:rFonts w:asciiTheme="minorHAnsi" w:hAnsiTheme="minorHAnsi"/>
        </w:rPr>
        <w:t xml:space="preserve">) This Act also applies to the employment of employees on: </w:t>
      </w:r>
    </w:p>
    <w:p w:rsidR="00640ED3" w:rsidRPr="008B0669" w:rsidRDefault="00640ED3" w:rsidP="00640ED3">
      <w:pPr>
        <w:ind w:left="1296"/>
        <w:rPr>
          <w:rFonts w:asciiTheme="minorHAnsi" w:hAnsiTheme="minorHAnsi"/>
        </w:rPr>
      </w:pPr>
    </w:p>
    <w:p w:rsidR="00640ED3" w:rsidRPr="008B0669" w:rsidRDefault="00640ED3" w:rsidP="00640ED3">
      <w:pPr>
        <w:tabs>
          <w:tab w:val="left" w:pos="360"/>
        </w:tabs>
        <w:ind w:left="936"/>
        <w:rPr>
          <w:rFonts w:asciiTheme="minorHAnsi" w:hAnsiTheme="minorHAnsi"/>
        </w:rPr>
      </w:pPr>
      <w:r w:rsidRPr="008B0669">
        <w:rPr>
          <w:rFonts w:asciiTheme="minorHAnsi" w:hAnsiTheme="minorHAnsi"/>
        </w:rPr>
        <w:t xml:space="preserve">(a) a vessel that is used to engage in coastal trading under a general licence; or </w:t>
      </w:r>
    </w:p>
    <w:p w:rsidR="00640ED3" w:rsidRPr="008B0669" w:rsidRDefault="00640ED3" w:rsidP="00640ED3">
      <w:pPr>
        <w:ind w:left="936" w:firstLine="360"/>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a vessel that is used to engage in coastal trading under an emergency licence if the vessel is registered in the Australian General Shipping Register. </w:t>
      </w:r>
    </w:p>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w:t>
      </w:r>
      <w:proofErr w:type="spellStart"/>
      <w:r w:rsidRPr="008B0669">
        <w:rPr>
          <w:rFonts w:asciiTheme="minorHAnsi" w:hAnsiTheme="minorHAnsi"/>
        </w:rPr>
        <w:t>1A</w:t>
      </w:r>
      <w:proofErr w:type="spellEnd"/>
      <w:r w:rsidRPr="008B0669">
        <w:rPr>
          <w:rFonts w:asciiTheme="minorHAnsi" w:hAnsiTheme="minorHAnsi"/>
        </w:rPr>
        <w:t xml:space="preserve">) This Act also applies to the employment of employees on any prescribed ship that is: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(a) an off-shore industry vessel in relation to which a declaration under subsection </w:t>
      </w:r>
      <w:proofErr w:type="spellStart"/>
      <w:r w:rsidRPr="008B0669">
        <w:rPr>
          <w:rFonts w:asciiTheme="minorHAnsi" w:hAnsiTheme="minorHAnsi"/>
        </w:rPr>
        <w:t>8A</w:t>
      </w:r>
      <w:proofErr w:type="spellEnd"/>
      <w:r w:rsidRPr="008B0669">
        <w:rPr>
          <w:rFonts w:asciiTheme="minorHAnsi" w:hAnsiTheme="minorHAnsi"/>
        </w:rPr>
        <w:t xml:space="preserve">(2) of the Navigation Act is in force; or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a trading ship in relation to which a declaration under subsection </w:t>
      </w:r>
      <w:proofErr w:type="spellStart"/>
      <w:r w:rsidRPr="008B0669">
        <w:rPr>
          <w:rFonts w:asciiTheme="minorHAnsi" w:hAnsiTheme="minorHAnsi"/>
        </w:rPr>
        <w:t>8AA</w:t>
      </w:r>
      <w:proofErr w:type="spellEnd"/>
      <w:r w:rsidRPr="008B0669">
        <w:rPr>
          <w:rFonts w:asciiTheme="minorHAnsi" w:hAnsiTheme="minorHAnsi"/>
        </w:rPr>
        <w:t>(2) of that Act is in force.</w:t>
      </w:r>
    </w:p>
    <w:p w:rsidR="00640ED3" w:rsidRPr="008B0669" w:rsidRDefault="00640ED3" w:rsidP="00640ED3">
      <w:pPr>
        <w:ind w:left="576"/>
        <w:rPr>
          <w:rFonts w:asciiTheme="minorHAnsi" w:hAnsiTheme="minorHAnsi"/>
        </w:rPr>
      </w:pPr>
    </w:p>
    <w:tbl>
      <w:tblPr>
        <w:tblStyle w:val="TableGrid"/>
        <w:tblW w:w="0" w:type="auto"/>
        <w:tblInd w:w="576" w:type="dxa"/>
        <w:tblLook w:val="04A0" w:firstRow="1" w:lastRow="0" w:firstColumn="1" w:lastColumn="0" w:noHBand="0" w:noVBand="1"/>
      </w:tblPr>
      <w:tblGrid>
        <w:gridCol w:w="10412"/>
      </w:tblGrid>
      <w:tr w:rsidR="000B2678" w:rsidRPr="008B0669" w:rsidTr="00A16DE7">
        <w:tc>
          <w:tcPr>
            <w:tcW w:w="10988" w:type="dxa"/>
          </w:tcPr>
          <w:p w:rsidR="00A16DE7" w:rsidRPr="008B0669" w:rsidRDefault="00A16DE7" w:rsidP="00A16DE7">
            <w:pPr>
              <w:rPr>
                <w:rFonts w:asciiTheme="minorHAnsi" w:hAnsiTheme="minorHAnsi"/>
                <w:iCs/>
              </w:rPr>
            </w:pPr>
            <w:r w:rsidRPr="008B0669">
              <w:rPr>
                <w:rFonts w:asciiTheme="minorHAnsi" w:hAnsiTheme="minorHAnsi"/>
                <w:b/>
                <w:i/>
                <w:iCs/>
              </w:rPr>
              <w:t>Occupational Health and Safety (Maritime Industry) Act 1993</w:t>
            </w:r>
          </w:p>
          <w:p w:rsidR="00A16DE7" w:rsidRPr="008B0669" w:rsidRDefault="00A16DE7" w:rsidP="00A16DE7">
            <w:pPr>
              <w:rPr>
                <w:rFonts w:asciiTheme="minorHAnsi" w:hAnsiTheme="minorHAnsi"/>
              </w:rPr>
            </w:pPr>
            <w:r w:rsidRPr="008B0669">
              <w:rPr>
                <w:rFonts w:asciiTheme="minorHAnsi" w:hAnsiTheme="minorHAnsi"/>
              </w:rPr>
              <w:t xml:space="preserve">Extract from </w:t>
            </w:r>
            <w:proofErr w:type="spellStart"/>
            <w:r w:rsidRPr="008B0669">
              <w:rPr>
                <w:rFonts w:asciiTheme="minorHAnsi" w:hAnsiTheme="minorHAnsi"/>
              </w:rPr>
              <w:t>s.6</w:t>
            </w:r>
            <w:proofErr w:type="spellEnd"/>
            <w:r w:rsidRPr="008B0669">
              <w:rPr>
                <w:rFonts w:asciiTheme="minorHAnsi" w:hAnsiTheme="minorHAnsi"/>
              </w:rPr>
              <w:t>,</w:t>
            </w:r>
            <w:r w:rsidRPr="008B0669">
              <w:rPr>
                <w:rFonts w:asciiTheme="minorHAnsi" w:hAnsiTheme="minorHAnsi"/>
                <w:i/>
              </w:rPr>
              <w:t xml:space="preserve"> Application of Act</w:t>
            </w:r>
          </w:p>
        </w:tc>
      </w:tr>
    </w:tbl>
    <w:p w:rsidR="00640ED3" w:rsidRPr="008B0669" w:rsidRDefault="00640ED3" w:rsidP="00640ED3">
      <w:pPr>
        <w:ind w:left="576"/>
        <w:rPr>
          <w:rFonts w:asciiTheme="minorHAnsi" w:hAnsiTheme="minorHAnsi"/>
        </w:rPr>
      </w:pPr>
    </w:p>
    <w:p w:rsidR="00640ED3" w:rsidRPr="008B0669" w:rsidRDefault="00640ED3" w:rsidP="00640ED3">
      <w:pPr>
        <w:pStyle w:val="ListParagraph"/>
        <w:numPr>
          <w:ilvl w:val="0"/>
          <w:numId w:val="24"/>
        </w:numPr>
        <w:ind w:left="936"/>
        <w:rPr>
          <w:rFonts w:asciiTheme="minorHAnsi" w:hAnsiTheme="minorHAnsi"/>
        </w:rPr>
      </w:pPr>
      <w:r w:rsidRPr="008B0669">
        <w:rPr>
          <w:rFonts w:asciiTheme="minorHAnsi" w:hAnsiTheme="minorHAnsi"/>
        </w:rPr>
        <w:t xml:space="preserve">This Act applies in relation to a prescribed ship or prescribed unit that is engaged in trade or commerce: </w:t>
      </w:r>
    </w:p>
    <w:p w:rsidR="00640ED3" w:rsidRPr="008B0669" w:rsidRDefault="00640ED3" w:rsidP="00640ED3">
      <w:pPr>
        <w:pStyle w:val="ListParagraph"/>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(a) between Australia and places outside Australia;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w:t>
      </w:r>
      <w:proofErr w:type="spellStart"/>
      <w:r w:rsidRPr="008B0669">
        <w:rPr>
          <w:rFonts w:asciiTheme="minorHAnsi" w:hAnsiTheme="minorHAnsi"/>
        </w:rPr>
        <w:t>aa</w:t>
      </w:r>
      <w:proofErr w:type="spellEnd"/>
      <w:r w:rsidRPr="008B0669">
        <w:rPr>
          <w:rFonts w:asciiTheme="minorHAnsi" w:hAnsiTheme="minorHAnsi"/>
        </w:rPr>
        <w:t xml:space="preserve">) between 2 places outside Australia;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between the States; or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(c) within a Territory, between a State and a Territory or between 2 Territories. </w:t>
      </w:r>
    </w:p>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 xml:space="preserve">(2) Without limiting the operation of subsection (1), this Act applies to: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(a) the operator of a prescribed ship or prescribed unit described in subsection (1);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employees employed on a prescribed ship or prescribed unit described in subsection (1);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lastRenderedPageBreak/>
        <w:t xml:space="preserve">(c) contractors and other persons working on a prescribed ship or prescribed unit described in subsection (1);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(d) manufacturers, suppliers and importers of plant used, or substances used or handled, on a prescribed ship or prescribed unit described in subsection (1). </w:t>
      </w:r>
    </w:p>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 xml:space="preserve">(3) This Act also applies in relation to: </w:t>
      </w:r>
    </w:p>
    <w:p w:rsidR="00640ED3" w:rsidRPr="008B0669" w:rsidRDefault="00640ED3" w:rsidP="00640ED3">
      <w:pPr>
        <w:ind w:left="1296"/>
        <w:rPr>
          <w:rFonts w:asciiTheme="minorHAnsi" w:hAnsiTheme="minorHAnsi"/>
        </w:rPr>
      </w:pPr>
    </w:p>
    <w:p w:rsidR="00640ED3" w:rsidRPr="008B0669" w:rsidRDefault="00640ED3" w:rsidP="00640ED3">
      <w:pPr>
        <w:tabs>
          <w:tab w:val="left" w:pos="630"/>
        </w:tabs>
        <w:ind w:left="936"/>
        <w:rPr>
          <w:rFonts w:asciiTheme="minorHAnsi" w:hAnsiTheme="minorHAnsi"/>
        </w:rPr>
      </w:pPr>
      <w:r w:rsidRPr="008B0669">
        <w:rPr>
          <w:rFonts w:asciiTheme="minorHAnsi" w:hAnsiTheme="minorHAnsi"/>
        </w:rPr>
        <w:t xml:space="preserve">(a) an offshore industry vessel in relation to which a declaration under subsection </w:t>
      </w:r>
      <w:proofErr w:type="spellStart"/>
      <w:r w:rsidRPr="008B0669">
        <w:rPr>
          <w:rFonts w:asciiTheme="minorHAnsi" w:hAnsiTheme="minorHAnsi"/>
        </w:rPr>
        <w:t>8A</w:t>
      </w:r>
      <w:proofErr w:type="spellEnd"/>
      <w:r w:rsidRPr="008B0669">
        <w:rPr>
          <w:rFonts w:asciiTheme="minorHAnsi" w:hAnsiTheme="minorHAnsi"/>
        </w:rPr>
        <w:t xml:space="preserve">(2) of the </w:t>
      </w:r>
      <w:r w:rsidRPr="008B0669">
        <w:rPr>
          <w:rFonts w:asciiTheme="minorHAnsi" w:hAnsiTheme="minorHAnsi"/>
          <w:i/>
          <w:iCs/>
        </w:rPr>
        <w:t xml:space="preserve">Navigation Act 1912 </w:t>
      </w:r>
      <w:r w:rsidRPr="008B0669">
        <w:rPr>
          <w:rFonts w:asciiTheme="minorHAnsi" w:hAnsiTheme="minorHAnsi"/>
        </w:rPr>
        <w:t xml:space="preserve">is in force; and </w:t>
      </w:r>
    </w:p>
    <w:p w:rsidR="00640ED3" w:rsidRPr="008B0669" w:rsidRDefault="00640ED3" w:rsidP="00640ED3">
      <w:pPr>
        <w:tabs>
          <w:tab w:val="left" w:pos="630"/>
        </w:tabs>
        <w:ind w:left="936"/>
        <w:rPr>
          <w:rFonts w:asciiTheme="minorHAnsi" w:hAnsiTheme="minorHAnsi"/>
        </w:rPr>
      </w:pPr>
    </w:p>
    <w:p w:rsidR="00640ED3" w:rsidRPr="008B0669" w:rsidRDefault="00640ED3" w:rsidP="00640ED3">
      <w:pPr>
        <w:tabs>
          <w:tab w:val="left" w:pos="630"/>
        </w:tabs>
        <w:ind w:left="936"/>
        <w:rPr>
          <w:rFonts w:asciiTheme="minorHAnsi" w:hAnsiTheme="minorHAnsi"/>
        </w:rPr>
      </w:pPr>
      <w:r w:rsidRPr="008B0669">
        <w:rPr>
          <w:rFonts w:asciiTheme="minorHAnsi" w:hAnsiTheme="minorHAnsi"/>
        </w:rPr>
        <w:t xml:space="preserve">(b) a trading ship in relation to which a declaration under subsection </w:t>
      </w:r>
      <w:proofErr w:type="spellStart"/>
      <w:r w:rsidRPr="008B0669">
        <w:rPr>
          <w:rFonts w:asciiTheme="minorHAnsi" w:hAnsiTheme="minorHAnsi"/>
        </w:rPr>
        <w:t>8AA</w:t>
      </w:r>
      <w:proofErr w:type="spellEnd"/>
      <w:r w:rsidRPr="008B0669">
        <w:rPr>
          <w:rFonts w:asciiTheme="minorHAnsi" w:hAnsiTheme="minorHAnsi"/>
        </w:rPr>
        <w:t xml:space="preserve">(2) of that Act is in force. </w:t>
      </w:r>
    </w:p>
    <w:p w:rsidR="00640ED3" w:rsidRPr="008B0669" w:rsidRDefault="00640ED3" w:rsidP="00640ED3">
      <w:pPr>
        <w:ind w:left="57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w:t>
      </w:r>
      <w:proofErr w:type="spellStart"/>
      <w:r w:rsidRPr="008B0669">
        <w:rPr>
          <w:rFonts w:asciiTheme="minorHAnsi" w:hAnsiTheme="minorHAnsi"/>
        </w:rPr>
        <w:t>3A</w:t>
      </w:r>
      <w:proofErr w:type="spellEnd"/>
      <w:r w:rsidRPr="008B0669">
        <w:rPr>
          <w:rFonts w:asciiTheme="minorHAnsi" w:hAnsiTheme="minorHAnsi"/>
        </w:rPr>
        <w:t xml:space="preserve">) This Act also applies to: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(a) a vessel that is used to engage in coastal trading under a general licence;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(b) a vessel that is used to engage in coastal trading under a temporary licence if the vessel is registered in the Australian International Shipping Register;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 xml:space="preserve">(c) a vessel that is used to engage in coastal trading under an emergency licence if the vessel is registered in the Australian General Shipping Register or the Australian International Shipping Register. </w:t>
      </w:r>
    </w:p>
    <w:p w:rsidR="00640ED3" w:rsidRPr="008B0669" w:rsidRDefault="00640ED3" w:rsidP="00640ED3">
      <w:pPr>
        <w:ind w:left="1296"/>
        <w:rPr>
          <w:rFonts w:asciiTheme="minorHAnsi" w:hAnsiTheme="minorHAnsi"/>
        </w:rPr>
      </w:pPr>
    </w:p>
    <w:p w:rsidR="00640ED3" w:rsidRPr="008B0669" w:rsidRDefault="00640ED3" w:rsidP="00640ED3">
      <w:pPr>
        <w:ind w:left="576"/>
        <w:rPr>
          <w:rFonts w:asciiTheme="minorHAnsi" w:hAnsiTheme="minorHAnsi"/>
        </w:rPr>
      </w:pPr>
      <w:r w:rsidRPr="008B0669">
        <w:rPr>
          <w:rFonts w:asciiTheme="minorHAnsi" w:hAnsiTheme="minorHAnsi"/>
        </w:rPr>
        <w:t>(4) Without limiting the operation of subsection (3) or (</w:t>
      </w:r>
      <w:proofErr w:type="spellStart"/>
      <w:r w:rsidRPr="008B0669">
        <w:rPr>
          <w:rFonts w:asciiTheme="minorHAnsi" w:hAnsiTheme="minorHAnsi"/>
        </w:rPr>
        <w:t>3A</w:t>
      </w:r>
      <w:proofErr w:type="spellEnd"/>
      <w:r w:rsidRPr="008B0669">
        <w:rPr>
          <w:rFonts w:asciiTheme="minorHAnsi" w:hAnsiTheme="minorHAnsi"/>
        </w:rPr>
        <w:t xml:space="preserve">), this Act applies to: </w:t>
      </w:r>
    </w:p>
    <w:p w:rsidR="00640ED3" w:rsidRPr="008B0669" w:rsidRDefault="00640ED3" w:rsidP="00640ED3">
      <w:pPr>
        <w:ind w:left="129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(a) the operator of a vessel or ship described in subsection (3) or (</w:t>
      </w:r>
      <w:proofErr w:type="spellStart"/>
      <w:r w:rsidRPr="008B0669">
        <w:rPr>
          <w:rFonts w:asciiTheme="minorHAnsi" w:hAnsiTheme="minorHAnsi"/>
        </w:rPr>
        <w:t>3A</w:t>
      </w:r>
      <w:proofErr w:type="spellEnd"/>
      <w:r w:rsidRPr="008B0669">
        <w:rPr>
          <w:rFonts w:asciiTheme="minorHAnsi" w:hAnsiTheme="minorHAnsi"/>
        </w:rPr>
        <w:t xml:space="preserve">);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(b) employees employed on a vessel or ship described in subsection (3) or (</w:t>
      </w:r>
      <w:proofErr w:type="spellStart"/>
      <w:r w:rsidRPr="008B0669">
        <w:rPr>
          <w:rFonts w:asciiTheme="minorHAnsi" w:hAnsiTheme="minorHAnsi"/>
        </w:rPr>
        <w:t>3A</w:t>
      </w:r>
      <w:proofErr w:type="spellEnd"/>
      <w:r w:rsidRPr="008B0669">
        <w:rPr>
          <w:rFonts w:asciiTheme="minorHAnsi" w:hAnsiTheme="minorHAnsi"/>
        </w:rPr>
        <w:t xml:space="preserve">);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(c) contractors and other persons working on a vessel or ship described in subsection (3) or (</w:t>
      </w:r>
      <w:proofErr w:type="spellStart"/>
      <w:r w:rsidRPr="008B0669">
        <w:rPr>
          <w:rFonts w:asciiTheme="minorHAnsi" w:hAnsiTheme="minorHAnsi"/>
        </w:rPr>
        <w:t>3A</w:t>
      </w:r>
      <w:proofErr w:type="spellEnd"/>
      <w:r w:rsidRPr="008B0669">
        <w:rPr>
          <w:rFonts w:asciiTheme="minorHAnsi" w:hAnsiTheme="minorHAnsi"/>
        </w:rPr>
        <w:t xml:space="preserve">); and </w:t>
      </w:r>
    </w:p>
    <w:p w:rsidR="00640ED3" w:rsidRPr="008B0669" w:rsidRDefault="00640ED3" w:rsidP="00640ED3">
      <w:pPr>
        <w:ind w:left="936"/>
        <w:rPr>
          <w:rFonts w:asciiTheme="minorHAnsi" w:hAnsiTheme="minorHAnsi"/>
        </w:rPr>
      </w:pPr>
    </w:p>
    <w:p w:rsidR="00640ED3" w:rsidRPr="008B0669" w:rsidRDefault="00640ED3" w:rsidP="00640ED3">
      <w:pPr>
        <w:ind w:left="936"/>
        <w:rPr>
          <w:rFonts w:asciiTheme="minorHAnsi" w:hAnsiTheme="minorHAnsi"/>
        </w:rPr>
      </w:pPr>
      <w:r w:rsidRPr="008B0669">
        <w:rPr>
          <w:rFonts w:asciiTheme="minorHAnsi" w:hAnsiTheme="minorHAnsi"/>
        </w:rPr>
        <w:t>(d) manufacturers, suppliers and importers of plant used, or substances used or handled on, a vessel or ship described in subsection (3) or (</w:t>
      </w:r>
      <w:proofErr w:type="spellStart"/>
      <w:r w:rsidRPr="008B0669">
        <w:rPr>
          <w:rFonts w:asciiTheme="minorHAnsi" w:hAnsiTheme="minorHAnsi"/>
        </w:rPr>
        <w:t>3A</w:t>
      </w:r>
      <w:proofErr w:type="spellEnd"/>
      <w:r w:rsidRPr="008B0669">
        <w:rPr>
          <w:rFonts w:asciiTheme="minorHAnsi" w:hAnsiTheme="minorHAnsi"/>
        </w:rPr>
        <w:t>).</w:t>
      </w:r>
    </w:p>
    <w:p w:rsidR="00640ED3" w:rsidRPr="008B0669" w:rsidRDefault="00640ED3">
      <w:pPr>
        <w:spacing w:after="200" w:line="276" w:lineRule="auto"/>
        <w:rPr>
          <w:rFonts w:asciiTheme="minorHAnsi" w:hAnsiTheme="minorHAnsi"/>
        </w:rPr>
      </w:pPr>
      <w:r w:rsidRPr="008B0669">
        <w:rPr>
          <w:rFonts w:asciiTheme="minorHAnsi" w:hAnsiTheme="minorHAnsi"/>
        </w:rPr>
        <w:br w:type="page"/>
      </w:r>
    </w:p>
    <w:p w:rsidR="00867570" w:rsidRPr="008B0669" w:rsidRDefault="00B765CF" w:rsidP="002E255C">
      <w:pPr>
        <w:pStyle w:val="Heading2"/>
        <w:spacing w:before="0" w:after="0" w:line="240" w:lineRule="auto"/>
        <w:ind w:left="720"/>
        <w:rPr>
          <w:rFonts w:asciiTheme="minorHAnsi" w:hAnsiTheme="minorHAnsi" w:cs="Arial"/>
          <w:color w:val="auto"/>
        </w:rPr>
      </w:pPr>
      <w:bookmarkStart w:id="18" w:name="_Toc341014948"/>
      <w:r w:rsidRPr="008B0669">
        <w:rPr>
          <w:rFonts w:asciiTheme="minorHAnsi" w:hAnsiTheme="minorHAnsi" w:cs="Arial"/>
          <w:color w:val="auto"/>
        </w:rPr>
        <w:lastRenderedPageBreak/>
        <w:t>AP</w:t>
      </w:r>
      <w:r w:rsidR="006202B0" w:rsidRPr="008B0669">
        <w:rPr>
          <w:rFonts w:asciiTheme="minorHAnsi" w:hAnsiTheme="minorHAnsi" w:cs="Arial"/>
          <w:color w:val="auto"/>
        </w:rPr>
        <w:t>PENDIX 3</w:t>
      </w:r>
      <w:r w:rsidRPr="008B0669">
        <w:rPr>
          <w:rFonts w:asciiTheme="minorHAnsi" w:hAnsiTheme="minorHAnsi" w:cs="Arial"/>
          <w:color w:val="auto"/>
        </w:rPr>
        <w:t xml:space="preserve"> –</w:t>
      </w:r>
      <w:r w:rsidR="007415D2" w:rsidRPr="008B0669">
        <w:rPr>
          <w:rFonts w:asciiTheme="minorHAnsi" w:hAnsiTheme="minorHAnsi" w:cs="Arial"/>
          <w:color w:val="auto"/>
        </w:rPr>
        <w:t xml:space="preserve"> Main differences between the OHS(MI) Act and the </w:t>
      </w:r>
      <w:r w:rsidR="00B26743" w:rsidRPr="008B0669">
        <w:rPr>
          <w:rFonts w:asciiTheme="minorHAnsi" w:hAnsiTheme="minorHAnsi" w:cs="Arial"/>
          <w:color w:val="auto"/>
        </w:rPr>
        <w:t xml:space="preserve">model </w:t>
      </w:r>
      <w:r w:rsidR="007415D2" w:rsidRPr="008B0669">
        <w:rPr>
          <w:rFonts w:asciiTheme="minorHAnsi" w:hAnsiTheme="minorHAnsi" w:cs="Arial"/>
          <w:color w:val="auto"/>
        </w:rPr>
        <w:t>WHS Act</w:t>
      </w:r>
      <w:bookmarkEnd w:id="18"/>
    </w:p>
    <w:p w:rsidR="007415D2" w:rsidRPr="008B0669" w:rsidRDefault="007415D2" w:rsidP="002E255C">
      <w:pPr>
        <w:rPr>
          <w:rFonts w:asciiTheme="minorHAnsi" w:hAnsiTheme="minorHAnsi"/>
        </w:rPr>
      </w:pPr>
    </w:p>
    <w:tbl>
      <w:tblPr>
        <w:tblStyle w:val="TableGrid"/>
        <w:tblW w:w="10440" w:type="dxa"/>
        <w:tblInd w:w="288" w:type="dxa"/>
        <w:tblLook w:val="04A0" w:firstRow="1" w:lastRow="0" w:firstColumn="1" w:lastColumn="0" w:noHBand="0" w:noVBand="1"/>
      </w:tblPr>
      <w:tblGrid>
        <w:gridCol w:w="2070"/>
        <w:gridCol w:w="4050"/>
        <w:gridCol w:w="4320"/>
      </w:tblGrid>
      <w:tr w:rsidR="00E73234" w:rsidRPr="008B0669" w:rsidTr="00B26743">
        <w:trPr>
          <w:trHeight w:val="206"/>
          <w:tblHeader/>
        </w:trPr>
        <w:tc>
          <w:tcPr>
            <w:tcW w:w="2070" w:type="dxa"/>
          </w:tcPr>
          <w:p w:rsidR="009A79FB" w:rsidRPr="008B0669" w:rsidRDefault="009A79FB" w:rsidP="00013B92">
            <w:pPr>
              <w:rPr>
                <w:rFonts w:asciiTheme="minorHAnsi" w:hAnsiTheme="minorHAnsi"/>
                <w:b/>
                <w:i/>
              </w:rPr>
            </w:pPr>
            <w:r w:rsidRPr="008B0669">
              <w:rPr>
                <w:rFonts w:asciiTheme="minorHAnsi" w:hAnsiTheme="minorHAnsi"/>
                <w:b/>
                <w:i/>
              </w:rPr>
              <w:t>Subject</w:t>
            </w:r>
          </w:p>
        </w:tc>
        <w:tc>
          <w:tcPr>
            <w:tcW w:w="4050" w:type="dxa"/>
          </w:tcPr>
          <w:p w:rsidR="009A79FB" w:rsidRPr="008B0669" w:rsidRDefault="009A79FB" w:rsidP="00013B92">
            <w:pPr>
              <w:rPr>
                <w:rFonts w:asciiTheme="minorHAnsi" w:hAnsiTheme="minorHAnsi"/>
                <w:b/>
                <w:i/>
              </w:rPr>
            </w:pPr>
            <w:r w:rsidRPr="008B0669">
              <w:rPr>
                <w:rFonts w:asciiTheme="minorHAnsi" w:hAnsiTheme="minorHAnsi"/>
                <w:b/>
                <w:i/>
              </w:rPr>
              <w:t>Current OHS(MI) Act provisions</w:t>
            </w:r>
          </w:p>
        </w:tc>
        <w:tc>
          <w:tcPr>
            <w:tcW w:w="4320" w:type="dxa"/>
          </w:tcPr>
          <w:p w:rsidR="009A79FB" w:rsidRPr="008B0669" w:rsidRDefault="00B26743" w:rsidP="00013B92">
            <w:pPr>
              <w:rPr>
                <w:rFonts w:asciiTheme="minorHAnsi" w:hAnsiTheme="minorHAnsi"/>
                <w:b/>
                <w:i/>
              </w:rPr>
            </w:pPr>
            <w:r w:rsidRPr="008B0669">
              <w:rPr>
                <w:rFonts w:asciiTheme="minorHAnsi" w:hAnsiTheme="minorHAnsi"/>
                <w:b/>
                <w:i/>
              </w:rPr>
              <w:t>Model WHS Act</w:t>
            </w:r>
          </w:p>
        </w:tc>
      </w:tr>
      <w:tr w:rsidR="009A79FB"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Objects</w:t>
            </w:r>
          </w:p>
        </w:tc>
        <w:tc>
          <w:tcPr>
            <w:tcW w:w="4050" w:type="dxa"/>
          </w:tcPr>
          <w:p w:rsidR="009A79FB" w:rsidRPr="008B0669" w:rsidRDefault="00EE4C6D" w:rsidP="00013B92">
            <w:pPr>
              <w:rPr>
                <w:rFonts w:asciiTheme="minorHAnsi" w:hAnsiTheme="minorHAnsi"/>
              </w:rPr>
            </w:pPr>
            <w:r w:rsidRPr="008B0669">
              <w:rPr>
                <w:rFonts w:asciiTheme="minorHAnsi" w:hAnsiTheme="minorHAnsi"/>
              </w:rPr>
              <w:t xml:space="preserve">The objects </w:t>
            </w:r>
            <w:r w:rsidR="00B26743" w:rsidRPr="008B0669">
              <w:rPr>
                <w:rFonts w:asciiTheme="minorHAnsi" w:hAnsiTheme="minorHAnsi"/>
              </w:rPr>
              <w:t>(</w:t>
            </w:r>
            <w:proofErr w:type="spellStart"/>
            <w:r w:rsidR="00B26743" w:rsidRPr="008B0669">
              <w:rPr>
                <w:rFonts w:asciiTheme="minorHAnsi" w:hAnsiTheme="minorHAnsi"/>
              </w:rPr>
              <w:t>s.3</w:t>
            </w:r>
            <w:proofErr w:type="spellEnd"/>
            <w:r w:rsidR="00B26743" w:rsidRPr="008B0669">
              <w:rPr>
                <w:rFonts w:asciiTheme="minorHAnsi" w:hAnsiTheme="minorHAnsi"/>
              </w:rPr>
              <w:t xml:space="preserve">) </w:t>
            </w:r>
            <w:r w:rsidRPr="008B0669">
              <w:rPr>
                <w:rFonts w:asciiTheme="minorHAnsi" w:hAnsiTheme="minorHAnsi"/>
              </w:rPr>
              <w:t>are focused on the maritime industry and cover:</w:t>
            </w:r>
          </w:p>
          <w:p w:rsidR="00EE4C6D" w:rsidRPr="008B0669" w:rsidRDefault="00EE4C6D" w:rsidP="00013B92">
            <w:pPr>
              <w:rPr>
                <w:rFonts w:asciiTheme="minorHAnsi" w:hAnsiTheme="minorHAnsi"/>
              </w:rPr>
            </w:pPr>
          </w:p>
          <w:p w:rsidR="00EE4C6D" w:rsidRPr="008B0669" w:rsidRDefault="00EE4C6D" w:rsidP="00457A8F">
            <w:pPr>
              <w:pStyle w:val="ListParagraph"/>
              <w:numPr>
                <w:ilvl w:val="0"/>
                <w:numId w:val="34"/>
              </w:numPr>
              <w:ind w:left="360"/>
              <w:rPr>
                <w:rFonts w:asciiTheme="minorHAnsi" w:hAnsiTheme="minorHAnsi"/>
              </w:rPr>
            </w:pPr>
            <w:r w:rsidRPr="008B0669">
              <w:rPr>
                <w:rFonts w:asciiTheme="minorHAnsi" w:hAnsiTheme="minorHAnsi"/>
              </w:rPr>
              <w:t xml:space="preserve">securing the health safety and welfare </w:t>
            </w:r>
            <w:r w:rsidR="00457A8F" w:rsidRPr="008B0669">
              <w:rPr>
                <w:rFonts w:asciiTheme="minorHAnsi" w:hAnsiTheme="minorHAnsi"/>
              </w:rPr>
              <w:t>(</w:t>
            </w:r>
            <w:proofErr w:type="spellStart"/>
            <w:r w:rsidR="00457A8F" w:rsidRPr="008B0669">
              <w:rPr>
                <w:rFonts w:asciiTheme="minorHAnsi" w:hAnsiTheme="minorHAnsi"/>
              </w:rPr>
              <w:t>HSW</w:t>
            </w:r>
            <w:proofErr w:type="spellEnd"/>
            <w:r w:rsidR="00457A8F" w:rsidRPr="008B0669">
              <w:rPr>
                <w:rFonts w:asciiTheme="minorHAnsi" w:hAnsiTheme="minorHAnsi"/>
              </w:rPr>
              <w:t xml:space="preserve">) </w:t>
            </w:r>
            <w:r w:rsidRPr="008B0669">
              <w:rPr>
                <w:rFonts w:asciiTheme="minorHAnsi" w:hAnsiTheme="minorHAnsi"/>
              </w:rPr>
              <w:t>of maritime industry employees;</w:t>
            </w:r>
          </w:p>
          <w:p w:rsidR="00EE4C6D" w:rsidRPr="008B0669" w:rsidRDefault="00EE4C6D" w:rsidP="00457A8F">
            <w:pPr>
              <w:rPr>
                <w:rFonts w:asciiTheme="minorHAnsi" w:hAnsiTheme="minorHAnsi"/>
              </w:rPr>
            </w:pPr>
          </w:p>
          <w:p w:rsidR="00EE4C6D" w:rsidRPr="008B0669" w:rsidRDefault="00EE4C6D" w:rsidP="00457A8F">
            <w:pPr>
              <w:pStyle w:val="ListParagraph"/>
              <w:numPr>
                <w:ilvl w:val="0"/>
                <w:numId w:val="34"/>
              </w:numPr>
              <w:ind w:left="360"/>
              <w:rPr>
                <w:rFonts w:asciiTheme="minorHAnsi" w:hAnsiTheme="minorHAnsi"/>
              </w:rPr>
            </w:pPr>
            <w:r w:rsidRPr="008B0669">
              <w:rPr>
                <w:rFonts w:asciiTheme="minorHAnsi" w:hAnsiTheme="minorHAnsi"/>
              </w:rPr>
              <w:t>protecting persons at or near workplaces from risks arising out of the work of maritime industry employees;</w:t>
            </w:r>
          </w:p>
          <w:p w:rsidR="00EE4C6D" w:rsidRPr="008B0669" w:rsidRDefault="00EE4C6D" w:rsidP="00457A8F">
            <w:pPr>
              <w:rPr>
                <w:rFonts w:asciiTheme="minorHAnsi" w:hAnsiTheme="minorHAnsi"/>
              </w:rPr>
            </w:pPr>
          </w:p>
          <w:p w:rsidR="00EE4C6D" w:rsidRPr="008B0669" w:rsidRDefault="00EE4C6D" w:rsidP="00457A8F">
            <w:pPr>
              <w:pStyle w:val="ListParagraph"/>
              <w:numPr>
                <w:ilvl w:val="0"/>
                <w:numId w:val="34"/>
              </w:numPr>
              <w:ind w:left="360"/>
              <w:rPr>
                <w:rFonts w:asciiTheme="minorHAnsi" w:hAnsiTheme="minorHAnsi"/>
              </w:rPr>
            </w:pPr>
            <w:r w:rsidRPr="008B0669">
              <w:rPr>
                <w:rFonts w:asciiTheme="minorHAnsi" w:hAnsiTheme="minorHAnsi"/>
              </w:rPr>
              <w:t>ensuring expert advice is available on matters relating to maritime industry participants;</w:t>
            </w:r>
          </w:p>
          <w:p w:rsidR="00457A8F" w:rsidRPr="008B0669" w:rsidRDefault="00457A8F" w:rsidP="00457A8F">
            <w:pPr>
              <w:rPr>
                <w:rFonts w:asciiTheme="minorHAnsi" w:hAnsiTheme="minorHAnsi"/>
              </w:rPr>
            </w:pPr>
          </w:p>
          <w:p w:rsidR="00457A8F" w:rsidRPr="008B0669" w:rsidRDefault="00457A8F" w:rsidP="00457A8F">
            <w:pPr>
              <w:pStyle w:val="ListParagraph"/>
              <w:numPr>
                <w:ilvl w:val="0"/>
                <w:numId w:val="34"/>
              </w:numPr>
              <w:ind w:left="360"/>
              <w:rPr>
                <w:rFonts w:asciiTheme="minorHAnsi" w:hAnsiTheme="minorHAnsi"/>
              </w:rPr>
            </w:pPr>
            <w:r w:rsidRPr="008B0669">
              <w:rPr>
                <w:rFonts w:asciiTheme="minorHAnsi" w:hAnsiTheme="minorHAnsi"/>
              </w:rPr>
              <w:t>promoting a safe occupational environment;</w:t>
            </w:r>
          </w:p>
          <w:p w:rsidR="00457A8F" w:rsidRPr="008B0669" w:rsidRDefault="00457A8F" w:rsidP="00457A8F">
            <w:pPr>
              <w:rPr>
                <w:rFonts w:asciiTheme="minorHAnsi" w:hAnsiTheme="minorHAnsi"/>
              </w:rPr>
            </w:pPr>
          </w:p>
          <w:p w:rsidR="00EE4C6D" w:rsidRPr="008B0669" w:rsidRDefault="00457A8F" w:rsidP="009D0A2E">
            <w:pPr>
              <w:pStyle w:val="ListParagraph"/>
              <w:numPr>
                <w:ilvl w:val="0"/>
                <w:numId w:val="34"/>
              </w:numPr>
              <w:ind w:left="360"/>
              <w:rPr>
                <w:rFonts w:asciiTheme="minorHAnsi" w:hAnsiTheme="minorHAnsi"/>
              </w:rPr>
            </w:pPr>
            <w:r w:rsidRPr="008B0669">
              <w:rPr>
                <w:rFonts w:asciiTheme="minorHAnsi" w:hAnsiTheme="minorHAnsi"/>
              </w:rPr>
              <w:t>fostering operators and employees</w:t>
            </w:r>
            <w:r w:rsidR="00B26743" w:rsidRPr="008B0669">
              <w:rPr>
                <w:rFonts w:asciiTheme="minorHAnsi" w:hAnsiTheme="minorHAnsi"/>
              </w:rPr>
              <w:t xml:space="preserve"> cooperation</w:t>
            </w:r>
            <w:r w:rsidRPr="008B0669">
              <w:rPr>
                <w:rFonts w:asciiTheme="minorHAnsi" w:hAnsiTheme="minorHAnsi"/>
              </w:rPr>
              <w:t xml:space="preserve"> on </w:t>
            </w:r>
            <w:proofErr w:type="spellStart"/>
            <w:r w:rsidRPr="008B0669">
              <w:rPr>
                <w:rFonts w:asciiTheme="minorHAnsi" w:hAnsiTheme="minorHAnsi"/>
              </w:rPr>
              <w:t>HSW</w:t>
            </w:r>
            <w:proofErr w:type="spellEnd"/>
            <w:r w:rsidRPr="008B0669">
              <w:rPr>
                <w:rFonts w:asciiTheme="minorHAnsi" w:hAnsiTheme="minorHAnsi"/>
              </w:rPr>
              <w:t xml:space="preserve"> at work.</w:t>
            </w:r>
          </w:p>
          <w:p w:rsidR="009D0A2E" w:rsidRPr="008B0669" w:rsidRDefault="009D0A2E" w:rsidP="009D0A2E">
            <w:pPr>
              <w:rPr>
                <w:rFonts w:asciiTheme="minorHAnsi" w:hAnsiTheme="minorHAnsi"/>
              </w:rPr>
            </w:pPr>
          </w:p>
        </w:tc>
        <w:tc>
          <w:tcPr>
            <w:tcW w:w="4320" w:type="dxa"/>
          </w:tcPr>
          <w:p w:rsidR="009A79FB" w:rsidRPr="008B0669" w:rsidRDefault="00EE4C6D" w:rsidP="00013B92">
            <w:pPr>
              <w:rPr>
                <w:rFonts w:asciiTheme="minorHAnsi" w:hAnsiTheme="minorHAnsi"/>
              </w:rPr>
            </w:pPr>
            <w:r w:rsidRPr="008B0669">
              <w:rPr>
                <w:rFonts w:asciiTheme="minorHAnsi" w:hAnsiTheme="minorHAnsi"/>
              </w:rPr>
              <w:t xml:space="preserve">The objects </w:t>
            </w:r>
            <w:r w:rsidR="00B26743" w:rsidRPr="008B0669">
              <w:rPr>
                <w:rFonts w:asciiTheme="minorHAnsi" w:hAnsiTheme="minorHAnsi"/>
              </w:rPr>
              <w:t>(</w:t>
            </w:r>
            <w:proofErr w:type="spellStart"/>
            <w:r w:rsidR="00B26743" w:rsidRPr="008B0669">
              <w:rPr>
                <w:rFonts w:asciiTheme="minorHAnsi" w:hAnsiTheme="minorHAnsi"/>
              </w:rPr>
              <w:t>s.3</w:t>
            </w:r>
            <w:proofErr w:type="spellEnd"/>
            <w:r w:rsidR="00B26743" w:rsidRPr="008B0669">
              <w:rPr>
                <w:rFonts w:asciiTheme="minorHAnsi" w:hAnsiTheme="minorHAnsi"/>
              </w:rPr>
              <w:t xml:space="preserve">), which </w:t>
            </w:r>
            <w:r w:rsidRPr="008B0669">
              <w:rPr>
                <w:rFonts w:asciiTheme="minorHAnsi" w:hAnsiTheme="minorHAnsi"/>
              </w:rPr>
              <w:t xml:space="preserve">are not focused on a particular industry, have similar elements to the OHS(MI) Act </w:t>
            </w:r>
            <w:r w:rsidR="00B26743" w:rsidRPr="008B0669">
              <w:rPr>
                <w:rFonts w:asciiTheme="minorHAnsi" w:hAnsiTheme="minorHAnsi"/>
              </w:rPr>
              <w:t>but</w:t>
            </w:r>
            <w:r w:rsidRPr="008B0669">
              <w:rPr>
                <w:rFonts w:asciiTheme="minorHAnsi" w:hAnsiTheme="minorHAnsi"/>
              </w:rPr>
              <w:t xml:space="preserve"> </w:t>
            </w:r>
            <w:r w:rsidRPr="008B0669">
              <w:rPr>
                <w:rFonts w:asciiTheme="minorHAnsi" w:hAnsiTheme="minorHAnsi"/>
                <w:b/>
              </w:rPr>
              <w:t>also</w:t>
            </w:r>
            <w:r w:rsidRPr="008B0669">
              <w:rPr>
                <w:rFonts w:asciiTheme="minorHAnsi" w:hAnsiTheme="minorHAnsi"/>
              </w:rPr>
              <w:t xml:space="preserve"> relate to:</w:t>
            </w:r>
          </w:p>
          <w:p w:rsidR="00EE4C6D" w:rsidRPr="008B0669" w:rsidRDefault="00EE4C6D" w:rsidP="00EE4C6D">
            <w:pPr>
              <w:pStyle w:val="ListParagraph"/>
              <w:ind w:left="360"/>
              <w:rPr>
                <w:rFonts w:asciiTheme="minorHAnsi" w:hAnsiTheme="minorHAnsi"/>
              </w:rPr>
            </w:pPr>
          </w:p>
          <w:p w:rsidR="00EE4C6D" w:rsidRPr="008B0669" w:rsidRDefault="00EE4C6D" w:rsidP="00EE4C6D">
            <w:pPr>
              <w:pStyle w:val="ListParagraph"/>
              <w:numPr>
                <w:ilvl w:val="0"/>
                <w:numId w:val="33"/>
              </w:numPr>
              <w:rPr>
                <w:rFonts w:asciiTheme="minorHAnsi" w:hAnsiTheme="minorHAnsi"/>
              </w:rPr>
            </w:pPr>
            <w:r w:rsidRPr="008B0669">
              <w:rPr>
                <w:rFonts w:asciiTheme="minorHAnsi" w:hAnsiTheme="minorHAnsi"/>
              </w:rPr>
              <w:t>eliminating and minimising risks);</w:t>
            </w:r>
          </w:p>
          <w:p w:rsidR="00EE4C6D" w:rsidRPr="008B0669" w:rsidRDefault="00EE4C6D" w:rsidP="00EE4C6D">
            <w:pPr>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 xml:space="preserve">the roles of unions and industry associations; </w:t>
            </w:r>
          </w:p>
          <w:p w:rsidR="00EE4C6D" w:rsidRPr="008B0669" w:rsidRDefault="00EE4C6D" w:rsidP="00EE4C6D">
            <w:pPr>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 xml:space="preserve">the provision of education and training on work health and safety; </w:t>
            </w:r>
          </w:p>
          <w:p w:rsidR="00EE4C6D" w:rsidRPr="008B0669" w:rsidRDefault="00EE4C6D" w:rsidP="00EE4C6D">
            <w:pPr>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 xml:space="preserve">securing compliance; </w:t>
            </w:r>
          </w:p>
          <w:p w:rsidR="00EE4C6D" w:rsidRPr="008B0669" w:rsidRDefault="00EE4C6D" w:rsidP="00EE4C6D">
            <w:pPr>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 xml:space="preserve">the review of regulatory decisions; </w:t>
            </w:r>
          </w:p>
          <w:p w:rsidR="00EE4C6D" w:rsidRPr="008B0669" w:rsidRDefault="00EE4C6D" w:rsidP="00EE4C6D">
            <w:pPr>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 xml:space="preserve">continuous  improvement of work health and safety standards; </w:t>
            </w:r>
          </w:p>
          <w:p w:rsidR="00EE4C6D" w:rsidRPr="008B0669" w:rsidRDefault="00EE4C6D" w:rsidP="00EE4C6D">
            <w:pPr>
              <w:pStyle w:val="ListParagraph"/>
              <w:rPr>
                <w:rFonts w:asciiTheme="minorHAnsi" w:hAnsiTheme="minorHAnsi"/>
              </w:rPr>
            </w:pPr>
          </w:p>
          <w:p w:rsidR="00EE4C6D" w:rsidRPr="008B0669" w:rsidRDefault="00EE4C6D" w:rsidP="00EE4C6D">
            <w:pPr>
              <w:pStyle w:val="ListParagraph"/>
              <w:numPr>
                <w:ilvl w:val="0"/>
                <w:numId w:val="30"/>
              </w:numPr>
              <w:ind w:left="360"/>
              <w:rPr>
                <w:rFonts w:asciiTheme="minorHAnsi" w:hAnsiTheme="minorHAnsi"/>
              </w:rPr>
            </w:pPr>
            <w:r w:rsidRPr="008B0669">
              <w:rPr>
                <w:rFonts w:asciiTheme="minorHAnsi" w:hAnsiTheme="minorHAnsi"/>
              </w:rPr>
              <w:t>achieving the ‘the highest level of protection as reasonably practicable’</w:t>
            </w:r>
          </w:p>
          <w:p w:rsidR="00EE4C6D" w:rsidRPr="008B0669" w:rsidRDefault="00EE4C6D" w:rsidP="00EE4C6D">
            <w:pPr>
              <w:pStyle w:val="ListParagraph"/>
              <w:ind w:left="360"/>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Risk Management</w:t>
            </w:r>
          </w:p>
        </w:tc>
        <w:tc>
          <w:tcPr>
            <w:tcW w:w="4050" w:type="dxa"/>
          </w:tcPr>
          <w:p w:rsidR="009A79FB" w:rsidRPr="008B0669" w:rsidRDefault="009A79FB" w:rsidP="00013B92">
            <w:pPr>
              <w:rPr>
                <w:rFonts w:asciiTheme="minorHAnsi" w:hAnsiTheme="minorHAnsi"/>
              </w:rPr>
            </w:pPr>
            <w:r w:rsidRPr="008B0669">
              <w:rPr>
                <w:rFonts w:asciiTheme="minorHAnsi" w:hAnsiTheme="minorHAnsi"/>
              </w:rPr>
              <w:t>An object of the OHS(MI) Act is to protect persons from risks to health and safety. The OHS(MI) Act generally prescribes duties relating to OHS to achieve this.</w:t>
            </w:r>
          </w:p>
          <w:p w:rsidR="009A79FB" w:rsidRPr="008B0669" w:rsidRDefault="009A79FB" w:rsidP="00013B92">
            <w:pPr>
              <w:rPr>
                <w:rFonts w:asciiTheme="minorHAnsi" w:hAnsiTheme="minorHAnsi"/>
              </w:rPr>
            </w:pPr>
          </w:p>
          <w:p w:rsidR="009A79FB" w:rsidRPr="008B0669" w:rsidRDefault="009A79FB" w:rsidP="009D0A2E">
            <w:pPr>
              <w:rPr>
                <w:rFonts w:asciiTheme="minorHAnsi" w:hAnsiTheme="minorHAnsi"/>
              </w:rPr>
            </w:pPr>
            <w:r w:rsidRPr="008B0669">
              <w:rPr>
                <w:rFonts w:asciiTheme="minorHAnsi" w:hAnsiTheme="minorHAnsi"/>
              </w:rPr>
              <w:t>The OHS(MI)(NS) Reg</w:t>
            </w:r>
            <w:r w:rsidR="00195BD0" w:rsidRPr="008B0669">
              <w:rPr>
                <w:rFonts w:asciiTheme="minorHAnsi" w:hAnsiTheme="minorHAnsi"/>
              </w:rPr>
              <w:t>ulations</w:t>
            </w:r>
            <w:r w:rsidRPr="008B0669">
              <w:rPr>
                <w:rFonts w:asciiTheme="minorHAnsi" w:hAnsiTheme="minorHAnsi"/>
              </w:rPr>
              <w:t xml:space="preserve"> impose obligations to perform risk assessments in prescribed circumstances.</w:t>
            </w:r>
          </w:p>
        </w:tc>
        <w:tc>
          <w:tcPr>
            <w:tcW w:w="4320" w:type="dxa"/>
          </w:tcPr>
          <w:p w:rsidR="00195BD0" w:rsidRPr="008B0669" w:rsidRDefault="009A79FB" w:rsidP="00013B92">
            <w:pPr>
              <w:rPr>
                <w:rFonts w:asciiTheme="minorHAnsi" w:hAnsiTheme="minorHAnsi"/>
              </w:rPr>
            </w:pPr>
            <w:r w:rsidRPr="008B0669">
              <w:rPr>
                <w:rFonts w:asciiTheme="minorHAnsi" w:hAnsiTheme="minorHAnsi"/>
              </w:rPr>
              <w:t xml:space="preserve">The model WHS Act </w:t>
            </w:r>
            <w:r w:rsidR="00390F81" w:rsidRPr="008B0669">
              <w:rPr>
                <w:rFonts w:asciiTheme="minorHAnsi" w:hAnsiTheme="minorHAnsi"/>
              </w:rPr>
              <w:t>includes an object [</w:t>
            </w:r>
            <w:proofErr w:type="spellStart"/>
            <w:r w:rsidR="00390F81" w:rsidRPr="008B0669">
              <w:rPr>
                <w:rFonts w:asciiTheme="minorHAnsi" w:hAnsiTheme="minorHAnsi"/>
              </w:rPr>
              <w:t>s.1</w:t>
            </w:r>
            <w:proofErr w:type="spellEnd"/>
            <w:r w:rsidR="00390F81" w:rsidRPr="008B0669">
              <w:rPr>
                <w:rFonts w:asciiTheme="minorHAnsi" w:hAnsiTheme="minorHAnsi"/>
              </w:rPr>
              <w:t xml:space="preserve">(a)] that aims to protect people by the </w:t>
            </w:r>
            <w:r w:rsidR="00390F81" w:rsidRPr="008B0669">
              <w:rPr>
                <w:rFonts w:asciiTheme="minorHAnsi" w:hAnsiTheme="minorHAnsi"/>
                <w:i/>
              </w:rPr>
              <w:t>elimination or minimisation of risks</w:t>
            </w:r>
            <w:r w:rsidR="00390F81" w:rsidRPr="008B0669">
              <w:rPr>
                <w:rFonts w:asciiTheme="minorHAnsi" w:hAnsiTheme="minorHAnsi"/>
              </w:rPr>
              <w:t xml:space="preserve"> </w:t>
            </w:r>
            <w:r w:rsidR="00390F81" w:rsidRPr="008B0669">
              <w:rPr>
                <w:rFonts w:asciiTheme="minorHAnsi" w:hAnsiTheme="minorHAnsi"/>
                <w:i/>
              </w:rPr>
              <w:t>arising from work.</w:t>
            </w:r>
            <w:r w:rsidR="00390F81" w:rsidRPr="008B0669">
              <w:rPr>
                <w:rFonts w:asciiTheme="minorHAnsi" w:hAnsiTheme="minorHAnsi"/>
              </w:rPr>
              <w:t xml:space="preserve"> </w:t>
            </w:r>
          </w:p>
          <w:p w:rsidR="00195BD0" w:rsidRPr="008B0669" w:rsidRDefault="00195BD0" w:rsidP="00013B92">
            <w:pPr>
              <w:rPr>
                <w:rFonts w:asciiTheme="minorHAnsi" w:hAnsiTheme="minorHAnsi"/>
              </w:rPr>
            </w:pPr>
          </w:p>
          <w:p w:rsidR="00195BD0" w:rsidRPr="008B0669" w:rsidRDefault="00195BD0" w:rsidP="00195BD0">
            <w:pPr>
              <w:rPr>
                <w:rFonts w:asciiTheme="minorHAnsi" w:hAnsiTheme="minorHAnsi"/>
              </w:rPr>
            </w:pPr>
            <w:r w:rsidRPr="008B0669">
              <w:rPr>
                <w:rFonts w:asciiTheme="minorHAnsi" w:hAnsiTheme="minorHAnsi"/>
              </w:rPr>
              <w:t>Section 17 expressly applies that process to duties of care</w:t>
            </w:r>
            <w:r w:rsidR="009A79FB" w:rsidRPr="008B0669">
              <w:rPr>
                <w:rFonts w:asciiTheme="minorHAnsi" w:hAnsiTheme="minorHAnsi"/>
              </w:rPr>
              <w:t>.</w:t>
            </w:r>
            <w:r w:rsidRPr="008B0669">
              <w:rPr>
                <w:rFonts w:asciiTheme="minorHAnsi" w:hAnsiTheme="minorHAnsi"/>
              </w:rPr>
              <w:t xml:space="preserve">  The regulations provide for r</w:t>
            </w:r>
            <w:r w:rsidR="009A79FB" w:rsidRPr="008B0669">
              <w:rPr>
                <w:rFonts w:asciiTheme="minorHAnsi" w:hAnsiTheme="minorHAnsi"/>
              </w:rPr>
              <w:t>isk assessments</w:t>
            </w:r>
            <w:r w:rsidRPr="008B0669">
              <w:rPr>
                <w:rFonts w:asciiTheme="minorHAnsi" w:hAnsiTheme="minorHAnsi"/>
              </w:rPr>
              <w:t>.</w:t>
            </w:r>
          </w:p>
          <w:p w:rsidR="00390F81" w:rsidRPr="008B0669" w:rsidRDefault="00195BD0" w:rsidP="00195BD0">
            <w:pPr>
              <w:rPr>
                <w:rFonts w:asciiTheme="minorHAnsi" w:hAnsiTheme="minorHAnsi"/>
                <w:b/>
              </w:rPr>
            </w:pPr>
            <w:r w:rsidRPr="008B0669">
              <w:rPr>
                <w:rFonts w:asciiTheme="minorHAnsi" w:hAnsiTheme="minorHAnsi"/>
              </w:rPr>
              <w:t xml:space="preserve"> </w:t>
            </w: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Primary duty of care</w:t>
            </w:r>
          </w:p>
        </w:tc>
        <w:tc>
          <w:tcPr>
            <w:tcW w:w="4050" w:type="dxa"/>
          </w:tcPr>
          <w:p w:rsidR="004E562F" w:rsidRPr="008B0669" w:rsidRDefault="004E562F" w:rsidP="00013B92">
            <w:pPr>
              <w:rPr>
                <w:rFonts w:asciiTheme="minorHAnsi" w:hAnsiTheme="minorHAnsi"/>
              </w:rPr>
            </w:pPr>
            <w:r w:rsidRPr="008B0669">
              <w:rPr>
                <w:rFonts w:asciiTheme="minorHAnsi" w:hAnsiTheme="minorHAnsi"/>
              </w:rPr>
              <w:t>[Part 2, Division 1, General Duties]</w:t>
            </w:r>
          </w:p>
          <w:p w:rsidR="004E562F" w:rsidRPr="008B0669" w:rsidRDefault="004E562F" w:rsidP="00013B92">
            <w:pPr>
              <w:rPr>
                <w:rFonts w:asciiTheme="minorHAnsi" w:hAnsiTheme="minorHAnsi"/>
              </w:rPr>
            </w:pPr>
          </w:p>
          <w:p w:rsidR="009D0A2E" w:rsidRPr="008B0669" w:rsidRDefault="009A79FB" w:rsidP="00013B92">
            <w:pPr>
              <w:rPr>
                <w:rFonts w:asciiTheme="minorHAnsi" w:hAnsiTheme="minorHAnsi"/>
              </w:rPr>
            </w:pPr>
            <w:r w:rsidRPr="008B0669">
              <w:rPr>
                <w:rFonts w:asciiTheme="minorHAnsi" w:hAnsiTheme="minorHAnsi"/>
              </w:rPr>
              <w:t>The OHS(MI) Act assigns the primary duty of care to an ‘operator’</w:t>
            </w:r>
            <w:r w:rsidR="004E562F" w:rsidRPr="008B0669">
              <w:rPr>
                <w:rFonts w:asciiTheme="minorHAnsi" w:hAnsiTheme="minorHAnsi"/>
              </w:rPr>
              <w:t xml:space="preserve"> </w:t>
            </w:r>
            <w:r w:rsidR="009D0A2E" w:rsidRPr="008B0669">
              <w:rPr>
                <w:rFonts w:asciiTheme="minorHAnsi" w:hAnsiTheme="minorHAnsi"/>
              </w:rPr>
              <w:t>of</w:t>
            </w:r>
            <w:r w:rsidRPr="008B0669">
              <w:rPr>
                <w:rFonts w:asciiTheme="minorHAnsi" w:hAnsiTheme="minorHAnsi"/>
              </w:rPr>
              <w:t xml:space="preserve"> a prescribed ship or prescribed unit, </w:t>
            </w:r>
            <w:r w:rsidR="004E562F" w:rsidRPr="008B0669">
              <w:rPr>
                <w:rFonts w:asciiTheme="minorHAnsi" w:hAnsiTheme="minorHAnsi"/>
              </w:rPr>
              <w:t xml:space="preserve">who must take </w:t>
            </w:r>
            <w:r w:rsidR="004E562F" w:rsidRPr="008B0669">
              <w:rPr>
                <w:rFonts w:asciiTheme="minorHAnsi" w:hAnsiTheme="minorHAnsi"/>
                <w:i/>
              </w:rPr>
              <w:t>reasonable steps</w:t>
            </w:r>
            <w:r w:rsidR="004E562F" w:rsidRPr="008B0669">
              <w:rPr>
                <w:rFonts w:asciiTheme="minorHAnsi" w:hAnsiTheme="minorHAnsi"/>
              </w:rPr>
              <w:t xml:space="preserve"> to protect the health and safety at work of employees</w:t>
            </w:r>
            <w:r w:rsidRPr="008B0669">
              <w:rPr>
                <w:rFonts w:asciiTheme="minorHAnsi" w:hAnsiTheme="minorHAnsi"/>
              </w:rPr>
              <w:t xml:space="preserve">. </w:t>
            </w:r>
          </w:p>
          <w:p w:rsidR="009D0A2E" w:rsidRPr="008B0669" w:rsidRDefault="009D0A2E" w:rsidP="00013B92">
            <w:pPr>
              <w:rPr>
                <w:rFonts w:asciiTheme="minorHAnsi" w:hAnsiTheme="minorHAnsi"/>
              </w:rPr>
            </w:pPr>
          </w:p>
          <w:p w:rsidR="009A79FB" w:rsidRPr="008B0669" w:rsidRDefault="004E562F" w:rsidP="004E562F">
            <w:pPr>
              <w:rPr>
                <w:rFonts w:asciiTheme="minorHAnsi" w:hAnsiTheme="minorHAnsi"/>
              </w:rPr>
            </w:pPr>
            <w:r w:rsidRPr="008B0669">
              <w:rPr>
                <w:rFonts w:asciiTheme="minorHAnsi" w:hAnsiTheme="minorHAnsi"/>
                <w:i/>
              </w:rPr>
              <w:t>O</w:t>
            </w:r>
            <w:r w:rsidR="009A79FB" w:rsidRPr="008B0669">
              <w:rPr>
                <w:rFonts w:asciiTheme="minorHAnsi" w:hAnsiTheme="minorHAnsi"/>
                <w:i/>
              </w:rPr>
              <w:t>perator</w:t>
            </w:r>
            <w:r w:rsidR="009A79FB" w:rsidRPr="008B0669">
              <w:rPr>
                <w:rFonts w:asciiTheme="minorHAnsi" w:hAnsiTheme="minorHAnsi"/>
              </w:rPr>
              <w:t xml:space="preserve"> is</w:t>
            </w:r>
            <w:r w:rsidR="006D5DB7" w:rsidRPr="008B0669">
              <w:rPr>
                <w:rFonts w:asciiTheme="minorHAnsi" w:hAnsiTheme="minorHAnsi"/>
              </w:rPr>
              <w:t xml:space="preserve"> (</w:t>
            </w:r>
            <w:proofErr w:type="spellStart"/>
            <w:r w:rsidR="006D5DB7" w:rsidRPr="008B0669">
              <w:rPr>
                <w:rFonts w:asciiTheme="minorHAnsi" w:hAnsiTheme="minorHAnsi"/>
              </w:rPr>
              <w:t>s.4</w:t>
            </w:r>
            <w:proofErr w:type="spellEnd"/>
            <w:r w:rsidR="006D5DB7" w:rsidRPr="008B0669">
              <w:rPr>
                <w:rFonts w:asciiTheme="minorHAnsi" w:hAnsiTheme="minorHAnsi"/>
              </w:rPr>
              <w:t>)</w:t>
            </w:r>
            <w:r w:rsidR="009A79FB" w:rsidRPr="008B0669">
              <w:rPr>
                <w:rFonts w:asciiTheme="minorHAnsi" w:hAnsiTheme="minorHAnsi"/>
              </w:rPr>
              <w:t xml:space="preserve"> a person w</w:t>
            </w:r>
            <w:r w:rsidR="009D0A2E" w:rsidRPr="008B0669">
              <w:rPr>
                <w:rFonts w:asciiTheme="minorHAnsi" w:hAnsiTheme="minorHAnsi"/>
              </w:rPr>
              <w:t>ith the</w:t>
            </w:r>
            <w:r w:rsidR="009A79FB" w:rsidRPr="008B0669">
              <w:rPr>
                <w:rFonts w:asciiTheme="minorHAnsi" w:hAnsiTheme="minorHAnsi"/>
              </w:rPr>
              <w:t xml:space="preserve"> management or control of the ship or unit</w:t>
            </w:r>
          </w:p>
          <w:p w:rsidR="006D5DB7" w:rsidRPr="008B0669" w:rsidRDefault="006D5DB7" w:rsidP="004E562F">
            <w:pPr>
              <w:rPr>
                <w:rFonts w:asciiTheme="minorHAnsi" w:hAnsiTheme="minorHAnsi"/>
              </w:rPr>
            </w:pPr>
          </w:p>
          <w:p w:rsidR="006D5DB7" w:rsidRPr="008B0669" w:rsidRDefault="006D5DB7" w:rsidP="004E562F">
            <w:pPr>
              <w:rPr>
                <w:rFonts w:asciiTheme="minorHAnsi" w:hAnsiTheme="minorHAnsi"/>
                <w:i/>
              </w:rPr>
            </w:pPr>
            <w:r w:rsidRPr="008B0669">
              <w:rPr>
                <w:rFonts w:asciiTheme="minorHAnsi" w:hAnsiTheme="minorHAnsi"/>
                <w:i/>
              </w:rPr>
              <w:t xml:space="preserve">Reasonable steps </w:t>
            </w:r>
            <w:r w:rsidRPr="008B0669">
              <w:rPr>
                <w:rFonts w:asciiTheme="minorHAnsi" w:hAnsiTheme="minorHAnsi"/>
              </w:rPr>
              <w:t>are not defined.</w:t>
            </w:r>
          </w:p>
        </w:tc>
        <w:tc>
          <w:tcPr>
            <w:tcW w:w="4320" w:type="dxa"/>
          </w:tcPr>
          <w:p w:rsidR="004E562F" w:rsidRPr="008B0669" w:rsidRDefault="004E562F" w:rsidP="00013B92">
            <w:pPr>
              <w:rPr>
                <w:rFonts w:asciiTheme="minorHAnsi" w:hAnsiTheme="minorHAnsi"/>
              </w:rPr>
            </w:pPr>
            <w:r w:rsidRPr="008B0669">
              <w:rPr>
                <w:rFonts w:asciiTheme="minorHAnsi" w:hAnsiTheme="minorHAnsi"/>
              </w:rPr>
              <w:t>[Part 2, Health and Safety Duties]</w:t>
            </w:r>
          </w:p>
          <w:p w:rsidR="004E562F" w:rsidRPr="008B0669" w:rsidRDefault="004E562F" w:rsidP="00013B92">
            <w:pPr>
              <w:rPr>
                <w:rFonts w:asciiTheme="minorHAnsi" w:hAnsiTheme="minorHAnsi"/>
              </w:rPr>
            </w:pPr>
          </w:p>
          <w:p w:rsidR="00E73234" w:rsidRPr="008B0669" w:rsidRDefault="009A79FB" w:rsidP="006D5DB7">
            <w:pPr>
              <w:rPr>
                <w:rFonts w:asciiTheme="minorHAnsi" w:hAnsiTheme="minorHAnsi"/>
                <w:lang w:val="en-US"/>
              </w:rPr>
            </w:pPr>
            <w:r w:rsidRPr="008B0669">
              <w:rPr>
                <w:rFonts w:asciiTheme="minorHAnsi" w:hAnsiTheme="minorHAnsi"/>
              </w:rPr>
              <w:t xml:space="preserve">The model WHS Act assigns the primary duty of care to a </w:t>
            </w:r>
            <w:r w:rsidRPr="008B0669">
              <w:rPr>
                <w:rFonts w:asciiTheme="minorHAnsi" w:hAnsiTheme="minorHAnsi"/>
                <w:i/>
              </w:rPr>
              <w:t>person conducting a business or undertaking</w:t>
            </w:r>
            <w:r w:rsidRPr="008B0669">
              <w:rPr>
                <w:rFonts w:asciiTheme="minorHAnsi" w:hAnsiTheme="minorHAnsi"/>
              </w:rPr>
              <w:t xml:space="preserve">, </w:t>
            </w:r>
            <w:r w:rsidR="006D5DB7" w:rsidRPr="008B0669">
              <w:rPr>
                <w:rFonts w:asciiTheme="minorHAnsi" w:hAnsiTheme="minorHAnsi"/>
              </w:rPr>
              <w:t xml:space="preserve">who must </w:t>
            </w:r>
            <w:r w:rsidR="004E562F" w:rsidRPr="008B0669">
              <w:rPr>
                <w:rFonts w:asciiTheme="minorHAnsi" w:hAnsiTheme="minorHAnsi"/>
                <w:lang w:val="en-US"/>
              </w:rPr>
              <w:t xml:space="preserve">ensure, </w:t>
            </w:r>
            <w:r w:rsidR="004E562F" w:rsidRPr="008B0669">
              <w:rPr>
                <w:rFonts w:asciiTheme="minorHAnsi" w:hAnsiTheme="minorHAnsi"/>
                <w:i/>
                <w:lang w:val="en-US"/>
              </w:rPr>
              <w:t>so far as is reasonably practicable</w:t>
            </w:r>
            <w:r w:rsidR="004E562F" w:rsidRPr="008B0669">
              <w:rPr>
                <w:rFonts w:asciiTheme="minorHAnsi" w:hAnsiTheme="minorHAnsi"/>
                <w:lang w:val="en-US"/>
              </w:rPr>
              <w:t>,</w:t>
            </w:r>
            <w:r w:rsidR="006D5DB7" w:rsidRPr="008B0669">
              <w:rPr>
                <w:rFonts w:asciiTheme="minorHAnsi" w:hAnsiTheme="minorHAnsi"/>
                <w:lang w:val="en-US"/>
              </w:rPr>
              <w:t xml:space="preserve"> </w:t>
            </w:r>
            <w:r w:rsidR="004E562F" w:rsidRPr="008B0669">
              <w:rPr>
                <w:rFonts w:asciiTheme="minorHAnsi" w:hAnsiTheme="minorHAnsi"/>
                <w:lang w:val="en-US"/>
              </w:rPr>
              <w:t>that the health and safety of other persons is not</w:t>
            </w:r>
            <w:r w:rsidR="006D5DB7" w:rsidRPr="008B0669">
              <w:rPr>
                <w:rFonts w:asciiTheme="minorHAnsi" w:hAnsiTheme="minorHAnsi"/>
                <w:lang w:val="en-US"/>
              </w:rPr>
              <w:t xml:space="preserve"> </w:t>
            </w:r>
            <w:r w:rsidR="004E562F" w:rsidRPr="008B0669">
              <w:rPr>
                <w:rFonts w:asciiTheme="minorHAnsi" w:hAnsiTheme="minorHAnsi"/>
                <w:lang w:val="en-US"/>
              </w:rPr>
              <w:t>put at risk from work carried out as part of the</w:t>
            </w:r>
            <w:r w:rsidR="006D5DB7" w:rsidRPr="008B0669">
              <w:rPr>
                <w:rFonts w:asciiTheme="minorHAnsi" w:hAnsiTheme="minorHAnsi"/>
                <w:lang w:val="en-US"/>
              </w:rPr>
              <w:t xml:space="preserve"> </w:t>
            </w:r>
            <w:r w:rsidR="004E562F" w:rsidRPr="008B0669">
              <w:rPr>
                <w:rFonts w:asciiTheme="minorHAnsi" w:hAnsiTheme="minorHAnsi"/>
                <w:lang w:val="en-US"/>
              </w:rPr>
              <w:t>conduct of the business or undertaking.</w:t>
            </w:r>
          </w:p>
          <w:p w:rsidR="006D5DB7" w:rsidRPr="008B0669" w:rsidRDefault="006D5DB7" w:rsidP="006D5DB7">
            <w:pPr>
              <w:rPr>
                <w:rFonts w:asciiTheme="minorHAnsi" w:hAnsiTheme="minorHAnsi"/>
                <w:lang w:val="en-US"/>
              </w:rPr>
            </w:pPr>
          </w:p>
          <w:p w:rsidR="006D5DB7" w:rsidRPr="008B0669" w:rsidRDefault="006D5DB7" w:rsidP="006D5DB7">
            <w:pPr>
              <w:rPr>
                <w:rFonts w:asciiTheme="minorHAnsi" w:hAnsiTheme="minorHAnsi"/>
              </w:rPr>
            </w:pPr>
            <w:r w:rsidRPr="008B0669">
              <w:rPr>
                <w:rFonts w:asciiTheme="minorHAnsi" w:hAnsiTheme="minorHAnsi"/>
                <w:i/>
              </w:rPr>
              <w:t xml:space="preserve">Person conducting a business or undertaking </w:t>
            </w:r>
            <w:r w:rsidRPr="008B0669">
              <w:rPr>
                <w:rFonts w:asciiTheme="minorHAnsi" w:hAnsiTheme="minorHAnsi"/>
              </w:rPr>
              <w:t>is defined (</w:t>
            </w:r>
            <w:proofErr w:type="spellStart"/>
            <w:r w:rsidRPr="008B0669">
              <w:rPr>
                <w:rFonts w:asciiTheme="minorHAnsi" w:hAnsiTheme="minorHAnsi"/>
              </w:rPr>
              <w:t>s.5</w:t>
            </w:r>
            <w:proofErr w:type="spellEnd"/>
            <w:r w:rsidRPr="008B0669">
              <w:rPr>
                <w:rFonts w:asciiTheme="minorHAnsi" w:hAnsiTheme="minorHAnsi"/>
              </w:rPr>
              <w:t>).</w:t>
            </w:r>
          </w:p>
          <w:p w:rsidR="006D5DB7" w:rsidRPr="008B0669" w:rsidRDefault="006D5DB7" w:rsidP="006D5DB7">
            <w:pPr>
              <w:rPr>
                <w:rFonts w:asciiTheme="minorHAnsi" w:hAnsiTheme="minorHAnsi"/>
                <w:lang w:val="en-US"/>
              </w:rPr>
            </w:pPr>
          </w:p>
          <w:p w:rsidR="006D5DB7" w:rsidRPr="008B0669" w:rsidRDefault="006D5DB7" w:rsidP="006D5DB7">
            <w:pPr>
              <w:rPr>
                <w:rFonts w:asciiTheme="minorHAnsi" w:hAnsiTheme="minorHAnsi"/>
                <w:lang w:val="en-US"/>
              </w:rPr>
            </w:pPr>
            <w:r w:rsidRPr="008B0669">
              <w:rPr>
                <w:rFonts w:asciiTheme="minorHAnsi" w:hAnsiTheme="minorHAnsi"/>
                <w:i/>
                <w:lang w:val="en-US"/>
              </w:rPr>
              <w:t>Reasonably practicable</w:t>
            </w:r>
            <w:r w:rsidRPr="008B0669">
              <w:rPr>
                <w:rFonts w:asciiTheme="minorHAnsi" w:hAnsiTheme="minorHAnsi"/>
                <w:lang w:val="en-US"/>
              </w:rPr>
              <w:t xml:space="preserve"> is explained in the model Act (</w:t>
            </w:r>
            <w:proofErr w:type="spellStart"/>
            <w:r w:rsidRPr="008B0669">
              <w:rPr>
                <w:rFonts w:asciiTheme="minorHAnsi" w:hAnsiTheme="minorHAnsi"/>
                <w:lang w:val="en-US"/>
              </w:rPr>
              <w:t>s.18</w:t>
            </w:r>
            <w:proofErr w:type="spellEnd"/>
            <w:r w:rsidRPr="008B0669">
              <w:rPr>
                <w:rFonts w:asciiTheme="minorHAnsi" w:hAnsiTheme="minorHAnsi"/>
                <w:lang w:val="en-US"/>
              </w:rPr>
              <w:t>).</w:t>
            </w:r>
          </w:p>
          <w:p w:rsidR="006D5DB7" w:rsidRPr="008B0669" w:rsidRDefault="006D5DB7" w:rsidP="006D5DB7">
            <w:pPr>
              <w:rPr>
                <w:rFonts w:asciiTheme="minorHAnsi" w:hAnsiTheme="minorHAnsi"/>
              </w:rPr>
            </w:pPr>
          </w:p>
          <w:p w:rsidR="009A79FB" w:rsidRDefault="009A79FB" w:rsidP="006D5DB7">
            <w:pPr>
              <w:rPr>
                <w:rFonts w:asciiTheme="minorHAnsi" w:hAnsiTheme="minorHAnsi"/>
              </w:rPr>
            </w:pPr>
            <w:r w:rsidRPr="008B0669">
              <w:rPr>
                <w:rFonts w:asciiTheme="minorHAnsi" w:hAnsiTheme="minorHAnsi"/>
              </w:rPr>
              <w:t xml:space="preserve">The model WHS Act </w:t>
            </w:r>
            <w:r w:rsidR="006D5DB7" w:rsidRPr="008B0669">
              <w:rPr>
                <w:rFonts w:asciiTheme="minorHAnsi" w:hAnsiTheme="minorHAnsi"/>
              </w:rPr>
              <w:t>imposes</w:t>
            </w:r>
            <w:r w:rsidRPr="008B0669">
              <w:rPr>
                <w:rFonts w:asciiTheme="minorHAnsi" w:hAnsiTheme="minorHAnsi"/>
              </w:rPr>
              <w:t xml:space="preserve"> a s</w:t>
            </w:r>
            <w:r w:rsidR="006D5DB7" w:rsidRPr="008B0669">
              <w:rPr>
                <w:rFonts w:asciiTheme="minorHAnsi" w:hAnsiTheme="minorHAnsi"/>
              </w:rPr>
              <w:t>pecific</w:t>
            </w:r>
            <w:r w:rsidRPr="008B0669">
              <w:rPr>
                <w:rFonts w:asciiTheme="minorHAnsi" w:hAnsiTheme="minorHAnsi"/>
              </w:rPr>
              <w:t xml:space="preserve"> duty on persons with manag</w:t>
            </w:r>
            <w:r w:rsidR="006D5DB7" w:rsidRPr="008B0669">
              <w:rPr>
                <w:rFonts w:asciiTheme="minorHAnsi" w:hAnsiTheme="minorHAnsi"/>
              </w:rPr>
              <w:t>ement or control of a workplace (</w:t>
            </w:r>
            <w:proofErr w:type="spellStart"/>
            <w:r w:rsidR="006D5DB7" w:rsidRPr="008B0669">
              <w:rPr>
                <w:rFonts w:asciiTheme="minorHAnsi" w:hAnsiTheme="minorHAnsi"/>
              </w:rPr>
              <w:t>s.20</w:t>
            </w:r>
            <w:proofErr w:type="spellEnd"/>
            <w:r w:rsidR="006D5DB7" w:rsidRPr="008B0669">
              <w:rPr>
                <w:rFonts w:asciiTheme="minorHAnsi" w:hAnsiTheme="minorHAnsi"/>
              </w:rPr>
              <w:t>)</w:t>
            </w:r>
          </w:p>
          <w:p w:rsidR="00E01366" w:rsidRPr="008B0669" w:rsidRDefault="00E01366" w:rsidP="006D5DB7">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Definition of worker</w:t>
            </w:r>
          </w:p>
        </w:tc>
        <w:tc>
          <w:tcPr>
            <w:tcW w:w="4050" w:type="dxa"/>
          </w:tcPr>
          <w:p w:rsidR="009A20D3" w:rsidRPr="008B0669" w:rsidRDefault="009A20D3" w:rsidP="00013B92">
            <w:pPr>
              <w:rPr>
                <w:rFonts w:asciiTheme="minorHAnsi" w:hAnsiTheme="minorHAnsi"/>
              </w:rPr>
            </w:pPr>
            <w:r w:rsidRPr="008B0669">
              <w:rPr>
                <w:rFonts w:asciiTheme="minorHAnsi" w:hAnsiTheme="minorHAnsi"/>
              </w:rPr>
              <w:t>U</w:t>
            </w:r>
            <w:r w:rsidR="009A79FB" w:rsidRPr="008B0669">
              <w:rPr>
                <w:rFonts w:asciiTheme="minorHAnsi" w:hAnsiTheme="minorHAnsi"/>
              </w:rPr>
              <w:t>nder the OHS(MI) Act the p</w:t>
            </w:r>
            <w:r w:rsidRPr="008B0669">
              <w:rPr>
                <w:rFonts w:asciiTheme="minorHAnsi" w:hAnsiTheme="minorHAnsi"/>
              </w:rPr>
              <w:t xml:space="preserve">rimary duty of care is owed to </w:t>
            </w:r>
            <w:r w:rsidRPr="008B0669">
              <w:rPr>
                <w:rFonts w:asciiTheme="minorHAnsi" w:hAnsiTheme="minorHAnsi"/>
                <w:i/>
              </w:rPr>
              <w:t>employees</w:t>
            </w:r>
            <w:r w:rsidR="009A79FB" w:rsidRPr="008B0669">
              <w:rPr>
                <w:rFonts w:asciiTheme="minorHAnsi" w:hAnsiTheme="minorHAnsi"/>
              </w:rPr>
              <w:t xml:space="preserve">. </w:t>
            </w:r>
            <w:r w:rsidRPr="008B0669">
              <w:rPr>
                <w:rFonts w:asciiTheme="minorHAnsi" w:hAnsiTheme="minorHAnsi"/>
              </w:rPr>
              <w:t xml:space="preserve"> </w:t>
            </w:r>
          </w:p>
          <w:p w:rsidR="009A20D3" w:rsidRPr="008B0669" w:rsidRDefault="009A20D3" w:rsidP="00013B92">
            <w:pPr>
              <w:rPr>
                <w:rFonts w:asciiTheme="minorHAnsi" w:hAnsiTheme="minorHAnsi"/>
              </w:rPr>
            </w:pPr>
          </w:p>
          <w:p w:rsidR="009A79FB" w:rsidRPr="008B0669" w:rsidRDefault="009A79FB" w:rsidP="00013B92">
            <w:pPr>
              <w:rPr>
                <w:rFonts w:asciiTheme="minorHAnsi" w:hAnsiTheme="minorHAnsi"/>
              </w:rPr>
            </w:pPr>
            <w:r w:rsidRPr="008B0669">
              <w:rPr>
                <w:rFonts w:asciiTheme="minorHAnsi" w:hAnsiTheme="minorHAnsi"/>
              </w:rPr>
              <w:t xml:space="preserve">An employee </w:t>
            </w:r>
            <w:r w:rsidR="009A20D3" w:rsidRPr="008B0669">
              <w:rPr>
                <w:rFonts w:asciiTheme="minorHAnsi" w:hAnsiTheme="minorHAnsi"/>
              </w:rPr>
              <w:t>is (</w:t>
            </w:r>
            <w:proofErr w:type="spellStart"/>
            <w:r w:rsidR="009A20D3" w:rsidRPr="008B0669">
              <w:rPr>
                <w:rFonts w:asciiTheme="minorHAnsi" w:hAnsiTheme="minorHAnsi"/>
              </w:rPr>
              <w:t>s.4</w:t>
            </w:r>
            <w:proofErr w:type="spellEnd"/>
            <w:r w:rsidR="009A20D3" w:rsidRPr="008B0669">
              <w:rPr>
                <w:rFonts w:asciiTheme="minorHAnsi" w:hAnsiTheme="minorHAnsi"/>
              </w:rPr>
              <w:t xml:space="preserve">) </w:t>
            </w:r>
            <w:r w:rsidRPr="008B0669">
              <w:rPr>
                <w:rFonts w:asciiTheme="minorHAnsi" w:hAnsiTheme="minorHAnsi"/>
              </w:rPr>
              <w:t xml:space="preserve"> a person employed by an operator on a prescribed ship or prescribed unit;</w:t>
            </w:r>
            <w:r w:rsidR="00E73234" w:rsidRPr="008B0669">
              <w:rPr>
                <w:rFonts w:asciiTheme="minorHAnsi" w:hAnsiTheme="minorHAnsi"/>
              </w:rPr>
              <w:t xml:space="preserve"> </w:t>
            </w:r>
            <w:r w:rsidRPr="008B0669">
              <w:rPr>
                <w:rFonts w:asciiTheme="minorHAnsi" w:hAnsiTheme="minorHAnsi"/>
              </w:rPr>
              <w:t>or a person engaged on a prescribed ship or prescribed unit under articles of agreement.</w:t>
            </w:r>
          </w:p>
          <w:p w:rsidR="009A79FB" w:rsidRPr="008B0669" w:rsidRDefault="009A79FB" w:rsidP="00013B92">
            <w:pPr>
              <w:rPr>
                <w:rFonts w:asciiTheme="minorHAnsi" w:hAnsiTheme="minorHAnsi"/>
              </w:rPr>
            </w:pPr>
          </w:p>
          <w:p w:rsidR="009A79FB" w:rsidRPr="008B0669" w:rsidRDefault="009A79FB" w:rsidP="00013B92">
            <w:pPr>
              <w:rPr>
                <w:rFonts w:asciiTheme="minorHAnsi" w:hAnsiTheme="minorHAnsi"/>
              </w:rPr>
            </w:pPr>
            <w:r w:rsidRPr="008B0669">
              <w:rPr>
                <w:rFonts w:asciiTheme="minorHAnsi" w:hAnsiTheme="minorHAnsi"/>
              </w:rPr>
              <w:t xml:space="preserve">An operator also </w:t>
            </w:r>
            <w:r w:rsidR="009A20D3" w:rsidRPr="008B0669">
              <w:rPr>
                <w:rFonts w:asciiTheme="minorHAnsi" w:hAnsiTheme="minorHAnsi"/>
              </w:rPr>
              <w:t>has</w:t>
            </w:r>
            <w:r w:rsidRPr="008B0669">
              <w:rPr>
                <w:rFonts w:asciiTheme="minorHAnsi" w:hAnsiTheme="minorHAnsi"/>
              </w:rPr>
              <w:t xml:space="preserve"> a duty of care to contractors </w:t>
            </w:r>
            <w:r w:rsidR="009A20D3" w:rsidRPr="008B0669">
              <w:rPr>
                <w:rFonts w:asciiTheme="minorHAnsi" w:hAnsiTheme="minorHAnsi"/>
              </w:rPr>
              <w:t>(</w:t>
            </w:r>
            <w:proofErr w:type="spellStart"/>
            <w:r w:rsidR="009A20D3" w:rsidRPr="008B0669">
              <w:rPr>
                <w:rFonts w:asciiTheme="minorHAnsi" w:hAnsiTheme="minorHAnsi"/>
              </w:rPr>
              <w:t>s.13</w:t>
            </w:r>
            <w:proofErr w:type="spellEnd"/>
            <w:r w:rsidR="009A20D3" w:rsidRPr="008B0669">
              <w:rPr>
                <w:rFonts w:asciiTheme="minorHAnsi" w:hAnsiTheme="minorHAnsi"/>
              </w:rPr>
              <w:t xml:space="preserve">) </w:t>
            </w:r>
            <w:r w:rsidRPr="008B0669">
              <w:rPr>
                <w:rFonts w:asciiTheme="minorHAnsi" w:hAnsiTheme="minorHAnsi"/>
              </w:rPr>
              <w:t>in relation to matters over which the operator has control (or would be expected to have control).</w:t>
            </w:r>
          </w:p>
          <w:p w:rsidR="009A20D3" w:rsidRPr="008B0669" w:rsidRDefault="009A20D3" w:rsidP="00013B92">
            <w:pPr>
              <w:rPr>
                <w:rFonts w:asciiTheme="minorHAnsi" w:hAnsiTheme="minorHAnsi"/>
              </w:rPr>
            </w:pPr>
          </w:p>
        </w:tc>
        <w:tc>
          <w:tcPr>
            <w:tcW w:w="4320" w:type="dxa"/>
          </w:tcPr>
          <w:p w:rsidR="009A20D3" w:rsidRPr="008B0669" w:rsidRDefault="009A79FB" w:rsidP="009A20D3">
            <w:pPr>
              <w:rPr>
                <w:rFonts w:asciiTheme="minorHAnsi" w:hAnsiTheme="minorHAnsi"/>
              </w:rPr>
            </w:pPr>
            <w:r w:rsidRPr="008B0669">
              <w:rPr>
                <w:rFonts w:asciiTheme="minorHAnsi" w:hAnsiTheme="minorHAnsi"/>
              </w:rPr>
              <w:t xml:space="preserve">The model WHS Act </w:t>
            </w:r>
            <w:r w:rsidR="009A20D3" w:rsidRPr="008B0669">
              <w:rPr>
                <w:rFonts w:asciiTheme="minorHAnsi" w:hAnsiTheme="minorHAnsi"/>
              </w:rPr>
              <w:t xml:space="preserve">has a broad definition of </w:t>
            </w:r>
            <w:r w:rsidR="009A20D3" w:rsidRPr="008B0669">
              <w:rPr>
                <w:rFonts w:asciiTheme="minorHAnsi" w:hAnsiTheme="minorHAnsi"/>
                <w:i/>
              </w:rPr>
              <w:t xml:space="preserve">worker </w:t>
            </w:r>
            <w:r w:rsidR="009A20D3" w:rsidRPr="008B0669">
              <w:rPr>
                <w:rFonts w:asciiTheme="minorHAnsi" w:hAnsiTheme="minorHAnsi"/>
              </w:rPr>
              <w:t>(</w:t>
            </w:r>
            <w:proofErr w:type="spellStart"/>
            <w:r w:rsidR="009A20D3" w:rsidRPr="008B0669">
              <w:rPr>
                <w:rFonts w:asciiTheme="minorHAnsi" w:hAnsiTheme="minorHAnsi"/>
              </w:rPr>
              <w:t>s.7</w:t>
            </w:r>
            <w:proofErr w:type="spellEnd"/>
            <w:r w:rsidR="009A20D3" w:rsidRPr="008B0669">
              <w:rPr>
                <w:rFonts w:asciiTheme="minorHAnsi" w:hAnsiTheme="minorHAnsi"/>
              </w:rPr>
              <w:t>).  It</w:t>
            </w:r>
            <w:r w:rsidRPr="008B0669">
              <w:rPr>
                <w:rFonts w:asciiTheme="minorHAnsi" w:hAnsiTheme="minorHAnsi"/>
              </w:rPr>
              <w:t xml:space="preserve"> extends beyond the traditional employment</w:t>
            </w:r>
            <w:r w:rsidR="00E73234" w:rsidRPr="008B0669">
              <w:rPr>
                <w:rFonts w:asciiTheme="minorHAnsi" w:hAnsiTheme="minorHAnsi"/>
              </w:rPr>
              <w:t xml:space="preserve"> </w:t>
            </w:r>
            <w:r w:rsidRPr="008B0669">
              <w:rPr>
                <w:rFonts w:asciiTheme="minorHAnsi" w:hAnsiTheme="minorHAnsi"/>
              </w:rPr>
              <w:t xml:space="preserve">relationship to include any person who works, in any capacity, in or as part of the business or undertaking. </w:t>
            </w:r>
            <w:r w:rsidR="009A20D3" w:rsidRPr="008B0669">
              <w:rPr>
                <w:rFonts w:asciiTheme="minorHAnsi" w:hAnsiTheme="minorHAnsi"/>
              </w:rPr>
              <w:t xml:space="preserve">  </w:t>
            </w:r>
          </w:p>
          <w:p w:rsidR="009A20D3" w:rsidRPr="008B0669" w:rsidRDefault="009A20D3" w:rsidP="009A20D3">
            <w:pPr>
              <w:rPr>
                <w:rFonts w:asciiTheme="minorHAnsi" w:hAnsiTheme="minorHAnsi"/>
              </w:rPr>
            </w:pPr>
          </w:p>
          <w:p w:rsidR="009A79FB" w:rsidRPr="008B0669" w:rsidRDefault="009A20D3" w:rsidP="009A20D3">
            <w:pPr>
              <w:rPr>
                <w:rFonts w:asciiTheme="minorHAnsi" w:hAnsiTheme="minorHAnsi"/>
              </w:rPr>
            </w:pPr>
            <w:r w:rsidRPr="008B0669">
              <w:rPr>
                <w:rFonts w:asciiTheme="minorHAnsi" w:hAnsiTheme="minorHAnsi"/>
                <w:i/>
              </w:rPr>
              <w:t>Worker</w:t>
            </w:r>
            <w:r w:rsidRPr="008B0669">
              <w:rPr>
                <w:rFonts w:asciiTheme="minorHAnsi" w:hAnsiTheme="minorHAnsi"/>
              </w:rPr>
              <w:t xml:space="preserve"> in</w:t>
            </w:r>
            <w:r w:rsidR="009A79FB" w:rsidRPr="008B0669">
              <w:rPr>
                <w:rFonts w:asciiTheme="minorHAnsi" w:hAnsiTheme="minorHAnsi"/>
              </w:rPr>
              <w:t>cludes an employee, a</w:t>
            </w:r>
            <w:r w:rsidR="00E73234" w:rsidRPr="008B0669">
              <w:rPr>
                <w:rFonts w:asciiTheme="minorHAnsi" w:hAnsiTheme="minorHAnsi"/>
              </w:rPr>
              <w:t xml:space="preserve"> </w:t>
            </w:r>
            <w:r w:rsidR="009A79FB" w:rsidRPr="008B0669">
              <w:rPr>
                <w:rFonts w:asciiTheme="minorHAnsi" w:hAnsiTheme="minorHAnsi"/>
              </w:rPr>
              <w:t xml:space="preserve">contractor, sub-contractor (or an employee of </w:t>
            </w:r>
            <w:r w:rsidRPr="008B0669">
              <w:rPr>
                <w:rFonts w:asciiTheme="minorHAnsi" w:hAnsiTheme="minorHAnsi"/>
              </w:rPr>
              <w:t>either</w:t>
            </w:r>
            <w:r w:rsidR="009A79FB" w:rsidRPr="008B0669">
              <w:rPr>
                <w:rFonts w:asciiTheme="minorHAnsi" w:hAnsiTheme="minorHAnsi"/>
              </w:rPr>
              <w:t>)</w:t>
            </w:r>
            <w:r w:rsidRPr="008B0669">
              <w:rPr>
                <w:rFonts w:asciiTheme="minorHAnsi" w:hAnsiTheme="minorHAnsi"/>
              </w:rPr>
              <w:t>,</w:t>
            </w:r>
            <w:r w:rsidR="009A79FB" w:rsidRPr="008B0669">
              <w:rPr>
                <w:rFonts w:asciiTheme="minorHAnsi" w:hAnsiTheme="minorHAnsi"/>
              </w:rPr>
              <w:t xml:space="preserve"> an employee of a labour hire company who has been</w:t>
            </w:r>
            <w:r w:rsidRPr="008B0669">
              <w:rPr>
                <w:rFonts w:asciiTheme="minorHAnsi" w:hAnsiTheme="minorHAnsi"/>
              </w:rPr>
              <w:t xml:space="preserve"> </w:t>
            </w:r>
            <w:r w:rsidR="009A79FB" w:rsidRPr="008B0669">
              <w:rPr>
                <w:rFonts w:asciiTheme="minorHAnsi" w:hAnsiTheme="minorHAnsi"/>
              </w:rPr>
              <w:t xml:space="preserve">assigned </w:t>
            </w:r>
            <w:r w:rsidRPr="008B0669">
              <w:rPr>
                <w:rFonts w:asciiTheme="minorHAnsi" w:hAnsiTheme="minorHAnsi"/>
              </w:rPr>
              <w:t xml:space="preserve">to </w:t>
            </w:r>
            <w:r w:rsidR="009A79FB" w:rsidRPr="008B0669">
              <w:rPr>
                <w:rFonts w:asciiTheme="minorHAnsi" w:hAnsiTheme="minorHAnsi"/>
              </w:rPr>
              <w:t>work in the person's business or undertaking</w:t>
            </w:r>
            <w:r w:rsidRPr="008B0669">
              <w:rPr>
                <w:rFonts w:asciiTheme="minorHAnsi" w:hAnsiTheme="minorHAnsi"/>
              </w:rPr>
              <w:t>, an outworker, an apprentice or trainee, a work experience student, a volunteer and persons in a prescribed class.</w:t>
            </w:r>
          </w:p>
          <w:p w:rsidR="009A20D3" w:rsidRPr="008B0669" w:rsidRDefault="009A20D3" w:rsidP="009A20D3">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Definition of</w:t>
            </w:r>
          </w:p>
          <w:p w:rsidR="009A79FB" w:rsidRPr="008B0669" w:rsidRDefault="009A79FB" w:rsidP="00013B92">
            <w:pPr>
              <w:rPr>
                <w:rFonts w:asciiTheme="minorHAnsi" w:hAnsiTheme="minorHAnsi"/>
                <w:b/>
              </w:rPr>
            </w:pPr>
            <w:r w:rsidRPr="008B0669">
              <w:rPr>
                <w:rFonts w:asciiTheme="minorHAnsi" w:hAnsiTheme="minorHAnsi"/>
                <w:b/>
              </w:rPr>
              <w:t>workplace</w:t>
            </w:r>
          </w:p>
        </w:tc>
        <w:tc>
          <w:tcPr>
            <w:tcW w:w="4050" w:type="dxa"/>
          </w:tcPr>
          <w:p w:rsidR="009A79FB" w:rsidRPr="008B0669" w:rsidRDefault="009A79FB" w:rsidP="00731EA7">
            <w:pPr>
              <w:rPr>
                <w:rFonts w:asciiTheme="minorHAnsi" w:hAnsiTheme="minorHAnsi"/>
              </w:rPr>
            </w:pPr>
            <w:r w:rsidRPr="008B0669">
              <w:rPr>
                <w:rFonts w:asciiTheme="minorHAnsi" w:hAnsiTheme="minorHAnsi"/>
              </w:rPr>
              <w:t xml:space="preserve">The OHS(MI) Act limits </w:t>
            </w:r>
            <w:r w:rsidR="009A20D3" w:rsidRPr="008B0669">
              <w:rPr>
                <w:rFonts w:asciiTheme="minorHAnsi" w:hAnsiTheme="minorHAnsi"/>
              </w:rPr>
              <w:t>(</w:t>
            </w:r>
            <w:proofErr w:type="spellStart"/>
            <w:r w:rsidR="009A20D3" w:rsidRPr="008B0669">
              <w:rPr>
                <w:rFonts w:asciiTheme="minorHAnsi" w:hAnsiTheme="minorHAnsi"/>
              </w:rPr>
              <w:t>s.4</w:t>
            </w:r>
            <w:proofErr w:type="spellEnd"/>
            <w:r w:rsidR="009A20D3" w:rsidRPr="008B0669">
              <w:rPr>
                <w:rFonts w:asciiTheme="minorHAnsi" w:hAnsiTheme="minorHAnsi"/>
              </w:rPr>
              <w:t xml:space="preserve">) </w:t>
            </w:r>
            <w:r w:rsidRPr="008B0669">
              <w:rPr>
                <w:rFonts w:asciiTheme="minorHAnsi" w:hAnsiTheme="minorHAnsi"/>
              </w:rPr>
              <w:t xml:space="preserve">a </w:t>
            </w:r>
            <w:r w:rsidRPr="008B0669">
              <w:rPr>
                <w:rFonts w:asciiTheme="minorHAnsi" w:hAnsiTheme="minorHAnsi"/>
                <w:i/>
              </w:rPr>
              <w:t>workplace</w:t>
            </w:r>
            <w:r w:rsidRPr="008B0669">
              <w:rPr>
                <w:rFonts w:asciiTheme="minorHAnsi" w:hAnsiTheme="minorHAnsi"/>
              </w:rPr>
              <w:t xml:space="preserve"> to anywhere on board a prescribed ship or prescribed unit</w:t>
            </w:r>
            <w:r w:rsidR="00731EA7" w:rsidRPr="008B0669">
              <w:rPr>
                <w:rFonts w:asciiTheme="minorHAnsi" w:hAnsiTheme="minorHAnsi"/>
              </w:rPr>
              <w:t>:</w:t>
            </w:r>
            <w:r w:rsidRPr="008B0669">
              <w:rPr>
                <w:rFonts w:asciiTheme="minorHAnsi" w:hAnsiTheme="minorHAnsi"/>
              </w:rPr>
              <w:t xml:space="preserve"> where an employee or contractor works</w:t>
            </w:r>
            <w:r w:rsidR="00731EA7" w:rsidRPr="008B0669">
              <w:rPr>
                <w:rFonts w:asciiTheme="minorHAnsi" w:hAnsiTheme="minorHAnsi"/>
              </w:rPr>
              <w:t>;</w:t>
            </w:r>
            <w:r w:rsidRPr="008B0669">
              <w:rPr>
                <w:rFonts w:asciiTheme="minorHAnsi" w:hAnsiTheme="minorHAnsi"/>
              </w:rPr>
              <w:t xml:space="preserve"> or </w:t>
            </w:r>
            <w:r w:rsidR="00731EA7" w:rsidRPr="008B0669">
              <w:rPr>
                <w:rFonts w:asciiTheme="minorHAnsi" w:hAnsiTheme="minorHAnsi"/>
              </w:rPr>
              <w:t xml:space="preserve">which is </w:t>
            </w:r>
            <w:r w:rsidRPr="008B0669">
              <w:rPr>
                <w:rFonts w:asciiTheme="minorHAnsi" w:hAnsiTheme="minorHAnsi"/>
              </w:rPr>
              <w:t>under the control of the</w:t>
            </w:r>
            <w:r w:rsidR="00E73234" w:rsidRPr="008B0669">
              <w:rPr>
                <w:rFonts w:asciiTheme="minorHAnsi" w:hAnsiTheme="minorHAnsi"/>
              </w:rPr>
              <w:t xml:space="preserve"> </w:t>
            </w:r>
            <w:r w:rsidRPr="008B0669">
              <w:rPr>
                <w:rFonts w:asciiTheme="minorHAnsi" w:hAnsiTheme="minorHAnsi"/>
              </w:rPr>
              <w:t>operator to which an employee or contractor has access.</w:t>
            </w:r>
          </w:p>
        </w:tc>
        <w:tc>
          <w:tcPr>
            <w:tcW w:w="4320" w:type="dxa"/>
          </w:tcPr>
          <w:p w:rsidR="009A79FB" w:rsidRPr="008B0669" w:rsidRDefault="009A79FB" w:rsidP="00013B92">
            <w:pPr>
              <w:rPr>
                <w:rFonts w:asciiTheme="minorHAnsi" w:hAnsiTheme="minorHAnsi"/>
              </w:rPr>
            </w:pPr>
            <w:r w:rsidRPr="008B0669">
              <w:rPr>
                <w:rFonts w:asciiTheme="minorHAnsi" w:hAnsiTheme="minorHAnsi"/>
              </w:rPr>
              <w:t>The model WHS Act provides</w:t>
            </w:r>
            <w:r w:rsidR="00731EA7" w:rsidRPr="008B0669">
              <w:rPr>
                <w:rFonts w:asciiTheme="minorHAnsi" w:hAnsiTheme="minorHAnsi"/>
              </w:rPr>
              <w:t>(</w:t>
            </w:r>
            <w:proofErr w:type="spellStart"/>
            <w:r w:rsidR="00731EA7" w:rsidRPr="008B0669">
              <w:rPr>
                <w:rFonts w:asciiTheme="minorHAnsi" w:hAnsiTheme="minorHAnsi"/>
              </w:rPr>
              <w:t>s.8</w:t>
            </w:r>
            <w:proofErr w:type="spellEnd"/>
            <w:r w:rsidR="00731EA7" w:rsidRPr="008B0669">
              <w:rPr>
                <w:rFonts w:asciiTheme="minorHAnsi" w:hAnsiTheme="minorHAnsi"/>
              </w:rPr>
              <w:t xml:space="preserve">) </w:t>
            </w:r>
            <w:r w:rsidRPr="008B0669">
              <w:rPr>
                <w:rFonts w:asciiTheme="minorHAnsi" w:hAnsiTheme="minorHAnsi"/>
              </w:rPr>
              <w:t xml:space="preserve"> that a </w:t>
            </w:r>
            <w:r w:rsidRPr="008B0669">
              <w:rPr>
                <w:rFonts w:asciiTheme="minorHAnsi" w:hAnsiTheme="minorHAnsi"/>
                <w:i/>
              </w:rPr>
              <w:t xml:space="preserve">workplace </w:t>
            </w:r>
            <w:r w:rsidRPr="008B0669">
              <w:rPr>
                <w:rFonts w:asciiTheme="minorHAnsi" w:hAnsiTheme="minorHAnsi"/>
              </w:rPr>
              <w:t>is a place where work is carried out for a business or undertaking and includes any place where a worker goes, or is likely to be, while at work.</w:t>
            </w:r>
          </w:p>
          <w:p w:rsidR="00731EA7" w:rsidRPr="008B0669" w:rsidRDefault="00731EA7" w:rsidP="00013B92">
            <w:pPr>
              <w:rPr>
                <w:rFonts w:asciiTheme="minorHAnsi" w:hAnsiTheme="minorHAnsi"/>
              </w:rPr>
            </w:pPr>
          </w:p>
          <w:p w:rsidR="009A79FB" w:rsidRPr="008B0669" w:rsidRDefault="009A79FB" w:rsidP="00E73234">
            <w:pPr>
              <w:rPr>
                <w:rFonts w:asciiTheme="minorHAnsi" w:hAnsiTheme="minorHAnsi"/>
              </w:rPr>
            </w:pPr>
            <w:r w:rsidRPr="008B0669">
              <w:rPr>
                <w:rFonts w:asciiTheme="minorHAnsi" w:hAnsiTheme="minorHAnsi"/>
              </w:rPr>
              <w:t>A ‘place’ includes a vessel and any waters and any installation on land, on the bed of any waters or floating</w:t>
            </w:r>
            <w:r w:rsidR="00E73234" w:rsidRPr="008B0669">
              <w:rPr>
                <w:rFonts w:asciiTheme="minorHAnsi" w:hAnsiTheme="minorHAnsi"/>
              </w:rPr>
              <w:t xml:space="preserve"> </w:t>
            </w:r>
            <w:r w:rsidRPr="008B0669">
              <w:rPr>
                <w:rFonts w:asciiTheme="minorHAnsi" w:hAnsiTheme="minorHAnsi"/>
              </w:rPr>
              <w:t>on any waters.</w:t>
            </w:r>
          </w:p>
          <w:p w:rsidR="00731EA7" w:rsidRPr="008B0669" w:rsidRDefault="00731EA7"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Principles about duties</w:t>
            </w:r>
          </w:p>
        </w:tc>
        <w:tc>
          <w:tcPr>
            <w:tcW w:w="4050" w:type="dxa"/>
          </w:tcPr>
          <w:p w:rsidR="009A79FB" w:rsidRPr="008B0669" w:rsidRDefault="00731EA7" w:rsidP="00013B92">
            <w:pPr>
              <w:rPr>
                <w:rFonts w:asciiTheme="minorHAnsi" w:hAnsiTheme="minorHAnsi"/>
              </w:rPr>
            </w:pPr>
            <w:r w:rsidRPr="008B0669">
              <w:rPr>
                <w:rFonts w:asciiTheme="minorHAnsi" w:hAnsiTheme="minorHAnsi"/>
              </w:rPr>
              <w:t>The OHS(MI) Act does not set out any general principles relating to duties of care.</w:t>
            </w:r>
          </w:p>
          <w:p w:rsidR="00731EA7" w:rsidRPr="008B0669" w:rsidRDefault="00731EA7" w:rsidP="00013B92">
            <w:pPr>
              <w:rPr>
                <w:rFonts w:asciiTheme="minorHAnsi" w:hAnsiTheme="minorHAnsi"/>
              </w:rPr>
            </w:pPr>
          </w:p>
        </w:tc>
        <w:tc>
          <w:tcPr>
            <w:tcW w:w="4320" w:type="dxa"/>
          </w:tcPr>
          <w:p w:rsidR="009A79FB" w:rsidRPr="008B0669" w:rsidRDefault="00731EA7" w:rsidP="00731EA7">
            <w:pPr>
              <w:rPr>
                <w:rFonts w:asciiTheme="minorHAnsi" w:hAnsiTheme="minorHAnsi"/>
              </w:rPr>
            </w:pPr>
            <w:r w:rsidRPr="008B0669">
              <w:rPr>
                <w:rFonts w:asciiTheme="minorHAnsi" w:hAnsiTheme="minorHAnsi"/>
              </w:rPr>
              <w:t>The model WHS Act sets out (</w:t>
            </w:r>
            <w:proofErr w:type="spellStart"/>
            <w:r w:rsidRPr="008B0669">
              <w:rPr>
                <w:rFonts w:asciiTheme="minorHAnsi" w:hAnsiTheme="minorHAnsi"/>
              </w:rPr>
              <w:t>ss.13</w:t>
            </w:r>
            <w:proofErr w:type="spellEnd"/>
            <w:r w:rsidRPr="008B0669">
              <w:rPr>
                <w:rFonts w:asciiTheme="minorHAnsi" w:hAnsiTheme="minorHAnsi"/>
              </w:rPr>
              <w:t>-17) the principles applying to all duties under the Act.</w:t>
            </w:r>
          </w:p>
          <w:p w:rsidR="00731EA7" w:rsidRPr="008B0669" w:rsidRDefault="00731EA7" w:rsidP="00731EA7">
            <w:pPr>
              <w:rPr>
                <w:rFonts w:asciiTheme="minorHAnsi" w:hAnsiTheme="minorHAnsi"/>
              </w:rPr>
            </w:pPr>
          </w:p>
          <w:p w:rsidR="00731EA7" w:rsidRPr="008B0669" w:rsidRDefault="00731EA7" w:rsidP="00731EA7">
            <w:pPr>
              <w:rPr>
                <w:rFonts w:asciiTheme="minorHAnsi" w:hAnsiTheme="minorHAnsi"/>
              </w:rPr>
            </w:pPr>
            <w:r w:rsidRPr="008B0669">
              <w:rPr>
                <w:rFonts w:asciiTheme="minorHAnsi" w:hAnsiTheme="minorHAnsi"/>
              </w:rPr>
              <w:t>They are that duties cannot be transferred; a person may have more than one duty at the same time; more than one person may concurrently have the same duty; and a duty holder must, so far as is reasonably practicable, eliminate risks to health and safety  or that is not possible, minimise them so far as is reasonably practicable.</w:t>
            </w:r>
          </w:p>
          <w:p w:rsidR="00731EA7" w:rsidRPr="008B0669" w:rsidRDefault="00731EA7" w:rsidP="00731EA7">
            <w:pPr>
              <w:rPr>
                <w:rFonts w:asciiTheme="minorHAnsi" w:hAnsiTheme="minorHAnsi"/>
                <w:b/>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Duties on officers</w:t>
            </w:r>
          </w:p>
        </w:tc>
        <w:tc>
          <w:tcPr>
            <w:tcW w:w="4050" w:type="dxa"/>
          </w:tcPr>
          <w:p w:rsidR="009A79FB" w:rsidRPr="008B0669" w:rsidRDefault="0043247D" w:rsidP="00E73234">
            <w:pPr>
              <w:rPr>
                <w:rFonts w:asciiTheme="minorHAnsi" w:hAnsiTheme="minorHAnsi"/>
              </w:rPr>
            </w:pPr>
            <w:r w:rsidRPr="008B0669">
              <w:rPr>
                <w:rFonts w:asciiTheme="minorHAnsi" w:hAnsiTheme="minorHAnsi"/>
              </w:rPr>
              <w:t>Various provisions of t</w:t>
            </w:r>
            <w:r w:rsidR="009A79FB" w:rsidRPr="008B0669">
              <w:rPr>
                <w:rFonts w:asciiTheme="minorHAnsi" w:hAnsiTheme="minorHAnsi"/>
              </w:rPr>
              <w:t xml:space="preserve">he OHS(MI) Act </w:t>
            </w:r>
            <w:r w:rsidRPr="008B0669">
              <w:rPr>
                <w:rFonts w:asciiTheme="minorHAnsi" w:hAnsiTheme="minorHAnsi"/>
              </w:rPr>
              <w:t xml:space="preserve"> place</w:t>
            </w:r>
            <w:r w:rsidR="009A79FB" w:rsidRPr="008B0669">
              <w:rPr>
                <w:rFonts w:asciiTheme="minorHAnsi" w:hAnsiTheme="minorHAnsi"/>
              </w:rPr>
              <w:t xml:space="preserve"> </w:t>
            </w:r>
            <w:r w:rsidRPr="008B0669">
              <w:rPr>
                <w:rFonts w:asciiTheme="minorHAnsi" w:hAnsiTheme="minorHAnsi"/>
              </w:rPr>
              <w:t xml:space="preserve">duties on the </w:t>
            </w:r>
            <w:r w:rsidRPr="008B0669">
              <w:rPr>
                <w:rFonts w:asciiTheme="minorHAnsi" w:hAnsiTheme="minorHAnsi"/>
                <w:i/>
              </w:rPr>
              <w:t>person in command</w:t>
            </w:r>
            <w:r w:rsidR="009A79FB" w:rsidRPr="008B0669">
              <w:rPr>
                <w:rFonts w:asciiTheme="minorHAnsi" w:hAnsiTheme="minorHAnsi"/>
              </w:rPr>
              <w:t xml:space="preserve"> who is </w:t>
            </w:r>
            <w:r w:rsidRPr="008B0669">
              <w:rPr>
                <w:rFonts w:asciiTheme="minorHAnsi" w:hAnsiTheme="minorHAnsi"/>
              </w:rPr>
              <w:t>(</w:t>
            </w:r>
            <w:proofErr w:type="spellStart"/>
            <w:r w:rsidRPr="008B0669">
              <w:rPr>
                <w:rFonts w:asciiTheme="minorHAnsi" w:hAnsiTheme="minorHAnsi"/>
              </w:rPr>
              <w:t>s.4</w:t>
            </w:r>
            <w:proofErr w:type="spellEnd"/>
            <w:r w:rsidRPr="008B0669">
              <w:rPr>
                <w:rFonts w:asciiTheme="minorHAnsi" w:hAnsiTheme="minorHAnsi"/>
              </w:rPr>
              <w:t xml:space="preserve">) </w:t>
            </w:r>
            <w:r w:rsidR="009A79FB" w:rsidRPr="008B0669">
              <w:rPr>
                <w:rFonts w:asciiTheme="minorHAnsi" w:hAnsiTheme="minorHAnsi"/>
                <w:i/>
              </w:rPr>
              <w:t>the master, or in the absence of the master, the person on board responsible, as agent for the operator, for the operation of the</w:t>
            </w:r>
            <w:r w:rsidR="00E73234" w:rsidRPr="008B0669">
              <w:rPr>
                <w:rFonts w:asciiTheme="minorHAnsi" w:hAnsiTheme="minorHAnsi"/>
                <w:i/>
              </w:rPr>
              <w:t xml:space="preserve"> </w:t>
            </w:r>
            <w:r w:rsidR="009A79FB" w:rsidRPr="008B0669">
              <w:rPr>
                <w:rFonts w:asciiTheme="minorHAnsi" w:hAnsiTheme="minorHAnsi"/>
                <w:i/>
              </w:rPr>
              <w:t>ship</w:t>
            </w:r>
            <w:r w:rsidRPr="008B0669">
              <w:rPr>
                <w:rFonts w:asciiTheme="minorHAnsi" w:hAnsiTheme="minorHAnsi"/>
                <w:i/>
              </w:rPr>
              <w:t xml:space="preserve"> </w:t>
            </w:r>
            <w:r w:rsidRPr="008B0669">
              <w:rPr>
                <w:rFonts w:asciiTheme="minorHAnsi" w:hAnsiTheme="minorHAnsi"/>
              </w:rPr>
              <w:t>(there is a similar provision for a prescribed unit)</w:t>
            </w:r>
            <w:r w:rsidR="009A79FB" w:rsidRPr="008B0669">
              <w:rPr>
                <w:rFonts w:asciiTheme="minorHAnsi" w:hAnsiTheme="minorHAnsi"/>
              </w:rPr>
              <w:t>.</w:t>
            </w:r>
          </w:p>
          <w:p w:rsidR="00B26743" w:rsidRPr="008B0669" w:rsidRDefault="00B26743" w:rsidP="00E73234">
            <w:pPr>
              <w:rPr>
                <w:rFonts w:asciiTheme="minorHAnsi" w:hAnsiTheme="minorHAnsi"/>
              </w:rPr>
            </w:pPr>
          </w:p>
        </w:tc>
        <w:tc>
          <w:tcPr>
            <w:tcW w:w="4320" w:type="dxa"/>
          </w:tcPr>
          <w:p w:rsidR="0075422F" w:rsidRPr="008B0669" w:rsidRDefault="0075422F" w:rsidP="0075422F">
            <w:p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s.27</w:t>
            </w:r>
            <w:proofErr w:type="spellEnd"/>
            <w:r w:rsidRPr="008B0669">
              <w:rPr>
                <w:rFonts w:asciiTheme="minorHAnsi" w:hAnsiTheme="minorHAnsi"/>
              </w:rPr>
              <w:t xml:space="preserve">, an </w:t>
            </w:r>
            <w:r w:rsidRPr="008B0669">
              <w:rPr>
                <w:rFonts w:asciiTheme="minorHAnsi" w:hAnsiTheme="minorHAnsi"/>
                <w:i/>
              </w:rPr>
              <w:t xml:space="preserve">officer </w:t>
            </w:r>
            <w:r w:rsidRPr="008B0669">
              <w:rPr>
                <w:rFonts w:asciiTheme="minorHAnsi" w:hAnsiTheme="minorHAnsi"/>
              </w:rPr>
              <w:t xml:space="preserve">(defined in </w:t>
            </w:r>
            <w:proofErr w:type="spellStart"/>
            <w:r w:rsidRPr="008B0669">
              <w:rPr>
                <w:rFonts w:asciiTheme="minorHAnsi" w:hAnsiTheme="minorHAnsi"/>
              </w:rPr>
              <w:t>s.4</w:t>
            </w:r>
            <w:proofErr w:type="spellEnd"/>
            <w:r w:rsidRPr="008B0669">
              <w:rPr>
                <w:rFonts w:asciiTheme="minorHAnsi" w:hAnsiTheme="minorHAnsi"/>
              </w:rPr>
              <w:t xml:space="preserve">) of a </w:t>
            </w:r>
            <w:proofErr w:type="spellStart"/>
            <w:r w:rsidRPr="008B0669">
              <w:rPr>
                <w:rFonts w:asciiTheme="minorHAnsi" w:hAnsiTheme="minorHAnsi"/>
              </w:rPr>
              <w:t>PCBU</w:t>
            </w:r>
            <w:proofErr w:type="spellEnd"/>
            <w:r w:rsidRPr="008B0669">
              <w:rPr>
                <w:rFonts w:asciiTheme="minorHAnsi" w:hAnsiTheme="minorHAnsi"/>
              </w:rPr>
              <w:t xml:space="preserve"> must exercise </w:t>
            </w:r>
            <w:r w:rsidRPr="008B0669">
              <w:rPr>
                <w:rFonts w:asciiTheme="minorHAnsi" w:hAnsiTheme="minorHAnsi"/>
                <w:i/>
              </w:rPr>
              <w:t>due diligence</w:t>
            </w:r>
            <w:r w:rsidRPr="008B0669">
              <w:rPr>
                <w:rFonts w:asciiTheme="minorHAnsi" w:hAnsiTheme="minorHAnsi"/>
              </w:rPr>
              <w:t xml:space="preserve"> [defined in </w:t>
            </w:r>
            <w:proofErr w:type="spellStart"/>
            <w:r w:rsidRPr="008B0669">
              <w:rPr>
                <w:rFonts w:asciiTheme="minorHAnsi" w:hAnsiTheme="minorHAnsi"/>
              </w:rPr>
              <w:t>s.27</w:t>
            </w:r>
            <w:proofErr w:type="spellEnd"/>
            <w:r w:rsidRPr="008B0669">
              <w:rPr>
                <w:rFonts w:asciiTheme="minorHAnsi" w:hAnsiTheme="minorHAnsi"/>
              </w:rPr>
              <w:t xml:space="preserve">(5)] to ensure that the </w:t>
            </w:r>
            <w:proofErr w:type="spellStart"/>
            <w:r w:rsidRPr="008B0669">
              <w:rPr>
                <w:rFonts w:asciiTheme="minorHAnsi" w:hAnsiTheme="minorHAnsi"/>
              </w:rPr>
              <w:t>PCBU</w:t>
            </w:r>
            <w:proofErr w:type="spellEnd"/>
            <w:r w:rsidRPr="008B0669">
              <w:rPr>
                <w:rFonts w:asciiTheme="minorHAnsi" w:hAnsiTheme="minorHAnsi"/>
              </w:rPr>
              <w:t xml:space="preserve"> complies with its health and safety duties.   This positive duty placed on an officer relates to strategic, structural, policy and key resourcing decisions.</w:t>
            </w:r>
          </w:p>
          <w:p w:rsidR="009A79FB" w:rsidRPr="008B0669" w:rsidRDefault="009A79FB"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Duties on designers</w:t>
            </w:r>
          </w:p>
          <w:p w:rsidR="009A79FB" w:rsidRPr="008B0669" w:rsidRDefault="009A79FB" w:rsidP="00013B92">
            <w:pPr>
              <w:rPr>
                <w:rFonts w:asciiTheme="minorHAnsi" w:hAnsiTheme="minorHAnsi"/>
                <w:b/>
              </w:rPr>
            </w:pPr>
            <w:r w:rsidRPr="008B0669">
              <w:rPr>
                <w:rFonts w:asciiTheme="minorHAnsi" w:hAnsiTheme="minorHAnsi"/>
                <w:b/>
              </w:rPr>
              <w:t>and other roles</w:t>
            </w:r>
          </w:p>
        </w:tc>
        <w:tc>
          <w:tcPr>
            <w:tcW w:w="4050" w:type="dxa"/>
          </w:tcPr>
          <w:p w:rsidR="0075422F" w:rsidRPr="008B0669" w:rsidRDefault="009A79FB" w:rsidP="00013B92">
            <w:pPr>
              <w:rPr>
                <w:rFonts w:asciiTheme="minorHAnsi" w:hAnsiTheme="minorHAnsi"/>
              </w:rPr>
            </w:pPr>
            <w:r w:rsidRPr="008B0669">
              <w:rPr>
                <w:rFonts w:asciiTheme="minorHAnsi" w:hAnsiTheme="minorHAnsi"/>
              </w:rPr>
              <w:t xml:space="preserve">The OHS(MI) Act </w:t>
            </w:r>
            <w:r w:rsidR="0075422F" w:rsidRPr="008B0669">
              <w:rPr>
                <w:rFonts w:asciiTheme="minorHAnsi" w:hAnsiTheme="minorHAnsi"/>
              </w:rPr>
              <w:t>also places duties  on manufacturers, importers, suppliers, and persons erecting, installing, repairing and maintaining plant in a workplace.</w:t>
            </w:r>
          </w:p>
          <w:p w:rsidR="0075422F" w:rsidRPr="008B0669" w:rsidRDefault="0075422F" w:rsidP="00013B92">
            <w:pPr>
              <w:rPr>
                <w:rFonts w:asciiTheme="minorHAnsi" w:hAnsiTheme="minorHAnsi"/>
              </w:rPr>
            </w:pPr>
          </w:p>
          <w:p w:rsidR="009A79FB" w:rsidRPr="008B0669" w:rsidRDefault="0075422F" w:rsidP="00013B92">
            <w:pPr>
              <w:rPr>
                <w:rFonts w:asciiTheme="minorHAnsi" w:hAnsiTheme="minorHAnsi"/>
              </w:rPr>
            </w:pPr>
            <w:r w:rsidRPr="008B0669">
              <w:rPr>
                <w:rFonts w:asciiTheme="minorHAnsi" w:hAnsiTheme="minorHAnsi"/>
              </w:rPr>
              <w:t xml:space="preserve">There is no </w:t>
            </w:r>
            <w:r w:rsidR="009A79FB" w:rsidRPr="008B0669">
              <w:rPr>
                <w:rFonts w:asciiTheme="minorHAnsi" w:hAnsiTheme="minorHAnsi"/>
              </w:rPr>
              <w:t>specific dut</w:t>
            </w:r>
            <w:r w:rsidRPr="008B0669">
              <w:rPr>
                <w:rFonts w:asciiTheme="minorHAnsi" w:hAnsiTheme="minorHAnsi"/>
              </w:rPr>
              <w:t>y</w:t>
            </w:r>
            <w:r w:rsidR="009A79FB" w:rsidRPr="008B0669">
              <w:rPr>
                <w:rFonts w:asciiTheme="minorHAnsi" w:hAnsiTheme="minorHAnsi"/>
              </w:rPr>
              <w:t xml:space="preserve"> on</w:t>
            </w:r>
            <w:r w:rsidRPr="008B0669">
              <w:rPr>
                <w:rFonts w:asciiTheme="minorHAnsi" w:hAnsiTheme="minorHAnsi"/>
              </w:rPr>
              <w:t xml:space="preserve"> a designer</w:t>
            </w:r>
            <w:r w:rsidR="009A79FB" w:rsidRPr="008B0669">
              <w:rPr>
                <w:rFonts w:asciiTheme="minorHAnsi" w:hAnsiTheme="minorHAnsi"/>
              </w:rPr>
              <w:t>.</w:t>
            </w:r>
          </w:p>
          <w:p w:rsidR="0075422F" w:rsidRPr="008B0669" w:rsidRDefault="0075422F" w:rsidP="00013B92">
            <w:pPr>
              <w:rPr>
                <w:rFonts w:asciiTheme="minorHAnsi" w:hAnsiTheme="minorHAnsi"/>
              </w:rPr>
            </w:pPr>
          </w:p>
          <w:p w:rsidR="009A79FB" w:rsidRPr="008B0669" w:rsidRDefault="0075422F" w:rsidP="00013B92">
            <w:pPr>
              <w:rPr>
                <w:rFonts w:asciiTheme="minorHAnsi" w:hAnsiTheme="minorHAnsi"/>
              </w:rPr>
            </w:pPr>
            <w:r w:rsidRPr="008B0669">
              <w:rPr>
                <w:rFonts w:asciiTheme="minorHAnsi" w:hAnsiTheme="minorHAnsi"/>
              </w:rPr>
              <w:t>M</w:t>
            </w:r>
            <w:r w:rsidR="009A79FB" w:rsidRPr="008B0669">
              <w:rPr>
                <w:rFonts w:asciiTheme="minorHAnsi" w:hAnsiTheme="minorHAnsi"/>
              </w:rPr>
              <w:t xml:space="preserve">anufacturers, importers and suppliers in </w:t>
            </w:r>
            <w:r w:rsidR="009A79FB" w:rsidRPr="008B0669">
              <w:rPr>
                <w:rFonts w:asciiTheme="minorHAnsi" w:hAnsiTheme="minorHAnsi"/>
              </w:rPr>
              <w:lastRenderedPageBreak/>
              <w:t xml:space="preserve">relation to plant and substances </w:t>
            </w:r>
            <w:r w:rsidRPr="008B0669">
              <w:rPr>
                <w:rFonts w:asciiTheme="minorHAnsi" w:hAnsiTheme="minorHAnsi"/>
              </w:rPr>
              <w:t>must</w:t>
            </w:r>
            <w:r w:rsidR="009A79FB" w:rsidRPr="008B0669">
              <w:rPr>
                <w:rFonts w:asciiTheme="minorHAnsi" w:hAnsiTheme="minorHAnsi"/>
              </w:rPr>
              <w:t xml:space="preserve"> ensure they are designed and constructed to be safe when used properly.</w:t>
            </w:r>
          </w:p>
          <w:p w:rsidR="0075422F" w:rsidRPr="008B0669" w:rsidRDefault="0075422F" w:rsidP="00013B92">
            <w:pPr>
              <w:rPr>
                <w:rFonts w:asciiTheme="minorHAnsi" w:hAnsiTheme="minorHAnsi"/>
              </w:rPr>
            </w:pPr>
          </w:p>
        </w:tc>
        <w:tc>
          <w:tcPr>
            <w:tcW w:w="4320" w:type="dxa"/>
          </w:tcPr>
          <w:p w:rsidR="00500103" w:rsidRPr="008B0669" w:rsidRDefault="00500103" w:rsidP="00013B92">
            <w:pPr>
              <w:rPr>
                <w:rFonts w:asciiTheme="minorHAnsi" w:hAnsiTheme="minorHAnsi"/>
              </w:rPr>
            </w:pPr>
            <w:r w:rsidRPr="008B0669">
              <w:rPr>
                <w:rFonts w:asciiTheme="minorHAnsi" w:hAnsiTheme="minorHAnsi"/>
              </w:rPr>
              <w:lastRenderedPageBreak/>
              <w:t xml:space="preserve">Under the  model WHS Act, </w:t>
            </w:r>
            <w:r w:rsidR="009A79FB" w:rsidRPr="008B0669">
              <w:rPr>
                <w:rFonts w:asciiTheme="minorHAnsi" w:hAnsiTheme="minorHAnsi"/>
              </w:rPr>
              <w:t xml:space="preserve"> </w:t>
            </w:r>
            <w:proofErr w:type="spellStart"/>
            <w:r w:rsidRPr="008B0669">
              <w:rPr>
                <w:rFonts w:asciiTheme="minorHAnsi" w:hAnsiTheme="minorHAnsi"/>
              </w:rPr>
              <w:t>PCBUs</w:t>
            </w:r>
            <w:proofErr w:type="spellEnd"/>
            <w:r w:rsidRPr="008B0669">
              <w:rPr>
                <w:rFonts w:asciiTheme="minorHAnsi" w:hAnsiTheme="minorHAnsi"/>
              </w:rPr>
              <w:t xml:space="preserve"> who:</w:t>
            </w:r>
          </w:p>
          <w:p w:rsidR="009A79FB" w:rsidRPr="008B0669" w:rsidRDefault="00500103" w:rsidP="00500103">
            <w:pPr>
              <w:pStyle w:val="ListParagraph"/>
              <w:numPr>
                <w:ilvl w:val="0"/>
                <w:numId w:val="36"/>
              </w:numPr>
              <w:rPr>
                <w:rFonts w:asciiTheme="minorHAnsi" w:hAnsiTheme="minorHAnsi"/>
              </w:rPr>
            </w:pPr>
            <w:r w:rsidRPr="008B0669">
              <w:rPr>
                <w:rFonts w:asciiTheme="minorHAnsi" w:hAnsiTheme="minorHAnsi"/>
              </w:rPr>
              <w:t xml:space="preserve">are </w:t>
            </w:r>
            <w:r w:rsidR="009A79FB" w:rsidRPr="008B0669">
              <w:rPr>
                <w:rFonts w:asciiTheme="minorHAnsi" w:hAnsiTheme="minorHAnsi"/>
              </w:rPr>
              <w:t>designers, manufacturers, importers,</w:t>
            </w:r>
          </w:p>
          <w:p w:rsidR="00500103" w:rsidRPr="008B0669" w:rsidRDefault="00500103" w:rsidP="00500103">
            <w:pPr>
              <w:pStyle w:val="ListParagraph"/>
              <w:ind w:left="360"/>
              <w:rPr>
                <w:rFonts w:asciiTheme="minorHAnsi" w:hAnsiTheme="minorHAnsi"/>
              </w:rPr>
            </w:pPr>
            <w:r w:rsidRPr="008B0669">
              <w:rPr>
                <w:rFonts w:asciiTheme="minorHAnsi" w:hAnsiTheme="minorHAnsi"/>
              </w:rPr>
              <w:t xml:space="preserve">or </w:t>
            </w:r>
            <w:r w:rsidR="009A79FB" w:rsidRPr="008B0669">
              <w:rPr>
                <w:rFonts w:asciiTheme="minorHAnsi" w:hAnsiTheme="minorHAnsi"/>
              </w:rPr>
              <w:t xml:space="preserve">suppliers </w:t>
            </w:r>
            <w:r w:rsidRPr="008B0669">
              <w:rPr>
                <w:rFonts w:asciiTheme="minorHAnsi" w:hAnsiTheme="minorHAnsi"/>
              </w:rPr>
              <w:t xml:space="preserve">of </w:t>
            </w:r>
            <w:r w:rsidR="009A79FB" w:rsidRPr="008B0669">
              <w:rPr>
                <w:rFonts w:asciiTheme="minorHAnsi" w:hAnsiTheme="minorHAnsi"/>
              </w:rPr>
              <w:t>plant, substances and structures</w:t>
            </w:r>
            <w:r w:rsidRPr="008B0669">
              <w:rPr>
                <w:rFonts w:asciiTheme="minorHAnsi" w:hAnsiTheme="minorHAnsi"/>
              </w:rPr>
              <w:t>; or</w:t>
            </w:r>
          </w:p>
          <w:p w:rsidR="00500103" w:rsidRPr="008B0669" w:rsidRDefault="00500103" w:rsidP="00500103">
            <w:pPr>
              <w:pStyle w:val="ListParagraph"/>
              <w:numPr>
                <w:ilvl w:val="0"/>
                <w:numId w:val="36"/>
              </w:numPr>
              <w:rPr>
                <w:rFonts w:asciiTheme="minorHAnsi" w:hAnsiTheme="minorHAnsi"/>
              </w:rPr>
            </w:pPr>
            <w:r w:rsidRPr="008B0669">
              <w:rPr>
                <w:rFonts w:asciiTheme="minorHAnsi" w:hAnsiTheme="minorHAnsi"/>
              </w:rPr>
              <w:t>who install, construct or commission plant or structures,</w:t>
            </w:r>
          </w:p>
          <w:p w:rsidR="009A79FB" w:rsidRPr="008B0669" w:rsidRDefault="00500103" w:rsidP="00500103">
            <w:pPr>
              <w:rPr>
                <w:rFonts w:asciiTheme="minorHAnsi" w:hAnsiTheme="minorHAnsi"/>
              </w:rPr>
            </w:pPr>
            <w:r w:rsidRPr="008B0669">
              <w:rPr>
                <w:rFonts w:asciiTheme="minorHAnsi" w:hAnsiTheme="minorHAnsi"/>
              </w:rPr>
              <w:t>for use at workplaces, must ensure</w:t>
            </w:r>
            <w:r w:rsidR="009A79FB" w:rsidRPr="008B0669">
              <w:rPr>
                <w:rFonts w:asciiTheme="minorHAnsi" w:hAnsiTheme="minorHAnsi"/>
              </w:rPr>
              <w:t xml:space="preserve"> that </w:t>
            </w:r>
            <w:r w:rsidRPr="008B0669">
              <w:rPr>
                <w:rFonts w:asciiTheme="minorHAnsi" w:hAnsiTheme="minorHAnsi"/>
              </w:rPr>
              <w:t>the</w:t>
            </w:r>
            <w:r w:rsidR="009A79FB" w:rsidRPr="008B0669">
              <w:rPr>
                <w:rFonts w:asciiTheme="minorHAnsi" w:hAnsiTheme="minorHAnsi"/>
              </w:rPr>
              <w:t xml:space="preserve"> </w:t>
            </w:r>
            <w:r w:rsidR="009A79FB" w:rsidRPr="008B0669">
              <w:rPr>
                <w:rFonts w:asciiTheme="minorHAnsi" w:hAnsiTheme="minorHAnsi"/>
              </w:rPr>
              <w:lastRenderedPageBreak/>
              <w:t>plant, substances and</w:t>
            </w:r>
            <w:r w:rsidR="00E73234" w:rsidRPr="008B0669">
              <w:rPr>
                <w:rFonts w:asciiTheme="minorHAnsi" w:hAnsiTheme="minorHAnsi"/>
              </w:rPr>
              <w:t xml:space="preserve"> </w:t>
            </w:r>
            <w:r w:rsidR="009A79FB" w:rsidRPr="008B0669">
              <w:rPr>
                <w:rFonts w:asciiTheme="minorHAnsi" w:hAnsiTheme="minorHAnsi"/>
              </w:rPr>
              <w:t>structures are without risks to the health and safety of persons who deal with it</w:t>
            </w:r>
            <w:r w:rsidRPr="008B0669">
              <w:rPr>
                <w:rFonts w:asciiTheme="minorHAnsi" w:hAnsiTheme="minorHAnsi"/>
              </w:rPr>
              <w:t xml:space="preserve"> at a workplace</w:t>
            </w:r>
            <w:r w:rsidR="009A79FB" w:rsidRPr="008B0669">
              <w:rPr>
                <w:rFonts w:asciiTheme="minorHAnsi" w:hAnsiTheme="minorHAnsi"/>
              </w:rPr>
              <w:t>.</w:t>
            </w: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 xml:space="preserve">Duties of </w:t>
            </w:r>
            <w:r w:rsidR="006A01D4" w:rsidRPr="008B0669">
              <w:rPr>
                <w:rFonts w:asciiTheme="minorHAnsi" w:hAnsiTheme="minorHAnsi"/>
                <w:b/>
              </w:rPr>
              <w:t xml:space="preserve">employees and </w:t>
            </w:r>
            <w:r w:rsidRPr="008B0669">
              <w:rPr>
                <w:rFonts w:asciiTheme="minorHAnsi" w:hAnsiTheme="minorHAnsi"/>
                <w:b/>
              </w:rPr>
              <w:t>workers</w:t>
            </w:r>
          </w:p>
        </w:tc>
        <w:tc>
          <w:tcPr>
            <w:tcW w:w="4050" w:type="dxa"/>
          </w:tcPr>
          <w:p w:rsidR="009A79FB" w:rsidRPr="008B0669" w:rsidRDefault="00500103" w:rsidP="006A01D4">
            <w:pPr>
              <w:rPr>
                <w:rFonts w:asciiTheme="minorHAnsi" w:hAnsiTheme="minorHAnsi"/>
              </w:rPr>
            </w:pPr>
            <w:r w:rsidRPr="008B0669">
              <w:rPr>
                <w:rFonts w:asciiTheme="minorHAnsi" w:hAnsiTheme="minorHAnsi"/>
              </w:rPr>
              <w:t xml:space="preserve">Employees must </w:t>
            </w:r>
            <w:r w:rsidR="006A01D4" w:rsidRPr="008B0669">
              <w:rPr>
                <w:rFonts w:asciiTheme="minorHAnsi" w:hAnsiTheme="minorHAnsi"/>
              </w:rPr>
              <w:t>(</w:t>
            </w:r>
            <w:proofErr w:type="spellStart"/>
            <w:r w:rsidR="006A01D4" w:rsidRPr="008B0669">
              <w:rPr>
                <w:rFonts w:asciiTheme="minorHAnsi" w:hAnsiTheme="minorHAnsi"/>
              </w:rPr>
              <w:t>s.27</w:t>
            </w:r>
            <w:proofErr w:type="spellEnd"/>
            <w:r w:rsidR="006A01D4" w:rsidRPr="008B0669">
              <w:rPr>
                <w:rFonts w:asciiTheme="minorHAnsi" w:hAnsiTheme="minorHAnsi"/>
              </w:rPr>
              <w:t xml:space="preserve">) </w:t>
            </w:r>
            <w:r w:rsidRPr="008B0669">
              <w:rPr>
                <w:rFonts w:asciiTheme="minorHAnsi" w:hAnsiTheme="minorHAnsi"/>
              </w:rPr>
              <w:t xml:space="preserve">ensure that </w:t>
            </w:r>
            <w:r w:rsidR="006A01D4" w:rsidRPr="008B0669">
              <w:rPr>
                <w:rFonts w:asciiTheme="minorHAnsi" w:hAnsiTheme="minorHAnsi"/>
              </w:rPr>
              <w:t>they</w:t>
            </w:r>
            <w:r w:rsidRPr="008B0669">
              <w:rPr>
                <w:rFonts w:asciiTheme="minorHAnsi" w:hAnsiTheme="minorHAnsi"/>
              </w:rPr>
              <w:t xml:space="preserve"> do not create a risk, or increase an existing risk (whether by doing something or failing to do something), to</w:t>
            </w:r>
            <w:r w:rsidR="006A01D4" w:rsidRPr="008B0669">
              <w:rPr>
                <w:rFonts w:asciiTheme="minorHAnsi" w:hAnsiTheme="minorHAnsi"/>
              </w:rPr>
              <w:t xml:space="preserve"> their</w:t>
            </w:r>
            <w:r w:rsidRPr="008B0669">
              <w:rPr>
                <w:rFonts w:asciiTheme="minorHAnsi" w:hAnsiTheme="minorHAnsi"/>
              </w:rPr>
              <w:t xml:space="preserve"> own health or safety or to th</w:t>
            </w:r>
            <w:r w:rsidR="006A01D4" w:rsidRPr="008B0669">
              <w:rPr>
                <w:rFonts w:asciiTheme="minorHAnsi" w:hAnsiTheme="minorHAnsi"/>
              </w:rPr>
              <w:t>at of</w:t>
            </w:r>
            <w:r w:rsidRPr="008B0669">
              <w:rPr>
                <w:rFonts w:asciiTheme="minorHAnsi" w:hAnsiTheme="minorHAnsi"/>
              </w:rPr>
              <w:t xml:space="preserve"> other persons (whether employees or not) at or near the </w:t>
            </w:r>
            <w:r w:rsidR="006A01D4" w:rsidRPr="008B0669">
              <w:rPr>
                <w:rFonts w:asciiTheme="minorHAnsi" w:hAnsiTheme="minorHAnsi"/>
              </w:rPr>
              <w:t>work</w:t>
            </w:r>
            <w:r w:rsidRPr="008B0669">
              <w:rPr>
                <w:rFonts w:asciiTheme="minorHAnsi" w:hAnsiTheme="minorHAnsi"/>
              </w:rPr>
              <w:t>place.</w:t>
            </w:r>
          </w:p>
          <w:p w:rsidR="006A01D4" w:rsidRPr="008B0669" w:rsidRDefault="006A01D4" w:rsidP="006A01D4">
            <w:pPr>
              <w:rPr>
                <w:rFonts w:asciiTheme="minorHAnsi" w:hAnsiTheme="minorHAnsi"/>
              </w:rPr>
            </w:pPr>
          </w:p>
          <w:p w:rsidR="006A01D4" w:rsidRPr="008B0669" w:rsidRDefault="006A01D4" w:rsidP="006A01D4">
            <w:pPr>
              <w:rPr>
                <w:rFonts w:asciiTheme="minorHAnsi" w:hAnsiTheme="minorHAnsi"/>
              </w:rPr>
            </w:pPr>
            <w:r w:rsidRPr="008B0669">
              <w:rPr>
                <w:rFonts w:asciiTheme="minorHAnsi" w:hAnsiTheme="minorHAnsi"/>
              </w:rPr>
              <w:t>Employees must cooperate with operators and other duty holders and safely and properly use any equipment supplied by an operator.</w:t>
            </w:r>
          </w:p>
          <w:p w:rsidR="006A01D4" w:rsidRPr="008B0669" w:rsidRDefault="006A01D4" w:rsidP="006A01D4">
            <w:pPr>
              <w:rPr>
                <w:rFonts w:asciiTheme="minorHAnsi" w:hAnsiTheme="minorHAnsi"/>
              </w:rPr>
            </w:pPr>
          </w:p>
        </w:tc>
        <w:tc>
          <w:tcPr>
            <w:tcW w:w="4320" w:type="dxa"/>
          </w:tcPr>
          <w:p w:rsidR="006A01D4" w:rsidRPr="008B0669" w:rsidRDefault="006A01D4" w:rsidP="006A01D4">
            <w:pPr>
              <w:rPr>
                <w:rFonts w:asciiTheme="minorHAnsi" w:hAnsiTheme="minorHAnsi"/>
              </w:rPr>
            </w:pPr>
            <w:r w:rsidRPr="008B0669">
              <w:rPr>
                <w:rFonts w:asciiTheme="minorHAnsi" w:hAnsiTheme="minorHAnsi"/>
              </w:rPr>
              <w:t>While at work, workers must (</w:t>
            </w:r>
            <w:proofErr w:type="spellStart"/>
            <w:r w:rsidRPr="008B0669">
              <w:rPr>
                <w:rFonts w:asciiTheme="minorHAnsi" w:hAnsiTheme="minorHAnsi"/>
              </w:rPr>
              <w:t>s.28</w:t>
            </w:r>
            <w:proofErr w:type="spellEnd"/>
            <w:r w:rsidRPr="008B0669">
              <w:rPr>
                <w:rFonts w:asciiTheme="minorHAnsi" w:hAnsiTheme="minorHAnsi"/>
              </w:rPr>
              <w:t xml:space="preserve">) take reasonable care for their own health and safety and that of others who may be affected by their actions or omissions. They must also: </w:t>
            </w:r>
          </w:p>
          <w:p w:rsidR="006A01D4" w:rsidRPr="008B0669" w:rsidRDefault="006A01D4" w:rsidP="006A01D4">
            <w:pPr>
              <w:pStyle w:val="ListParagraph"/>
              <w:numPr>
                <w:ilvl w:val="0"/>
                <w:numId w:val="37"/>
              </w:numPr>
              <w:spacing w:line="276" w:lineRule="auto"/>
              <w:rPr>
                <w:rFonts w:asciiTheme="minorHAnsi" w:hAnsiTheme="minorHAnsi"/>
              </w:rPr>
            </w:pPr>
            <w:r w:rsidRPr="008B0669">
              <w:rPr>
                <w:rFonts w:asciiTheme="minorHAnsi" w:hAnsiTheme="minorHAnsi"/>
              </w:rPr>
              <w:t xml:space="preserve">comply, so far as they are reasonably able, with any reasonable instruction given by the </w:t>
            </w:r>
            <w:proofErr w:type="spellStart"/>
            <w:r w:rsidRPr="008B0669">
              <w:rPr>
                <w:rFonts w:asciiTheme="minorHAnsi" w:hAnsiTheme="minorHAnsi"/>
              </w:rPr>
              <w:t>PCBU</w:t>
            </w:r>
            <w:proofErr w:type="spellEnd"/>
            <w:r w:rsidRPr="008B0669">
              <w:rPr>
                <w:rFonts w:asciiTheme="minorHAnsi" w:hAnsiTheme="minorHAnsi"/>
              </w:rPr>
              <w:t xml:space="preserve"> to allow the </w:t>
            </w:r>
            <w:proofErr w:type="spellStart"/>
            <w:r w:rsidRPr="008B0669">
              <w:rPr>
                <w:rFonts w:asciiTheme="minorHAnsi" w:hAnsiTheme="minorHAnsi"/>
              </w:rPr>
              <w:t>PCBU</w:t>
            </w:r>
            <w:proofErr w:type="spellEnd"/>
            <w:r w:rsidRPr="008B0669">
              <w:rPr>
                <w:rFonts w:asciiTheme="minorHAnsi" w:hAnsiTheme="minorHAnsi"/>
              </w:rPr>
              <w:t xml:space="preserve"> to comply with the Act; and </w:t>
            </w:r>
          </w:p>
          <w:p w:rsidR="006A01D4" w:rsidRPr="008B0669" w:rsidRDefault="006A01D4" w:rsidP="006A01D4">
            <w:pPr>
              <w:pStyle w:val="ListParagraph"/>
              <w:numPr>
                <w:ilvl w:val="0"/>
                <w:numId w:val="37"/>
              </w:numPr>
              <w:spacing w:line="276" w:lineRule="auto"/>
              <w:rPr>
                <w:rFonts w:asciiTheme="minorHAnsi" w:hAnsiTheme="minorHAnsi"/>
              </w:rPr>
            </w:pPr>
            <w:r w:rsidRPr="008B0669">
              <w:rPr>
                <w:rFonts w:asciiTheme="minorHAnsi" w:hAnsiTheme="minorHAnsi"/>
              </w:rPr>
              <w:t xml:space="preserve">cooperate with any reasonable policy or procedure of the </w:t>
            </w:r>
            <w:proofErr w:type="spellStart"/>
            <w:r w:rsidRPr="008B0669">
              <w:rPr>
                <w:rFonts w:asciiTheme="minorHAnsi" w:hAnsiTheme="minorHAnsi"/>
              </w:rPr>
              <w:t>PCBU</w:t>
            </w:r>
            <w:proofErr w:type="spellEnd"/>
            <w:r w:rsidRPr="008B0669">
              <w:rPr>
                <w:rFonts w:asciiTheme="minorHAnsi" w:hAnsiTheme="minorHAnsi"/>
              </w:rPr>
              <w:t xml:space="preserve"> relating to health or safety at the workplace that has been notified to workers. </w:t>
            </w:r>
          </w:p>
          <w:p w:rsidR="009A79FB" w:rsidRPr="008B0669" w:rsidRDefault="009A79FB" w:rsidP="00013B92">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Duties of third</w:t>
            </w:r>
          </w:p>
          <w:p w:rsidR="009A79FB" w:rsidRPr="008B0669" w:rsidRDefault="009A79FB" w:rsidP="00013B92">
            <w:pPr>
              <w:rPr>
                <w:rFonts w:asciiTheme="minorHAnsi" w:hAnsiTheme="minorHAnsi"/>
                <w:b/>
              </w:rPr>
            </w:pPr>
            <w:r w:rsidRPr="008B0669">
              <w:rPr>
                <w:rFonts w:asciiTheme="minorHAnsi" w:hAnsiTheme="minorHAnsi"/>
                <w:b/>
              </w:rPr>
              <w:t>parties</w:t>
            </w:r>
          </w:p>
        </w:tc>
        <w:tc>
          <w:tcPr>
            <w:tcW w:w="4050" w:type="dxa"/>
          </w:tcPr>
          <w:p w:rsidR="009A79FB" w:rsidRPr="008B0669" w:rsidRDefault="009A79FB" w:rsidP="006A01D4">
            <w:pPr>
              <w:rPr>
                <w:rFonts w:asciiTheme="minorHAnsi" w:hAnsiTheme="minorHAnsi"/>
              </w:rPr>
            </w:pPr>
            <w:r w:rsidRPr="008B0669">
              <w:rPr>
                <w:rFonts w:asciiTheme="minorHAnsi" w:hAnsiTheme="minorHAnsi"/>
              </w:rPr>
              <w:t>The OHS(MI) Act p</w:t>
            </w:r>
            <w:r w:rsidR="006A01D4" w:rsidRPr="008B0669">
              <w:rPr>
                <w:rFonts w:asciiTheme="minorHAnsi" w:hAnsiTheme="minorHAnsi"/>
              </w:rPr>
              <w:t>laces (</w:t>
            </w:r>
            <w:proofErr w:type="spellStart"/>
            <w:r w:rsidR="006A01D4" w:rsidRPr="008B0669">
              <w:rPr>
                <w:rFonts w:asciiTheme="minorHAnsi" w:hAnsiTheme="minorHAnsi"/>
              </w:rPr>
              <w:t>s.14</w:t>
            </w:r>
            <w:proofErr w:type="spellEnd"/>
            <w:r w:rsidR="006A01D4" w:rsidRPr="008B0669">
              <w:rPr>
                <w:rFonts w:asciiTheme="minorHAnsi" w:hAnsiTheme="minorHAnsi"/>
              </w:rPr>
              <w:t>)</w:t>
            </w:r>
            <w:r w:rsidRPr="008B0669">
              <w:rPr>
                <w:rFonts w:asciiTheme="minorHAnsi" w:hAnsiTheme="minorHAnsi"/>
              </w:rPr>
              <w:t xml:space="preserve"> a duty </w:t>
            </w:r>
            <w:r w:rsidR="006A01D4" w:rsidRPr="008B0669">
              <w:rPr>
                <w:rFonts w:asciiTheme="minorHAnsi" w:hAnsiTheme="minorHAnsi"/>
              </w:rPr>
              <w:t xml:space="preserve">of care </w:t>
            </w:r>
            <w:r w:rsidRPr="008B0669">
              <w:rPr>
                <w:rFonts w:asciiTheme="minorHAnsi" w:hAnsiTheme="minorHAnsi"/>
              </w:rPr>
              <w:t xml:space="preserve">on operators in regard to third parties but does not </w:t>
            </w:r>
            <w:r w:rsidR="006A01D4" w:rsidRPr="008B0669">
              <w:rPr>
                <w:rFonts w:asciiTheme="minorHAnsi" w:hAnsiTheme="minorHAnsi"/>
              </w:rPr>
              <w:t xml:space="preserve">place a </w:t>
            </w:r>
            <w:r w:rsidRPr="008B0669">
              <w:rPr>
                <w:rFonts w:asciiTheme="minorHAnsi" w:hAnsiTheme="minorHAnsi"/>
              </w:rPr>
              <w:t>duty on third parties.</w:t>
            </w:r>
          </w:p>
        </w:tc>
        <w:tc>
          <w:tcPr>
            <w:tcW w:w="4320" w:type="dxa"/>
          </w:tcPr>
          <w:p w:rsidR="00DB15A6" w:rsidRPr="008B0669" w:rsidRDefault="009A79FB" w:rsidP="00E73234">
            <w:pPr>
              <w:rPr>
                <w:rFonts w:asciiTheme="minorHAnsi" w:hAnsiTheme="minorHAnsi"/>
              </w:rPr>
            </w:pPr>
            <w:r w:rsidRPr="008B0669">
              <w:rPr>
                <w:rFonts w:asciiTheme="minorHAnsi" w:hAnsiTheme="minorHAnsi"/>
              </w:rPr>
              <w:t>The mode</w:t>
            </w:r>
            <w:r w:rsidR="006A01D4" w:rsidRPr="008B0669">
              <w:rPr>
                <w:rFonts w:asciiTheme="minorHAnsi" w:hAnsiTheme="minorHAnsi"/>
              </w:rPr>
              <w:t xml:space="preserve">l WHS Act places </w:t>
            </w:r>
            <w:r w:rsidR="00DB15A6" w:rsidRPr="008B0669">
              <w:rPr>
                <w:rFonts w:asciiTheme="minorHAnsi" w:hAnsiTheme="minorHAnsi"/>
              </w:rPr>
              <w:t>(</w:t>
            </w:r>
            <w:proofErr w:type="spellStart"/>
            <w:r w:rsidR="00DB15A6" w:rsidRPr="008B0669">
              <w:rPr>
                <w:rFonts w:asciiTheme="minorHAnsi" w:hAnsiTheme="minorHAnsi"/>
              </w:rPr>
              <w:t>s.29</w:t>
            </w:r>
            <w:proofErr w:type="spellEnd"/>
            <w:r w:rsidR="00DB15A6" w:rsidRPr="008B0669">
              <w:rPr>
                <w:rFonts w:asciiTheme="minorHAnsi" w:hAnsiTheme="minorHAnsi"/>
              </w:rPr>
              <w:t xml:space="preserve">) </w:t>
            </w:r>
            <w:r w:rsidRPr="008B0669">
              <w:rPr>
                <w:rFonts w:asciiTheme="minorHAnsi" w:hAnsiTheme="minorHAnsi"/>
              </w:rPr>
              <w:t xml:space="preserve">duties of </w:t>
            </w:r>
            <w:r w:rsidR="006A01D4" w:rsidRPr="008B0669">
              <w:rPr>
                <w:rFonts w:asciiTheme="minorHAnsi" w:hAnsiTheme="minorHAnsi"/>
              </w:rPr>
              <w:t xml:space="preserve">care on </w:t>
            </w:r>
            <w:r w:rsidRPr="008B0669">
              <w:rPr>
                <w:rFonts w:asciiTheme="minorHAnsi" w:hAnsiTheme="minorHAnsi"/>
              </w:rPr>
              <w:t>other persons at the workplace (e.g.</w:t>
            </w:r>
            <w:r w:rsidR="00DB15A6" w:rsidRPr="008B0669">
              <w:rPr>
                <w:rFonts w:asciiTheme="minorHAnsi" w:hAnsiTheme="minorHAnsi"/>
              </w:rPr>
              <w:t>,</w:t>
            </w:r>
            <w:r w:rsidRPr="008B0669">
              <w:rPr>
                <w:rFonts w:asciiTheme="minorHAnsi" w:hAnsiTheme="minorHAnsi"/>
              </w:rPr>
              <w:t xml:space="preserve"> visitors) to take reasonable care</w:t>
            </w:r>
            <w:r w:rsidR="00DB15A6" w:rsidRPr="008B0669">
              <w:rPr>
                <w:rFonts w:asciiTheme="minorHAnsi" w:hAnsiTheme="minorHAnsi"/>
              </w:rPr>
              <w:t>:</w:t>
            </w:r>
          </w:p>
          <w:p w:rsidR="00DB15A6" w:rsidRPr="008B0669" w:rsidRDefault="009A79FB" w:rsidP="00DB15A6">
            <w:pPr>
              <w:pStyle w:val="ListParagraph"/>
              <w:numPr>
                <w:ilvl w:val="0"/>
                <w:numId w:val="38"/>
              </w:numPr>
              <w:rPr>
                <w:rFonts w:asciiTheme="minorHAnsi" w:hAnsiTheme="minorHAnsi"/>
              </w:rPr>
            </w:pPr>
            <w:r w:rsidRPr="008B0669">
              <w:rPr>
                <w:rFonts w:asciiTheme="minorHAnsi" w:hAnsiTheme="minorHAnsi"/>
              </w:rPr>
              <w:t xml:space="preserve">of their own </w:t>
            </w:r>
            <w:r w:rsidR="00DB15A6" w:rsidRPr="008B0669">
              <w:rPr>
                <w:rFonts w:asciiTheme="minorHAnsi" w:hAnsiTheme="minorHAnsi"/>
              </w:rPr>
              <w:t xml:space="preserve">health and </w:t>
            </w:r>
            <w:r w:rsidRPr="008B0669">
              <w:rPr>
                <w:rFonts w:asciiTheme="minorHAnsi" w:hAnsiTheme="minorHAnsi"/>
              </w:rPr>
              <w:t>safety</w:t>
            </w:r>
            <w:r w:rsidR="00DB15A6" w:rsidRPr="008B0669">
              <w:rPr>
                <w:rFonts w:asciiTheme="minorHAnsi" w:hAnsiTheme="minorHAnsi"/>
              </w:rPr>
              <w:t>; and</w:t>
            </w:r>
            <w:r w:rsidRPr="008B0669">
              <w:rPr>
                <w:rFonts w:asciiTheme="minorHAnsi" w:hAnsiTheme="minorHAnsi"/>
              </w:rPr>
              <w:t xml:space="preserve"> </w:t>
            </w:r>
          </w:p>
          <w:p w:rsidR="00DB15A6" w:rsidRPr="008B0669" w:rsidRDefault="009A79FB" w:rsidP="00DB15A6">
            <w:pPr>
              <w:pStyle w:val="ListParagraph"/>
              <w:numPr>
                <w:ilvl w:val="0"/>
                <w:numId w:val="38"/>
              </w:numPr>
              <w:rPr>
                <w:rFonts w:asciiTheme="minorHAnsi" w:hAnsiTheme="minorHAnsi"/>
              </w:rPr>
            </w:pPr>
            <w:r w:rsidRPr="008B0669">
              <w:rPr>
                <w:rFonts w:asciiTheme="minorHAnsi" w:hAnsiTheme="minorHAnsi"/>
              </w:rPr>
              <w:t>not to do anything that could adversely</w:t>
            </w:r>
            <w:r w:rsidR="00E73234" w:rsidRPr="008B0669">
              <w:rPr>
                <w:rFonts w:asciiTheme="minorHAnsi" w:hAnsiTheme="minorHAnsi"/>
              </w:rPr>
              <w:t xml:space="preserve"> </w:t>
            </w:r>
            <w:r w:rsidRPr="008B0669">
              <w:rPr>
                <w:rFonts w:asciiTheme="minorHAnsi" w:hAnsiTheme="minorHAnsi"/>
              </w:rPr>
              <w:t xml:space="preserve">affect </w:t>
            </w:r>
            <w:r w:rsidR="00DB15A6" w:rsidRPr="008B0669">
              <w:rPr>
                <w:rFonts w:asciiTheme="minorHAnsi" w:hAnsiTheme="minorHAnsi"/>
              </w:rPr>
              <w:t>that of anyone else,</w:t>
            </w:r>
          </w:p>
          <w:p w:rsidR="006A01D4" w:rsidRPr="008B0669" w:rsidRDefault="009A79FB" w:rsidP="00DB15A6">
            <w:pPr>
              <w:rPr>
                <w:rFonts w:asciiTheme="minorHAnsi" w:hAnsiTheme="minorHAnsi"/>
              </w:rPr>
            </w:pPr>
            <w:r w:rsidRPr="008B0669">
              <w:rPr>
                <w:rFonts w:asciiTheme="minorHAnsi" w:hAnsiTheme="minorHAnsi"/>
              </w:rPr>
              <w:t>and to co</w:t>
            </w:r>
            <w:r w:rsidR="00DB15A6" w:rsidRPr="008B0669">
              <w:rPr>
                <w:rFonts w:asciiTheme="minorHAnsi" w:hAnsiTheme="minorHAnsi"/>
              </w:rPr>
              <w:t>mply, as far as they can reasonably do so,</w:t>
            </w:r>
            <w:r w:rsidRPr="008B0669">
              <w:rPr>
                <w:rFonts w:asciiTheme="minorHAnsi" w:hAnsiTheme="minorHAnsi"/>
              </w:rPr>
              <w:t xml:space="preserve"> with </w:t>
            </w:r>
            <w:r w:rsidR="00DB15A6" w:rsidRPr="008B0669">
              <w:rPr>
                <w:rFonts w:asciiTheme="minorHAnsi" w:hAnsiTheme="minorHAnsi"/>
              </w:rPr>
              <w:t xml:space="preserve">a </w:t>
            </w:r>
            <w:proofErr w:type="spellStart"/>
            <w:r w:rsidR="00DB15A6" w:rsidRPr="008B0669">
              <w:rPr>
                <w:rFonts w:asciiTheme="minorHAnsi" w:hAnsiTheme="minorHAnsi"/>
              </w:rPr>
              <w:t>PCBU’s</w:t>
            </w:r>
            <w:proofErr w:type="spellEnd"/>
            <w:r w:rsidR="00DB15A6" w:rsidRPr="008B0669">
              <w:rPr>
                <w:rFonts w:asciiTheme="minorHAnsi" w:hAnsiTheme="minorHAnsi"/>
              </w:rPr>
              <w:t xml:space="preserve"> </w:t>
            </w:r>
            <w:r w:rsidRPr="008B0669">
              <w:rPr>
                <w:rFonts w:asciiTheme="minorHAnsi" w:hAnsiTheme="minorHAnsi"/>
              </w:rPr>
              <w:t>reasonable instructions</w:t>
            </w:r>
            <w:r w:rsidR="00DB15A6" w:rsidRPr="008B0669">
              <w:rPr>
                <w:rFonts w:asciiTheme="minorHAnsi" w:hAnsiTheme="minorHAnsi"/>
              </w:rPr>
              <w:t>.</w:t>
            </w:r>
          </w:p>
          <w:p w:rsidR="00DB15A6" w:rsidRPr="008B0669" w:rsidRDefault="00DB15A6" w:rsidP="00DB15A6">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OHS offences</w:t>
            </w:r>
            <w:r w:rsidR="00005358" w:rsidRPr="008B0669">
              <w:rPr>
                <w:rFonts w:asciiTheme="minorHAnsi" w:hAnsiTheme="minorHAnsi"/>
                <w:b/>
              </w:rPr>
              <w:t xml:space="preserve"> – breaches of duties of care</w:t>
            </w:r>
          </w:p>
        </w:tc>
        <w:tc>
          <w:tcPr>
            <w:tcW w:w="4050" w:type="dxa"/>
          </w:tcPr>
          <w:p w:rsidR="00DB15A6" w:rsidRPr="008B0669" w:rsidRDefault="00DB15A6" w:rsidP="00DB15A6">
            <w:pPr>
              <w:rPr>
                <w:rFonts w:asciiTheme="minorHAnsi" w:hAnsiTheme="minorHAnsi"/>
              </w:rPr>
            </w:pPr>
            <w:r w:rsidRPr="008B0669">
              <w:rPr>
                <w:rFonts w:asciiTheme="minorHAnsi" w:hAnsiTheme="minorHAnsi"/>
              </w:rPr>
              <w:t>Under t</w:t>
            </w:r>
            <w:r w:rsidR="009A79FB" w:rsidRPr="008B0669">
              <w:rPr>
                <w:rFonts w:asciiTheme="minorHAnsi" w:hAnsiTheme="minorHAnsi"/>
              </w:rPr>
              <w:t>he OHS(MI) Act</w:t>
            </w:r>
            <w:r w:rsidRPr="008B0669">
              <w:rPr>
                <w:rFonts w:asciiTheme="minorHAnsi" w:hAnsiTheme="minorHAnsi"/>
              </w:rPr>
              <w:t xml:space="preserve">, </w:t>
            </w:r>
            <w:r w:rsidR="009A79FB" w:rsidRPr="008B0669">
              <w:rPr>
                <w:rFonts w:asciiTheme="minorHAnsi" w:hAnsiTheme="minorHAnsi"/>
              </w:rPr>
              <w:t xml:space="preserve">all breaches of duties are criminal offences. </w:t>
            </w:r>
          </w:p>
          <w:p w:rsidR="00DB15A6" w:rsidRPr="008B0669" w:rsidRDefault="00DB15A6" w:rsidP="00DB15A6">
            <w:pPr>
              <w:rPr>
                <w:rFonts w:asciiTheme="minorHAnsi" w:hAnsiTheme="minorHAnsi"/>
              </w:rPr>
            </w:pPr>
          </w:p>
          <w:p w:rsidR="009A79FB" w:rsidRPr="008B0669" w:rsidRDefault="009A79FB" w:rsidP="00DB15A6">
            <w:pPr>
              <w:rPr>
                <w:rFonts w:asciiTheme="minorHAnsi" w:hAnsiTheme="minorHAnsi"/>
              </w:rPr>
            </w:pPr>
            <w:r w:rsidRPr="008B0669">
              <w:rPr>
                <w:rFonts w:asciiTheme="minorHAnsi" w:hAnsiTheme="minorHAnsi"/>
              </w:rPr>
              <w:t xml:space="preserve">There </w:t>
            </w:r>
            <w:r w:rsidR="00DB15A6" w:rsidRPr="008B0669">
              <w:rPr>
                <w:rFonts w:asciiTheme="minorHAnsi" w:hAnsiTheme="minorHAnsi"/>
              </w:rPr>
              <w:t>are</w:t>
            </w:r>
            <w:r w:rsidRPr="008B0669">
              <w:rPr>
                <w:rFonts w:asciiTheme="minorHAnsi" w:hAnsiTheme="minorHAnsi"/>
              </w:rPr>
              <w:t xml:space="preserve"> no civil </w:t>
            </w:r>
            <w:r w:rsidR="00DB15A6" w:rsidRPr="008B0669">
              <w:rPr>
                <w:rFonts w:asciiTheme="minorHAnsi" w:hAnsiTheme="minorHAnsi"/>
              </w:rPr>
              <w:t>penalties</w:t>
            </w:r>
            <w:r w:rsidRPr="008B0669">
              <w:rPr>
                <w:rFonts w:asciiTheme="minorHAnsi" w:hAnsiTheme="minorHAnsi"/>
              </w:rPr>
              <w:t>.</w:t>
            </w:r>
          </w:p>
        </w:tc>
        <w:tc>
          <w:tcPr>
            <w:tcW w:w="4320" w:type="dxa"/>
          </w:tcPr>
          <w:p w:rsidR="00DB15A6" w:rsidRPr="008B0669" w:rsidRDefault="00DB15A6" w:rsidP="00DB15A6">
            <w:pPr>
              <w:rPr>
                <w:rFonts w:asciiTheme="minorHAnsi" w:hAnsiTheme="minorHAnsi"/>
              </w:rPr>
            </w:pPr>
            <w:r w:rsidRPr="008B0669">
              <w:rPr>
                <w:rFonts w:asciiTheme="minorHAnsi" w:hAnsiTheme="minorHAnsi"/>
              </w:rPr>
              <w:t>Under the model WHS Act, the 3</w:t>
            </w:r>
            <w:r w:rsidR="009A79FB" w:rsidRPr="008B0669">
              <w:rPr>
                <w:rFonts w:asciiTheme="minorHAnsi" w:hAnsiTheme="minorHAnsi"/>
              </w:rPr>
              <w:t xml:space="preserve"> categories of offences for breaches of WHS duties</w:t>
            </w:r>
            <w:r w:rsidRPr="008B0669">
              <w:rPr>
                <w:rFonts w:asciiTheme="minorHAnsi" w:hAnsiTheme="minorHAnsi"/>
              </w:rPr>
              <w:t xml:space="preserve"> are:</w:t>
            </w:r>
          </w:p>
          <w:p w:rsidR="00DB15A6" w:rsidRPr="008B0669" w:rsidRDefault="00DB15A6" w:rsidP="00DB15A6">
            <w:pPr>
              <w:rPr>
                <w:rFonts w:asciiTheme="minorHAnsi" w:hAnsiTheme="minorHAnsi"/>
              </w:rPr>
            </w:pPr>
          </w:p>
          <w:p w:rsidR="00DB15A6" w:rsidRPr="008B0669" w:rsidRDefault="00DB15A6" w:rsidP="00005358">
            <w:pPr>
              <w:pStyle w:val="ListParagraph"/>
              <w:numPr>
                <w:ilvl w:val="0"/>
                <w:numId w:val="39"/>
              </w:numPr>
              <w:ind w:left="360"/>
              <w:rPr>
                <w:rFonts w:asciiTheme="minorHAnsi" w:hAnsiTheme="minorHAnsi" w:cs="Gotham Light"/>
                <w:color w:val="000000"/>
              </w:rPr>
            </w:pPr>
            <w:r w:rsidRPr="008B0669">
              <w:rPr>
                <w:rFonts w:asciiTheme="minorHAnsi" w:hAnsiTheme="minorHAnsi"/>
              </w:rPr>
              <w:t xml:space="preserve">Category 1: </w:t>
            </w:r>
            <w:r w:rsidRPr="008B0669">
              <w:rPr>
                <w:rFonts w:asciiTheme="minorHAnsi" w:hAnsiTheme="minorHAnsi" w:cs="Gotham Light"/>
                <w:color w:val="000000"/>
              </w:rPr>
              <w:t xml:space="preserve">a duty holder, without reasonable excuse, engages in conduct that recklessly exposes a person to a risk of death or serious injury or illness </w:t>
            </w:r>
          </w:p>
          <w:p w:rsidR="00DB15A6" w:rsidRPr="008B0669" w:rsidRDefault="00DB15A6" w:rsidP="00005358">
            <w:pPr>
              <w:rPr>
                <w:rFonts w:asciiTheme="minorHAnsi" w:hAnsiTheme="minorHAnsi" w:cs="Gotham Light"/>
                <w:color w:val="000000"/>
              </w:rPr>
            </w:pPr>
          </w:p>
          <w:p w:rsidR="00DB15A6" w:rsidRPr="008B0669" w:rsidRDefault="00DB15A6" w:rsidP="00005358">
            <w:pPr>
              <w:pStyle w:val="ListParagraph"/>
              <w:numPr>
                <w:ilvl w:val="0"/>
                <w:numId w:val="39"/>
              </w:numPr>
              <w:ind w:left="360"/>
              <w:rPr>
                <w:rFonts w:asciiTheme="minorHAnsi" w:hAnsiTheme="minorHAnsi" w:cs="Gotham Light"/>
                <w:color w:val="000000"/>
              </w:rPr>
            </w:pPr>
            <w:r w:rsidRPr="008B0669">
              <w:rPr>
                <w:rFonts w:asciiTheme="minorHAnsi" w:hAnsiTheme="minorHAnsi" w:cs="Gotham Light"/>
                <w:color w:val="000000"/>
              </w:rPr>
              <w:t xml:space="preserve">Category 2: a duty holder fails to comply with a health and safety duty that exposes a person to risk of death or serious injury or illness. </w:t>
            </w:r>
          </w:p>
          <w:p w:rsidR="00DB15A6" w:rsidRPr="008B0669" w:rsidRDefault="00DB15A6" w:rsidP="00005358">
            <w:pPr>
              <w:rPr>
                <w:rFonts w:asciiTheme="minorHAnsi" w:hAnsiTheme="minorHAnsi" w:cs="Gotham Light"/>
                <w:color w:val="000000"/>
              </w:rPr>
            </w:pPr>
          </w:p>
          <w:p w:rsidR="00DB15A6" w:rsidRPr="008B0669" w:rsidRDefault="00DB15A6" w:rsidP="00005358">
            <w:pPr>
              <w:pStyle w:val="ListParagraph"/>
              <w:numPr>
                <w:ilvl w:val="0"/>
                <w:numId w:val="39"/>
              </w:numPr>
              <w:ind w:left="360"/>
              <w:rPr>
                <w:rFonts w:asciiTheme="minorHAnsi" w:hAnsiTheme="minorHAnsi"/>
              </w:rPr>
            </w:pPr>
            <w:r w:rsidRPr="008B0669">
              <w:rPr>
                <w:rFonts w:asciiTheme="minorHAnsi" w:hAnsiTheme="minorHAnsi" w:cs="Gotham Light"/>
                <w:color w:val="000000"/>
              </w:rPr>
              <w:t xml:space="preserve">Category 3: a duty holder fails to comply with a health and safety duty. </w:t>
            </w:r>
          </w:p>
          <w:p w:rsidR="00005358" w:rsidRPr="008B0669" w:rsidRDefault="00005358" w:rsidP="00005358">
            <w:pPr>
              <w:rPr>
                <w:rFonts w:asciiTheme="minorHAnsi" w:hAnsiTheme="minorHAnsi"/>
              </w:rPr>
            </w:pPr>
          </w:p>
          <w:p w:rsidR="00005358" w:rsidRPr="008B0669" w:rsidRDefault="00005358" w:rsidP="00005358">
            <w:pPr>
              <w:rPr>
                <w:rFonts w:asciiTheme="minorHAnsi" w:hAnsiTheme="minorHAnsi"/>
              </w:rPr>
            </w:pPr>
            <w:r w:rsidRPr="008B0669">
              <w:rPr>
                <w:rFonts w:asciiTheme="minorHAnsi" w:hAnsiTheme="minorHAnsi"/>
              </w:rPr>
              <w:t>Maximum penalties (see below) depend on the category of the offence  and whether the offender  is a corporate entity or a natural person.</w:t>
            </w:r>
          </w:p>
          <w:p w:rsidR="00005358" w:rsidRPr="008B0669" w:rsidRDefault="00005358" w:rsidP="00005358">
            <w:pPr>
              <w:rPr>
                <w:rFonts w:asciiTheme="minorHAnsi" w:hAnsiTheme="minorHAnsi"/>
              </w:rPr>
            </w:pPr>
          </w:p>
          <w:p w:rsidR="009A79FB" w:rsidRPr="008B0669" w:rsidRDefault="00005358" w:rsidP="00005358">
            <w:pPr>
              <w:rPr>
                <w:rFonts w:asciiTheme="minorHAnsi" w:hAnsiTheme="minorHAnsi"/>
              </w:rPr>
            </w:pPr>
            <w:r w:rsidRPr="008B0669">
              <w:rPr>
                <w:rFonts w:asciiTheme="minorHAnsi" w:hAnsiTheme="minorHAnsi"/>
              </w:rPr>
              <w:t>Civil penalties are available for certain other contraventions of the model WHS Act</w:t>
            </w:r>
          </w:p>
          <w:p w:rsidR="00005358" w:rsidRPr="008B0669" w:rsidRDefault="00005358" w:rsidP="00005358">
            <w:pPr>
              <w:rPr>
                <w:rFonts w:asciiTheme="minorHAnsi" w:hAnsiTheme="minorHAnsi"/>
              </w:rPr>
            </w:pPr>
          </w:p>
          <w:p w:rsidR="00162A90" w:rsidRPr="008B0669" w:rsidRDefault="00162A90" w:rsidP="00005358">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Enforceable undertakings</w:t>
            </w:r>
          </w:p>
        </w:tc>
        <w:tc>
          <w:tcPr>
            <w:tcW w:w="4050" w:type="dxa"/>
          </w:tcPr>
          <w:p w:rsidR="009A79FB" w:rsidRPr="008B0669" w:rsidRDefault="00005358" w:rsidP="00013B92">
            <w:pPr>
              <w:rPr>
                <w:rFonts w:asciiTheme="minorHAnsi" w:hAnsiTheme="minorHAnsi"/>
              </w:rPr>
            </w:pPr>
            <w:r w:rsidRPr="008B0669">
              <w:rPr>
                <w:rFonts w:asciiTheme="minorHAnsi" w:hAnsiTheme="minorHAnsi"/>
              </w:rPr>
              <w:t>The OHS(MI) Act does not provide for enforceable undertakings</w:t>
            </w:r>
          </w:p>
        </w:tc>
        <w:tc>
          <w:tcPr>
            <w:tcW w:w="4320" w:type="dxa"/>
          </w:tcPr>
          <w:p w:rsidR="00162A90" w:rsidRPr="008B0669" w:rsidRDefault="00005358" w:rsidP="00162A90">
            <w:pPr>
              <w:pStyle w:val="Pa2"/>
              <w:spacing w:line="240" w:lineRule="auto"/>
              <w:rPr>
                <w:rFonts w:asciiTheme="minorHAnsi" w:hAnsiTheme="minorHAnsi" w:cs="Gotham Light"/>
                <w:color w:val="000000"/>
                <w:sz w:val="22"/>
                <w:szCs w:val="22"/>
              </w:rPr>
            </w:pPr>
            <w:r w:rsidRPr="008B0669">
              <w:rPr>
                <w:rFonts w:asciiTheme="minorHAnsi" w:hAnsiTheme="minorHAnsi"/>
                <w:sz w:val="22"/>
                <w:szCs w:val="22"/>
              </w:rPr>
              <w:t xml:space="preserve">Under the model WHS Act (Part 11), </w:t>
            </w:r>
            <w:r w:rsidR="00162A90" w:rsidRPr="008B0669">
              <w:rPr>
                <w:rFonts w:asciiTheme="minorHAnsi" w:hAnsiTheme="minorHAnsi"/>
                <w:sz w:val="22"/>
                <w:szCs w:val="22"/>
              </w:rPr>
              <w:t>a</w:t>
            </w:r>
            <w:r w:rsidR="00162A90" w:rsidRPr="008B0669">
              <w:rPr>
                <w:rFonts w:asciiTheme="minorHAnsi" w:hAnsiTheme="minorHAnsi" w:cs="Gotham Light"/>
                <w:color w:val="000000"/>
                <w:sz w:val="22"/>
                <w:szCs w:val="22"/>
              </w:rPr>
              <w:t xml:space="preserve"> person may give the regulator an undertaking about a contravention or alleged contravention of the model WHS Act by the person, other than a Category 1 offence. </w:t>
            </w:r>
          </w:p>
          <w:p w:rsidR="00162A90" w:rsidRPr="008B0669" w:rsidRDefault="00162A90" w:rsidP="00162A90">
            <w:pPr>
              <w:pStyle w:val="Default"/>
              <w:rPr>
                <w:rFonts w:asciiTheme="minorHAnsi" w:hAnsiTheme="minorHAnsi"/>
                <w:lang w:val="en-US"/>
              </w:rPr>
            </w:pPr>
          </w:p>
          <w:p w:rsidR="00162A90" w:rsidRPr="008B0669" w:rsidRDefault="00162A90" w:rsidP="00162A90">
            <w:pPr>
              <w:pStyle w:val="Pa2"/>
              <w:spacing w:line="240" w:lineRule="auto"/>
              <w:rPr>
                <w:rFonts w:asciiTheme="minorHAnsi" w:hAnsiTheme="minorHAnsi" w:cs="Gotham Light"/>
                <w:color w:val="000000"/>
                <w:sz w:val="22"/>
                <w:szCs w:val="22"/>
              </w:rPr>
            </w:pPr>
            <w:r w:rsidRPr="008B0669">
              <w:rPr>
                <w:rFonts w:asciiTheme="minorHAnsi" w:hAnsiTheme="minorHAnsi" w:cs="Gotham Light"/>
                <w:color w:val="000000"/>
                <w:sz w:val="22"/>
                <w:szCs w:val="22"/>
              </w:rPr>
              <w:t xml:space="preserve">If it is accepted by the regulator, no enforcement proceedings may be brought (or continued) against a person in relation to a matter covered in a WHS undertaking, providing the undertaking has been completely discharged. </w:t>
            </w:r>
          </w:p>
          <w:p w:rsidR="009A79FB" w:rsidRPr="008B0669" w:rsidRDefault="00162A90" w:rsidP="00162A90">
            <w:pPr>
              <w:rPr>
                <w:rFonts w:asciiTheme="minorHAnsi" w:hAnsiTheme="minorHAnsi" w:cs="Gotham Light"/>
                <w:color w:val="000000"/>
              </w:rPr>
            </w:pPr>
            <w:r w:rsidRPr="008B0669">
              <w:rPr>
                <w:rFonts w:asciiTheme="minorHAnsi" w:hAnsiTheme="minorHAnsi" w:cs="Gotham Light"/>
                <w:color w:val="000000"/>
              </w:rPr>
              <w:t>The giving of a WHS undertaking is not to be considered to be an admission of guilt.</w:t>
            </w:r>
          </w:p>
          <w:p w:rsidR="00162A90" w:rsidRPr="008B0669" w:rsidRDefault="00162A90" w:rsidP="00162A90">
            <w:pPr>
              <w:rPr>
                <w:rFonts w:asciiTheme="minorHAnsi" w:hAnsiTheme="minorHAnsi"/>
              </w:rPr>
            </w:pPr>
          </w:p>
        </w:tc>
      </w:tr>
      <w:tr w:rsidR="00E73234" w:rsidRPr="008B0669" w:rsidTr="006D5DB7">
        <w:tc>
          <w:tcPr>
            <w:tcW w:w="2070" w:type="dxa"/>
          </w:tcPr>
          <w:p w:rsidR="009A79FB" w:rsidRPr="008B0669" w:rsidRDefault="00162A90" w:rsidP="00013B92">
            <w:pPr>
              <w:rPr>
                <w:rFonts w:asciiTheme="minorHAnsi" w:hAnsiTheme="minorHAnsi"/>
                <w:b/>
              </w:rPr>
            </w:pPr>
            <w:r w:rsidRPr="008B0669">
              <w:rPr>
                <w:rFonts w:asciiTheme="minorHAnsi" w:hAnsiTheme="minorHAnsi"/>
                <w:b/>
              </w:rPr>
              <w:t>Prosecution l</w:t>
            </w:r>
            <w:r w:rsidR="009A79FB" w:rsidRPr="008B0669">
              <w:rPr>
                <w:rFonts w:asciiTheme="minorHAnsi" w:hAnsiTheme="minorHAnsi"/>
                <w:b/>
              </w:rPr>
              <w:t xml:space="preserve">imitation period </w:t>
            </w:r>
          </w:p>
          <w:p w:rsidR="009A79FB" w:rsidRPr="008B0669" w:rsidRDefault="009A79FB" w:rsidP="00162A90">
            <w:pPr>
              <w:rPr>
                <w:rFonts w:asciiTheme="minorHAnsi" w:hAnsiTheme="minorHAnsi"/>
                <w:b/>
              </w:rPr>
            </w:pPr>
          </w:p>
        </w:tc>
        <w:tc>
          <w:tcPr>
            <w:tcW w:w="4050" w:type="dxa"/>
          </w:tcPr>
          <w:p w:rsidR="009A79FB" w:rsidRPr="008B0669" w:rsidRDefault="009A79FB" w:rsidP="00162A90">
            <w:pPr>
              <w:rPr>
                <w:rFonts w:asciiTheme="minorHAnsi" w:hAnsiTheme="minorHAnsi"/>
              </w:rPr>
            </w:pPr>
            <w:r w:rsidRPr="008B0669">
              <w:rPr>
                <w:rFonts w:asciiTheme="minorHAnsi" w:hAnsiTheme="minorHAnsi"/>
              </w:rPr>
              <w:t xml:space="preserve">The OHS(MI) Act does not </w:t>
            </w:r>
            <w:r w:rsidR="00162A90" w:rsidRPr="008B0669">
              <w:rPr>
                <w:rFonts w:asciiTheme="minorHAnsi" w:hAnsiTheme="minorHAnsi"/>
              </w:rPr>
              <w:t>specify</w:t>
            </w:r>
            <w:r w:rsidRPr="008B0669">
              <w:rPr>
                <w:rFonts w:asciiTheme="minorHAnsi" w:hAnsiTheme="minorHAnsi"/>
              </w:rPr>
              <w:t xml:space="preserve"> </w:t>
            </w:r>
            <w:r w:rsidR="00162A90" w:rsidRPr="008B0669">
              <w:rPr>
                <w:rFonts w:asciiTheme="minorHAnsi" w:hAnsiTheme="minorHAnsi"/>
              </w:rPr>
              <w:t>a</w:t>
            </w:r>
            <w:r w:rsidRPr="008B0669">
              <w:rPr>
                <w:rFonts w:asciiTheme="minorHAnsi" w:hAnsiTheme="minorHAnsi"/>
              </w:rPr>
              <w:t xml:space="preserve"> time </w:t>
            </w:r>
            <w:r w:rsidR="00162A90" w:rsidRPr="008B0669">
              <w:rPr>
                <w:rFonts w:asciiTheme="minorHAnsi" w:hAnsiTheme="minorHAnsi"/>
              </w:rPr>
              <w:t>period</w:t>
            </w:r>
            <w:r w:rsidRPr="008B0669">
              <w:rPr>
                <w:rFonts w:asciiTheme="minorHAnsi" w:hAnsiTheme="minorHAnsi"/>
              </w:rPr>
              <w:t xml:space="preserve"> </w:t>
            </w:r>
            <w:r w:rsidR="00162A90" w:rsidRPr="008B0669">
              <w:rPr>
                <w:rFonts w:asciiTheme="minorHAnsi" w:hAnsiTheme="minorHAnsi"/>
              </w:rPr>
              <w:t>during</w:t>
            </w:r>
            <w:r w:rsidRPr="008B0669">
              <w:rPr>
                <w:rFonts w:asciiTheme="minorHAnsi" w:hAnsiTheme="minorHAnsi"/>
              </w:rPr>
              <w:t xml:space="preserve"> which a</w:t>
            </w:r>
            <w:r w:rsidR="00162A90" w:rsidRPr="008B0669">
              <w:rPr>
                <w:rFonts w:asciiTheme="minorHAnsi" w:hAnsiTheme="minorHAnsi"/>
              </w:rPr>
              <w:t xml:space="preserve"> prosecution</w:t>
            </w:r>
            <w:r w:rsidRPr="008B0669">
              <w:rPr>
                <w:rFonts w:asciiTheme="minorHAnsi" w:hAnsiTheme="minorHAnsi"/>
              </w:rPr>
              <w:t xml:space="preserve"> </w:t>
            </w:r>
            <w:r w:rsidR="00162A90" w:rsidRPr="008B0669">
              <w:rPr>
                <w:rFonts w:asciiTheme="minorHAnsi" w:hAnsiTheme="minorHAnsi"/>
              </w:rPr>
              <w:t>may</w:t>
            </w:r>
            <w:r w:rsidRPr="008B0669">
              <w:rPr>
                <w:rFonts w:asciiTheme="minorHAnsi" w:hAnsiTheme="minorHAnsi"/>
              </w:rPr>
              <w:t xml:space="preserve"> be brought.</w:t>
            </w:r>
          </w:p>
        </w:tc>
        <w:tc>
          <w:tcPr>
            <w:tcW w:w="4320" w:type="dxa"/>
          </w:tcPr>
          <w:p w:rsidR="00162A90" w:rsidRPr="008B0669" w:rsidRDefault="009A79FB" w:rsidP="00013B92">
            <w:pPr>
              <w:rPr>
                <w:rFonts w:asciiTheme="minorHAnsi" w:hAnsiTheme="minorHAnsi"/>
              </w:rPr>
            </w:pPr>
            <w:r w:rsidRPr="008B0669">
              <w:rPr>
                <w:rFonts w:asciiTheme="minorHAnsi" w:hAnsiTheme="minorHAnsi"/>
              </w:rPr>
              <w:t xml:space="preserve">The model WHS Act provides </w:t>
            </w:r>
            <w:r w:rsidR="00162A90" w:rsidRPr="008B0669">
              <w:rPr>
                <w:rFonts w:asciiTheme="minorHAnsi" w:hAnsiTheme="minorHAnsi"/>
              </w:rPr>
              <w:t>(</w:t>
            </w:r>
            <w:proofErr w:type="spellStart"/>
            <w:r w:rsidR="00162A90" w:rsidRPr="008B0669">
              <w:rPr>
                <w:rFonts w:asciiTheme="minorHAnsi" w:hAnsiTheme="minorHAnsi"/>
              </w:rPr>
              <w:t>s.232</w:t>
            </w:r>
            <w:proofErr w:type="spellEnd"/>
            <w:r w:rsidR="00162A90" w:rsidRPr="008B0669">
              <w:rPr>
                <w:rFonts w:asciiTheme="minorHAnsi" w:hAnsiTheme="minorHAnsi"/>
              </w:rPr>
              <w:t xml:space="preserve">) </w:t>
            </w:r>
            <w:r w:rsidRPr="008B0669">
              <w:rPr>
                <w:rFonts w:asciiTheme="minorHAnsi" w:hAnsiTheme="minorHAnsi"/>
              </w:rPr>
              <w:t>that an offence against the Act may be</w:t>
            </w:r>
            <w:r w:rsidR="00E73234" w:rsidRPr="008B0669">
              <w:rPr>
                <w:rFonts w:asciiTheme="minorHAnsi" w:hAnsiTheme="minorHAnsi"/>
              </w:rPr>
              <w:t xml:space="preserve"> </w:t>
            </w:r>
            <w:r w:rsidRPr="008B0669">
              <w:rPr>
                <w:rFonts w:asciiTheme="minorHAnsi" w:hAnsiTheme="minorHAnsi"/>
              </w:rPr>
              <w:t xml:space="preserve">brought: </w:t>
            </w:r>
          </w:p>
          <w:p w:rsidR="00162A90" w:rsidRPr="008B0669" w:rsidRDefault="00162A90" w:rsidP="00013B92">
            <w:pPr>
              <w:rPr>
                <w:rFonts w:asciiTheme="minorHAnsi" w:hAnsiTheme="minorHAnsi"/>
              </w:rPr>
            </w:pPr>
          </w:p>
          <w:p w:rsidR="00162A90" w:rsidRPr="008B0669" w:rsidRDefault="009A79FB" w:rsidP="00162A90">
            <w:pPr>
              <w:pStyle w:val="ListParagraph"/>
              <w:numPr>
                <w:ilvl w:val="0"/>
                <w:numId w:val="40"/>
              </w:numPr>
              <w:rPr>
                <w:rFonts w:asciiTheme="minorHAnsi" w:hAnsiTheme="minorHAnsi"/>
              </w:rPr>
            </w:pPr>
            <w:r w:rsidRPr="008B0669">
              <w:rPr>
                <w:rFonts w:asciiTheme="minorHAnsi" w:hAnsiTheme="minorHAnsi"/>
              </w:rPr>
              <w:t xml:space="preserve">within </w:t>
            </w:r>
            <w:r w:rsidR="00162A90" w:rsidRPr="008B0669">
              <w:rPr>
                <w:rFonts w:asciiTheme="minorHAnsi" w:hAnsiTheme="minorHAnsi"/>
              </w:rPr>
              <w:t>2</w:t>
            </w:r>
            <w:r w:rsidRPr="008B0669">
              <w:rPr>
                <w:rFonts w:asciiTheme="minorHAnsi" w:hAnsiTheme="minorHAnsi"/>
              </w:rPr>
              <w:t xml:space="preserve"> years after the offence was committed or the regulator becomes aware the offence</w:t>
            </w:r>
            <w:r w:rsidR="00162A90" w:rsidRPr="008B0669">
              <w:rPr>
                <w:rFonts w:asciiTheme="minorHAnsi" w:hAnsiTheme="minorHAnsi"/>
              </w:rPr>
              <w:t xml:space="preserve"> </w:t>
            </w:r>
            <w:r w:rsidRPr="008B0669">
              <w:rPr>
                <w:rFonts w:asciiTheme="minorHAnsi" w:hAnsiTheme="minorHAnsi"/>
              </w:rPr>
              <w:t xml:space="preserve">was committed; or </w:t>
            </w:r>
          </w:p>
          <w:p w:rsidR="00162A90" w:rsidRPr="008B0669" w:rsidRDefault="009A79FB" w:rsidP="00162A90">
            <w:pPr>
              <w:pStyle w:val="ListParagraph"/>
              <w:numPr>
                <w:ilvl w:val="0"/>
                <w:numId w:val="40"/>
              </w:numPr>
              <w:rPr>
                <w:rFonts w:asciiTheme="minorHAnsi" w:hAnsiTheme="minorHAnsi"/>
              </w:rPr>
            </w:pPr>
            <w:r w:rsidRPr="008B0669">
              <w:rPr>
                <w:rFonts w:asciiTheme="minorHAnsi" w:hAnsiTheme="minorHAnsi"/>
              </w:rPr>
              <w:t xml:space="preserve">within </w:t>
            </w:r>
            <w:r w:rsidR="00162A90" w:rsidRPr="008B0669">
              <w:rPr>
                <w:rFonts w:asciiTheme="minorHAnsi" w:hAnsiTheme="minorHAnsi"/>
              </w:rPr>
              <w:t>1</w:t>
            </w:r>
            <w:r w:rsidRPr="008B0669">
              <w:rPr>
                <w:rFonts w:asciiTheme="minorHAnsi" w:hAnsiTheme="minorHAnsi"/>
              </w:rPr>
              <w:t xml:space="preserve"> year after a finding in a coronial or an official inquiry that the offence has occurred.</w:t>
            </w:r>
          </w:p>
          <w:p w:rsidR="00C6360F" w:rsidRPr="008B0669" w:rsidRDefault="00C6360F" w:rsidP="00162A90">
            <w:pPr>
              <w:rPr>
                <w:rFonts w:asciiTheme="minorHAnsi" w:hAnsiTheme="minorHAnsi"/>
              </w:rPr>
            </w:pPr>
          </w:p>
          <w:p w:rsidR="00162A90" w:rsidRPr="008B0669" w:rsidRDefault="00162A90" w:rsidP="00162A90">
            <w:pPr>
              <w:rPr>
                <w:rFonts w:asciiTheme="minorHAnsi" w:hAnsiTheme="minorHAnsi"/>
              </w:rPr>
            </w:pPr>
            <w:r w:rsidRPr="008B0669">
              <w:rPr>
                <w:rFonts w:asciiTheme="minorHAnsi" w:hAnsiTheme="minorHAnsi"/>
              </w:rPr>
              <w:t xml:space="preserve">Where an enforceable undertaking is breached, a prosecution must </w:t>
            </w:r>
            <w:r w:rsidR="00C6360F" w:rsidRPr="008B0669">
              <w:rPr>
                <w:rFonts w:asciiTheme="minorHAnsi" w:hAnsiTheme="minorHAnsi"/>
              </w:rPr>
              <w:t>(</w:t>
            </w:r>
            <w:proofErr w:type="spellStart"/>
            <w:r w:rsidR="00C6360F" w:rsidRPr="008B0669">
              <w:rPr>
                <w:rFonts w:asciiTheme="minorHAnsi" w:hAnsiTheme="minorHAnsi"/>
              </w:rPr>
              <w:t>s.232</w:t>
            </w:r>
            <w:proofErr w:type="spellEnd"/>
            <w:r w:rsidR="00C6360F" w:rsidRPr="008B0669">
              <w:rPr>
                <w:rFonts w:asciiTheme="minorHAnsi" w:hAnsiTheme="minorHAnsi"/>
              </w:rPr>
              <w:t xml:space="preserve">) </w:t>
            </w:r>
            <w:r w:rsidRPr="008B0669">
              <w:rPr>
                <w:rFonts w:asciiTheme="minorHAnsi" w:hAnsiTheme="minorHAnsi"/>
              </w:rPr>
              <w:t>be brought within 6 months of the contravention</w:t>
            </w:r>
            <w:r w:rsidR="00C6360F" w:rsidRPr="008B0669">
              <w:rPr>
                <w:rFonts w:asciiTheme="minorHAnsi" w:hAnsiTheme="minorHAnsi"/>
              </w:rPr>
              <w:t>, or the regulator becomes aware of the contravention or  has agreed to the withdrawal of the undertaking.</w:t>
            </w:r>
          </w:p>
          <w:p w:rsidR="00C6360F" w:rsidRPr="008B0669" w:rsidRDefault="00C6360F" w:rsidP="00162A90">
            <w:pPr>
              <w:rPr>
                <w:rFonts w:asciiTheme="minorHAnsi" w:hAnsiTheme="minorHAnsi"/>
              </w:rPr>
            </w:pPr>
          </w:p>
          <w:p w:rsidR="00162A90" w:rsidRPr="008B0669" w:rsidRDefault="00162A90" w:rsidP="00162A90">
            <w:pPr>
              <w:rPr>
                <w:rFonts w:asciiTheme="minorHAnsi" w:hAnsiTheme="minorHAnsi"/>
              </w:rPr>
            </w:pPr>
            <w:r w:rsidRPr="008B0669">
              <w:rPr>
                <w:rFonts w:asciiTheme="minorHAnsi" w:hAnsiTheme="minorHAnsi"/>
              </w:rPr>
              <w:t>Proceedings for a contravention of a WHS civil penalty provision may be brought within 2 years after the contravention first comes to the notice of the regulator (</w:t>
            </w:r>
            <w:proofErr w:type="spellStart"/>
            <w:r w:rsidRPr="008B0669">
              <w:rPr>
                <w:rFonts w:asciiTheme="minorHAnsi" w:hAnsiTheme="minorHAnsi"/>
              </w:rPr>
              <w:t>s.261</w:t>
            </w:r>
            <w:proofErr w:type="spellEnd"/>
            <w:r w:rsidRPr="008B0669">
              <w:rPr>
                <w:rFonts w:asciiTheme="minorHAnsi" w:hAnsiTheme="minorHAnsi"/>
              </w:rPr>
              <w:t>)</w:t>
            </w:r>
          </w:p>
          <w:p w:rsidR="00162A90" w:rsidRPr="008B0669" w:rsidRDefault="00162A90" w:rsidP="00162A90">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Penalties</w:t>
            </w:r>
          </w:p>
        </w:tc>
        <w:tc>
          <w:tcPr>
            <w:tcW w:w="4050" w:type="dxa"/>
          </w:tcPr>
          <w:p w:rsidR="009A79FB" w:rsidRPr="008B0669" w:rsidRDefault="009A79FB" w:rsidP="00013B92">
            <w:pPr>
              <w:rPr>
                <w:rFonts w:asciiTheme="minorHAnsi" w:hAnsiTheme="minorHAnsi"/>
              </w:rPr>
            </w:pPr>
            <w:r w:rsidRPr="008B0669">
              <w:rPr>
                <w:rFonts w:asciiTheme="minorHAnsi" w:hAnsiTheme="minorHAnsi"/>
              </w:rPr>
              <w:t>The OHS(MI) Act provides for 6 months imprisonment for serious breaches and a maximum penalty of $110,000.</w:t>
            </w:r>
          </w:p>
        </w:tc>
        <w:tc>
          <w:tcPr>
            <w:tcW w:w="4320" w:type="dxa"/>
          </w:tcPr>
          <w:p w:rsidR="00C6360F" w:rsidRPr="008B0669" w:rsidRDefault="00C6360F" w:rsidP="00C6360F">
            <w:pPr>
              <w:rPr>
                <w:rFonts w:asciiTheme="minorHAnsi" w:hAnsiTheme="minorHAnsi"/>
              </w:rPr>
            </w:pPr>
            <w:r w:rsidRPr="008B0669">
              <w:rPr>
                <w:rFonts w:asciiTheme="minorHAnsi" w:hAnsiTheme="minorHAnsi"/>
              </w:rPr>
              <w:t xml:space="preserve">Penalties for breaches are set out in </w:t>
            </w:r>
            <w:proofErr w:type="spellStart"/>
            <w:r w:rsidRPr="008B0669">
              <w:rPr>
                <w:rFonts w:asciiTheme="minorHAnsi" w:hAnsiTheme="minorHAnsi"/>
              </w:rPr>
              <w:t>ss.30</w:t>
            </w:r>
            <w:proofErr w:type="spellEnd"/>
            <w:r w:rsidRPr="008B0669">
              <w:rPr>
                <w:rFonts w:asciiTheme="minorHAnsi" w:hAnsiTheme="minorHAnsi"/>
              </w:rPr>
              <w:t>-34.</w:t>
            </w:r>
          </w:p>
          <w:p w:rsidR="00C6360F" w:rsidRPr="008B0669" w:rsidRDefault="00C6360F" w:rsidP="00C6360F">
            <w:pPr>
              <w:rPr>
                <w:rFonts w:asciiTheme="minorHAnsi" w:hAnsiTheme="minorHAnsi"/>
              </w:rPr>
            </w:pPr>
          </w:p>
          <w:p w:rsidR="009A79FB" w:rsidRPr="008B0669" w:rsidRDefault="009A79FB" w:rsidP="00C6360F">
            <w:pPr>
              <w:rPr>
                <w:rFonts w:asciiTheme="minorHAnsi" w:hAnsiTheme="minorHAnsi"/>
              </w:rPr>
            </w:pPr>
            <w:r w:rsidRPr="008B0669">
              <w:rPr>
                <w:rFonts w:asciiTheme="minorHAnsi" w:hAnsiTheme="minorHAnsi"/>
              </w:rPr>
              <w:t>For the most serious breaches</w:t>
            </w:r>
            <w:r w:rsidR="00C6360F" w:rsidRPr="008B0669">
              <w:rPr>
                <w:rFonts w:asciiTheme="minorHAnsi" w:hAnsiTheme="minorHAnsi"/>
              </w:rPr>
              <w:t xml:space="preserve"> (Category 1 offences)</w:t>
            </w:r>
            <w:r w:rsidRPr="008B0669">
              <w:rPr>
                <w:rFonts w:asciiTheme="minorHAnsi" w:hAnsiTheme="minorHAnsi"/>
              </w:rPr>
              <w:t>, the model WHS Act provides for a maximum fine for a corporation of $3</w:t>
            </w:r>
            <w:r w:rsidR="00E73234" w:rsidRPr="008B0669">
              <w:rPr>
                <w:rFonts w:asciiTheme="minorHAnsi" w:hAnsiTheme="minorHAnsi"/>
              </w:rPr>
              <w:t xml:space="preserve"> </w:t>
            </w:r>
            <w:r w:rsidRPr="008B0669">
              <w:rPr>
                <w:rFonts w:asciiTheme="minorHAnsi" w:hAnsiTheme="minorHAnsi"/>
              </w:rPr>
              <w:t>million</w:t>
            </w:r>
            <w:r w:rsidR="00C6360F" w:rsidRPr="008B0669">
              <w:rPr>
                <w:rFonts w:asciiTheme="minorHAnsi" w:hAnsiTheme="minorHAnsi"/>
              </w:rPr>
              <w:t xml:space="preserve">,  </w:t>
            </w:r>
            <w:r w:rsidRPr="008B0669">
              <w:rPr>
                <w:rFonts w:asciiTheme="minorHAnsi" w:hAnsiTheme="minorHAnsi"/>
              </w:rPr>
              <w:t>$600,000 for an officer</w:t>
            </w:r>
            <w:r w:rsidR="00C6360F" w:rsidRPr="008B0669">
              <w:rPr>
                <w:rFonts w:asciiTheme="minorHAnsi" w:hAnsiTheme="minorHAnsi"/>
              </w:rPr>
              <w:t xml:space="preserve"> and $300,000 for a worker or other person, </w:t>
            </w:r>
            <w:r w:rsidRPr="008B0669">
              <w:rPr>
                <w:rFonts w:asciiTheme="minorHAnsi" w:hAnsiTheme="minorHAnsi"/>
              </w:rPr>
              <w:t xml:space="preserve"> as we</w:t>
            </w:r>
            <w:r w:rsidR="00C6360F" w:rsidRPr="008B0669">
              <w:rPr>
                <w:rFonts w:asciiTheme="minorHAnsi" w:hAnsiTheme="minorHAnsi"/>
              </w:rPr>
              <w:t xml:space="preserve">ll as imprisonment  for up to 5 </w:t>
            </w:r>
            <w:r w:rsidRPr="008B0669">
              <w:rPr>
                <w:rFonts w:asciiTheme="minorHAnsi" w:hAnsiTheme="minorHAnsi"/>
              </w:rPr>
              <w:t>years.</w:t>
            </w:r>
          </w:p>
          <w:p w:rsidR="00C6360F" w:rsidRPr="008B0669" w:rsidRDefault="00C6360F" w:rsidP="00C6360F">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rPr>
            </w:pPr>
            <w:r w:rsidRPr="008B0669">
              <w:rPr>
                <w:rFonts w:asciiTheme="minorHAnsi" w:hAnsiTheme="minorHAnsi"/>
                <w:b/>
              </w:rPr>
              <w:t>Infringement notices</w:t>
            </w:r>
            <w:r w:rsidR="00C6360F" w:rsidRPr="008B0669">
              <w:rPr>
                <w:rFonts w:asciiTheme="minorHAnsi" w:hAnsiTheme="minorHAnsi"/>
                <w:b/>
              </w:rPr>
              <w:t xml:space="preserve">  (on-the-spot fines)</w:t>
            </w:r>
          </w:p>
          <w:p w:rsidR="00C6360F" w:rsidRPr="008B0669" w:rsidRDefault="00C6360F" w:rsidP="00013B92">
            <w:pPr>
              <w:rPr>
                <w:rFonts w:asciiTheme="minorHAnsi" w:hAnsiTheme="minorHAnsi"/>
                <w:b/>
              </w:rPr>
            </w:pPr>
          </w:p>
        </w:tc>
        <w:tc>
          <w:tcPr>
            <w:tcW w:w="4050" w:type="dxa"/>
          </w:tcPr>
          <w:p w:rsidR="009A79FB" w:rsidRPr="008B0669" w:rsidRDefault="00C6360F" w:rsidP="00013B92">
            <w:pPr>
              <w:rPr>
                <w:rFonts w:asciiTheme="minorHAnsi" w:hAnsiTheme="minorHAnsi"/>
              </w:rPr>
            </w:pPr>
            <w:r w:rsidRPr="008B0669">
              <w:rPr>
                <w:rFonts w:asciiTheme="minorHAnsi" w:hAnsiTheme="minorHAnsi"/>
              </w:rPr>
              <w:t>T</w:t>
            </w:r>
            <w:r w:rsidR="009A79FB" w:rsidRPr="008B0669">
              <w:rPr>
                <w:rFonts w:asciiTheme="minorHAnsi" w:hAnsiTheme="minorHAnsi"/>
              </w:rPr>
              <w:t xml:space="preserve">he OHS(MI) Act </w:t>
            </w:r>
            <w:r w:rsidRPr="008B0669">
              <w:rPr>
                <w:rFonts w:asciiTheme="minorHAnsi" w:hAnsiTheme="minorHAnsi"/>
              </w:rPr>
              <w:t xml:space="preserve">does not provide </w:t>
            </w:r>
            <w:r w:rsidR="009A79FB" w:rsidRPr="008B0669">
              <w:rPr>
                <w:rFonts w:asciiTheme="minorHAnsi" w:hAnsiTheme="minorHAnsi"/>
              </w:rPr>
              <w:t>for infringement notices.</w:t>
            </w:r>
          </w:p>
          <w:p w:rsidR="00C6360F" w:rsidRPr="008B0669" w:rsidRDefault="00C6360F" w:rsidP="00013B92">
            <w:pPr>
              <w:rPr>
                <w:rFonts w:asciiTheme="minorHAnsi" w:hAnsiTheme="minorHAnsi"/>
              </w:rPr>
            </w:pPr>
          </w:p>
        </w:tc>
        <w:tc>
          <w:tcPr>
            <w:tcW w:w="4320" w:type="dxa"/>
          </w:tcPr>
          <w:p w:rsidR="009A79FB" w:rsidRPr="008B0669" w:rsidRDefault="009A79FB" w:rsidP="00013B92">
            <w:pPr>
              <w:rPr>
                <w:rFonts w:asciiTheme="minorHAnsi" w:hAnsiTheme="minorHAnsi"/>
              </w:rPr>
            </w:pPr>
            <w:r w:rsidRPr="008B0669">
              <w:rPr>
                <w:rFonts w:asciiTheme="minorHAnsi" w:hAnsiTheme="minorHAnsi"/>
              </w:rPr>
              <w:t xml:space="preserve">The model WHS Act provides </w:t>
            </w:r>
            <w:r w:rsidR="00EF70F5" w:rsidRPr="008B0669">
              <w:rPr>
                <w:rFonts w:asciiTheme="minorHAnsi" w:hAnsiTheme="minorHAnsi"/>
              </w:rPr>
              <w:t>(</w:t>
            </w:r>
            <w:proofErr w:type="spellStart"/>
            <w:r w:rsidR="00EF70F5" w:rsidRPr="008B0669">
              <w:rPr>
                <w:rFonts w:asciiTheme="minorHAnsi" w:hAnsiTheme="minorHAnsi"/>
              </w:rPr>
              <w:t>s.243</w:t>
            </w:r>
            <w:proofErr w:type="spellEnd"/>
            <w:r w:rsidR="00EF70F5" w:rsidRPr="008B0669">
              <w:rPr>
                <w:rFonts w:asciiTheme="minorHAnsi" w:hAnsiTheme="minorHAnsi"/>
              </w:rPr>
              <w:t xml:space="preserve">) </w:t>
            </w:r>
            <w:r w:rsidRPr="008B0669">
              <w:rPr>
                <w:rFonts w:asciiTheme="minorHAnsi" w:hAnsiTheme="minorHAnsi"/>
              </w:rPr>
              <w:t>for infringement notices for minor offences.</w:t>
            </w: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Sentencing options</w:t>
            </w:r>
          </w:p>
        </w:tc>
        <w:tc>
          <w:tcPr>
            <w:tcW w:w="4050" w:type="dxa"/>
          </w:tcPr>
          <w:p w:rsidR="009A79FB" w:rsidRPr="008B0669" w:rsidRDefault="009A79FB" w:rsidP="00EF70F5">
            <w:pPr>
              <w:rPr>
                <w:rFonts w:asciiTheme="minorHAnsi" w:hAnsiTheme="minorHAnsi"/>
              </w:rPr>
            </w:pPr>
            <w:r w:rsidRPr="008B0669">
              <w:rPr>
                <w:rFonts w:asciiTheme="minorHAnsi" w:hAnsiTheme="minorHAnsi"/>
              </w:rPr>
              <w:t xml:space="preserve">The OHS(MI) Act only provides for imposition of a </w:t>
            </w:r>
            <w:r w:rsidR="00EF70F5" w:rsidRPr="008B0669">
              <w:rPr>
                <w:rFonts w:asciiTheme="minorHAnsi" w:hAnsiTheme="minorHAnsi"/>
              </w:rPr>
              <w:t>fine</w:t>
            </w:r>
            <w:r w:rsidRPr="008B0669">
              <w:rPr>
                <w:rFonts w:asciiTheme="minorHAnsi" w:hAnsiTheme="minorHAnsi"/>
              </w:rPr>
              <w:t xml:space="preserve"> or imprisonment.</w:t>
            </w:r>
          </w:p>
        </w:tc>
        <w:tc>
          <w:tcPr>
            <w:tcW w:w="4320" w:type="dxa"/>
          </w:tcPr>
          <w:p w:rsidR="009A79FB" w:rsidRPr="008B0669" w:rsidRDefault="009A79FB" w:rsidP="00E73234">
            <w:pPr>
              <w:rPr>
                <w:rFonts w:asciiTheme="minorHAnsi" w:hAnsiTheme="minorHAnsi"/>
              </w:rPr>
            </w:pPr>
            <w:r w:rsidRPr="008B0669">
              <w:rPr>
                <w:rFonts w:asciiTheme="minorHAnsi" w:hAnsiTheme="minorHAnsi"/>
              </w:rPr>
              <w:t xml:space="preserve">In addition to fines and custodial sentences, the model WHS Act provides </w:t>
            </w:r>
            <w:r w:rsidR="00EF70F5" w:rsidRPr="008B0669">
              <w:rPr>
                <w:rFonts w:asciiTheme="minorHAnsi" w:hAnsiTheme="minorHAnsi"/>
              </w:rPr>
              <w:t xml:space="preserve">(Part 13) </w:t>
            </w:r>
            <w:r w:rsidRPr="008B0669">
              <w:rPr>
                <w:rFonts w:asciiTheme="minorHAnsi" w:hAnsiTheme="minorHAnsi"/>
              </w:rPr>
              <w:t>for remedial orders, adverse</w:t>
            </w:r>
            <w:r w:rsidR="00E73234" w:rsidRPr="008B0669">
              <w:rPr>
                <w:rFonts w:asciiTheme="minorHAnsi" w:hAnsiTheme="minorHAnsi"/>
              </w:rPr>
              <w:t xml:space="preserve"> </w:t>
            </w:r>
            <w:r w:rsidRPr="008B0669">
              <w:rPr>
                <w:rFonts w:asciiTheme="minorHAnsi" w:hAnsiTheme="minorHAnsi"/>
              </w:rPr>
              <w:t>publicity orders,</w:t>
            </w:r>
            <w:r w:rsidR="00EF70F5" w:rsidRPr="008B0669">
              <w:rPr>
                <w:rFonts w:asciiTheme="minorHAnsi" w:hAnsiTheme="minorHAnsi"/>
              </w:rPr>
              <w:t xml:space="preserve"> </w:t>
            </w:r>
            <w:r w:rsidR="00EF70F5" w:rsidRPr="008B0669">
              <w:rPr>
                <w:rFonts w:asciiTheme="minorHAnsi" w:hAnsiTheme="minorHAnsi"/>
              </w:rPr>
              <w:lastRenderedPageBreak/>
              <w:t xml:space="preserve">orders to undertake </w:t>
            </w:r>
            <w:proofErr w:type="spellStart"/>
            <w:r w:rsidR="00EF70F5" w:rsidRPr="008B0669">
              <w:rPr>
                <w:rFonts w:asciiTheme="minorHAnsi" w:hAnsiTheme="minorHAnsi"/>
              </w:rPr>
              <w:t>WQHS</w:t>
            </w:r>
            <w:proofErr w:type="spellEnd"/>
            <w:r w:rsidR="00EF70F5" w:rsidRPr="008B0669">
              <w:rPr>
                <w:rFonts w:asciiTheme="minorHAnsi" w:hAnsiTheme="minorHAnsi"/>
              </w:rPr>
              <w:t xml:space="preserve"> projects,</w:t>
            </w:r>
            <w:r w:rsidRPr="008B0669">
              <w:rPr>
                <w:rFonts w:asciiTheme="minorHAnsi" w:hAnsiTheme="minorHAnsi"/>
              </w:rPr>
              <w:t xml:space="preserve"> training orders, injunctions and compensation orders.</w:t>
            </w:r>
            <w:r w:rsidR="008B0669" w:rsidRPr="008B0669">
              <w:rPr>
                <w:rFonts w:asciiTheme="minorHAnsi" w:hAnsiTheme="minorHAnsi"/>
              </w:rPr>
              <w:t xml:space="preserve"> There may be a court-ordered WHS undertaking (similar to a voluntary enforceable undertaking – see above).</w:t>
            </w:r>
          </w:p>
          <w:p w:rsidR="008F107B" w:rsidRPr="008B0669" w:rsidRDefault="008F107B" w:rsidP="00E73234">
            <w:pPr>
              <w:rPr>
                <w:rFonts w:asciiTheme="minorHAnsi" w:hAnsiTheme="minorHAnsi"/>
              </w:rPr>
            </w:pPr>
          </w:p>
        </w:tc>
      </w:tr>
      <w:tr w:rsidR="009A79FB"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Review of non-prosecution</w:t>
            </w:r>
          </w:p>
        </w:tc>
        <w:tc>
          <w:tcPr>
            <w:tcW w:w="4050" w:type="dxa"/>
          </w:tcPr>
          <w:p w:rsidR="009A79FB" w:rsidRPr="008B0669" w:rsidRDefault="008F107B" w:rsidP="00013B92">
            <w:pPr>
              <w:rPr>
                <w:rFonts w:asciiTheme="minorHAnsi" w:hAnsiTheme="minorHAnsi"/>
              </w:rPr>
            </w:pPr>
            <w:r w:rsidRPr="008B0669">
              <w:rPr>
                <w:rFonts w:asciiTheme="minorHAnsi" w:hAnsiTheme="minorHAnsi"/>
              </w:rPr>
              <w:t>No provision</w:t>
            </w:r>
          </w:p>
        </w:tc>
        <w:tc>
          <w:tcPr>
            <w:tcW w:w="4320" w:type="dxa"/>
          </w:tcPr>
          <w:p w:rsidR="007F29D7" w:rsidRPr="008B0669" w:rsidRDefault="007F29D7" w:rsidP="007F29D7">
            <w:p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s.231</w:t>
            </w:r>
            <w:proofErr w:type="spellEnd"/>
            <w:r w:rsidRPr="008B0669">
              <w:rPr>
                <w:rFonts w:asciiTheme="minorHAnsi" w:hAnsiTheme="minorHAnsi"/>
              </w:rPr>
              <w:t xml:space="preserve">, if an individual considers that a Category 1 or 2 offence has occurred but there has been no prosecution in the 6 to 12 months after the alleged offence, the person </w:t>
            </w:r>
            <w:r w:rsidR="006E579A" w:rsidRPr="008B0669">
              <w:rPr>
                <w:rFonts w:asciiTheme="minorHAnsi" w:hAnsiTheme="minorHAnsi"/>
              </w:rPr>
              <w:t xml:space="preserve">may </w:t>
            </w:r>
            <w:r w:rsidRPr="008B0669">
              <w:rPr>
                <w:rFonts w:asciiTheme="minorHAnsi" w:hAnsiTheme="minorHAnsi"/>
              </w:rPr>
              <w:t xml:space="preserve">ask the regulator in writing to prosecute. </w:t>
            </w:r>
          </w:p>
          <w:p w:rsidR="007F29D7" w:rsidRPr="008B0669" w:rsidRDefault="007F29D7" w:rsidP="007F29D7">
            <w:pPr>
              <w:rPr>
                <w:rFonts w:asciiTheme="minorHAnsi" w:hAnsiTheme="minorHAnsi"/>
              </w:rPr>
            </w:pPr>
          </w:p>
          <w:p w:rsidR="007F29D7" w:rsidRPr="008B0669" w:rsidRDefault="007F29D7" w:rsidP="007F29D7">
            <w:pPr>
              <w:rPr>
                <w:rFonts w:asciiTheme="minorHAnsi" w:hAnsiTheme="minorHAnsi"/>
              </w:rPr>
            </w:pPr>
            <w:r w:rsidRPr="008B0669">
              <w:rPr>
                <w:rFonts w:asciiTheme="minorHAnsi" w:hAnsiTheme="minorHAnsi"/>
              </w:rPr>
              <w:t xml:space="preserve">The regulator must reply within 3 months advising on the investigation’s status and, if complete, whether a prosecution has been or will be brought.  The alleged offender must also be advised. </w:t>
            </w:r>
          </w:p>
          <w:p w:rsidR="007F29D7" w:rsidRPr="008B0669" w:rsidRDefault="007F29D7" w:rsidP="007F29D7">
            <w:pPr>
              <w:rPr>
                <w:rFonts w:asciiTheme="minorHAnsi" w:hAnsiTheme="minorHAnsi"/>
              </w:rPr>
            </w:pPr>
          </w:p>
          <w:p w:rsidR="009A79FB" w:rsidRPr="008B0669" w:rsidRDefault="007F29D7" w:rsidP="006E579A">
            <w:pPr>
              <w:rPr>
                <w:rFonts w:asciiTheme="minorHAnsi" w:hAnsiTheme="minorHAnsi"/>
              </w:rPr>
            </w:pPr>
            <w:r w:rsidRPr="008B0669">
              <w:rPr>
                <w:rFonts w:asciiTheme="minorHAnsi" w:hAnsiTheme="minorHAnsi"/>
              </w:rPr>
              <w:t xml:space="preserve">If there is no prosecution, the individual may ask the regulator to refer the matter to the </w:t>
            </w:r>
            <w:proofErr w:type="spellStart"/>
            <w:r w:rsidRPr="008B0669">
              <w:rPr>
                <w:rFonts w:asciiTheme="minorHAnsi" w:hAnsiTheme="minorHAnsi"/>
              </w:rPr>
              <w:t>DPP</w:t>
            </w:r>
            <w:proofErr w:type="spellEnd"/>
            <w:r w:rsidRPr="008B0669">
              <w:rPr>
                <w:rFonts w:asciiTheme="minorHAnsi" w:hAnsiTheme="minorHAnsi"/>
              </w:rPr>
              <w:t xml:space="preserve">.  The </w:t>
            </w:r>
            <w:proofErr w:type="spellStart"/>
            <w:r w:rsidRPr="008B0669">
              <w:rPr>
                <w:rFonts w:asciiTheme="minorHAnsi" w:hAnsiTheme="minorHAnsi"/>
              </w:rPr>
              <w:t>DPP</w:t>
            </w:r>
            <w:proofErr w:type="spellEnd"/>
            <w:r w:rsidRPr="008B0669">
              <w:rPr>
                <w:rFonts w:asciiTheme="minorHAnsi" w:hAnsiTheme="minorHAnsi"/>
              </w:rPr>
              <w:t xml:space="preserve"> must consider the matter and advise the regulator within 1 month whether a prosecution should be brought.  If the regulator does not act on advice to prosecute, written reasons</w:t>
            </w:r>
            <w:r w:rsidR="006E579A" w:rsidRPr="008B0669">
              <w:rPr>
                <w:rFonts w:asciiTheme="minorHAnsi" w:hAnsiTheme="minorHAnsi"/>
              </w:rPr>
              <w:t xml:space="preserve"> must be given.</w:t>
            </w:r>
          </w:p>
          <w:p w:rsidR="006E579A" w:rsidRPr="008B0669" w:rsidRDefault="006E579A" w:rsidP="006E579A">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Consultation</w:t>
            </w:r>
          </w:p>
        </w:tc>
        <w:tc>
          <w:tcPr>
            <w:tcW w:w="4050" w:type="dxa"/>
          </w:tcPr>
          <w:p w:rsidR="009A79FB" w:rsidRPr="008B0669" w:rsidRDefault="006E579A" w:rsidP="006E579A">
            <w:p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s.12</w:t>
            </w:r>
            <w:proofErr w:type="spellEnd"/>
            <w:r w:rsidRPr="008B0669">
              <w:rPr>
                <w:rFonts w:asciiTheme="minorHAnsi" w:hAnsiTheme="minorHAnsi"/>
              </w:rPr>
              <w:t xml:space="preserve"> of the </w:t>
            </w:r>
            <w:r w:rsidR="009A79FB" w:rsidRPr="008B0669">
              <w:rPr>
                <w:rFonts w:asciiTheme="minorHAnsi" w:hAnsiTheme="minorHAnsi"/>
              </w:rPr>
              <w:t>OHS(MI) Act</w:t>
            </w:r>
            <w:r w:rsidRPr="008B0669">
              <w:rPr>
                <w:rFonts w:asciiTheme="minorHAnsi" w:hAnsiTheme="minorHAnsi"/>
              </w:rPr>
              <w:t xml:space="preserve">, an operator of a prescribed ship or unit must develop </w:t>
            </w:r>
            <w:r w:rsidR="009A79FB" w:rsidRPr="008B0669">
              <w:rPr>
                <w:rFonts w:asciiTheme="minorHAnsi" w:hAnsiTheme="minorHAnsi"/>
              </w:rPr>
              <w:t xml:space="preserve"> an OHS</w:t>
            </w:r>
            <w:r w:rsidR="00E73234" w:rsidRPr="008B0669">
              <w:rPr>
                <w:rFonts w:asciiTheme="minorHAnsi" w:hAnsiTheme="minorHAnsi"/>
              </w:rPr>
              <w:t xml:space="preserve"> </w:t>
            </w:r>
            <w:r w:rsidR="009A79FB" w:rsidRPr="008B0669">
              <w:rPr>
                <w:rFonts w:asciiTheme="minorHAnsi" w:hAnsiTheme="minorHAnsi"/>
              </w:rPr>
              <w:t>policy</w:t>
            </w:r>
            <w:r w:rsidRPr="008B0669">
              <w:rPr>
                <w:rFonts w:asciiTheme="minorHAnsi" w:hAnsiTheme="minorHAnsi"/>
              </w:rPr>
              <w:t xml:space="preserve"> in consultation with involved unions and other persons the operator considers appropriate</w:t>
            </w:r>
            <w:r w:rsidR="009A79FB" w:rsidRPr="008B0669">
              <w:rPr>
                <w:rFonts w:asciiTheme="minorHAnsi" w:hAnsiTheme="minorHAnsi"/>
              </w:rPr>
              <w:t>.</w:t>
            </w:r>
          </w:p>
          <w:p w:rsidR="0058673C" w:rsidRPr="008B0669" w:rsidRDefault="0058673C" w:rsidP="006E579A">
            <w:pPr>
              <w:rPr>
                <w:rFonts w:asciiTheme="minorHAnsi" w:hAnsiTheme="minorHAnsi"/>
              </w:rPr>
            </w:pPr>
          </w:p>
          <w:p w:rsidR="0058673C" w:rsidRPr="008B0669" w:rsidRDefault="0058673C" w:rsidP="0058673C">
            <w:pPr>
              <w:rPr>
                <w:rFonts w:asciiTheme="minorHAnsi" w:hAnsiTheme="minorHAnsi"/>
              </w:rPr>
            </w:pPr>
            <w:r w:rsidRPr="008B0669">
              <w:rPr>
                <w:rFonts w:asciiTheme="minorHAnsi" w:hAnsiTheme="minorHAnsi"/>
              </w:rPr>
              <w:t xml:space="preserve">[The objects  include - </w:t>
            </w:r>
            <w:proofErr w:type="spellStart"/>
            <w:r w:rsidRPr="008B0669">
              <w:rPr>
                <w:rFonts w:asciiTheme="minorHAnsi" w:hAnsiTheme="minorHAnsi"/>
              </w:rPr>
              <w:t>s.3</w:t>
            </w:r>
            <w:proofErr w:type="spellEnd"/>
            <w:r w:rsidRPr="008B0669">
              <w:rPr>
                <w:rFonts w:asciiTheme="minorHAnsi" w:hAnsiTheme="minorHAnsi"/>
              </w:rPr>
              <w:t>(e) - fostering a cooperative consultative relationship on OHS between operators and employees]</w:t>
            </w:r>
          </w:p>
          <w:p w:rsidR="0058673C" w:rsidRPr="008B0669" w:rsidRDefault="0058673C" w:rsidP="0058673C">
            <w:pPr>
              <w:rPr>
                <w:rFonts w:asciiTheme="minorHAnsi" w:hAnsiTheme="minorHAnsi"/>
              </w:rPr>
            </w:pPr>
          </w:p>
        </w:tc>
        <w:tc>
          <w:tcPr>
            <w:tcW w:w="4320" w:type="dxa"/>
          </w:tcPr>
          <w:p w:rsidR="0058673C" w:rsidRPr="008B0669" w:rsidRDefault="009A79FB" w:rsidP="00013B92">
            <w:pPr>
              <w:rPr>
                <w:rFonts w:asciiTheme="minorHAnsi" w:hAnsiTheme="minorHAnsi"/>
              </w:rPr>
            </w:pPr>
            <w:r w:rsidRPr="008B0669">
              <w:rPr>
                <w:rFonts w:asciiTheme="minorHAnsi" w:hAnsiTheme="minorHAnsi"/>
              </w:rPr>
              <w:t xml:space="preserve">The model WHS Act </w:t>
            </w:r>
            <w:r w:rsidR="0058673C" w:rsidRPr="008B0669">
              <w:rPr>
                <w:rFonts w:asciiTheme="minorHAnsi" w:hAnsiTheme="minorHAnsi"/>
              </w:rPr>
              <w:t>(</w:t>
            </w:r>
            <w:proofErr w:type="spellStart"/>
            <w:r w:rsidR="0058673C" w:rsidRPr="008B0669">
              <w:rPr>
                <w:rFonts w:asciiTheme="minorHAnsi" w:hAnsiTheme="minorHAnsi"/>
              </w:rPr>
              <w:t>s.46</w:t>
            </w:r>
            <w:proofErr w:type="spellEnd"/>
            <w:r w:rsidR="0058673C" w:rsidRPr="008B0669">
              <w:rPr>
                <w:rFonts w:asciiTheme="minorHAnsi" w:hAnsiTheme="minorHAnsi"/>
              </w:rPr>
              <w:t>) requires</w:t>
            </w:r>
            <w:r w:rsidRPr="008B0669">
              <w:rPr>
                <w:rFonts w:asciiTheme="minorHAnsi" w:hAnsiTheme="minorHAnsi"/>
              </w:rPr>
              <w:t xml:space="preserve"> duty holders</w:t>
            </w:r>
            <w:r w:rsidR="0058673C" w:rsidRPr="008B0669">
              <w:rPr>
                <w:rFonts w:asciiTheme="minorHAnsi" w:hAnsiTheme="minorHAnsi"/>
              </w:rPr>
              <w:t xml:space="preserve"> who have duties in relation to the same matter must</w:t>
            </w:r>
            <w:r w:rsidRPr="008B0669">
              <w:rPr>
                <w:rFonts w:asciiTheme="minorHAnsi" w:hAnsiTheme="minorHAnsi"/>
              </w:rPr>
              <w:t xml:space="preserve"> consult, cooperate and coordinate activities with each other. </w:t>
            </w:r>
          </w:p>
          <w:p w:rsidR="0058673C" w:rsidRPr="008B0669" w:rsidRDefault="0058673C" w:rsidP="00013B92">
            <w:pPr>
              <w:rPr>
                <w:rFonts w:asciiTheme="minorHAnsi" w:hAnsiTheme="minorHAnsi"/>
              </w:rPr>
            </w:pPr>
          </w:p>
          <w:p w:rsidR="009A79FB" w:rsidRPr="008B0669" w:rsidRDefault="0058673C" w:rsidP="00013B92">
            <w:pPr>
              <w:rPr>
                <w:rFonts w:asciiTheme="minorHAnsi" w:hAnsiTheme="minorHAnsi"/>
              </w:rPr>
            </w:pPr>
            <w:r w:rsidRPr="008B0669">
              <w:rPr>
                <w:rFonts w:asciiTheme="minorHAnsi" w:hAnsiTheme="minorHAnsi"/>
              </w:rPr>
              <w:t xml:space="preserve">A </w:t>
            </w:r>
            <w:proofErr w:type="spellStart"/>
            <w:r w:rsidRPr="008B0669">
              <w:rPr>
                <w:rFonts w:asciiTheme="minorHAnsi" w:hAnsiTheme="minorHAnsi"/>
              </w:rPr>
              <w:t>PCBU</w:t>
            </w:r>
            <w:proofErr w:type="spellEnd"/>
            <w:r w:rsidRPr="008B0669">
              <w:rPr>
                <w:rFonts w:asciiTheme="minorHAnsi" w:hAnsiTheme="minorHAnsi"/>
              </w:rPr>
              <w:t xml:space="preserve"> must (</w:t>
            </w:r>
            <w:proofErr w:type="spellStart"/>
            <w:r w:rsidRPr="008B0669">
              <w:rPr>
                <w:rFonts w:asciiTheme="minorHAnsi" w:hAnsiTheme="minorHAnsi"/>
              </w:rPr>
              <w:t>s.47</w:t>
            </w:r>
            <w:proofErr w:type="spellEnd"/>
            <w:r w:rsidRPr="008B0669">
              <w:rPr>
                <w:rFonts w:asciiTheme="minorHAnsi" w:hAnsiTheme="minorHAnsi"/>
              </w:rPr>
              <w:t>) consult the relevant workers about WHS</w:t>
            </w:r>
            <w:r w:rsidR="00A21648" w:rsidRPr="008B0669">
              <w:rPr>
                <w:rFonts w:asciiTheme="minorHAnsi" w:hAnsiTheme="minorHAnsi"/>
              </w:rPr>
              <w:t>.</w:t>
            </w:r>
            <w:r w:rsidR="00E47C3E" w:rsidRPr="008B0669">
              <w:rPr>
                <w:rFonts w:asciiTheme="minorHAnsi" w:hAnsiTheme="minorHAnsi"/>
              </w:rPr>
              <w:t xml:space="preserve">  The nature and  timing of consultation are specified in </w:t>
            </w:r>
            <w:proofErr w:type="spellStart"/>
            <w:r w:rsidR="00E47C3E" w:rsidRPr="008B0669">
              <w:rPr>
                <w:rFonts w:asciiTheme="minorHAnsi" w:hAnsiTheme="minorHAnsi"/>
              </w:rPr>
              <w:t>ss.48,49</w:t>
            </w:r>
            <w:proofErr w:type="spellEnd"/>
            <w:r w:rsidR="00E47C3E" w:rsidRPr="008B0669">
              <w:rPr>
                <w:rFonts w:asciiTheme="minorHAnsi" w:hAnsiTheme="minorHAnsi"/>
              </w:rPr>
              <w:t>.</w:t>
            </w:r>
          </w:p>
          <w:p w:rsidR="0058673C" w:rsidRPr="008B0669" w:rsidRDefault="0058673C" w:rsidP="00013B92">
            <w:pPr>
              <w:rPr>
                <w:rFonts w:asciiTheme="minorHAnsi" w:hAnsiTheme="minorHAnsi"/>
              </w:rPr>
            </w:pPr>
          </w:p>
          <w:p w:rsidR="009A79FB" w:rsidRPr="008B0669" w:rsidRDefault="00E47C3E" w:rsidP="00013B92">
            <w:pPr>
              <w:rPr>
                <w:rFonts w:asciiTheme="minorHAnsi" w:hAnsiTheme="minorHAnsi"/>
              </w:rPr>
            </w:pPr>
            <w:r w:rsidRPr="008B0669">
              <w:rPr>
                <w:rFonts w:asciiTheme="minorHAnsi" w:hAnsiTheme="minorHAnsi"/>
              </w:rPr>
              <w:t>The WHS Act</w:t>
            </w:r>
            <w:r w:rsidR="009A79FB" w:rsidRPr="008B0669">
              <w:rPr>
                <w:rFonts w:asciiTheme="minorHAnsi" w:hAnsiTheme="minorHAnsi"/>
              </w:rPr>
              <w:t xml:space="preserve"> does not specific</w:t>
            </w:r>
            <w:r w:rsidRPr="008B0669">
              <w:rPr>
                <w:rFonts w:asciiTheme="minorHAnsi" w:hAnsiTheme="minorHAnsi"/>
              </w:rPr>
              <w:t>ally</w:t>
            </w:r>
            <w:r w:rsidR="009A79FB" w:rsidRPr="008B0669">
              <w:rPr>
                <w:rFonts w:asciiTheme="minorHAnsi" w:hAnsiTheme="minorHAnsi"/>
              </w:rPr>
              <w:t xml:space="preserve"> require the development of a</w:t>
            </w:r>
            <w:r w:rsidR="00945595" w:rsidRPr="008B0669">
              <w:rPr>
                <w:rFonts w:asciiTheme="minorHAnsi" w:hAnsiTheme="minorHAnsi"/>
              </w:rPr>
              <w:t xml:space="preserve"> general </w:t>
            </w:r>
            <w:r w:rsidRPr="008B0669">
              <w:rPr>
                <w:rFonts w:asciiTheme="minorHAnsi" w:hAnsiTheme="minorHAnsi"/>
              </w:rPr>
              <w:t>W</w:t>
            </w:r>
            <w:r w:rsidR="00945595" w:rsidRPr="008B0669">
              <w:rPr>
                <w:rFonts w:asciiTheme="minorHAnsi" w:hAnsiTheme="minorHAnsi"/>
              </w:rPr>
              <w:t>HS policy document (a safety policy is required under the Regulations for a major hazard facility).</w:t>
            </w:r>
          </w:p>
          <w:p w:rsidR="00945595" w:rsidRPr="008B0669" w:rsidRDefault="00945595" w:rsidP="00013B92">
            <w:pPr>
              <w:rPr>
                <w:rFonts w:asciiTheme="minorHAnsi" w:hAnsiTheme="minorHAnsi"/>
              </w:rPr>
            </w:pPr>
          </w:p>
          <w:p w:rsidR="00945595" w:rsidRPr="008B0669" w:rsidRDefault="00945595" w:rsidP="00013B92">
            <w:pPr>
              <w:rPr>
                <w:rFonts w:asciiTheme="minorHAnsi" w:hAnsiTheme="minorHAnsi"/>
              </w:rPr>
            </w:pPr>
            <w:r w:rsidRPr="008B0669">
              <w:rPr>
                <w:rFonts w:asciiTheme="minorHAnsi" w:hAnsiTheme="minorHAnsi"/>
              </w:rPr>
              <w:t xml:space="preserve">[The WHS Act’s main object includes - </w:t>
            </w:r>
            <w:proofErr w:type="spellStart"/>
            <w:r w:rsidRPr="008B0669">
              <w:rPr>
                <w:rFonts w:asciiTheme="minorHAnsi" w:hAnsiTheme="minorHAnsi"/>
              </w:rPr>
              <w:t>s.3</w:t>
            </w:r>
            <w:proofErr w:type="spellEnd"/>
            <w:r w:rsidRPr="008B0669">
              <w:rPr>
                <w:rFonts w:asciiTheme="minorHAnsi" w:hAnsiTheme="minorHAnsi"/>
              </w:rPr>
              <w:t xml:space="preserve">(1)(b) - … </w:t>
            </w:r>
            <w:r w:rsidRPr="008B0669">
              <w:rPr>
                <w:rFonts w:asciiTheme="minorHAnsi" w:hAnsiTheme="minorHAnsi"/>
                <w:i/>
              </w:rPr>
              <w:t xml:space="preserve">fair and effective workplace representation, consultation, co-operation and issue  resolution </w:t>
            </w:r>
            <w:r w:rsidRPr="008B0669">
              <w:rPr>
                <w:rFonts w:asciiTheme="minorHAnsi" w:hAnsiTheme="minorHAnsi"/>
              </w:rPr>
              <w:t>in relation to WHS]</w:t>
            </w:r>
          </w:p>
          <w:p w:rsidR="00EF70F5" w:rsidRPr="008B0669" w:rsidRDefault="00EF70F5" w:rsidP="00013B92">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Establishment of</w:t>
            </w:r>
            <w:r w:rsidR="00E47C3E" w:rsidRPr="008B0669">
              <w:rPr>
                <w:rFonts w:asciiTheme="minorHAnsi" w:hAnsiTheme="minorHAnsi"/>
                <w:b/>
              </w:rPr>
              <w:t xml:space="preserve"> </w:t>
            </w:r>
          </w:p>
          <w:p w:rsidR="009A79FB" w:rsidRPr="008B0669" w:rsidRDefault="009A79FB" w:rsidP="00013B92">
            <w:pPr>
              <w:rPr>
                <w:rFonts w:asciiTheme="minorHAnsi" w:hAnsiTheme="minorHAnsi"/>
                <w:b/>
              </w:rPr>
            </w:pPr>
            <w:r w:rsidRPr="008B0669">
              <w:rPr>
                <w:rFonts w:asciiTheme="minorHAnsi" w:hAnsiTheme="minorHAnsi"/>
                <w:b/>
              </w:rPr>
              <w:t>work groups</w:t>
            </w:r>
            <w:r w:rsidR="00E47C3E" w:rsidRPr="008B0669">
              <w:rPr>
                <w:rFonts w:asciiTheme="minorHAnsi" w:hAnsiTheme="minorHAnsi"/>
                <w:b/>
              </w:rPr>
              <w:t xml:space="preserve"> </w:t>
            </w:r>
          </w:p>
        </w:tc>
        <w:tc>
          <w:tcPr>
            <w:tcW w:w="4050" w:type="dxa"/>
          </w:tcPr>
          <w:p w:rsidR="009A79FB" w:rsidRPr="008B0669" w:rsidRDefault="00E47C3E" w:rsidP="00E47C3E">
            <w:pPr>
              <w:rPr>
                <w:rFonts w:asciiTheme="minorHAnsi" w:hAnsiTheme="minorHAnsi"/>
              </w:rPr>
            </w:pPr>
            <w:r w:rsidRPr="008B0669">
              <w:rPr>
                <w:rFonts w:asciiTheme="minorHAnsi" w:hAnsiTheme="minorHAnsi"/>
              </w:rPr>
              <w:t>Under Part 3, a</w:t>
            </w:r>
            <w:r w:rsidR="00945595" w:rsidRPr="008B0669">
              <w:rPr>
                <w:rFonts w:asciiTheme="minorHAnsi" w:hAnsiTheme="minorHAnsi"/>
              </w:rPr>
              <w:t xml:space="preserve"> D</w:t>
            </w:r>
            <w:r w:rsidRPr="008B0669">
              <w:rPr>
                <w:rFonts w:asciiTheme="minorHAnsi" w:hAnsiTheme="minorHAnsi"/>
              </w:rPr>
              <w:t xml:space="preserve">esignated </w:t>
            </w:r>
            <w:r w:rsidR="00945595" w:rsidRPr="008B0669">
              <w:rPr>
                <w:rFonts w:asciiTheme="minorHAnsi" w:hAnsiTheme="minorHAnsi"/>
              </w:rPr>
              <w:t>W</w:t>
            </w:r>
            <w:r w:rsidRPr="008B0669">
              <w:rPr>
                <w:rFonts w:asciiTheme="minorHAnsi" w:hAnsiTheme="minorHAnsi"/>
              </w:rPr>
              <w:t xml:space="preserve">ork </w:t>
            </w:r>
            <w:r w:rsidR="00945595" w:rsidRPr="008B0669">
              <w:rPr>
                <w:rFonts w:asciiTheme="minorHAnsi" w:hAnsiTheme="minorHAnsi"/>
              </w:rPr>
              <w:t>G</w:t>
            </w:r>
            <w:r w:rsidRPr="008B0669">
              <w:rPr>
                <w:rFonts w:asciiTheme="minorHAnsi" w:hAnsiTheme="minorHAnsi"/>
              </w:rPr>
              <w:t>roup</w:t>
            </w:r>
            <w:r w:rsidR="00945595" w:rsidRPr="008B0669">
              <w:rPr>
                <w:rFonts w:asciiTheme="minorHAnsi" w:hAnsiTheme="minorHAnsi"/>
              </w:rPr>
              <w:t xml:space="preserve"> </w:t>
            </w:r>
            <w:r w:rsidRPr="008B0669">
              <w:rPr>
                <w:rFonts w:asciiTheme="minorHAnsi" w:hAnsiTheme="minorHAnsi"/>
              </w:rPr>
              <w:t>consists</w:t>
            </w:r>
            <w:r w:rsidR="009A79FB" w:rsidRPr="008B0669">
              <w:rPr>
                <w:rFonts w:asciiTheme="minorHAnsi" w:hAnsiTheme="minorHAnsi"/>
              </w:rPr>
              <w:t xml:space="preserve"> of employees of an operator </w:t>
            </w:r>
            <w:r w:rsidRPr="008B0669">
              <w:rPr>
                <w:rFonts w:asciiTheme="minorHAnsi" w:hAnsiTheme="minorHAnsi"/>
              </w:rPr>
              <w:t xml:space="preserve">who are </w:t>
            </w:r>
            <w:r w:rsidR="009A79FB" w:rsidRPr="008B0669">
              <w:rPr>
                <w:rFonts w:asciiTheme="minorHAnsi" w:hAnsiTheme="minorHAnsi"/>
              </w:rPr>
              <w:t>employed on a prescribed</w:t>
            </w:r>
            <w:r w:rsidR="006E579A" w:rsidRPr="008B0669">
              <w:rPr>
                <w:rFonts w:asciiTheme="minorHAnsi" w:hAnsiTheme="minorHAnsi"/>
              </w:rPr>
              <w:t xml:space="preserve"> </w:t>
            </w:r>
            <w:r w:rsidRPr="008B0669">
              <w:rPr>
                <w:rFonts w:asciiTheme="minorHAnsi" w:hAnsiTheme="minorHAnsi"/>
              </w:rPr>
              <w:t>ship or unit.</w:t>
            </w:r>
          </w:p>
        </w:tc>
        <w:tc>
          <w:tcPr>
            <w:tcW w:w="4320" w:type="dxa"/>
          </w:tcPr>
          <w:p w:rsidR="009A79FB" w:rsidRPr="008B0669" w:rsidRDefault="00B777FA" w:rsidP="00013B92">
            <w:pPr>
              <w:rPr>
                <w:rFonts w:asciiTheme="minorHAnsi" w:hAnsiTheme="minorHAnsi"/>
              </w:rPr>
            </w:pPr>
            <w:r w:rsidRPr="008B0669">
              <w:rPr>
                <w:rFonts w:asciiTheme="minorHAnsi" w:hAnsiTheme="minorHAnsi"/>
              </w:rPr>
              <w:t xml:space="preserve">Part 5 </w:t>
            </w:r>
            <w:r w:rsidR="009A79FB" w:rsidRPr="008B0669">
              <w:rPr>
                <w:rFonts w:asciiTheme="minorHAnsi" w:hAnsiTheme="minorHAnsi"/>
              </w:rPr>
              <w:t xml:space="preserve">provides </w:t>
            </w:r>
            <w:r w:rsidR="00AA3ED2" w:rsidRPr="008B0669">
              <w:rPr>
                <w:rFonts w:asciiTheme="minorHAnsi" w:hAnsiTheme="minorHAnsi"/>
              </w:rPr>
              <w:t xml:space="preserve">for work groups. </w:t>
            </w:r>
            <w:r w:rsidR="008B0669" w:rsidRPr="008B0669">
              <w:rPr>
                <w:rFonts w:asciiTheme="minorHAnsi" w:hAnsiTheme="minorHAnsi"/>
              </w:rPr>
              <w:t xml:space="preserve">  </w:t>
            </w:r>
            <w:r w:rsidR="00AA3ED2" w:rsidRPr="008B0669">
              <w:rPr>
                <w:rFonts w:asciiTheme="minorHAnsi" w:hAnsiTheme="minorHAnsi"/>
              </w:rPr>
              <w:t xml:space="preserve">A work group may relate to workers </w:t>
            </w:r>
            <w:r w:rsidRPr="008B0669">
              <w:rPr>
                <w:rFonts w:asciiTheme="minorHAnsi" w:hAnsiTheme="minorHAnsi"/>
              </w:rPr>
              <w:t>in</w:t>
            </w:r>
            <w:r w:rsidR="00AA3ED2" w:rsidRPr="008B0669">
              <w:rPr>
                <w:rFonts w:asciiTheme="minorHAnsi" w:hAnsiTheme="minorHAnsi"/>
              </w:rPr>
              <w:t xml:space="preserve"> </w:t>
            </w:r>
            <w:r w:rsidRPr="008B0669">
              <w:rPr>
                <w:rFonts w:asciiTheme="minorHAnsi" w:hAnsiTheme="minorHAnsi"/>
              </w:rPr>
              <w:t>one</w:t>
            </w:r>
            <w:r w:rsidR="00AA3ED2" w:rsidRPr="008B0669">
              <w:rPr>
                <w:rFonts w:asciiTheme="minorHAnsi" w:hAnsiTheme="minorHAnsi"/>
              </w:rPr>
              <w:t xml:space="preserve"> </w:t>
            </w:r>
            <w:proofErr w:type="spellStart"/>
            <w:r w:rsidR="00AA3ED2" w:rsidRPr="008B0669">
              <w:rPr>
                <w:rFonts w:asciiTheme="minorHAnsi" w:hAnsiTheme="minorHAnsi"/>
              </w:rPr>
              <w:t>PCBU</w:t>
            </w:r>
            <w:proofErr w:type="spellEnd"/>
            <w:r w:rsidR="00AA3ED2" w:rsidRPr="008B0669">
              <w:rPr>
                <w:rFonts w:asciiTheme="minorHAnsi" w:hAnsiTheme="minorHAnsi"/>
              </w:rPr>
              <w:t xml:space="preserve">, and, if agreed, </w:t>
            </w:r>
            <w:r w:rsidRPr="008B0669">
              <w:rPr>
                <w:rFonts w:asciiTheme="minorHAnsi" w:hAnsiTheme="minorHAnsi"/>
              </w:rPr>
              <w:t xml:space="preserve">to </w:t>
            </w:r>
            <w:r w:rsidR="00AA3ED2" w:rsidRPr="008B0669">
              <w:rPr>
                <w:rFonts w:asciiTheme="minorHAnsi" w:hAnsiTheme="minorHAnsi"/>
              </w:rPr>
              <w:t>workers from multiple businesses</w:t>
            </w:r>
            <w:r w:rsidR="008B0669" w:rsidRPr="008B0669">
              <w:rPr>
                <w:rFonts w:asciiTheme="minorHAnsi" w:hAnsiTheme="minorHAnsi"/>
              </w:rPr>
              <w:t>.</w:t>
            </w:r>
            <w:r w:rsidR="00AA3ED2" w:rsidRPr="008B0669">
              <w:rPr>
                <w:rFonts w:asciiTheme="minorHAnsi" w:hAnsiTheme="minorHAnsi"/>
              </w:rPr>
              <w:t xml:space="preserve"> </w:t>
            </w:r>
          </w:p>
          <w:p w:rsidR="006E579A" w:rsidRPr="008B0669" w:rsidRDefault="006E579A" w:rsidP="00E73234">
            <w:pPr>
              <w:rPr>
                <w:rFonts w:asciiTheme="minorHAnsi" w:hAnsiTheme="minorHAnsi"/>
              </w:rPr>
            </w:pPr>
          </w:p>
          <w:p w:rsidR="00EF70F5" w:rsidRPr="008B0669" w:rsidRDefault="00B777FA" w:rsidP="00B777FA">
            <w:pPr>
              <w:rPr>
                <w:rFonts w:asciiTheme="minorHAnsi" w:hAnsiTheme="minorHAnsi"/>
              </w:rPr>
            </w:pPr>
            <w:r w:rsidRPr="008B0669">
              <w:rPr>
                <w:rFonts w:asciiTheme="minorHAnsi" w:hAnsiTheme="minorHAnsi"/>
              </w:rPr>
              <w:t>The c</w:t>
            </w:r>
            <w:r w:rsidR="009A79FB" w:rsidRPr="008B0669">
              <w:rPr>
                <w:rFonts w:asciiTheme="minorHAnsi" w:hAnsiTheme="minorHAnsi"/>
              </w:rPr>
              <w:t xml:space="preserve">osts of an </w:t>
            </w:r>
            <w:proofErr w:type="spellStart"/>
            <w:r w:rsidR="009A79FB" w:rsidRPr="008B0669">
              <w:rPr>
                <w:rFonts w:asciiTheme="minorHAnsi" w:hAnsiTheme="minorHAnsi"/>
              </w:rPr>
              <w:t>HSR</w:t>
            </w:r>
            <w:proofErr w:type="spellEnd"/>
            <w:r w:rsidR="009A79FB" w:rsidRPr="008B0669">
              <w:rPr>
                <w:rFonts w:asciiTheme="minorHAnsi" w:hAnsiTheme="minorHAnsi"/>
              </w:rPr>
              <w:t xml:space="preserve"> </w:t>
            </w:r>
            <w:r w:rsidRPr="008B0669">
              <w:rPr>
                <w:rFonts w:asciiTheme="minorHAnsi" w:hAnsiTheme="minorHAnsi"/>
              </w:rPr>
              <w:t xml:space="preserve">who </w:t>
            </w:r>
            <w:r w:rsidR="009A79FB" w:rsidRPr="008B0669">
              <w:rPr>
                <w:rFonts w:asciiTheme="minorHAnsi" w:hAnsiTheme="minorHAnsi"/>
              </w:rPr>
              <w:t>represent</w:t>
            </w:r>
            <w:r w:rsidRPr="008B0669">
              <w:rPr>
                <w:rFonts w:asciiTheme="minorHAnsi" w:hAnsiTheme="minorHAnsi"/>
              </w:rPr>
              <w:t>s</w:t>
            </w:r>
            <w:r w:rsidR="009A79FB" w:rsidRPr="008B0669">
              <w:rPr>
                <w:rFonts w:asciiTheme="minorHAnsi" w:hAnsiTheme="minorHAnsi"/>
              </w:rPr>
              <w:t xml:space="preserve"> </w:t>
            </w:r>
            <w:r w:rsidR="00AA3ED2" w:rsidRPr="008B0669">
              <w:rPr>
                <w:rFonts w:asciiTheme="minorHAnsi" w:hAnsiTheme="minorHAnsi"/>
              </w:rPr>
              <w:t xml:space="preserve">workers in </w:t>
            </w:r>
            <w:r w:rsidR="009A79FB" w:rsidRPr="008B0669">
              <w:rPr>
                <w:rFonts w:asciiTheme="minorHAnsi" w:hAnsiTheme="minorHAnsi"/>
              </w:rPr>
              <w:t xml:space="preserve">more than </w:t>
            </w:r>
            <w:r w:rsidRPr="008B0669">
              <w:rPr>
                <w:rFonts w:asciiTheme="minorHAnsi" w:hAnsiTheme="minorHAnsi"/>
              </w:rPr>
              <w:t>one</w:t>
            </w:r>
            <w:r w:rsidR="00AA3ED2" w:rsidRPr="008B0669">
              <w:rPr>
                <w:rFonts w:asciiTheme="minorHAnsi" w:hAnsiTheme="minorHAnsi"/>
              </w:rPr>
              <w:t xml:space="preserve"> </w:t>
            </w:r>
            <w:proofErr w:type="spellStart"/>
            <w:r w:rsidR="00AA3ED2" w:rsidRPr="008B0669">
              <w:rPr>
                <w:rFonts w:asciiTheme="minorHAnsi" w:hAnsiTheme="minorHAnsi"/>
              </w:rPr>
              <w:t>PCBU</w:t>
            </w:r>
            <w:proofErr w:type="spellEnd"/>
            <w:r w:rsidR="00AA3ED2" w:rsidRPr="008B0669">
              <w:rPr>
                <w:rFonts w:asciiTheme="minorHAnsi" w:hAnsiTheme="minorHAnsi"/>
              </w:rPr>
              <w:t xml:space="preserve"> </w:t>
            </w:r>
            <w:r w:rsidRPr="008B0669">
              <w:rPr>
                <w:rFonts w:asciiTheme="minorHAnsi" w:hAnsiTheme="minorHAnsi"/>
              </w:rPr>
              <w:t>are</w:t>
            </w:r>
            <w:r w:rsidR="009A79FB" w:rsidRPr="008B0669">
              <w:rPr>
                <w:rFonts w:asciiTheme="minorHAnsi" w:hAnsiTheme="minorHAnsi"/>
              </w:rPr>
              <w:t xml:space="preserve"> shared equally</w:t>
            </w:r>
            <w:r w:rsidR="00E73234" w:rsidRPr="008B0669">
              <w:rPr>
                <w:rFonts w:asciiTheme="minorHAnsi" w:hAnsiTheme="minorHAnsi"/>
              </w:rPr>
              <w:t xml:space="preserve"> </w:t>
            </w:r>
            <w:r w:rsidR="009A79FB" w:rsidRPr="008B0669">
              <w:rPr>
                <w:rFonts w:asciiTheme="minorHAnsi" w:hAnsiTheme="minorHAnsi"/>
              </w:rPr>
              <w:t xml:space="preserve">between the </w:t>
            </w:r>
            <w:proofErr w:type="spellStart"/>
            <w:r w:rsidR="00AA3ED2" w:rsidRPr="008B0669">
              <w:rPr>
                <w:rFonts w:asciiTheme="minorHAnsi" w:hAnsiTheme="minorHAnsi"/>
              </w:rPr>
              <w:t>PCBUs</w:t>
            </w:r>
            <w:proofErr w:type="spellEnd"/>
            <w:r w:rsidR="009A79FB" w:rsidRPr="008B0669">
              <w:rPr>
                <w:rFonts w:asciiTheme="minorHAnsi" w:hAnsiTheme="minorHAnsi"/>
              </w:rPr>
              <w:t xml:space="preserve"> unless</w:t>
            </w:r>
            <w:r w:rsidR="00E73234" w:rsidRPr="008B0669">
              <w:rPr>
                <w:rFonts w:asciiTheme="minorHAnsi" w:hAnsiTheme="minorHAnsi"/>
              </w:rPr>
              <w:t xml:space="preserve"> </w:t>
            </w:r>
            <w:r w:rsidR="009A79FB" w:rsidRPr="008B0669">
              <w:rPr>
                <w:rFonts w:asciiTheme="minorHAnsi" w:hAnsiTheme="minorHAnsi"/>
              </w:rPr>
              <w:t>otherwise agreed.</w:t>
            </w:r>
            <w:r w:rsidRPr="008B0669">
              <w:rPr>
                <w:rFonts w:asciiTheme="minorHAnsi" w:hAnsiTheme="minorHAnsi"/>
              </w:rPr>
              <w:t xml:space="preserve">  (</w:t>
            </w:r>
            <w:proofErr w:type="spellStart"/>
            <w:r w:rsidRPr="008B0669">
              <w:rPr>
                <w:rFonts w:asciiTheme="minorHAnsi" w:hAnsiTheme="minorHAnsi"/>
              </w:rPr>
              <w:t>s.73</w:t>
            </w:r>
            <w:proofErr w:type="spellEnd"/>
            <w:r w:rsidRPr="008B0669">
              <w:rPr>
                <w:rFonts w:asciiTheme="minorHAnsi" w:hAnsiTheme="minorHAnsi"/>
              </w:rPr>
              <w:t>).</w:t>
            </w: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Health and Safety</w:t>
            </w:r>
          </w:p>
          <w:p w:rsidR="009A79FB" w:rsidRPr="008B0669" w:rsidRDefault="009A79FB" w:rsidP="00013B92">
            <w:pPr>
              <w:rPr>
                <w:rFonts w:asciiTheme="minorHAnsi" w:hAnsiTheme="minorHAnsi"/>
                <w:b/>
              </w:rPr>
            </w:pPr>
            <w:r w:rsidRPr="008B0669">
              <w:rPr>
                <w:rFonts w:asciiTheme="minorHAnsi" w:hAnsiTheme="minorHAnsi"/>
                <w:b/>
              </w:rPr>
              <w:t>Representatives</w:t>
            </w:r>
          </w:p>
          <w:p w:rsidR="009A79FB" w:rsidRPr="008B0669" w:rsidRDefault="009A79FB" w:rsidP="00013B92">
            <w:pPr>
              <w:rPr>
                <w:rFonts w:asciiTheme="minorHAnsi" w:hAnsiTheme="minorHAnsi"/>
                <w:b/>
              </w:rPr>
            </w:pPr>
            <w:r w:rsidRPr="008B0669">
              <w:rPr>
                <w:rFonts w:asciiTheme="minorHAnsi" w:hAnsiTheme="minorHAnsi"/>
                <w:b/>
              </w:rPr>
              <w:t>(HSRs)</w:t>
            </w:r>
          </w:p>
        </w:tc>
        <w:tc>
          <w:tcPr>
            <w:tcW w:w="4050" w:type="dxa"/>
          </w:tcPr>
          <w:p w:rsidR="009A79FB" w:rsidRPr="008B0669" w:rsidRDefault="009D4211" w:rsidP="009D4211">
            <w:p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s.41</w:t>
            </w:r>
            <w:proofErr w:type="spellEnd"/>
            <w:r w:rsidRPr="008B0669">
              <w:rPr>
                <w:rFonts w:asciiTheme="minorHAnsi" w:hAnsiTheme="minorHAnsi"/>
              </w:rPr>
              <w:t>, o</w:t>
            </w:r>
            <w:r w:rsidR="009A79FB" w:rsidRPr="008B0669">
              <w:rPr>
                <w:rFonts w:asciiTheme="minorHAnsi" w:hAnsiTheme="minorHAnsi"/>
              </w:rPr>
              <w:t xml:space="preserve">nly one </w:t>
            </w:r>
            <w:proofErr w:type="spellStart"/>
            <w:r w:rsidR="009A79FB" w:rsidRPr="008B0669">
              <w:rPr>
                <w:rFonts w:asciiTheme="minorHAnsi" w:hAnsiTheme="minorHAnsi"/>
              </w:rPr>
              <w:t>HSR</w:t>
            </w:r>
            <w:proofErr w:type="spellEnd"/>
            <w:r w:rsidR="009A79FB" w:rsidRPr="008B0669">
              <w:rPr>
                <w:rFonts w:asciiTheme="minorHAnsi" w:hAnsiTheme="minorHAnsi"/>
              </w:rPr>
              <w:t xml:space="preserve"> </w:t>
            </w:r>
            <w:r w:rsidRPr="008B0669">
              <w:rPr>
                <w:rFonts w:asciiTheme="minorHAnsi" w:hAnsiTheme="minorHAnsi"/>
              </w:rPr>
              <w:t>may</w:t>
            </w:r>
            <w:r w:rsidR="009A79FB" w:rsidRPr="008B0669">
              <w:rPr>
                <w:rFonts w:asciiTheme="minorHAnsi" w:hAnsiTheme="minorHAnsi"/>
              </w:rPr>
              <w:t xml:space="preserve"> be elected </w:t>
            </w:r>
            <w:r w:rsidRPr="008B0669">
              <w:rPr>
                <w:rFonts w:asciiTheme="minorHAnsi" w:hAnsiTheme="minorHAnsi"/>
              </w:rPr>
              <w:t>for a DWG</w:t>
            </w:r>
            <w:r w:rsidR="009A79FB" w:rsidRPr="008B0669">
              <w:rPr>
                <w:rFonts w:asciiTheme="minorHAnsi" w:hAnsiTheme="minorHAnsi"/>
              </w:rPr>
              <w:t>.</w:t>
            </w:r>
          </w:p>
          <w:p w:rsidR="00F65E47" w:rsidRPr="008B0669" w:rsidRDefault="00F65E47" w:rsidP="009D4211">
            <w:pPr>
              <w:rPr>
                <w:rFonts w:asciiTheme="minorHAnsi" w:hAnsiTheme="minorHAnsi"/>
              </w:rPr>
            </w:pPr>
          </w:p>
          <w:p w:rsidR="00F65E47" w:rsidRPr="008B0669" w:rsidRDefault="00F65E47" w:rsidP="009D4211">
            <w:pPr>
              <w:rPr>
                <w:rFonts w:asciiTheme="minorHAnsi" w:hAnsiTheme="minorHAnsi"/>
              </w:rPr>
            </w:pPr>
            <w:r w:rsidRPr="008B0669">
              <w:rPr>
                <w:rFonts w:asciiTheme="minorHAnsi" w:hAnsiTheme="minorHAnsi"/>
              </w:rPr>
              <w:t>The term of office is 2 years [</w:t>
            </w:r>
            <w:proofErr w:type="spellStart"/>
            <w:r w:rsidRPr="008B0669">
              <w:rPr>
                <w:rFonts w:asciiTheme="minorHAnsi" w:hAnsiTheme="minorHAnsi"/>
              </w:rPr>
              <w:t>s.46</w:t>
            </w:r>
            <w:proofErr w:type="spellEnd"/>
            <w:r w:rsidRPr="008B0669">
              <w:rPr>
                <w:rFonts w:asciiTheme="minorHAnsi" w:hAnsiTheme="minorHAnsi"/>
              </w:rPr>
              <w:t>(2)].</w:t>
            </w:r>
          </w:p>
        </w:tc>
        <w:tc>
          <w:tcPr>
            <w:tcW w:w="4320" w:type="dxa"/>
          </w:tcPr>
          <w:p w:rsidR="00F65E47" w:rsidRPr="008B0669" w:rsidRDefault="009A79FB" w:rsidP="00E73234">
            <w:pPr>
              <w:rPr>
                <w:rFonts w:asciiTheme="minorHAnsi" w:hAnsiTheme="minorHAnsi"/>
              </w:rPr>
            </w:pPr>
            <w:r w:rsidRPr="008B0669">
              <w:rPr>
                <w:rFonts w:asciiTheme="minorHAnsi" w:hAnsiTheme="minorHAnsi"/>
              </w:rPr>
              <w:t>The number of HSRs to be elected is to be determined as part of work group</w:t>
            </w:r>
            <w:r w:rsidR="00E73234" w:rsidRPr="008B0669">
              <w:rPr>
                <w:rFonts w:asciiTheme="minorHAnsi" w:hAnsiTheme="minorHAnsi"/>
              </w:rPr>
              <w:t xml:space="preserve"> </w:t>
            </w:r>
            <w:r w:rsidR="009D4211" w:rsidRPr="008B0669">
              <w:rPr>
                <w:rFonts w:asciiTheme="minorHAnsi" w:hAnsiTheme="minorHAnsi"/>
              </w:rPr>
              <w:t>negotiations (</w:t>
            </w:r>
            <w:proofErr w:type="spellStart"/>
            <w:r w:rsidR="009D4211" w:rsidRPr="008B0669">
              <w:rPr>
                <w:rFonts w:asciiTheme="minorHAnsi" w:hAnsiTheme="minorHAnsi"/>
              </w:rPr>
              <w:t>s.</w:t>
            </w:r>
            <w:r w:rsidR="00BD64DB" w:rsidRPr="008B0669">
              <w:rPr>
                <w:rFonts w:asciiTheme="minorHAnsi" w:hAnsiTheme="minorHAnsi"/>
              </w:rPr>
              <w:t>51</w:t>
            </w:r>
            <w:proofErr w:type="spellEnd"/>
            <w:r w:rsidR="00BD64DB" w:rsidRPr="008B0669">
              <w:rPr>
                <w:rFonts w:asciiTheme="minorHAnsi" w:hAnsiTheme="minorHAnsi"/>
              </w:rPr>
              <w:t>).</w:t>
            </w:r>
            <w:r w:rsidR="00F65E47" w:rsidRPr="008B0669">
              <w:rPr>
                <w:rFonts w:asciiTheme="minorHAnsi" w:hAnsiTheme="minorHAnsi"/>
              </w:rPr>
              <w:t xml:space="preserve">  </w:t>
            </w:r>
          </w:p>
          <w:p w:rsidR="00F65E47" w:rsidRPr="008B0669" w:rsidRDefault="00F65E47" w:rsidP="00E73234">
            <w:pPr>
              <w:rPr>
                <w:rFonts w:asciiTheme="minorHAnsi" w:hAnsiTheme="minorHAnsi"/>
              </w:rPr>
            </w:pPr>
          </w:p>
          <w:p w:rsidR="009A79FB" w:rsidRPr="008B0669" w:rsidRDefault="00F65E47" w:rsidP="00E73234">
            <w:pPr>
              <w:rPr>
                <w:rFonts w:asciiTheme="minorHAnsi" w:hAnsiTheme="minorHAnsi"/>
              </w:rPr>
            </w:pPr>
            <w:r w:rsidRPr="008B0669">
              <w:rPr>
                <w:rFonts w:asciiTheme="minorHAnsi" w:hAnsiTheme="minorHAnsi"/>
              </w:rPr>
              <w:t>The term of office is 3 years [</w:t>
            </w:r>
            <w:proofErr w:type="spellStart"/>
            <w:r w:rsidRPr="008B0669">
              <w:rPr>
                <w:rFonts w:asciiTheme="minorHAnsi" w:hAnsiTheme="minorHAnsi"/>
              </w:rPr>
              <w:t>s.64</w:t>
            </w:r>
            <w:proofErr w:type="spellEnd"/>
            <w:r w:rsidRPr="008B0669">
              <w:rPr>
                <w:rFonts w:asciiTheme="minorHAnsi" w:hAnsiTheme="minorHAnsi"/>
              </w:rPr>
              <w:t>(1)].</w:t>
            </w:r>
          </w:p>
          <w:p w:rsidR="00EF70F5" w:rsidRPr="008B0669" w:rsidRDefault="00EF70F5"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Provisional</w:t>
            </w:r>
          </w:p>
          <w:p w:rsidR="009A79FB" w:rsidRPr="008B0669" w:rsidRDefault="009A79FB" w:rsidP="00013B92">
            <w:pPr>
              <w:rPr>
                <w:rFonts w:asciiTheme="minorHAnsi" w:hAnsiTheme="minorHAnsi"/>
                <w:b/>
              </w:rPr>
            </w:pPr>
            <w:r w:rsidRPr="008B0669">
              <w:rPr>
                <w:rFonts w:asciiTheme="minorHAnsi" w:hAnsiTheme="minorHAnsi"/>
                <w:b/>
              </w:rPr>
              <w:t>Improvement Notices</w:t>
            </w:r>
          </w:p>
          <w:p w:rsidR="009A79FB" w:rsidRPr="008B0669" w:rsidRDefault="009A79FB" w:rsidP="00013B92">
            <w:pPr>
              <w:rPr>
                <w:rFonts w:asciiTheme="minorHAnsi" w:hAnsiTheme="minorHAnsi"/>
                <w:b/>
              </w:rPr>
            </w:pPr>
            <w:r w:rsidRPr="008B0669">
              <w:rPr>
                <w:rFonts w:asciiTheme="minorHAnsi" w:hAnsiTheme="minorHAnsi"/>
                <w:b/>
              </w:rPr>
              <w:t>(PINs)</w:t>
            </w:r>
            <w:r w:rsidR="004F343C" w:rsidRPr="008B0669">
              <w:rPr>
                <w:rFonts w:asciiTheme="minorHAnsi" w:hAnsiTheme="minorHAnsi"/>
                <w:b/>
              </w:rPr>
              <w:t xml:space="preserve"> and directions to stop unsafe work</w:t>
            </w:r>
          </w:p>
        </w:tc>
        <w:tc>
          <w:tcPr>
            <w:tcW w:w="4050" w:type="dxa"/>
          </w:tcPr>
          <w:p w:rsidR="009A79FB" w:rsidRPr="008B0669" w:rsidRDefault="00BD64DB" w:rsidP="00013B92">
            <w:pPr>
              <w:rPr>
                <w:rFonts w:asciiTheme="minorHAnsi" w:hAnsiTheme="minorHAnsi"/>
              </w:rPr>
            </w:pPr>
            <w:r w:rsidRPr="008B0669">
              <w:rPr>
                <w:rFonts w:asciiTheme="minorHAnsi" w:hAnsiTheme="minorHAnsi"/>
              </w:rPr>
              <w:t xml:space="preserve">An </w:t>
            </w:r>
            <w:proofErr w:type="spellStart"/>
            <w:r w:rsidRPr="008B0669">
              <w:rPr>
                <w:rFonts w:asciiTheme="minorHAnsi" w:hAnsiTheme="minorHAnsi"/>
              </w:rPr>
              <w:t>HSR</w:t>
            </w:r>
            <w:proofErr w:type="spellEnd"/>
            <w:r w:rsidR="009A79FB" w:rsidRPr="008B0669">
              <w:rPr>
                <w:rFonts w:asciiTheme="minorHAnsi" w:hAnsiTheme="minorHAnsi"/>
              </w:rPr>
              <w:t xml:space="preserve"> </w:t>
            </w:r>
            <w:r w:rsidRPr="008B0669">
              <w:rPr>
                <w:rFonts w:asciiTheme="minorHAnsi" w:hAnsiTheme="minorHAnsi"/>
              </w:rPr>
              <w:t>may</w:t>
            </w:r>
            <w:r w:rsidR="009A79FB" w:rsidRPr="008B0669">
              <w:rPr>
                <w:rFonts w:asciiTheme="minorHAnsi" w:hAnsiTheme="minorHAnsi"/>
              </w:rPr>
              <w:t xml:space="preserve"> issue </w:t>
            </w:r>
            <w:r w:rsidRPr="008B0669">
              <w:rPr>
                <w:rFonts w:asciiTheme="minorHAnsi" w:hAnsiTheme="minorHAnsi"/>
              </w:rPr>
              <w:t>a PIN to a person in command (</w:t>
            </w:r>
            <w:proofErr w:type="spellStart"/>
            <w:r w:rsidRPr="008B0669">
              <w:rPr>
                <w:rFonts w:asciiTheme="minorHAnsi" w:hAnsiTheme="minorHAnsi"/>
              </w:rPr>
              <w:t>ss.52</w:t>
            </w:r>
            <w:proofErr w:type="spellEnd"/>
            <w:r w:rsidRPr="008B0669">
              <w:rPr>
                <w:rFonts w:asciiTheme="minorHAnsi" w:hAnsiTheme="minorHAnsi"/>
              </w:rPr>
              <w:t>,</w:t>
            </w:r>
            <w:r w:rsidR="004F343C" w:rsidRPr="008B0669">
              <w:rPr>
                <w:rFonts w:asciiTheme="minorHAnsi" w:hAnsiTheme="minorHAnsi"/>
              </w:rPr>
              <w:t xml:space="preserve"> </w:t>
            </w:r>
            <w:r w:rsidRPr="008B0669">
              <w:rPr>
                <w:rFonts w:asciiTheme="minorHAnsi" w:hAnsiTheme="minorHAnsi"/>
              </w:rPr>
              <w:t>58)</w:t>
            </w:r>
            <w:r w:rsidR="009A79FB" w:rsidRPr="008B0669">
              <w:rPr>
                <w:rFonts w:asciiTheme="minorHAnsi" w:hAnsiTheme="minorHAnsi"/>
              </w:rPr>
              <w:t xml:space="preserve"> and direct the cessation of unsafe work</w:t>
            </w:r>
            <w:r w:rsidRPr="008B0669">
              <w:rPr>
                <w:rFonts w:asciiTheme="minorHAnsi" w:hAnsiTheme="minorHAnsi"/>
              </w:rPr>
              <w:t xml:space="preserve"> (</w:t>
            </w:r>
            <w:proofErr w:type="spellStart"/>
            <w:r w:rsidR="004F343C" w:rsidRPr="008B0669">
              <w:rPr>
                <w:rFonts w:asciiTheme="minorHAnsi" w:hAnsiTheme="minorHAnsi"/>
              </w:rPr>
              <w:t>s</w:t>
            </w:r>
            <w:r w:rsidR="009A79FB" w:rsidRPr="008B0669">
              <w:rPr>
                <w:rFonts w:asciiTheme="minorHAnsi" w:hAnsiTheme="minorHAnsi"/>
              </w:rPr>
              <w:t>.</w:t>
            </w:r>
            <w:r w:rsidR="004F343C" w:rsidRPr="008B0669">
              <w:rPr>
                <w:rFonts w:asciiTheme="minorHAnsi" w:hAnsiTheme="minorHAnsi"/>
              </w:rPr>
              <w:t>80</w:t>
            </w:r>
            <w:proofErr w:type="spellEnd"/>
            <w:r w:rsidR="004F343C" w:rsidRPr="008B0669">
              <w:rPr>
                <w:rFonts w:asciiTheme="minorHAnsi" w:hAnsiTheme="minorHAnsi"/>
              </w:rPr>
              <w:t>).</w:t>
            </w:r>
          </w:p>
          <w:p w:rsidR="00BD64DB" w:rsidRPr="008B0669" w:rsidRDefault="00BD64DB" w:rsidP="00013B92">
            <w:pPr>
              <w:rPr>
                <w:rFonts w:asciiTheme="minorHAnsi" w:hAnsiTheme="minorHAnsi"/>
              </w:rPr>
            </w:pPr>
          </w:p>
          <w:p w:rsidR="009A79FB" w:rsidRPr="008B0669" w:rsidRDefault="009A79FB" w:rsidP="00013B92">
            <w:pPr>
              <w:rPr>
                <w:rFonts w:asciiTheme="minorHAnsi" w:hAnsiTheme="minorHAnsi"/>
              </w:rPr>
            </w:pPr>
            <w:r w:rsidRPr="008B0669">
              <w:rPr>
                <w:rFonts w:asciiTheme="minorHAnsi" w:hAnsiTheme="minorHAnsi"/>
              </w:rPr>
              <w:t>HSRs must be trained</w:t>
            </w:r>
            <w:r w:rsidR="004F343C" w:rsidRPr="008B0669">
              <w:rPr>
                <w:rFonts w:asciiTheme="minorHAnsi" w:hAnsiTheme="minorHAnsi"/>
              </w:rPr>
              <w:t xml:space="preserve"> (</w:t>
            </w:r>
            <w:proofErr w:type="spellStart"/>
            <w:r w:rsidR="004F343C" w:rsidRPr="008B0669">
              <w:rPr>
                <w:rFonts w:asciiTheme="minorHAnsi" w:hAnsiTheme="minorHAnsi"/>
              </w:rPr>
              <w:t>s</w:t>
            </w:r>
            <w:r w:rsidR="00F65E47" w:rsidRPr="008B0669">
              <w:rPr>
                <w:rFonts w:asciiTheme="minorHAnsi" w:hAnsiTheme="minorHAnsi"/>
              </w:rPr>
              <w:t>.</w:t>
            </w:r>
            <w:r w:rsidR="004F343C" w:rsidRPr="008B0669">
              <w:rPr>
                <w:rFonts w:asciiTheme="minorHAnsi" w:hAnsiTheme="minorHAnsi"/>
              </w:rPr>
              <w:t>47</w:t>
            </w:r>
            <w:proofErr w:type="spellEnd"/>
            <w:r w:rsidR="004F343C" w:rsidRPr="008B0669">
              <w:rPr>
                <w:rFonts w:asciiTheme="minorHAnsi" w:hAnsiTheme="minorHAnsi"/>
              </w:rPr>
              <w:t>)</w:t>
            </w:r>
            <w:r w:rsidRPr="008B0669">
              <w:rPr>
                <w:rFonts w:asciiTheme="minorHAnsi" w:hAnsiTheme="minorHAnsi"/>
              </w:rPr>
              <w:t xml:space="preserve"> </w:t>
            </w:r>
            <w:r w:rsidR="00BD64DB" w:rsidRPr="008B0669">
              <w:rPr>
                <w:rFonts w:asciiTheme="minorHAnsi" w:hAnsiTheme="minorHAnsi"/>
              </w:rPr>
              <w:t xml:space="preserve">but </w:t>
            </w:r>
            <w:r w:rsidRPr="008B0669">
              <w:rPr>
                <w:rFonts w:asciiTheme="minorHAnsi" w:hAnsiTheme="minorHAnsi"/>
              </w:rPr>
              <w:t xml:space="preserve">they </w:t>
            </w:r>
            <w:r w:rsidR="004F343C" w:rsidRPr="008B0669">
              <w:rPr>
                <w:rFonts w:asciiTheme="minorHAnsi" w:hAnsiTheme="minorHAnsi"/>
              </w:rPr>
              <w:t>may</w:t>
            </w:r>
            <w:r w:rsidRPr="008B0669">
              <w:rPr>
                <w:rFonts w:asciiTheme="minorHAnsi" w:hAnsiTheme="minorHAnsi"/>
              </w:rPr>
              <w:t xml:space="preserve"> exercise these powers </w:t>
            </w:r>
            <w:r w:rsidR="00BD64DB" w:rsidRPr="008B0669">
              <w:rPr>
                <w:rFonts w:asciiTheme="minorHAnsi" w:hAnsiTheme="minorHAnsi"/>
              </w:rPr>
              <w:t>before</w:t>
            </w:r>
            <w:r w:rsidRPr="008B0669">
              <w:rPr>
                <w:rFonts w:asciiTheme="minorHAnsi" w:hAnsiTheme="minorHAnsi"/>
              </w:rPr>
              <w:t xml:space="preserve"> </w:t>
            </w:r>
            <w:r w:rsidR="00BD64DB" w:rsidRPr="008B0669">
              <w:rPr>
                <w:rFonts w:asciiTheme="minorHAnsi" w:hAnsiTheme="minorHAnsi"/>
              </w:rPr>
              <w:t xml:space="preserve"> </w:t>
            </w:r>
            <w:r w:rsidRPr="008B0669">
              <w:rPr>
                <w:rFonts w:asciiTheme="minorHAnsi" w:hAnsiTheme="minorHAnsi"/>
              </w:rPr>
              <w:t>undertak</w:t>
            </w:r>
            <w:r w:rsidR="004F343C" w:rsidRPr="008B0669">
              <w:rPr>
                <w:rFonts w:asciiTheme="minorHAnsi" w:hAnsiTheme="minorHAnsi"/>
              </w:rPr>
              <w:t>ing the training</w:t>
            </w:r>
            <w:r w:rsidRPr="008B0669">
              <w:rPr>
                <w:rFonts w:asciiTheme="minorHAnsi" w:hAnsiTheme="minorHAnsi"/>
              </w:rPr>
              <w:t>.</w:t>
            </w:r>
          </w:p>
          <w:p w:rsidR="00EF70F5" w:rsidRPr="008B0669" w:rsidRDefault="00EF70F5" w:rsidP="00013B92">
            <w:pPr>
              <w:rPr>
                <w:rFonts w:asciiTheme="minorHAnsi" w:hAnsiTheme="minorHAnsi"/>
              </w:rPr>
            </w:pPr>
          </w:p>
        </w:tc>
        <w:tc>
          <w:tcPr>
            <w:tcW w:w="4320" w:type="dxa"/>
          </w:tcPr>
          <w:p w:rsidR="009A79FB" w:rsidRPr="008B0669" w:rsidRDefault="009A79FB" w:rsidP="00013B92">
            <w:pPr>
              <w:rPr>
                <w:rFonts w:asciiTheme="minorHAnsi" w:hAnsiTheme="minorHAnsi"/>
              </w:rPr>
            </w:pPr>
            <w:r w:rsidRPr="008B0669">
              <w:rPr>
                <w:rFonts w:asciiTheme="minorHAnsi" w:hAnsiTheme="minorHAnsi"/>
              </w:rPr>
              <w:t xml:space="preserve">HSRs </w:t>
            </w:r>
            <w:r w:rsidR="00BD64DB" w:rsidRPr="008B0669">
              <w:rPr>
                <w:rFonts w:asciiTheme="minorHAnsi" w:hAnsiTheme="minorHAnsi"/>
              </w:rPr>
              <w:t>may</w:t>
            </w:r>
            <w:r w:rsidR="00DE635E" w:rsidRPr="008B0669">
              <w:rPr>
                <w:rFonts w:asciiTheme="minorHAnsi" w:hAnsiTheme="minorHAnsi"/>
              </w:rPr>
              <w:t xml:space="preserve"> </w:t>
            </w:r>
            <w:r w:rsidRPr="008B0669">
              <w:rPr>
                <w:rFonts w:asciiTheme="minorHAnsi" w:hAnsiTheme="minorHAnsi"/>
              </w:rPr>
              <w:t xml:space="preserve">direct the cessation of unsafe work </w:t>
            </w:r>
            <w:r w:rsidR="004F343C" w:rsidRPr="008B0669">
              <w:rPr>
                <w:rFonts w:asciiTheme="minorHAnsi" w:hAnsiTheme="minorHAnsi"/>
              </w:rPr>
              <w:t>(</w:t>
            </w:r>
            <w:proofErr w:type="spellStart"/>
            <w:r w:rsidR="004F343C" w:rsidRPr="008B0669">
              <w:rPr>
                <w:rFonts w:asciiTheme="minorHAnsi" w:hAnsiTheme="minorHAnsi"/>
              </w:rPr>
              <w:t>s.85</w:t>
            </w:r>
            <w:proofErr w:type="spellEnd"/>
            <w:r w:rsidR="004F343C" w:rsidRPr="008B0669">
              <w:rPr>
                <w:rFonts w:asciiTheme="minorHAnsi" w:hAnsiTheme="minorHAnsi"/>
              </w:rPr>
              <w:t>)</w:t>
            </w:r>
            <w:r w:rsidR="00DE635E" w:rsidRPr="008B0669">
              <w:rPr>
                <w:rFonts w:asciiTheme="minorHAnsi" w:hAnsiTheme="minorHAnsi"/>
              </w:rPr>
              <w:t xml:space="preserve"> and issue PINs (</w:t>
            </w:r>
            <w:proofErr w:type="spellStart"/>
            <w:r w:rsidR="00DE635E" w:rsidRPr="008B0669">
              <w:rPr>
                <w:rFonts w:asciiTheme="minorHAnsi" w:hAnsiTheme="minorHAnsi"/>
              </w:rPr>
              <w:t>s.90</w:t>
            </w:r>
            <w:proofErr w:type="spellEnd"/>
            <w:r w:rsidR="00DE635E" w:rsidRPr="008B0669">
              <w:rPr>
                <w:rFonts w:asciiTheme="minorHAnsi" w:hAnsiTheme="minorHAnsi"/>
              </w:rPr>
              <w:t>)</w:t>
            </w:r>
            <w:r w:rsidR="00F65E47" w:rsidRPr="008B0669">
              <w:rPr>
                <w:rFonts w:asciiTheme="minorHAnsi" w:hAnsiTheme="minorHAnsi"/>
              </w:rPr>
              <w:t>,</w:t>
            </w:r>
            <w:r w:rsidR="004F343C" w:rsidRPr="008B0669">
              <w:rPr>
                <w:rFonts w:asciiTheme="minorHAnsi" w:hAnsiTheme="minorHAnsi"/>
              </w:rPr>
              <w:t xml:space="preserve"> </w:t>
            </w:r>
            <w:r w:rsidRPr="008B0669">
              <w:rPr>
                <w:rFonts w:asciiTheme="minorHAnsi" w:hAnsiTheme="minorHAnsi"/>
              </w:rPr>
              <w:t>but only after complet</w:t>
            </w:r>
            <w:r w:rsidR="00BD64DB" w:rsidRPr="008B0669">
              <w:rPr>
                <w:rFonts w:asciiTheme="minorHAnsi" w:hAnsiTheme="minorHAnsi"/>
              </w:rPr>
              <w:t>ing the</w:t>
            </w:r>
            <w:r w:rsidRPr="008B0669">
              <w:rPr>
                <w:rFonts w:asciiTheme="minorHAnsi" w:hAnsiTheme="minorHAnsi"/>
              </w:rPr>
              <w:t xml:space="preserve"> relevant training</w:t>
            </w:r>
            <w:r w:rsidR="004F343C" w:rsidRPr="008B0669">
              <w:rPr>
                <w:rFonts w:asciiTheme="minorHAnsi" w:hAnsiTheme="minorHAnsi"/>
              </w:rPr>
              <w:t xml:space="preserve"> [</w:t>
            </w:r>
            <w:proofErr w:type="spellStart"/>
            <w:r w:rsidR="004F343C" w:rsidRPr="008B0669">
              <w:rPr>
                <w:rFonts w:asciiTheme="minorHAnsi" w:hAnsiTheme="minorHAnsi"/>
              </w:rPr>
              <w:t>ss.85</w:t>
            </w:r>
            <w:proofErr w:type="spellEnd"/>
            <w:r w:rsidR="004F343C" w:rsidRPr="008B0669">
              <w:rPr>
                <w:rFonts w:asciiTheme="minorHAnsi" w:hAnsiTheme="minorHAnsi"/>
              </w:rPr>
              <w:t>(6) and 90(4)]</w:t>
            </w:r>
            <w:r w:rsidRPr="008B0669">
              <w:rPr>
                <w:rFonts w:asciiTheme="minorHAnsi" w:hAnsiTheme="minorHAnsi"/>
              </w:rPr>
              <w:t>.</w:t>
            </w:r>
          </w:p>
          <w:p w:rsidR="009A79FB" w:rsidRPr="008B0669" w:rsidRDefault="009A79FB" w:rsidP="00013B92">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Training of HSRs</w:t>
            </w:r>
          </w:p>
        </w:tc>
        <w:tc>
          <w:tcPr>
            <w:tcW w:w="4050" w:type="dxa"/>
          </w:tcPr>
          <w:p w:rsidR="004F343C" w:rsidRPr="008B0669" w:rsidRDefault="009A79FB" w:rsidP="00013B92">
            <w:pPr>
              <w:rPr>
                <w:rFonts w:asciiTheme="minorHAnsi" w:hAnsiTheme="minorHAnsi"/>
              </w:rPr>
            </w:pPr>
            <w:r w:rsidRPr="008B0669">
              <w:rPr>
                <w:rFonts w:asciiTheme="minorHAnsi" w:hAnsiTheme="minorHAnsi"/>
              </w:rPr>
              <w:t>The OHS(MI) Act provides</w:t>
            </w:r>
            <w:r w:rsidR="00F65E47" w:rsidRPr="008B0669">
              <w:rPr>
                <w:rFonts w:asciiTheme="minorHAnsi" w:hAnsiTheme="minorHAnsi"/>
              </w:rPr>
              <w:t xml:space="preserve"> (</w:t>
            </w:r>
            <w:proofErr w:type="spellStart"/>
            <w:r w:rsidR="00F65E47" w:rsidRPr="008B0669">
              <w:rPr>
                <w:rFonts w:asciiTheme="minorHAnsi" w:hAnsiTheme="minorHAnsi"/>
              </w:rPr>
              <w:t>s.47</w:t>
            </w:r>
            <w:proofErr w:type="spellEnd"/>
            <w:r w:rsidR="00F65E47" w:rsidRPr="008B0669">
              <w:rPr>
                <w:rFonts w:asciiTheme="minorHAnsi" w:hAnsiTheme="minorHAnsi"/>
              </w:rPr>
              <w:t xml:space="preserve">) </w:t>
            </w:r>
            <w:r w:rsidRPr="008B0669">
              <w:rPr>
                <w:rFonts w:asciiTheme="minorHAnsi" w:hAnsiTheme="minorHAnsi"/>
              </w:rPr>
              <w:t>that</w:t>
            </w:r>
            <w:r w:rsidR="004F343C" w:rsidRPr="008B0669">
              <w:rPr>
                <w:rFonts w:asciiTheme="minorHAnsi" w:hAnsiTheme="minorHAnsi"/>
              </w:rPr>
              <w:t>:</w:t>
            </w:r>
            <w:r w:rsidRPr="008B0669">
              <w:rPr>
                <w:rFonts w:asciiTheme="minorHAnsi" w:hAnsiTheme="minorHAnsi"/>
              </w:rPr>
              <w:t xml:space="preserve"> </w:t>
            </w:r>
          </w:p>
          <w:p w:rsidR="004F343C" w:rsidRPr="008B0669" w:rsidRDefault="004F343C" w:rsidP="00013B92">
            <w:pPr>
              <w:rPr>
                <w:rFonts w:asciiTheme="minorHAnsi" w:hAnsiTheme="minorHAnsi"/>
              </w:rPr>
            </w:pPr>
          </w:p>
          <w:p w:rsidR="004F343C" w:rsidRPr="008B0669" w:rsidRDefault="009A79FB" w:rsidP="00F65E47">
            <w:pPr>
              <w:pStyle w:val="ListParagraph"/>
              <w:numPr>
                <w:ilvl w:val="0"/>
                <w:numId w:val="41"/>
              </w:numPr>
              <w:rPr>
                <w:rFonts w:asciiTheme="minorHAnsi" w:hAnsiTheme="minorHAnsi"/>
              </w:rPr>
            </w:pPr>
            <w:r w:rsidRPr="008B0669">
              <w:rPr>
                <w:rFonts w:asciiTheme="minorHAnsi" w:hAnsiTheme="minorHAnsi"/>
              </w:rPr>
              <w:t xml:space="preserve">a </w:t>
            </w:r>
            <w:proofErr w:type="spellStart"/>
            <w:r w:rsidRPr="008B0669">
              <w:rPr>
                <w:rFonts w:asciiTheme="minorHAnsi" w:hAnsiTheme="minorHAnsi"/>
              </w:rPr>
              <w:t>HSR</w:t>
            </w:r>
            <w:proofErr w:type="spellEnd"/>
            <w:r w:rsidRPr="008B0669">
              <w:rPr>
                <w:rFonts w:asciiTheme="minorHAnsi" w:hAnsiTheme="minorHAnsi"/>
              </w:rPr>
              <w:t xml:space="preserve"> must attend training that is accredited by the Seacare Authority</w:t>
            </w:r>
            <w:r w:rsidR="00F65E47" w:rsidRPr="008B0669">
              <w:rPr>
                <w:rFonts w:asciiTheme="minorHAnsi" w:hAnsiTheme="minorHAnsi"/>
              </w:rPr>
              <w:t>;</w:t>
            </w:r>
            <w:r w:rsidRPr="008B0669">
              <w:rPr>
                <w:rFonts w:asciiTheme="minorHAnsi" w:hAnsiTheme="minorHAnsi"/>
              </w:rPr>
              <w:t xml:space="preserve"> and </w:t>
            </w:r>
          </w:p>
          <w:p w:rsidR="004F343C" w:rsidRPr="008B0669" w:rsidRDefault="004F343C" w:rsidP="004F343C">
            <w:pPr>
              <w:rPr>
                <w:rFonts w:asciiTheme="minorHAnsi" w:hAnsiTheme="minorHAnsi"/>
              </w:rPr>
            </w:pPr>
          </w:p>
          <w:p w:rsidR="009A79FB" w:rsidRPr="008B0669" w:rsidRDefault="00F65E47" w:rsidP="00F65E47">
            <w:pPr>
              <w:pStyle w:val="ListParagraph"/>
              <w:numPr>
                <w:ilvl w:val="0"/>
                <w:numId w:val="41"/>
              </w:numPr>
              <w:rPr>
                <w:rFonts w:asciiTheme="minorHAnsi" w:hAnsiTheme="minorHAnsi"/>
              </w:rPr>
            </w:pPr>
            <w:r w:rsidRPr="008B0669">
              <w:rPr>
                <w:rFonts w:asciiTheme="minorHAnsi" w:hAnsiTheme="minorHAnsi"/>
              </w:rPr>
              <w:t>an</w:t>
            </w:r>
            <w:r w:rsidR="009A79FB" w:rsidRPr="008B0669">
              <w:rPr>
                <w:rFonts w:asciiTheme="minorHAnsi" w:hAnsiTheme="minorHAnsi"/>
              </w:rPr>
              <w:t xml:space="preserve"> operator must </w:t>
            </w:r>
            <w:r w:rsidR="004F343C" w:rsidRPr="008B0669">
              <w:rPr>
                <w:rFonts w:asciiTheme="minorHAnsi" w:hAnsiTheme="minorHAnsi"/>
              </w:rPr>
              <w:t>allow</w:t>
            </w:r>
            <w:r w:rsidR="009A79FB" w:rsidRPr="008B0669">
              <w:rPr>
                <w:rFonts w:asciiTheme="minorHAnsi" w:hAnsiTheme="minorHAnsi"/>
              </w:rPr>
              <w:t xml:space="preserve"> the </w:t>
            </w:r>
            <w:proofErr w:type="spellStart"/>
            <w:r w:rsidR="009A79FB" w:rsidRPr="008B0669">
              <w:rPr>
                <w:rFonts w:asciiTheme="minorHAnsi" w:hAnsiTheme="minorHAnsi"/>
              </w:rPr>
              <w:t>HSR</w:t>
            </w:r>
            <w:proofErr w:type="spellEnd"/>
            <w:r w:rsidR="009A79FB" w:rsidRPr="008B0669">
              <w:rPr>
                <w:rFonts w:asciiTheme="minorHAnsi" w:hAnsiTheme="minorHAnsi"/>
              </w:rPr>
              <w:t xml:space="preserve"> time off work, without loss of remuneration and other entitlements to undertake the training</w:t>
            </w:r>
            <w:r w:rsidRPr="008B0669">
              <w:rPr>
                <w:rFonts w:asciiTheme="minorHAnsi" w:hAnsiTheme="minorHAnsi"/>
              </w:rPr>
              <w:t>.</w:t>
            </w:r>
            <w:r w:rsidR="009A79FB" w:rsidRPr="008B0669">
              <w:rPr>
                <w:rFonts w:asciiTheme="minorHAnsi" w:hAnsiTheme="minorHAnsi"/>
              </w:rPr>
              <w:t>.</w:t>
            </w:r>
          </w:p>
        </w:tc>
        <w:tc>
          <w:tcPr>
            <w:tcW w:w="4320" w:type="dxa"/>
          </w:tcPr>
          <w:p w:rsidR="00F65E47" w:rsidRPr="008B0669" w:rsidRDefault="00F65E47" w:rsidP="00013B92">
            <w:pPr>
              <w:rPr>
                <w:rFonts w:asciiTheme="minorHAnsi" w:hAnsiTheme="minorHAnsi"/>
              </w:rPr>
            </w:pPr>
            <w:r w:rsidRPr="008B0669">
              <w:rPr>
                <w:rFonts w:asciiTheme="minorHAnsi" w:hAnsiTheme="minorHAnsi"/>
              </w:rPr>
              <w:t xml:space="preserve">Under </w:t>
            </w:r>
            <w:proofErr w:type="spellStart"/>
            <w:r w:rsidRPr="008B0669">
              <w:rPr>
                <w:rFonts w:asciiTheme="minorHAnsi" w:hAnsiTheme="minorHAnsi"/>
              </w:rPr>
              <w:t>s.72</w:t>
            </w:r>
            <w:proofErr w:type="spellEnd"/>
            <w:r w:rsidRPr="008B0669">
              <w:rPr>
                <w:rFonts w:asciiTheme="minorHAnsi" w:hAnsiTheme="minorHAnsi"/>
              </w:rPr>
              <w:t xml:space="preserve">, an </w:t>
            </w:r>
            <w:proofErr w:type="spellStart"/>
            <w:r w:rsidRPr="008B0669">
              <w:rPr>
                <w:rFonts w:asciiTheme="minorHAnsi" w:hAnsiTheme="minorHAnsi"/>
              </w:rPr>
              <w:t>HSR</w:t>
            </w:r>
            <w:proofErr w:type="spellEnd"/>
            <w:r w:rsidRPr="008B0669">
              <w:rPr>
                <w:rFonts w:asciiTheme="minorHAnsi" w:hAnsiTheme="minorHAnsi"/>
              </w:rPr>
              <w:t xml:space="preserve"> must be allowed to attend a WHS training </w:t>
            </w:r>
            <w:r w:rsidR="009A79FB" w:rsidRPr="008B0669">
              <w:rPr>
                <w:rFonts w:asciiTheme="minorHAnsi" w:hAnsiTheme="minorHAnsi"/>
              </w:rPr>
              <w:t xml:space="preserve">that </w:t>
            </w:r>
            <w:r w:rsidRPr="008B0669">
              <w:rPr>
                <w:rFonts w:asciiTheme="minorHAnsi" w:hAnsiTheme="minorHAnsi"/>
              </w:rPr>
              <w:t>is:</w:t>
            </w:r>
            <w:r w:rsidR="009A79FB" w:rsidRPr="008B0669">
              <w:rPr>
                <w:rFonts w:asciiTheme="minorHAnsi" w:hAnsiTheme="minorHAnsi"/>
              </w:rPr>
              <w:t xml:space="preserve"> </w:t>
            </w:r>
          </w:p>
          <w:p w:rsidR="00F65E47" w:rsidRPr="008B0669" w:rsidRDefault="00F65E47" w:rsidP="00013B92">
            <w:pPr>
              <w:rPr>
                <w:rFonts w:asciiTheme="minorHAnsi" w:hAnsiTheme="minorHAnsi"/>
              </w:rPr>
            </w:pPr>
          </w:p>
          <w:p w:rsidR="00F65E47" w:rsidRPr="008B0669" w:rsidRDefault="009A79FB" w:rsidP="00F65E47">
            <w:pPr>
              <w:pStyle w:val="ListParagraph"/>
              <w:numPr>
                <w:ilvl w:val="0"/>
                <w:numId w:val="42"/>
              </w:numPr>
              <w:ind w:left="360"/>
              <w:rPr>
                <w:rFonts w:asciiTheme="minorHAnsi" w:hAnsiTheme="minorHAnsi"/>
              </w:rPr>
            </w:pPr>
            <w:r w:rsidRPr="008B0669">
              <w:rPr>
                <w:rFonts w:asciiTheme="minorHAnsi" w:hAnsiTheme="minorHAnsi"/>
              </w:rPr>
              <w:t xml:space="preserve">approved by the regulator, </w:t>
            </w:r>
          </w:p>
          <w:p w:rsidR="00F65E47" w:rsidRPr="008B0669" w:rsidRDefault="00F65E47" w:rsidP="00F65E47">
            <w:pPr>
              <w:rPr>
                <w:rFonts w:asciiTheme="minorHAnsi" w:hAnsiTheme="minorHAnsi"/>
              </w:rPr>
            </w:pPr>
          </w:p>
          <w:p w:rsidR="00F65E47" w:rsidRPr="008B0669" w:rsidRDefault="009A79FB" w:rsidP="00F65E47">
            <w:pPr>
              <w:pStyle w:val="ListParagraph"/>
              <w:numPr>
                <w:ilvl w:val="0"/>
                <w:numId w:val="42"/>
              </w:numPr>
              <w:ind w:left="360"/>
              <w:rPr>
                <w:rFonts w:asciiTheme="minorHAnsi" w:hAnsiTheme="minorHAnsi"/>
              </w:rPr>
            </w:pPr>
            <w:r w:rsidRPr="008B0669">
              <w:rPr>
                <w:rFonts w:asciiTheme="minorHAnsi" w:hAnsiTheme="minorHAnsi"/>
              </w:rPr>
              <w:t xml:space="preserve">a course the </w:t>
            </w:r>
            <w:proofErr w:type="spellStart"/>
            <w:r w:rsidRPr="008B0669">
              <w:rPr>
                <w:rFonts w:asciiTheme="minorHAnsi" w:hAnsiTheme="minorHAnsi"/>
              </w:rPr>
              <w:t>HSR</w:t>
            </w:r>
            <w:proofErr w:type="spellEnd"/>
            <w:r w:rsidRPr="008B0669">
              <w:rPr>
                <w:rFonts w:asciiTheme="minorHAnsi" w:hAnsiTheme="minorHAnsi"/>
              </w:rPr>
              <w:t xml:space="preserve"> is entitled to attend under the regulations</w:t>
            </w:r>
            <w:r w:rsidR="00F65E47" w:rsidRPr="008B0669">
              <w:rPr>
                <w:rFonts w:asciiTheme="minorHAnsi" w:hAnsiTheme="minorHAnsi"/>
              </w:rPr>
              <w:t>;</w:t>
            </w:r>
            <w:r w:rsidRPr="008B0669">
              <w:rPr>
                <w:rFonts w:asciiTheme="minorHAnsi" w:hAnsiTheme="minorHAnsi"/>
              </w:rPr>
              <w:t xml:space="preserve"> and </w:t>
            </w:r>
          </w:p>
          <w:p w:rsidR="00F65E47" w:rsidRPr="008B0669" w:rsidRDefault="00F65E47" w:rsidP="00F65E47">
            <w:pPr>
              <w:rPr>
                <w:rFonts w:asciiTheme="minorHAnsi" w:hAnsiTheme="minorHAnsi"/>
              </w:rPr>
            </w:pPr>
          </w:p>
          <w:p w:rsidR="009A79FB" w:rsidRPr="008B0669" w:rsidRDefault="00F65E47" w:rsidP="00F65E47">
            <w:pPr>
              <w:pStyle w:val="ListParagraph"/>
              <w:numPr>
                <w:ilvl w:val="0"/>
                <w:numId w:val="42"/>
              </w:numPr>
              <w:ind w:left="360"/>
              <w:rPr>
                <w:rFonts w:asciiTheme="minorHAnsi" w:hAnsiTheme="minorHAnsi"/>
              </w:rPr>
            </w:pPr>
            <w:r w:rsidRPr="008B0669">
              <w:rPr>
                <w:rFonts w:asciiTheme="minorHAnsi" w:hAnsiTheme="minorHAnsi"/>
              </w:rPr>
              <w:t xml:space="preserve">is </w:t>
            </w:r>
            <w:r w:rsidR="009A79FB" w:rsidRPr="008B0669">
              <w:rPr>
                <w:rFonts w:asciiTheme="minorHAnsi" w:hAnsiTheme="minorHAnsi"/>
              </w:rPr>
              <w:t xml:space="preserve">chosen by the </w:t>
            </w:r>
            <w:proofErr w:type="spellStart"/>
            <w:r w:rsidR="009A79FB" w:rsidRPr="008B0669">
              <w:rPr>
                <w:rFonts w:asciiTheme="minorHAnsi" w:hAnsiTheme="minorHAnsi"/>
              </w:rPr>
              <w:t>HSR</w:t>
            </w:r>
            <w:proofErr w:type="spellEnd"/>
            <w:r w:rsidR="009A79FB" w:rsidRPr="008B0669">
              <w:rPr>
                <w:rFonts w:asciiTheme="minorHAnsi" w:hAnsiTheme="minorHAnsi"/>
              </w:rPr>
              <w:t xml:space="preserve"> in consultation with the </w:t>
            </w:r>
            <w:proofErr w:type="spellStart"/>
            <w:r w:rsidRPr="008B0669">
              <w:rPr>
                <w:rFonts w:asciiTheme="minorHAnsi" w:hAnsiTheme="minorHAnsi"/>
              </w:rPr>
              <w:t>PCBU</w:t>
            </w:r>
            <w:proofErr w:type="spellEnd"/>
            <w:r w:rsidR="009A79FB" w:rsidRPr="008B0669">
              <w:rPr>
                <w:rFonts w:asciiTheme="minorHAnsi" w:hAnsiTheme="minorHAnsi"/>
              </w:rPr>
              <w:t>.</w:t>
            </w:r>
          </w:p>
          <w:p w:rsidR="00E73234" w:rsidRPr="008B0669" w:rsidRDefault="00E73234" w:rsidP="00013B92">
            <w:pPr>
              <w:rPr>
                <w:rFonts w:asciiTheme="minorHAnsi" w:hAnsiTheme="minorHAnsi"/>
              </w:rPr>
            </w:pPr>
          </w:p>
          <w:p w:rsidR="00DE635E" w:rsidRPr="008B0669" w:rsidRDefault="009A79FB" w:rsidP="00E73234">
            <w:pPr>
              <w:rPr>
                <w:rFonts w:asciiTheme="minorHAnsi" w:hAnsiTheme="minorHAnsi"/>
              </w:rPr>
            </w:pPr>
            <w:r w:rsidRPr="008B0669">
              <w:rPr>
                <w:rFonts w:asciiTheme="minorHAnsi" w:hAnsiTheme="minorHAnsi"/>
              </w:rPr>
              <w:t xml:space="preserve">The </w:t>
            </w:r>
            <w:proofErr w:type="spellStart"/>
            <w:r w:rsidR="00F65E47" w:rsidRPr="008B0669">
              <w:rPr>
                <w:rFonts w:asciiTheme="minorHAnsi" w:hAnsiTheme="minorHAnsi"/>
              </w:rPr>
              <w:t>PCBU</w:t>
            </w:r>
            <w:proofErr w:type="spellEnd"/>
            <w:r w:rsidRPr="008B0669">
              <w:rPr>
                <w:rFonts w:asciiTheme="minorHAnsi" w:hAnsiTheme="minorHAnsi"/>
              </w:rPr>
              <w:t xml:space="preserve"> must pay </w:t>
            </w:r>
            <w:r w:rsidR="00F65E47" w:rsidRPr="008B0669">
              <w:rPr>
                <w:rFonts w:asciiTheme="minorHAnsi" w:hAnsiTheme="minorHAnsi"/>
              </w:rPr>
              <w:t xml:space="preserve">course fees and </w:t>
            </w:r>
            <w:r w:rsidRPr="008B0669">
              <w:rPr>
                <w:rFonts w:asciiTheme="minorHAnsi" w:hAnsiTheme="minorHAnsi"/>
              </w:rPr>
              <w:t>reasonable costs associated with the training</w:t>
            </w:r>
            <w:r w:rsidR="00DE635E" w:rsidRPr="008B0669">
              <w:rPr>
                <w:rFonts w:asciiTheme="minorHAnsi" w:hAnsiTheme="minorHAnsi"/>
              </w:rPr>
              <w:t xml:space="preserve">.  </w:t>
            </w:r>
            <w:r w:rsidRPr="008B0669">
              <w:rPr>
                <w:rFonts w:asciiTheme="minorHAnsi" w:hAnsiTheme="minorHAnsi"/>
              </w:rPr>
              <w:t xml:space="preserve"> </w:t>
            </w:r>
          </w:p>
          <w:p w:rsidR="00DE635E" w:rsidRPr="008B0669" w:rsidRDefault="00DE635E" w:rsidP="00E73234">
            <w:pPr>
              <w:rPr>
                <w:rFonts w:asciiTheme="minorHAnsi" w:hAnsiTheme="minorHAnsi"/>
              </w:rPr>
            </w:pPr>
          </w:p>
          <w:p w:rsidR="009A79FB" w:rsidRPr="008B0669" w:rsidRDefault="00DE635E" w:rsidP="00E73234">
            <w:pPr>
              <w:rPr>
                <w:rFonts w:asciiTheme="minorHAnsi" w:hAnsiTheme="minorHAnsi"/>
              </w:rPr>
            </w:pPr>
            <w:r w:rsidRPr="008B0669">
              <w:rPr>
                <w:rFonts w:asciiTheme="minorHAnsi" w:hAnsiTheme="minorHAnsi"/>
              </w:rPr>
              <w:t>Any</w:t>
            </w:r>
            <w:r w:rsidR="009A79FB" w:rsidRPr="008B0669">
              <w:rPr>
                <w:rFonts w:asciiTheme="minorHAnsi" w:hAnsiTheme="minorHAnsi"/>
              </w:rPr>
              <w:t xml:space="preserve"> time </w:t>
            </w:r>
            <w:r w:rsidRPr="008B0669">
              <w:rPr>
                <w:rFonts w:asciiTheme="minorHAnsi" w:hAnsiTheme="minorHAnsi"/>
              </w:rPr>
              <w:t xml:space="preserve">that the </w:t>
            </w:r>
            <w:proofErr w:type="spellStart"/>
            <w:r w:rsidRPr="008B0669">
              <w:rPr>
                <w:rFonts w:asciiTheme="minorHAnsi" w:hAnsiTheme="minorHAnsi"/>
              </w:rPr>
              <w:t>HSR</w:t>
            </w:r>
            <w:proofErr w:type="spellEnd"/>
            <w:r w:rsidRPr="008B0669">
              <w:rPr>
                <w:rFonts w:asciiTheme="minorHAnsi" w:hAnsiTheme="minorHAnsi"/>
              </w:rPr>
              <w:t xml:space="preserve"> is </w:t>
            </w:r>
            <w:r w:rsidR="009A79FB" w:rsidRPr="008B0669">
              <w:rPr>
                <w:rFonts w:asciiTheme="minorHAnsi" w:hAnsiTheme="minorHAnsi"/>
              </w:rPr>
              <w:t xml:space="preserve">given off work to attend the training </w:t>
            </w:r>
            <w:r w:rsidRPr="008B0669">
              <w:rPr>
                <w:rFonts w:asciiTheme="minorHAnsi" w:hAnsiTheme="minorHAnsi"/>
              </w:rPr>
              <w:t xml:space="preserve">must be </w:t>
            </w:r>
            <w:r w:rsidR="009A79FB" w:rsidRPr="008B0669">
              <w:rPr>
                <w:rFonts w:asciiTheme="minorHAnsi" w:hAnsiTheme="minorHAnsi"/>
              </w:rPr>
              <w:t xml:space="preserve">with </w:t>
            </w:r>
            <w:r w:rsidRPr="008B0669">
              <w:rPr>
                <w:rFonts w:asciiTheme="minorHAnsi" w:hAnsiTheme="minorHAnsi"/>
              </w:rPr>
              <w:t xml:space="preserve">the </w:t>
            </w:r>
            <w:r w:rsidR="009A79FB" w:rsidRPr="008B0669">
              <w:rPr>
                <w:rFonts w:asciiTheme="minorHAnsi" w:hAnsiTheme="minorHAnsi"/>
              </w:rPr>
              <w:t>pay</w:t>
            </w:r>
            <w:r w:rsidRPr="008B0669">
              <w:rPr>
                <w:rFonts w:asciiTheme="minorHAnsi" w:hAnsiTheme="minorHAnsi"/>
              </w:rPr>
              <w:t xml:space="preserve"> the </w:t>
            </w:r>
            <w:proofErr w:type="spellStart"/>
            <w:r w:rsidRPr="008B0669">
              <w:rPr>
                <w:rFonts w:asciiTheme="minorHAnsi" w:hAnsiTheme="minorHAnsi"/>
              </w:rPr>
              <w:t>HSR</w:t>
            </w:r>
            <w:proofErr w:type="spellEnd"/>
            <w:r w:rsidRPr="008B0669">
              <w:rPr>
                <w:rFonts w:asciiTheme="minorHAnsi" w:hAnsiTheme="minorHAnsi"/>
              </w:rPr>
              <w:t xml:space="preserve"> would receive for performing the </w:t>
            </w:r>
            <w:proofErr w:type="spellStart"/>
            <w:r w:rsidRPr="008B0669">
              <w:rPr>
                <w:rFonts w:asciiTheme="minorHAnsi" w:hAnsiTheme="minorHAnsi"/>
              </w:rPr>
              <w:t>HSR’s</w:t>
            </w:r>
            <w:proofErr w:type="spellEnd"/>
            <w:r w:rsidRPr="008B0669">
              <w:rPr>
                <w:rFonts w:asciiTheme="minorHAnsi" w:hAnsiTheme="minorHAnsi"/>
              </w:rPr>
              <w:t xml:space="preserve"> normal work duties during that period</w:t>
            </w:r>
            <w:r w:rsidR="009A79FB" w:rsidRPr="008B0669">
              <w:rPr>
                <w:rFonts w:asciiTheme="minorHAnsi" w:hAnsiTheme="minorHAnsi"/>
              </w:rPr>
              <w:t>.</w:t>
            </w:r>
          </w:p>
          <w:p w:rsidR="00EF70F5" w:rsidRPr="008B0669" w:rsidRDefault="00EF70F5"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Cessation of unsafe</w:t>
            </w:r>
          </w:p>
          <w:p w:rsidR="009A79FB" w:rsidRPr="008B0669" w:rsidRDefault="009A79FB" w:rsidP="00013B92">
            <w:pPr>
              <w:rPr>
                <w:rFonts w:asciiTheme="minorHAnsi" w:hAnsiTheme="minorHAnsi"/>
                <w:b/>
              </w:rPr>
            </w:pPr>
            <w:r w:rsidRPr="008B0669">
              <w:rPr>
                <w:rFonts w:asciiTheme="minorHAnsi" w:hAnsiTheme="minorHAnsi"/>
                <w:b/>
              </w:rPr>
              <w:t>work</w:t>
            </w:r>
          </w:p>
        </w:tc>
        <w:tc>
          <w:tcPr>
            <w:tcW w:w="4050" w:type="dxa"/>
          </w:tcPr>
          <w:p w:rsidR="009A79FB" w:rsidRPr="008B0669" w:rsidRDefault="009A79FB" w:rsidP="00013B92">
            <w:pPr>
              <w:rPr>
                <w:rFonts w:asciiTheme="minorHAnsi" w:hAnsiTheme="minorHAnsi"/>
              </w:rPr>
            </w:pPr>
            <w:r w:rsidRPr="008B0669">
              <w:rPr>
                <w:rFonts w:asciiTheme="minorHAnsi" w:hAnsiTheme="minorHAnsi"/>
              </w:rPr>
              <w:t>HSRs ma</w:t>
            </w:r>
            <w:r w:rsidR="00DE635E" w:rsidRPr="008B0669">
              <w:rPr>
                <w:rFonts w:asciiTheme="minorHAnsi" w:hAnsiTheme="minorHAnsi"/>
              </w:rPr>
              <w:t>y direct that unsafe work cease (</w:t>
            </w:r>
            <w:proofErr w:type="spellStart"/>
            <w:r w:rsidR="00DE635E" w:rsidRPr="008B0669">
              <w:rPr>
                <w:rFonts w:asciiTheme="minorHAnsi" w:hAnsiTheme="minorHAnsi"/>
              </w:rPr>
              <w:t>s.80</w:t>
            </w:r>
            <w:proofErr w:type="spellEnd"/>
            <w:r w:rsidR="00DE635E" w:rsidRPr="008B0669">
              <w:rPr>
                <w:rFonts w:asciiTheme="minorHAnsi" w:hAnsiTheme="minorHAnsi"/>
              </w:rPr>
              <w:t>).</w:t>
            </w:r>
          </w:p>
        </w:tc>
        <w:tc>
          <w:tcPr>
            <w:tcW w:w="4320" w:type="dxa"/>
          </w:tcPr>
          <w:p w:rsidR="00DE635E" w:rsidRPr="008B0669" w:rsidRDefault="009A79FB" w:rsidP="00E73234">
            <w:pPr>
              <w:rPr>
                <w:rFonts w:asciiTheme="minorHAnsi" w:hAnsiTheme="minorHAnsi"/>
              </w:rPr>
            </w:pPr>
            <w:r w:rsidRPr="008B0669">
              <w:rPr>
                <w:rFonts w:asciiTheme="minorHAnsi" w:hAnsiTheme="minorHAnsi"/>
              </w:rPr>
              <w:t>The model WHS Act provides that HSRs may direct that unsafe work cease</w:t>
            </w:r>
            <w:r w:rsidR="00E73234" w:rsidRPr="008B0669">
              <w:rPr>
                <w:rFonts w:asciiTheme="minorHAnsi" w:hAnsiTheme="minorHAnsi"/>
              </w:rPr>
              <w:t xml:space="preserve"> </w:t>
            </w:r>
            <w:r w:rsidR="00DE635E" w:rsidRPr="008B0669">
              <w:rPr>
                <w:rFonts w:asciiTheme="minorHAnsi" w:hAnsiTheme="minorHAnsi"/>
              </w:rPr>
              <w:t>(</w:t>
            </w:r>
            <w:proofErr w:type="spellStart"/>
            <w:r w:rsidR="00DE635E" w:rsidRPr="008B0669">
              <w:rPr>
                <w:rFonts w:asciiTheme="minorHAnsi" w:hAnsiTheme="minorHAnsi"/>
              </w:rPr>
              <w:t>s.85</w:t>
            </w:r>
            <w:proofErr w:type="spellEnd"/>
            <w:r w:rsidR="00DE635E" w:rsidRPr="008B0669">
              <w:rPr>
                <w:rFonts w:asciiTheme="minorHAnsi" w:hAnsiTheme="minorHAnsi"/>
              </w:rPr>
              <w:t>)</w:t>
            </w:r>
          </w:p>
          <w:p w:rsidR="00DE635E" w:rsidRPr="008B0669" w:rsidRDefault="00DE635E" w:rsidP="00E73234">
            <w:pPr>
              <w:rPr>
                <w:rFonts w:asciiTheme="minorHAnsi" w:hAnsiTheme="minorHAnsi"/>
              </w:rPr>
            </w:pPr>
          </w:p>
          <w:p w:rsidR="009A79FB" w:rsidRPr="008B0669" w:rsidRDefault="00DE635E" w:rsidP="00E73234">
            <w:pPr>
              <w:rPr>
                <w:rFonts w:asciiTheme="minorHAnsi" w:hAnsiTheme="minorHAnsi"/>
              </w:rPr>
            </w:pPr>
            <w:r w:rsidRPr="008B0669">
              <w:rPr>
                <w:rFonts w:asciiTheme="minorHAnsi" w:hAnsiTheme="minorHAnsi"/>
              </w:rPr>
              <w:t>Under s. 84, workers may cease, or refuse to carry out, work if they have a reasonable concern that to carry out the work would expose them to a serious risk to their health or safety, emanating from an immediate or imminent exposure to a hazard.</w:t>
            </w:r>
          </w:p>
          <w:p w:rsidR="00EF70F5" w:rsidRPr="008B0669" w:rsidRDefault="00EF70F5"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Health and Safety</w:t>
            </w:r>
          </w:p>
          <w:p w:rsidR="009A79FB" w:rsidRPr="008B0669" w:rsidRDefault="009A79FB" w:rsidP="00013B92">
            <w:pPr>
              <w:rPr>
                <w:rFonts w:asciiTheme="minorHAnsi" w:hAnsiTheme="minorHAnsi"/>
                <w:b/>
              </w:rPr>
            </w:pPr>
            <w:r w:rsidRPr="008B0669">
              <w:rPr>
                <w:rFonts w:asciiTheme="minorHAnsi" w:hAnsiTheme="minorHAnsi"/>
                <w:b/>
              </w:rPr>
              <w:t>Committees (</w:t>
            </w:r>
            <w:proofErr w:type="spellStart"/>
            <w:r w:rsidRPr="008B0669">
              <w:rPr>
                <w:rFonts w:asciiTheme="minorHAnsi" w:hAnsiTheme="minorHAnsi"/>
                <w:b/>
              </w:rPr>
              <w:t>HSCs</w:t>
            </w:r>
            <w:proofErr w:type="spellEnd"/>
            <w:r w:rsidRPr="008B0669">
              <w:rPr>
                <w:rFonts w:asciiTheme="minorHAnsi" w:hAnsiTheme="minorHAnsi"/>
                <w:b/>
              </w:rPr>
              <w:t>)</w:t>
            </w:r>
          </w:p>
        </w:tc>
        <w:tc>
          <w:tcPr>
            <w:tcW w:w="4050" w:type="dxa"/>
          </w:tcPr>
          <w:p w:rsidR="00246E97" w:rsidRPr="008B0669" w:rsidRDefault="004F05BD" w:rsidP="00E73234">
            <w:pPr>
              <w:rPr>
                <w:rFonts w:asciiTheme="minorHAnsi" w:hAnsiTheme="minorHAnsi"/>
              </w:rPr>
            </w:pPr>
            <w:r w:rsidRPr="008B0669">
              <w:rPr>
                <w:rFonts w:asciiTheme="minorHAnsi" w:hAnsiTheme="minorHAnsi"/>
              </w:rPr>
              <w:t>A</w:t>
            </w:r>
            <w:r w:rsidR="009A79FB" w:rsidRPr="008B0669">
              <w:rPr>
                <w:rFonts w:asciiTheme="minorHAnsi" w:hAnsiTheme="minorHAnsi"/>
              </w:rPr>
              <w:t xml:space="preserve">n HSC </w:t>
            </w:r>
            <w:r w:rsidRPr="008B0669">
              <w:rPr>
                <w:rFonts w:asciiTheme="minorHAnsi" w:hAnsiTheme="minorHAnsi"/>
              </w:rPr>
              <w:t xml:space="preserve">must </w:t>
            </w:r>
            <w:r w:rsidR="00246E97" w:rsidRPr="008B0669">
              <w:rPr>
                <w:rFonts w:asciiTheme="minorHAnsi" w:hAnsiTheme="minorHAnsi"/>
              </w:rPr>
              <w:t>(</w:t>
            </w:r>
            <w:proofErr w:type="spellStart"/>
            <w:r w:rsidR="00246E97" w:rsidRPr="008B0669">
              <w:rPr>
                <w:rFonts w:asciiTheme="minorHAnsi" w:hAnsiTheme="minorHAnsi"/>
              </w:rPr>
              <w:t>s.73</w:t>
            </w:r>
            <w:proofErr w:type="spellEnd"/>
            <w:r w:rsidR="00246E97" w:rsidRPr="008B0669">
              <w:rPr>
                <w:rFonts w:asciiTheme="minorHAnsi" w:hAnsiTheme="minorHAnsi"/>
              </w:rPr>
              <w:t xml:space="preserve">) </w:t>
            </w:r>
            <w:r w:rsidRPr="008B0669">
              <w:rPr>
                <w:rFonts w:asciiTheme="minorHAnsi" w:hAnsiTheme="minorHAnsi"/>
              </w:rPr>
              <w:t xml:space="preserve">be established for employees on a prescribed ship or unit </w:t>
            </w:r>
            <w:r w:rsidR="009A79FB" w:rsidRPr="008B0669">
              <w:rPr>
                <w:rFonts w:asciiTheme="minorHAnsi" w:hAnsiTheme="minorHAnsi"/>
              </w:rPr>
              <w:t>if</w:t>
            </w:r>
            <w:r w:rsidR="00246E97" w:rsidRPr="008B0669">
              <w:rPr>
                <w:rFonts w:asciiTheme="minorHAnsi" w:hAnsiTheme="minorHAnsi"/>
              </w:rPr>
              <w:t>:</w:t>
            </w:r>
            <w:r w:rsidR="009A79FB" w:rsidRPr="008B0669">
              <w:rPr>
                <w:rFonts w:asciiTheme="minorHAnsi" w:hAnsiTheme="minorHAnsi"/>
              </w:rPr>
              <w:t xml:space="preserve"> </w:t>
            </w:r>
          </w:p>
          <w:p w:rsidR="00246E97" w:rsidRPr="008B0669" w:rsidRDefault="00246E97" w:rsidP="00E73234">
            <w:pPr>
              <w:rPr>
                <w:rFonts w:asciiTheme="minorHAnsi" w:hAnsiTheme="minorHAnsi"/>
              </w:rPr>
            </w:pPr>
          </w:p>
          <w:p w:rsidR="00246E97" w:rsidRPr="008B0669" w:rsidRDefault="009A79FB" w:rsidP="00246E97">
            <w:pPr>
              <w:pStyle w:val="ListParagraph"/>
              <w:numPr>
                <w:ilvl w:val="0"/>
                <w:numId w:val="44"/>
              </w:numPr>
              <w:ind w:left="360"/>
              <w:rPr>
                <w:rFonts w:asciiTheme="minorHAnsi" w:hAnsiTheme="minorHAnsi"/>
              </w:rPr>
            </w:pPr>
            <w:r w:rsidRPr="008B0669">
              <w:rPr>
                <w:rFonts w:asciiTheme="minorHAnsi" w:hAnsiTheme="minorHAnsi"/>
              </w:rPr>
              <w:t xml:space="preserve">the employees are in one or more designated work groups, and </w:t>
            </w:r>
          </w:p>
          <w:p w:rsidR="00246E97" w:rsidRPr="008B0669" w:rsidRDefault="00246E97" w:rsidP="00246E97">
            <w:pPr>
              <w:rPr>
                <w:rFonts w:asciiTheme="minorHAnsi" w:hAnsiTheme="minorHAnsi"/>
              </w:rPr>
            </w:pPr>
          </w:p>
          <w:p w:rsidR="009A79FB" w:rsidRPr="008B0669" w:rsidRDefault="009A79FB" w:rsidP="00246E97">
            <w:pPr>
              <w:pStyle w:val="ListParagraph"/>
              <w:numPr>
                <w:ilvl w:val="0"/>
                <w:numId w:val="44"/>
              </w:numPr>
              <w:ind w:left="360"/>
              <w:rPr>
                <w:rFonts w:asciiTheme="minorHAnsi" w:hAnsiTheme="minorHAnsi"/>
              </w:rPr>
            </w:pPr>
            <w:r w:rsidRPr="008B0669">
              <w:rPr>
                <w:rFonts w:asciiTheme="minorHAnsi" w:hAnsiTheme="minorHAnsi"/>
              </w:rPr>
              <w:t>the operator is requested to</w:t>
            </w:r>
            <w:r w:rsidR="00E73234" w:rsidRPr="008B0669">
              <w:rPr>
                <w:rFonts w:asciiTheme="minorHAnsi" w:hAnsiTheme="minorHAnsi"/>
              </w:rPr>
              <w:t xml:space="preserve"> </w:t>
            </w:r>
            <w:r w:rsidRPr="008B0669">
              <w:rPr>
                <w:rFonts w:asciiTheme="minorHAnsi" w:hAnsiTheme="minorHAnsi"/>
              </w:rPr>
              <w:t xml:space="preserve">establish the committee </w:t>
            </w:r>
            <w:r w:rsidR="004F05BD" w:rsidRPr="008B0669">
              <w:rPr>
                <w:rFonts w:asciiTheme="minorHAnsi" w:hAnsiTheme="minorHAnsi"/>
              </w:rPr>
              <w:t xml:space="preserve">by the </w:t>
            </w:r>
            <w:proofErr w:type="spellStart"/>
            <w:r w:rsidR="004F05BD" w:rsidRPr="008B0669">
              <w:rPr>
                <w:rFonts w:asciiTheme="minorHAnsi" w:hAnsiTheme="minorHAnsi"/>
              </w:rPr>
              <w:t>HSR</w:t>
            </w:r>
            <w:proofErr w:type="spellEnd"/>
            <w:r w:rsidR="004F05BD" w:rsidRPr="008B0669">
              <w:rPr>
                <w:rFonts w:asciiTheme="minorHAnsi" w:hAnsiTheme="minorHAnsi"/>
              </w:rPr>
              <w:t xml:space="preserve"> or an involved union</w:t>
            </w:r>
            <w:r w:rsidR="00246E97" w:rsidRPr="008B0669">
              <w:rPr>
                <w:rFonts w:asciiTheme="minorHAnsi" w:hAnsiTheme="minorHAnsi"/>
              </w:rPr>
              <w:t xml:space="preserve"> .</w:t>
            </w:r>
          </w:p>
          <w:p w:rsidR="004F05BD" w:rsidRPr="008B0669" w:rsidRDefault="004F05BD" w:rsidP="00E73234">
            <w:pPr>
              <w:rPr>
                <w:rFonts w:asciiTheme="minorHAnsi" w:hAnsiTheme="minorHAnsi"/>
              </w:rPr>
            </w:pPr>
          </w:p>
        </w:tc>
        <w:tc>
          <w:tcPr>
            <w:tcW w:w="4320" w:type="dxa"/>
          </w:tcPr>
          <w:p w:rsidR="004F05BD" w:rsidRPr="008B0669" w:rsidRDefault="004F05BD" w:rsidP="00013B92">
            <w:pPr>
              <w:rPr>
                <w:rFonts w:asciiTheme="minorHAnsi" w:hAnsiTheme="minorHAnsi"/>
              </w:rPr>
            </w:pPr>
            <w:r w:rsidRPr="008B0669">
              <w:rPr>
                <w:rFonts w:asciiTheme="minorHAnsi" w:hAnsiTheme="minorHAnsi"/>
              </w:rPr>
              <w:t xml:space="preserve">A </w:t>
            </w:r>
            <w:proofErr w:type="spellStart"/>
            <w:r w:rsidRPr="008B0669">
              <w:rPr>
                <w:rFonts w:asciiTheme="minorHAnsi" w:hAnsiTheme="minorHAnsi"/>
              </w:rPr>
              <w:t>PCBU</w:t>
            </w:r>
            <w:proofErr w:type="spellEnd"/>
            <w:r w:rsidR="009A79FB" w:rsidRPr="008B0669">
              <w:rPr>
                <w:rFonts w:asciiTheme="minorHAnsi" w:hAnsiTheme="minorHAnsi"/>
              </w:rPr>
              <w:t xml:space="preserve"> must </w:t>
            </w:r>
            <w:r w:rsidRPr="008B0669">
              <w:rPr>
                <w:rFonts w:asciiTheme="minorHAnsi" w:hAnsiTheme="minorHAnsi"/>
              </w:rPr>
              <w:t>(</w:t>
            </w:r>
            <w:proofErr w:type="spellStart"/>
            <w:r w:rsidRPr="008B0669">
              <w:rPr>
                <w:rFonts w:asciiTheme="minorHAnsi" w:hAnsiTheme="minorHAnsi"/>
              </w:rPr>
              <w:t>s.75</w:t>
            </w:r>
            <w:proofErr w:type="spellEnd"/>
            <w:r w:rsidRPr="008B0669">
              <w:rPr>
                <w:rFonts w:asciiTheme="minorHAnsi" w:hAnsiTheme="minorHAnsi"/>
              </w:rPr>
              <w:t xml:space="preserve">) </w:t>
            </w:r>
            <w:r w:rsidR="009A79FB" w:rsidRPr="008B0669">
              <w:rPr>
                <w:rFonts w:asciiTheme="minorHAnsi" w:hAnsiTheme="minorHAnsi"/>
              </w:rPr>
              <w:t xml:space="preserve">establish an HSC for the </w:t>
            </w:r>
            <w:r w:rsidRPr="008B0669">
              <w:rPr>
                <w:rFonts w:asciiTheme="minorHAnsi" w:hAnsiTheme="minorHAnsi"/>
              </w:rPr>
              <w:t>business or undertaking at the workplace, or</w:t>
            </w:r>
            <w:r w:rsidR="009A79FB" w:rsidRPr="008B0669">
              <w:rPr>
                <w:rFonts w:asciiTheme="minorHAnsi" w:hAnsiTheme="minorHAnsi"/>
              </w:rPr>
              <w:t xml:space="preserve"> part of </w:t>
            </w:r>
            <w:r w:rsidRPr="008B0669">
              <w:rPr>
                <w:rFonts w:asciiTheme="minorHAnsi" w:hAnsiTheme="minorHAnsi"/>
              </w:rPr>
              <w:t>it</w:t>
            </w:r>
            <w:r w:rsidR="009A79FB" w:rsidRPr="008B0669">
              <w:rPr>
                <w:rFonts w:asciiTheme="minorHAnsi" w:hAnsiTheme="minorHAnsi"/>
              </w:rPr>
              <w:t xml:space="preserve">, within </w:t>
            </w:r>
            <w:r w:rsidRPr="008B0669">
              <w:rPr>
                <w:rFonts w:asciiTheme="minorHAnsi" w:hAnsiTheme="minorHAnsi"/>
              </w:rPr>
              <w:t>2</w:t>
            </w:r>
            <w:r w:rsidR="009A79FB" w:rsidRPr="008B0669">
              <w:rPr>
                <w:rFonts w:asciiTheme="minorHAnsi" w:hAnsiTheme="minorHAnsi"/>
              </w:rPr>
              <w:t xml:space="preserve"> months of </w:t>
            </w:r>
            <w:r w:rsidRPr="008B0669">
              <w:rPr>
                <w:rFonts w:asciiTheme="minorHAnsi" w:hAnsiTheme="minorHAnsi"/>
              </w:rPr>
              <w:t xml:space="preserve">a </w:t>
            </w:r>
            <w:r w:rsidR="009A79FB" w:rsidRPr="008B0669">
              <w:rPr>
                <w:rFonts w:asciiTheme="minorHAnsi" w:hAnsiTheme="minorHAnsi"/>
              </w:rPr>
              <w:t>request</w:t>
            </w:r>
            <w:r w:rsidRPr="008B0669">
              <w:rPr>
                <w:rFonts w:asciiTheme="minorHAnsi" w:hAnsiTheme="minorHAnsi"/>
              </w:rPr>
              <w:t xml:space="preserve"> by</w:t>
            </w:r>
            <w:r w:rsidR="009A79FB" w:rsidRPr="008B0669">
              <w:rPr>
                <w:rFonts w:asciiTheme="minorHAnsi" w:hAnsiTheme="minorHAnsi"/>
              </w:rPr>
              <w:t xml:space="preserve">: </w:t>
            </w:r>
          </w:p>
          <w:p w:rsidR="004F05BD" w:rsidRPr="008B0669" w:rsidRDefault="004F05BD" w:rsidP="004F05BD">
            <w:pPr>
              <w:spacing w:line="120" w:lineRule="auto"/>
              <w:rPr>
                <w:rFonts w:asciiTheme="minorHAnsi" w:hAnsiTheme="minorHAnsi"/>
              </w:rPr>
            </w:pPr>
          </w:p>
          <w:p w:rsidR="004F05BD" w:rsidRPr="008B0669" w:rsidRDefault="009A79FB" w:rsidP="004F05BD">
            <w:pPr>
              <w:pStyle w:val="ListParagraph"/>
              <w:numPr>
                <w:ilvl w:val="0"/>
                <w:numId w:val="43"/>
              </w:numPr>
              <w:ind w:left="360"/>
              <w:rPr>
                <w:rFonts w:asciiTheme="minorHAnsi" w:hAnsiTheme="minorHAnsi"/>
              </w:rPr>
            </w:pPr>
            <w:r w:rsidRPr="008B0669">
              <w:rPr>
                <w:rFonts w:asciiTheme="minorHAnsi" w:hAnsiTheme="minorHAnsi"/>
              </w:rPr>
              <w:t xml:space="preserve">an </w:t>
            </w:r>
            <w:proofErr w:type="spellStart"/>
            <w:r w:rsidRPr="008B0669">
              <w:rPr>
                <w:rFonts w:asciiTheme="minorHAnsi" w:hAnsiTheme="minorHAnsi"/>
              </w:rPr>
              <w:t>HSR</w:t>
            </w:r>
            <w:proofErr w:type="spellEnd"/>
            <w:r w:rsidRPr="008B0669">
              <w:rPr>
                <w:rFonts w:asciiTheme="minorHAnsi" w:hAnsiTheme="minorHAnsi"/>
              </w:rPr>
              <w:t xml:space="preserve"> for that workplace; or </w:t>
            </w:r>
          </w:p>
          <w:p w:rsidR="004F05BD" w:rsidRPr="008B0669" w:rsidRDefault="004F05BD" w:rsidP="004F05BD">
            <w:pPr>
              <w:spacing w:line="120" w:lineRule="auto"/>
              <w:rPr>
                <w:rFonts w:asciiTheme="minorHAnsi" w:hAnsiTheme="minorHAnsi"/>
              </w:rPr>
            </w:pPr>
          </w:p>
          <w:p w:rsidR="009A79FB" w:rsidRPr="008B0669" w:rsidRDefault="004F05BD" w:rsidP="004F05BD">
            <w:pPr>
              <w:pStyle w:val="ListParagraph"/>
              <w:numPr>
                <w:ilvl w:val="0"/>
                <w:numId w:val="43"/>
              </w:numPr>
              <w:ind w:left="360"/>
              <w:rPr>
                <w:rFonts w:asciiTheme="minorHAnsi" w:hAnsiTheme="minorHAnsi"/>
              </w:rPr>
            </w:pPr>
            <w:r w:rsidRPr="008B0669">
              <w:rPr>
                <w:rFonts w:asciiTheme="minorHAnsi" w:hAnsiTheme="minorHAnsi"/>
              </w:rPr>
              <w:t>5</w:t>
            </w:r>
            <w:r w:rsidR="009A79FB" w:rsidRPr="008B0669">
              <w:rPr>
                <w:rFonts w:asciiTheme="minorHAnsi" w:hAnsiTheme="minorHAnsi"/>
              </w:rPr>
              <w:t xml:space="preserve"> or more workers at that workplace.</w:t>
            </w:r>
          </w:p>
          <w:p w:rsidR="004F05BD" w:rsidRPr="008B0669" w:rsidRDefault="004F05BD" w:rsidP="004F05BD">
            <w:pPr>
              <w:spacing w:line="120" w:lineRule="auto"/>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Issue resolution</w:t>
            </w:r>
          </w:p>
        </w:tc>
        <w:tc>
          <w:tcPr>
            <w:tcW w:w="4050" w:type="dxa"/>
          </w:tcPr>
          <w:p w:rsidR="009A79FB" w:rsidRPr="008B0669" w:rsidRDefault="009A79FB" w:rsidP="004F05BD">
            <w:pPr>
              <w:rPr>
                <w:rFonts w:asciiTheme="minorHAnsi" w:hAnsiTheme="minorHAnsi"/>
              </w:rPr>
            </w:pPr>
            <w:r w:rsidRPr="008B0669">
              <w:rPr>
                <w:rFonts w:asciiTheme="minorHAnsi" w:hAnsiTheme="minorHAnsi"/>
              </w:rPr>
              <w:t>No provision</w:t>
            </w:r>
            <w:r w:rsidR="004F05BD" w:rsidRPr="008B0669">
              <w:rPr>
                <w:rFonts w:asciiTheme="minorHAnsi" w:hAnsiTheme="minorHAnsi"/>
              </w:rPr>
              <w:t>.</w:t>
            </w:r>
          </w:p>
        </w:tc>
        <w:tc>
          <w:tcPr>
            <w:tcW w:w="4320" w:type="dxa"/>
          </w:tcPr>
          <w:p w:rsidR="009A79FB" w:rsidRPr="008B0669" w:rsidRDefault="009A79FB" w:rsidP="00013B92">
            <w:pPr>
              <w:rPr>
                <w:rFonts w:asciiTheme="minorHAnsi" w:hAnsiTheme="minorHAnsi"/>
              </w:rPr>
            </w:pPr>
            <w:r w:rsidRPr="008B0669">
              <w:rPr>
                <w:rFonts w:asciiTheme="minorHAnsi" w:hAnsiTheme="minorHAnsi"/>
              </w:rPr>
              <w:t xml:space="preserve">The </w:t>
            </w:r>
            <w:r w:rsidRPr="008B0669">
              <w:rPr>
                <w:rFonts w:asciiTheme="minorHAnsi" w:hAnsiTheme="minorHAnsi"/>
                <w:i/>
              </w:rPr>
              <w:t>parties</w:t>
            </w:r>
            <w:r w:rsidRPr="008B0669">
              <w:rPr>
                <w:rFonts w:asciiTheme="minorHAnsi" w:hAnsiTheme="minorHAnsi"/>
              </w:rPr>
              <w:t xml:space="preserve"> </w:t>
            </w:r>
            <w:r w:rsidR="00246E97" w:rsidRPr="008B0669">
              <w:rPr>
                <w:rFonts w:asciiTheme="minorHAnsi" w:hAnsiTheme="minorHAnsi"/>
              </w:rPr>
              <w:t>(</w:t>
            </w:r>
            <w:proofErr w:type="spellStart"/>
            <w:r w:rsidR="00246E97" w:rsidRPr="008B0669">
              <w:rPr>
                <w:rFonts w:asciiTheme="minorHAnsi" w:hAnsiTheme="minorHAnsi"/>
              </w:rPr>
              <w:t>s.80</w:t>
            </w:r>
            <w:proofErr w:type="spellEnd"/>
            <w:r w:rsidR="00246E97" w:rsidRPr="008B0669">
              <w:rPr>
                <w:rFonts w:asciiTheme="minorHAnsi" w:hAnsiTheme="minorHAnsi"/>
              </w:rPr>
              <w:t xml:space="preserve">) </w:t>
            </w:r>
            <w:r w:rsidRPr="008B0669">
              <w:rPr>
                <w:rFonts w:asciiTheme="minorHAnsi" w:hAnsiTheme="minorHAnsi"/>
              </w:rPr>
              <w:t xml:space="preserve">to an issue </w:t>
            </w:r>
            <w:r w:rsidR="00246E97" w:rsidRPr="008B0669">
              <w:rPr>
                <w:rFonts w:asciiTheme="minorHAnsi" w:hAnsiTheme="minorHAnsi"/>
              </w:rPr>
              <w:t xml:space="preserve">about WHS at a workplace </w:t>
            </w:r>
            <w:r w:rsidR="004F05BD" w:rsidRPr="008B0669">
              <w:rPr>
                <w:rFonts w:asciiTheme="minorHAnsi" w:hAnsiTheme="minorHAnsi"/>
              </w:rPr>
              <w:t>must (</w:t>
            </w:r>
            <w:proofErr w:type="spellStart"/>
            <w:r w:rsidR="004F05BD" w:rsidRPr="008B0669">
              <w:rPr>
                <w:rFonts w:asciiTheme="minorHAnsi" w:hAnsiTheme="minorHAnsi"/>
              </w:rPr>
              <w:t>s.8</w:t>
            </w:r>
            <w:r w:rsidR="00246E97" w:rsidRPr="008B0669">
              <w:rPr>
                <w:rFonts w:asciiTheme="minorHAnsi" w:hAnsiTheme="minorHAnsi"/>
              </w:rPr>
              <w:t>1</w:t>
            </w:r>
            <w:proofErr w:type="spellEnd"/>
            <w:r w:rsidR="004F05BD" w:rsidRPr="008B0669">
              <w:rPr>
                <w:rFonts w:asciiTheme="minorHAnsi" w:hAnsiTheme="minorHAnsi"/>
              </w:rPr>
              <w:t>)</w:t>
            </w:r>
            <w:r w:rsidRPr="008B0669">
              <w:rPr>
                <w:rFonts w:asciiTheme="minorHAnsi" w:hAnsiTheme="minorHAnsi"/>
              </w:rPr>
              <w:t xml:space="preserve"> make</w:t>
            </w:r>
            <w:r w:rsidR="00E73234" w:rsidRPr="008B0669">
              <w:rPr>
                <w:rFonts w:asciiTheme="minorHAnsi" w:hAnsiTheme="minorHAnsi"/>
              </w:rPr>
              <w:t xml:space="preserve"> </w:t>
            </w:r>
            <w:r w:rsidRPr="008B0669">
              <w:rPr>
                <w:rFonts w:asciiTheme="minorHAnsi" w:hAnsiTheme="minorHAnsi"/>
              </w:rPr>
              <w:t>reasonable efforts to achieve a timely, final and effective resolution of the issue in accordance with an agreed</w:t>
            </w:r>
            <w:r w:rsidR="00E73234" w:rsidRPr="008B0669">
              <w:rPr>
                <w:rFonts w:asciiTheme="minorHAnsi" w:hAnsiTheme="minorHAnsi"/>
              </w:rPr>
              <w:t xml:space="preserve"> </w:t>
            </w:r>
            <w:r w:rsidRPr="008B0669">
              <w:rPr>
                <w:rFonts w:asciiTheme="minorHAnsi" w:hAnsiTheme="minorHAnsi"/>
              </w:rPr>
              <w:t>procedure or, if there is no agreed procedure, the default procedure prescribed in the regulations.</w:t>
            </w:r>
          </w:p>
          <w:p w:rsidR="00E73234" w:rsidRPr="008B0669" w:rsidRDefault="00E73234" w:rsidP="00013B92">
            <w:pPr>
              <w:rPr>
                <w:rFonts w:asciiTheme="minorHAnsi" w:hAnsiTheme="minorHAnsi"/>
              </w:rPr>
            </w:pPr>
          </w:p>
          <w:p w:rsidR="009A79FB" w:rsidRPr="008B0669" w:rsidRDefault="00246E97" w:rsidP="00246E97">
            <w:pPr>
              <w:rPr>
                <w:rFonts w:asciiTheme="minorHAnsi" w:hAnsiTheme="minorHAnsi"/>
              </w:rPr>
            </w:pPr>
            <w:r w:rsidRPr="008B0669">
              <w:rPr>
                <w:rFonts w:asciiTheme="minorHAnsi" w:hAnsiTheme="minorHAnsi"/>
              </w:rPr>
              <w:t>W</w:t>
            </w:r>
            <w:r w:rsidR="009A79FB" w:rsidRPr="008B0669">
              <w:rPr>
                <w:rFonts w:asciiTheme="minorHAnsi" w:hAnsiTheme="minorHAnsi"/>
              </w:rPr>
              <w:t>here an issue</w:t>
            </w:r>
            <w:r w:rsidR="00E73234" w:rsidRPr="008B0669">
              <w:rPr>
                <w:rFonts w:asciiTheme="minorHAnsi" w:hAnsiTheme="minorHAnsi"/>
              </w:rPr>
              <w:t xml:space="preserve"> </w:t>
            </w:r>
            <w:r w:rsidR="009A79FB" w:rsidRPr="008B0669">
              <w:rPr>
                <w:rFonts w:asciiTheme="minorHAnsi" w:hAnsiTheme="minorHAnsi"/>
              </w:rPr>
              <w:t>cannot be resolved after</w:t>
            </w:r>
            <w:r w:rsidR="00E73234" w:rsidRPr="008B0669">
              <w:rPr>
                <w:rFonts w:asciiTheme="minorHAnsi" w:hAnsiTheme="minorHAnsi"/>
              </w:rPr>
              <w:t xml:space="preserve"> </w:t>
            </w:r>
            <w:r w:rsidR="009A79FB" w:rsidRPr="008B0669">
              <w:rPr>
                <w:rFonts w:asciiTheme="minorHAnsi" w:hAnsiTheme="minorHAnsi"/>
              </w:rPr>
              <w:t>reasonable efforts have been</w:t>
            </w:r>
            <w:r w:rsidR="00E73234" w:rsidRPr="008B0669">
              <w:rPr>
                <w:rFonts w:asciiTheme="minorHAnsi" w:hAnsiTheme="minorHAnsi"/>
              </w:rPr>
              <w:t xml:space="preserve"> </w:t>
            </w:r>
            <w:r w:rsidRPr="008B0669">
              <w:rPr>
                <w:rFonts w:asciiTheme="minorHAnsi" w:hAnsiTheme="minorHAnsi"/>
              </w:rPr>
              <w:t xml:space="preserve">taken, a party may refer the issue </w:t>
            </w:r>
            <w:r w:rsidR="009A79FB" w:rsidRPr="008B0669">
              <w:rPr>
                <w:rFonts w:asciiTheme="minorHAnsi" w:hAnsiTheme="minorHAnsi"/>
              </w:rPr>
              <w:t>to the regulator to</w:t>
            </w:r>
            <w:r w:rsidR="00E73234" w:rsidRPr="008B0669">
              <w:rPr>
                <w:rFonts w:asciiTheme="minorHAnsi" w:hAnsiTheme="minorHAnsi"/>
              </w:rPr>
              <w:t xml:space="preserve"> </w:t>
            </w:r>
            <w:r w:rsidR="009A79FB" w:rsidRPr="008B0669">
              <w:rPr>
                <w:rFonts w:asciiTheme="minorHAnsi" w:hAnsiTheme="minorHAnsi"/>
              </w:rPr>
              <w:t>a</w:t>
            </w:r>
            <w:r w:rsidRPr="008B0669">
              <w:rPr>
                <w:rFonts w:asciiTheme="minorHAnsi" w:hAnsiTheme="minorHAnsi"/>
              </w:rPr>
              <w:t>ppoint</w:t>
            </w:r>
            <w:r w:rsidR="009A79FB" w:rsidRPr="008B0669">
              <w:rPr>
                <w:rFonts w:asciiTheme="minorHAnsi" w:hAnsiTheme="minorHAnsi"/>
              </w:rPr>
              <w:t xml:space="preserve"> an inspector to</w:t>
            </w:r>
            <w:r w:rsidR="00E73234" w:rsidRPr="008B0669">
              <w:rPr>
                <w:rFonts w:asciiTheme="minorHAnsi" w:hAnsiTheme="minorHAnsi"/>
              </w:rPr>
              <w:t xml:space="preserve"> </w:t>
            </w:r>
            <w:r w:rsidR="009A79FB" w:rsidRPr="008B0669">
              <w:rPr>
                <w:rFonts w:asciiTheme="minorHAnsi" w:hAnsiTheme="minorHAnsi"/>
              </w:rPr>
              <w:t>attend the workplace t</w:t>
            </w:r>
            <w:r w:rsidRPr="008B0669">
              <w:rPr>
                <w:rFonts w:asciiTheme="minorHAnsi" w:hAnsiTheme="minorHAnsi"/>
              </w:rPr>
              <w:t>o assist in resolving the issue (</w:t>
            </w:r>
            <w:proofErr w:type="spellStart"/>
            <w:r w:rsidRPr="008B0669">
              <w:rPr>
                <w:rFonts w:asciiTheme="minorHAnsi" w:hAnsiTheme="minorHAnsi"/>
              </w:rPr>
              <w:t>s.82</w:t>
            </w:r>
            <w:proofErr w:type="spellEnd"/>
            <w:r w:rsidRPr="008B0669">
              <w:rPr>
                <w:rFonts w:asciiTheme="minorHAnsi" w:hAnsiTheme="minorHAnsi"/>
              </w:rPr>
              <w:t>).  The inspector may exercise compliance powers.</w:t>
            </w:r>
          </w:p>
          <w:p w:rsidR="00246E97" w:rsidRPr="008B0669" w:rsidRDefault="00246E97" w:rsidP="00246E97">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Union right of entry</w:t>
            </w:r>
          </w:p>
        </w:tc>
        <w:tc>
          <w:tcPr>
            <w:tcW w:w="4050" w:type="dxa"/>
          </w:tcPr>
          <w:p w:rsidR="009A79FB" w:rsidRPr="008B0669" w:rsidRDefault="009A79FB" w:rsidP="00013B92">
            <w:pPr>
              <w:rPr>
                <w:rFonts w:asciiTheme="minorHAnsi" w:hAnsiTheme="minorHAnsi"/>
              </w:rPr>
            </w:pPr>
            <w:r w:rsidRPr="008B0669">
              <w:rPr>
                <w:rFonts w:asciiTheme="minorHAnsi" w:hAnsiTheme="minorHAnsi"/>
              </w:rPr>
              <w:t>There is no union right of entry.</w:t>
            </w:r>
          </w:p>
        </w:tc>
        <w:tc>
          <w:tcPr>
            <w:tcW w:w="4320" w:type="dxa"/>
          </w:tcPr>
          <w:p w:rsidR="009A79FB" w:rsidRPr="008B0669" w:rsidRDefault="00246E97" w:rsidP="00E73234">
            <w:pPr>
              <w:rPr>
                <w:rFonts w:asciiTheme="minorHAnsi" w:hAnsiTheme="minorHAnsi"/>
              </w:rPr>
            </w:pPr>
            <w:r w:rsidRPr="008B0669">
              <w:rPr>
                <w:rFonts w:asciiTheme="minorHAnsi" w:hAnsiTheme="minorHAnsi"/>
              </w:rPr>
              <w:t>Under Part 7,</w:t>
            </w:r>
            <w:r w:rsidR="009A79FB" w:rsidRPr="008B0669">
              <w:rPr>
                <w:rFonts w:asciiTheme="minorHAnsi" w:hAnsiTheme="minorHAnsi"/>
              </w:rPr>
              <w:t xml:space="preserve"> </w:t>
            </w:r>
            <w:r w:rsidR="008D3726" w:rsidRPr="008B0669">
              <w:rPr>
                <w:rFonts w:asciiTheme="minorHAnsi" w:hAnsiTheme="minorHAnsi"/>
              </w:rPr>
              <w:t>WHS entry permit holders may</w:t>
            </w:r>
            <w:r w:rsidR="00E73234" w:rsidRPr="008B0669">
              <w:rPr>
                <w:rFonts w:asciiTheme="minorHAnsi" w:hAnsiTheme="minorHAnsi"/>
              </w:rPr>
              <w:t xml:space="preserve"> </w:t>
            </w:r>
            <w:r w:rsidR="009A79FB" w:rsidRPr="008B0669">
              <w:rPr>
                <w:rFonts w:asciiTheme="minorHAnsi" w:hAnsiTheme="minorHAnsi"/>
              </w:rPr>
              <w:t>enter</w:t>
            </w:r>
            <w:r w:rsidR="008D3726" w:rsidRPr="008B0669">
              <w:rPr>
                <w:rFonts w:asciiTheme="minorHAnsi" w:hAnsiTheme="minorHAnsi"/>
              </w:rPr>
              <w:t xml:space="preserve"> a workplace</w:t>
            </w:r>
            <w:r w:rsidR="009A79FB" w:rsidRPr="008B0669">
              <w:rPr>
                <w:rFonts w:asciiTheme="minorHAnsi" w:hAnsiTheme="minorHAnsi"/>
              </w:rPr>
              <w:t xml:space="preserve"> for </w:t>
            </w:r>
            <w:r w:rsidR="008D3726" w:rsidRPr="008B0669">
              <w:rPr>
                <w:rFonts w:asciiTheme="minorHAnsi" w:hAnsiTheme="minorHAnsi"/>
              </w:rPr>
              <w:t xml:space="preserve">specified purposes and subject to certain conditions.  </w:t>
            </w:r>
          </w:p>
          <w:p w:rsidR="008D3726" w:rsidRPr="008B0669" w:rsidRDefault="008D3726" w:rsidP="00E73234">
            <w:pPr>
              <w:rPr>
                <w:rFonts w:asciiTheme="minorHAnsi" w:hAnsiTheme="minorHAnsi"/>
              </w:rPr>
            </w:pPr>
          </w:p>
          <w:p w:rsidR="008D3726" w:rsidRPr="008B0669" w:rsidRDefault="008D3726" w:rsidP="00E73234">
            <w:pPr>
              <w:rPr>
                <w:rFonts w:asciiTheme="minorHAnsi" w:hAnsiTheme="minorHAnsi"/>
              </w:rPr>
            </w:pPr>
            <w:r w:rsidRPr="008B0669">
              <w:rPr>
                <w:rFonts w:asciiTheme="minorHAnsi" w:hAnsiTheme="minorHAnsi"/>
              </w:rPr>
              <w:t>A WHS permit holder must be an office holder or employee of a union and must hold an entry permit under the Fair Work Act or a State or Territory industrial law.</w:t>
            </w:r>
            <w:r w:rsidR="009B45D2" w:rsidRPr="008B0669">
              <w:rPr>
                <w:rFonts w:asciiTheme="minorHAnsi" w:hAnsiTheme="minorHAnsi"/>
              </w:rPr>
              <w:t xml:space="preserve">  Permits are issued by a relevant authorising authority.  Fair Work Australia is the authority under the Commonwealth’s WHS Act.</w:t>
            </w:r>
          </w:p>
          <w:p w:rsidR="008D3726" w:rsidRPr="008B0669" w:rsidRDefault="008D3726" w:rsidP="00E73234">
            <w:pPr>
              <w:rPr>
                <w:rFonts w:asciiTheme="minorHAnsi" w:hAnsiTheme="minorHAnsi"/>
              </w:rPr>
            </w:pPr>
          </w:p>
          <w:p w:rsidR="008D3726" w:rsidRPr="008B0669" w:rsidRDefault="008D3726" w:rsidP="00E73234">
            <w:pPr>
              <w:rPr>
                <w:rFonts w:asciiTheme="minorHAnsi" w:hAnsiTheme="minorHAnsi"/>
              </w:rPr>
            </w:pPr>
            <w:r w:rsidRPr="008B0669">
              <w:rPr>
                <w:rFonts w:asciiTheme="minorHAnsi" w:hAnsiTheme="minorHAnsi"/>
              </w:rPr>
              <w:t>Entry (with notice) is permitted (</w:t>
            </w:r>
            <w:proofErr w:type="spellStart"/>
            <w:r w:rsidRPr="008B0669">
              <w:rPr>
                <w:rFonts w:asciiTheme="minorHAnsi" w:hAnsiTheme="minorHAnsi"/>
              </w:rPr>
              <w:t>ss.117</w:t>
            </w:r>
            <w:proofErr w:type="spellEnd"/>
            <w:r w:rsidRPr="008B0669">
              <w:rPr>
                <w:rFonts w:asciiTheme="minorHAnsi" w:hAnsiTheme="minorHAnsi"/>
              </w:rPr>
              <w:t>-</w:t>
            </w:r>
            <w:r w:rsidR="009B45D2" w:rsidRPr="008B0669">
              <w:rPr>
                <w:rFonts w:asciiTheme="minorHAnsi" w:hAnsiTheme="minorHAnsi"/>
              </w:rPr>
              <w:t>130</w:t>
            </w:r>
            <w:r w:rsidRPr="008B0669">
              <w:rPr>
                <w:rFonts w:asciiTheme="minorHAnsi" w:hAnsiTheme="minorHAnsi"/>
              </w:rPr>
              <w:t>):</w:t>
            </w:r>
          </w:p>
          <w:p w:rsidR="008D3726" w:rsidRPr="008B0669" w:rsidRDefault="008D3726" w:rsidP="00E73234">
            <w:pPr>
              <w:rPr>
                <w:rFonts w:asciiTheme="minorHAnsi" w:hAnsiTheme="minorHAnsi"/>
              </w:rPr>
            </w:pPr>
          </w:p>
          <w:p w:rsidR="008D3726" w:rsidRPr="008B0669" w:rsidRDefault="009B45D2" w:rsidP="009B45D2">
            <w:pPr>
              <w:pStyle w:val="ListParagraph"/>
              <w:numPr>
                <w:ilvl w:val="0"/>
                <w:numId w:val="45"/>
              </w:numPr>
              <w:ind w:left="360"/>
              <w:rPr>
                <w:rFonts w:asciiTheme="minorHAnsi" w:hAnsiTheme="minorHAnsi"/>
              </w:rPr>
            </w:pPr>
            <w:r w:rsidRPr="008B0669">
              <w:rPr>
                <w:rFonts w:asciiTheme="minorHAnsi" w:hAnsiTheme="minorHAnsi"/>
              </w:rPr>
              <w:t>t</w:t>
            </w:r>
            <w:r w:rsidR="008D3726" w:rsidRPr="008B0669">
              <w:rPr>
                <w:rFonts w:asciiTheme="minorHAnsi" w:hAnsiTheme="minorHAnsi"/>
              </w:rPr>
              <w:t>o inquire into suspected contraventions of the WHS Act or regulations;</w:t>
            </w:r>
          </w:p>
          <w:p w:rsidR="008D3726" w:rsidRPr="008B0669" w:rsidRDefault="008D3726" w:rsidP="009B45D2">
            <w:pPr>
              <w:rPr>
                <w:rFonts w:asciiTheme="minorHAnsi" w:hAnsiTheme="minorHAnsi"/>
              </w:rPr>
            </w:pPr>
          </w:p>
          <w:p w:rsidR="008D3726" w:rsidRPr="008B0669" w:rsidRDefault="009B45D2" w:rsidP="009B45D2">
            <w:pPr>
              <w:pStyle w:val="ListParagraph"/>
              <w:numPr>
                <w:ilvl w:val="0"/>
                <w:numId w:val="45"/>
              </w:numPr>
              <w:ind w:left="360"/>
              <w:rPr>
                <w:rFonts w:asciiTheme="minorHAnsi" w:hAnsiTheme="minorHAnsi"/>
              </w:rPr>
            </w:pPr>
            <w:r w:rsidRPr="008B0669">
              <w:rPr>
                <w:rFonts w:asciiTheme="minorHAnsi" w:hAnsiTheme="minorHAnsi"/>
              </w:rPr>
              <w:t>t</w:t>
            </w:r>
            <w:r w:rsidR="008D3726" w:rsidRPr="008B0669">
              <w:rPr>
                <w:rFonts w:asciiTheme="minorHAnsi" w:hAnsiTheme="minorHAnsi"/>
              </w:rPr>
              <w:t>o consult and advise workers</w:t>
            </w:r>
            <w:r w:rsidRPr="008B0669">
              <w:rPr>
                <w:rFonts w:asciiTheme="minorHAnsi" w:hAnsiTheme="minorHAnsi"/>
              </w:rPr>
              <w:t xml:space="preserve"> on WHS matters and risks.</w:t>
            </w:r>
          </w:p>
          <w:p w:rsidR="00246E97" w:rsidRPr="008B0669" w:rsidRDefault="00246E97" w:rsidP="00E73234">
            <w:pPr>
              <w:rPr>
                <w:rFonts w:asciiTheme="minorHAnsi" w:hAnsiTheme="minorHAnsi"/>
              </w:rPr>
            </w:pPr>
          </w:p>
        </w:tc>
      </w:tr>
      <w:tr w:rsidR="00246E97" w:rsidRPr="008B0669" w:rsidTr="006D5DB7">
        <w:tc>
          <w:tcPr>
            <w:tcW w:w="2070" w:type="dxa"/>
          </w:tcPr>
          <w:p w:rsidR="00246E97" w:rsidRPr="008B0669" w:rsidRDefault="00246E97" w:rsidP="00013B92">
            <w:pPr>
              <w:rPr>
                <w:rFonts w:asciiTheme="minorHAnsi" w:hAnsiTheme="minorHAnsi"/>
                <w:b/>
              </w:rPr>
            </w:pPr>
            <w:r w:rsidRPr="008B0669">
              <w:rPr>
                <w:rFonts w:asciiTheme="minorHAnsi" w:hAnsiTheme="minorHAnsi"/>
                <w:b/>
              </w:rPr>
              <w:t>Protection against coercion or discrimination</w:t>
            </w:r>
          </w:p>
        </w:tc>
        <w:tc>
          <w:tcPr>
            <w:tcW w:w="4050" w:type="dxa"/>
          </w:tcPr>
          <w:p w:rsidR="00F75F9D" w:rsidRPr="008B0669" w:rsidRDefault="00F75F9D" w:rsidP="00E73234">
            <w:pPr>
              <w:rPr>
                <w:rFonts w:asciiTheme="minorHAnsi" w:hAnsiTheme="minorHAnsi"/>
              </w:rPr>
            </w:pPr>
            <w:r w:rsidRPr="008B0669">
              <w:rPr>
                <w:rFonts w:asciiTheme="minorHAnsi" w:hAnsiTheme="minorHAnsi"/>
              </w:rPr>
              <w:t>An operator may not (</w:t>
            </w:r>
            <w:proofErr w:type="spellStart"/>
            <w:r w:rsidRPr="008B0669">
              <w:rPr>
                <w:rFonts w:asciiTheme="minorHAnsi" w:hAnsiTheme="minorHAnsi"/>
              </w:rPr>
              <w:t>s.115</w:t>
            </w:r>
            <w:proofErr w:type="spellEnd"/>
            <w:r w:rsidRPr="008B0669">
              <w:rPr>
                <w:rFonts w:asciiTheme="minorHAnsi" w:hAnsiTheme="minorHAnsi"/>
              </w:rPr>
              <w:t xml:space="preserve">)dismiss an employee, harm the employee in relation to his or her employment or threaten to do so because the employee has complained about OHS, assisted an OHS investigation, ceased work in accordance with a valid direction by an </w:t>
            </w:r>
            <w:proofErr w:type="spellStart"/>
            <w:r w:rsidRPr="008B0669">
              <w:rPr>
                <w:rFonts w:asciiTheme="minorHAnsi" w:hAnsiTheme="minorHAnsi"/>
              </w:rPr>
              <w:t>HSR</w:t>
            </w:r>
            <w:proofErr w:type="spellEnd"/>
            <w:r w:rsidRPr="008B0669">
              <w:rPr>
                <w:rFonts w:asciiTheme="minorHAnsi" w:hAnsiTheme="minorHAnsi"/>
              </w:rPr>
              <w:t xml:space="preserve">.  </w:t>
            </w:r>
          </w:p>
          <w:p w:rsidR="00F75F9D" w:rsidRPr="008B0669" w:rsidRDefault="00F75F9D" w:rsidP="00E73234">
            <w:pPr>
              <w:rPr>
                <w:rFonts w:asciiTheme="minorHAnsi" w:hAnsiTheme="minorHAnsi"/>
              </w:rPr>
            </w:pPr>
          </w:p>
          <w:p w:rsidR="00246E97" w:rsidRPr="008B0669" w:rsidRDefault="00F75F9D" w:rsidP="00E73234">
            <w:pPr>
              <w:rPr>
                <w:rFonts w:asciiTheme="minorHAnsi" w:hAnsiTheme="minorHAnsi"/>
              </w:rPr>
            </w:pPr>
            <w:r w:rsidRPr="008B0669">
              <w:rPr>
                <w:rFonts w:asciiTheme="minorHAnsi" w:hAnsiTheme="minorHAnsi"/>
              </w:rPr>
              <w:t xml:space="preserve">There is a reverse onus of proof and a financial penalty.  </w:t>
            </w:r>
          </w:p>
          <w:p w:rsidR="00F75F9D" w:rsidRPr="008B0669" w:rsidRDefault="00F75F9D" w:rsidP="00E73234">
            <w:pPr>
              <w:rPr>
                <w:rFonts w:asciiTheme="minorHAnsi" w:hAnsiTheme="minorHAnsi"/>
              </w:rPr>
            </w:pPr>
          </w:p>
          <w:p w:rsidR="00F75F9D" w:rsidRPr="008B0669" w:rsidRDefault="00F75F9D" w:rsidP="00E73234">
            <w:pPr>
              <w:rPr>
                <w:rFonts w:asciiTheme="minorHAnsi" w:hAnsiTheme="minorHAnsi"/>
              </w:rPr>
            </w:pPr>
          </w:p>
        </w:tc>
        <w:tc>
          <w:tcPr>
            <w:tcW w:w="4320" w:type="dxa"/>
          </w:tcPr>
          <w:p w:rsidR="00CC23D8" w:rsidRPr="008B0669" w:rsidRDefault="00F75F9D" w:rsidP="00E73234">
            <w:pPr>
              <w:rPr>
                <w:rFonts w:asciiTheme="minorHAnsi" w:hAnsiTheme="minorHAnsi"/>
              </w:rPr>
            </w:pPr>
            <w:r w:rsidRPr="008B0669">
              <w:rPr>
                <w:rFonts w:asciiTheme="minorHAnsi" w:hAnsiTheme="minorHAnsi"/>
              </w:rPr>
              <w:t xml:space="preserve">The WHS Act (Part 6) gives wider protection against coercive and discriminatory conduct. </w:t>
            </w:r>
          </w:p>
          <w:p w:rsidR="00CC23D8" w:rsidRPr="008B0669" w:rsidRDefault="00CC23D8" w:rsidP="00E73234">
            <w:pPr>
              <w:rPr>
                <w:rFonts w:asciiTheme="minorHAnsi" w:hAnsiTheme="minorHAnsi"/>
              </w:rPr>
            </w:pPr>
          </w:p>
          <w:p w:rsidR="00CC23D8" w:rsidRPr="008B0669" w:rsidRDefault="00CC23D8" w:rsidP="00E73234">
            <w:pPr>
              <w:rPr>
                <w:rFonts w:asciiTheme="minorHAnsi" w:hAnsiTheme="minorHAnsi"/>
              </w:rPr>
            </w:pPr>
            <w:r w:rsidRPr="008B0669">
              <w:rPr>
                <w:rFonts w:asciiTheme="minorHAnsi" w:hAnsiTheme="minorHAnsi"/>
              </w:rPr>
              <w:t xml:space="preserve">A person must not </w:t>
            </w:r>
            <w:r w:rsidR="00C43574" w:rsidRPr="008B0669">
              <w:rPr>
                <w:rFonts w:asciiTheme="minorHAnsi" w:hAnsiTheme="minorHAnsi"/>
              </w:rPr>
              <w:t xml:space="preserve">directly or indirectly </w:t>
            </w:r>
            <w:r w:rsidRPr="008B0669">
              <w:rPr>
                <w:rFonts w:asciiTheme="minorHAnsi" w:hAnsiTheme="minorHAnsi"/>
              </w:rPr>
              <w:t xml:space="preserve">engage in </w:t>
            </w:r>
            <w:r w:rsidR="00C43574" w:rsidRPr="008B0669">
              <w:rPr>
                <w:rFonts w:asciiTheme="minorHAnsi" w:hAnsiTheme="minorHAnsi"/>
              </w:rPr>
              <w:t xml:space="preserve">or assist </w:t>
            </w:r>
            <w:r w:rsidRPr="008B0669">
              <w:rPr>
                <w:rFonts w:asciiTheme="minorHAnsi" w:hAnsiTheme="minorHAnsi"/>
              </w:rPr>
              <w:t xml:space="preserve">discriminatory conduct for a prohibited reason.  </w:t>
            </w:r>
          </w:p>
          <w:p w:rsidR="00CC23D8" w:rsidRPr="008B0669" w:rsidRDefault="00CC23D8" w:rsidP="00E73234">
            <w:pPr>
              <w:rPr>
                <w:rFonts w:asciiTheme="minorHAnsi" w:hAnsiTheme="minorHAnsi"/>
              </w:rPr>
            </w:pPr>
            <w:r w:rsidRPr="008B0669">
              <w:rPr>
                <w:rFonts w:asciiTheme="minorHAnsi" w:hAnsiTheme="minorHAnsi"/>
              </w:rPr>
              <w:t xml:space="preserve"> </w:t>
            </w:r>
          </w:p>
          <w:p w:rsidR="00246E97" w:rsidRPr="008B0669" w:rsidRDefault="00CC23D8" w:rsidP="00E73234">
            <w:pPr>
              <w:rPr>
                <w:rFonts w:asciiTheme="minorHAnsi" w:hAnsiTheme="minorHAnsi"/>
              </w:rPr>
            </w:pPr>
            <w:r w:rsidRPr="008B0669">
              <w:rPr>
                <w:rFonts w:asciiTheme="minorHAnsi" w:hAnsiTheme="minorHAnsi"/>
              </w:rPr>
              <w:t>Di</w:t>
            </w:r>
            <w:r w:rsidR="004D39C7" w:rsidRPr="008B0669">
              <w:rPr>
                <w:rFonts w:asciiTheme="minorHAnsi" w:hAnsiTheme="minorHAnsi"/>
              </w:rPr>
              <w:t>s</w:t>
            </w:r>
            <w:r w:rsidRPr="008B0669">
              <w:rPr>
                <w:rFonts w:asciiTheme="minorHAnsi" w:hAnsiTheme="minorHAnsi"/>
              </w:rPr>
              <w:t>criminatory conduct i</w:t>
            </w:r>
            <w:r w:rsidR="004D39C7" w:rsidRPr="008B0669">
              <w:rPr>
                <w:rFonts w:asciiTheme="minorHAnsi" w:hAnsiTheme="minorHAnsi"/>
              </w:rPr>
              <w:t>ncludes</w:t>
            </w:r>
            <w:r w:rsidRPr="008B0669">
              <w:rPr>
                <w:rFonts w:asciiTheme="minorHAnsi" w:hAnsiTheme="minorHAnsi"/>
              </w:rPr>
              <w:t xml:space="preserve"> dismissal of a worker, termination of a contract for services,</w:t>
            </w:r>
            <w:r w:rsidR="004D39C7" w:rsidRPr="008B0669">
              <w:rPr>
                <w:rFonts w:asciiTheme="minorHAnsi" w:hAnsiTheme="minorHAnsi"/>
              </w:rPr>
              <w:t xml:space="preserve"> harm</w:t>
            </w:r>
            <w:r w:rsidRPr="008B0669">
              <w:rPr>
                <w:rFonts w:asciiTheme="minorHAnsi" w:hAnsiTheme="minorHAnsi"/>
              </w:rPr>
              <w:t xml:space="preserve"> in relation a worker’s employment or engagement, refusal to employ  </w:t>
            </w:r>
            <w:r w:rsidR="00F75F9D" w:rsidRPr="008B0669">
              <w:rPr>
                <w:rFonts w:asciiTheme="minorHAnsi" w:hAnsiTheme="minorHAnsi"/>
              </w:rPr>
              <w:t xml:space="preserve"> </w:t>
            </w:r>
            <w:r w:rsidR="004D39C7" w:rsidRPr="008B0669">
              <w:rPr>
                <w:rFonts w:asciiTheme="minorHAnsi" w:hAnsiTheme="minorHAnsi"/>
              </w:rPr>
              <w:t>or engage a potential worker and the refusal to enter into a commercial arrangement or the termination of such an arrangement or threatening to engage in such conduct.</w:t>
            </w:r>
          </w:p>
          <w:p w:rsidR="00F75F9D" w:rsidRPr="008B0669" w:rsidRDefault="00F75F9D" w:rsidP="00E73234">
            <w:pPr>
              <w:rPr>
                <w:rFonts w:asciiTheme="minorHAnsi" w:hAnsiTheme="minorHAnsi"/>
              </w:rPr>
            </w:pPr>
          </w:p>
          <w:p w:rsidR="00F75F9D" w:rsidRPr="008B0669" w:rsidRDefault="004D39C7" w:rsidP="00E73234">
            <w:pPr>
              <w:rPr>
                <w:rFonts w:asciiTheme="minorHAnsi" w:hAnsiTheme="minorHAnsi"/>
              </w:rPr>
            </w:pPr>
            <w:r w:rsidRPr="008B0669">
              <w:rPr>
                <w:rFonts w:asciiTheme="minorHAnsi" w:hAnsiTheme="minorHAnsi"/>
              </w:rPr>
              <w:t xml:space="preserve">A prohibited reason includes </w:t>
            </w:r>
            <w:r w:rsidR="00C43574" w:rsidRPr="008B0669">
              <w:rPr>
                <w:rFonts w:asciiTheme="minorHAnsi" w:hAnsiTheme="minorHAnsi"/>
              </w:rPr>
              <w:t xml:space="preserve">a person’s being or proposing to be an </w:t>
            </w:r>
            <w:proofErr w:type="spellStart"/>
            <w:r w:rsidR="00C43574" w:rsidRPr="008B0669">
              <w:rPr>
                <w:rFonts w:asciiTheme="minorHAnsi" w:hAnsiTheme="minorHAnsi"/>
              </w:rPr>
              <w:t>HSR</w:t>
            </w:r>
            <w:proofErr w:type="spellEnd"/>
            <w:r w:rsidR="00C43574" w:rsidRPr="008B0669">
              <w:rPr>
                <w:rFonts w:asciiTheme="minorHAnsi" w:hAnsiTheme="minorHAnsi"/>
              </w:rPr>
              <w:t>;</w:t>
            </w:r>
            <w:r w:rsidRPr="008B0669">
              <w:rPr>
                <w:rFonts w:asciiTheme="minorHAnsi" w:hAnsiTheme="minorHAnsi"/>
              </w:rPr>
              <w:t xml:space="preserve">  exercising or </w:t>
            </w:r>
            <w:r w:rsidRPr="008B0669">
              <w:rPr>
                <w:rFonts w:asciiTheme="minorHAnsi" w:hAnsiTheme="minorHAnsi"/>
              </w:rPr>
              <w:lastRenderedPageBreak/>
              <w:t xml:space="preserve">proposing to exercise a power or to perform a function as an </w:t>
            </w:r>
            <w:proofErr w:type="spellStart"/>
            <w:r w:rsidRPr="008B0669">
              <w:rPr>
                <w:rFonts w:asciiTheme="minorHAnsi" w:hAnsiTheme="minorHAnsi"/>
              </w:rPr>
              <w:t>HSR</w:t>
            </w:r>
            <w:proofErr w:type="spellEnd"/>
            <w:r w:rsidRPr="008B0669">
              <w:rPr>
                <w:rFonts w:asciiTheme="minorHAnsi" w:hAnsiTheme="minorHAnsi"/>
              </w:rPr>
              <w:t xml:space="preserve"> or</w:t>
            </w:r>
            <w:r w:rsidR="00C43574" w:rsidRPr="008B0669">
              <w:rPr>
                <w:rFonts w:asciiTheme="minorHAnsi" w:hAnsiTheme="minorHAnsi"/>
              </w:rPr>
              <w:t xml:space="preserve"> a member of an HSC;</w:t>
            </w:r>
            <w:r w:rsidRPr="008B0669">
              <w:rPr>
                <w:rFonts w:asciiTheme="minorHAnsi" w:hAnsiTheme="minorHAnsi"/>
              </w:rPr>
              <w:t xml:space="preserve"> assisting  in the exercise of a power or the performance of a </w:t>
            </w:r>
            <w:r w:rsidR="00C43574" w:rsidRPr="008B0669">
              <w:rPr>
                <w:rFonts w:asciiTheme="minorHAnsi" w:hAnsiTheme="minorHAnsi"/>
              </w:rPr>
              <w:t xml:space="preserve">function under the Act; being involved in resolving a WHS issue; seeking compliance with the Act or regulations; </w:t>
            </w:r>
            <w:r w:rsidRPr="008B0669">
              <w:rPr>
                <w:rFonts w:asciiTheme="minorHAnsi" w:hAnsiTheme="minorHAnsi"/>
              </w:rPr>
              <w:t xml:space="preserve">raising WHS concerns with a </w:t>
            </w:r>
            <w:r w:rsidR="00C43574" w:rsidRPr="008B0669">
              <w:rPr>
                <w:rFonts w:asciiTheme="minorHAnsi" w:hAnsiTheme="minorHAnsi"/>
              </w:rPr>
              <w:t xml:space="preserve">relevant person (a </w:t>
            </w:r>
            <w:proofErr w:type="spellStart"/>
            <w:r w:rsidRPr="008B0669">
              <w:rPr>
                <w:rFonts w:asciiTheme="minorHAnsi" w:hAnsiTheme="minorHAnsi"/>
              </w:rPr>
              <w:t>PCBU</w:t>
            </w:r>
            <w:proofErr w:type="spellEnd"/>
            <w:r w:rsidRPr="008B0669">
              <w:rPr>
                <w:rFonts w:asciiTheme="minorHAnsi" w:hAnsiTheme="minorHAnsi"/>
              </w:rPr>
              <w:t xml:space="preserve">, an </w:t>
            </w:r>
            <w:proofErr w:type="spellStart"/>
            <w:r w:rsidRPr="008B0669">
              <w:rPr>
                <w:rFonts w:asciiTheme="minorHAnsi" w:hAnsiTheme="minorHAnsi"/>
              </w:rPr>
              <w:t>HSR</w:t>
            </w:r>
            <w:proofErr w:type="spellEnd"/>
            <w:r w:rsidR="00C43574" w:rsidRPr="008B0669">
              <w:rPr>
                <w:rFonts w:asciiTheme="minorHAnsi" w:hAnsiTheme="minorHAnsi"/>
              </w:rPr>
              <w:t>, a WHS entry permit holder, an HSC member, another worker, an inspector).</w:t>
            </w:r>
          </w:p>
          <w:p w:rsidR="00C43574" w:rsidRPr="008B0669" w:rsidRDefault="00C43574" w:rsidP="00E73234">
            <w:pPr>
              <w:rPr>
                <w:rFonts w:asciiTheme="minorHAnsi" w:hAnsiTheme="minorHAnsi"/>
              </w:rPr>
            </w:pPr>
          </w:p>
          <w:p w:rsidR="004471FE" w:rsidRPr="008B0669" w:rsidRDefault="00C43574" w:rsidP="004471FE">
            <w:pPr>
              <w:rPr>
                <w:rFonts w:asciiTheme="minorHAnsi" w:hAnsiTheme="minorHAnsi"/>
              </w:rPr>
            </w:pPr>
            <w:r w:rsidRPr="008B0669">
              <w:rPr>
                <w:rFonts w:asciiTheme="minorHAnsi" w:hAnsiTheme="minorHAnsi"/>
              </w:rPr>
              <w:t>Criminal or civil enforcement action may be taken.</w:t>
            </w:r>
            <w:r w:rsidR="004471FE" w:rsidRPr="008B0669">
              <w:rPr>
                <w:rFonts w:asciiTheme="minorHAnsi" w:hAnsiTheme="minorHAnsi"/>
              </w:rPr>
              <w:t xml:space="preserve">  There is a reverse onus of proof in relation to the reason for the conduct (in the case of criminal proceedings, the reason must be the dominant reason; in civil proceedings, it must be a substantial reason).</w:t>
            </w:r>
          </w:p>
          <w:p w:rsidR="00C43574" w:rsidRPr="008B0669" w:rsidRDefault="00C43574" w:rsidP="00E73234">
            <w:pPr>
              <w:rPr>
                <w:rFonts w:asciiTheme="minorHAnsi" w:hAnsiTheme="minorHAnsi"/>
              </w:rPr>
            </w:pPr>
          </w:p>
          <w:p w:rsidR="00C43574" w:rsidRPr="008B0669" w:rsidRDefault="00C43574" w:rsidP="00E73234">
            <w:pPr>
              <w:rPr>
                <w:rFonts w:asciiTheme="minorHAnsi" w:hAnsiTheme="minorHAnsi"/>
              </w:rPr>
            </w:pPr>
            <w:r w:rsidRPr="008B0669">
              <w:rPr>
                <w:rFonts w:asciiTheme="minorHAnsi" w:hAnsiTheme="minorHAnsi"/>
              </w:rPr>
              <w:t>In a criminal proceeding, there is a financial penalty ($100,000 for a corporation) and a court may order compensation, reinstatement or re-employment or employment in the position applied for or a similar position.</w:t>
            </w:r>
          </w:p>
          <w:p w:rsidR="00C43574" w:rsidRPr="008B0669" w:rsidRDefault="00C43574" w:rsidP="00E73234">
            <w:pPr>
              <w:rPr>
                <w:rFonts w:asciiTheme="minorHAnsi" w:hAnsiTheme="minorHAnsi"/>
              </w:rPr>
            </w:pPr>
          </w:p>
          <w:p w:rsidR="00C43574" w:rsidRPr="008B0669" w:rsidRDefault="00C43574" w:rsidP="00E73234">
            <w:pPr>
              <w:rPr>
                <w:rFonts w:asciiTheme="minorHAnsi" w:hAnsiTheme="minorHAnsi"/>
              </w:rPr>
            </w:pPr>
            <w:r w:rsidRPr="008B0669">
              <w:rPr>
                <w:rFonts w:asciiTheme="minorHAnsi" w:hAnsiTheme="minorHAnsi"/>
              </w:rPr>
              <w:t>In civil proceedings,</w:t>
            </w:r>
            <w:r w:rsidR="004471FE" w:rsidRPr="008B0669">
              <w:rPr>
                <w:rFonts w:asciiTheme="minorHAnsi" w:hAnsiTheme="minorHAnsi"/>
              </w:rPr>
              <w:t xml:space="preserve"> the court or tribunal may order an injunction, compensation, reinstatement or re-employment, or any other order considered fit.</w:t>
            </w:r>
          </w:p>
          <w:p w:rsidR="004D39C7" w:rsidRPr="008B0669" w:rsidRDefault="004D39C7"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lastRenderedPageBreak/>
              <w:t>Serious/</w:t>
            </w:r>
            <w:proofErr w:type="spellStart"/>
            <w:r w:rsidRPr="008B0669">
              <w:rPr>
                <w:rFonts w:asciiTheme="minorHAnsi" w:hAnsiTheme="minorHAnsi"/>
                <w:b/>
              </w:rPr>
              <w:t>Notifiable</w:t>
            </w:r>
            <w:proofErr w:type="spellEnd"/>
          </w:p>
          <w:p w:rsidR="009A79FB" w:rsidRPr="008B0669" w:rsidRDefault="009A79FB" w:rsidP="00013B92">
            <w:pPr>
              <w:rPr>
                <w:rFonts w:asciiTheme="minorHAnsi" w:hAnsiTheme="minorHAnsi"/>
                <w:b/>
              </w:rPr>
            </w:pPr>
            <w:r w:rsidRPr="008B0669">
              <w:rPr>
                <w:rFonts w:asciiTheme="minorHAnsi" w:hAnsiTheme="minorHAnsi"/>
                <w:b/>
              </w:rPr>
              <w:t>Incidents</w:t>
            </w:r>
          </w:p>
        </w:tc>
        <w:tc>
          <w:tcPr>
            <w:tcW w:w="4050" w:type="dxa"/>
          </w:tcPr>
          <w:p w:rsidR="004471FE" w:rsidRPr="008B0669" w:rsidRDefault="004471FE" w:rsidP="00E43EAE">
            <w:pPr>
              <w:rPr>
                <w:rFonts w:asciiTheme="minorHAnsi" w:hAnsiTheme="minorHAnsi"/>
              </w:rPr>
            </w:pPr>
            <w:r w:rsidRPr="008B0669">
              <w:rPr>
                <w:rFonts w:asciiTheme="minorHAnsi" w:hAnsiTheme="minorHAnsi"/>
              </w:rPr>
              <w:t>O</w:t>
            </w:r>
            <w:r w:rsidR="009A79FB" w:rsidRPr="008B0669">
              <w:rPr>
                <w:rFonts w:asciiTheme="minorHAnsi" w:hAnsiTheme="minorHAnsi"/>
              </w:rPr>
              <w:t xml:space="preserve">perators </w:t>
            </w:r>
            <w:r w:rsidRPr="008B0669">
              <w:rPr>
                <w:rFonts w:asciiTheme="minorHAnsi" w:hAnsiTheme="minorHAnsi"/>
              </w:rPr>
              <w:t>must</w:t>
            </w:r>
            <w:r w:rsidR="009A79FB" w:rsidRPr="008B0669">
              <w:rPr>
                <w:rFonts w:asciiTheme="minorHAnsi" w:hAnsiTheme="minorHAnsi"/>
              </w:rPr>
              <w:t xml:space="preserve"> </w:t>
            </w:r>
            <w:r w:rsidR="00E43EAE" w:rsidRPr="008B0669">
              <w:rPr>
                <w:rFonts w:asciiTheme="minorHAnsi" w:hAnsiTheme="minorHAnsi"/>
              </w:rPr>
              <w:t>(</w:t>
            </w:r>
            <w:proofErr w:type="spellStart"/>
            <w:r w:rsidR="00E43EAE" w:rsidRPr="008B0669">
              <w:rPr>
                <w:rFonts w:asciiTheme="minorHAnsi" w:hAnsiTheme="minorHAnsi"/>
              </w:rPr>
              <w:t>s.107</w:t>
            </w:r>
            <w:proofErr w:type="spellEnd"/>
            <w:r w:rsidR="00E43EAE" w:rsidRPr="008B0669">
              <w:rPr>
                <w:rFonts w:asciiTheme="minorHAnsi" w:hAnsiTheme="minorHAnsi"/>
              </w:rPr>
              <w:t xml:space="preserve">) </w:t>
            </w:r>
            <w:r w:rsidR="009A79FB" w:rsidRPr="008B0669">
              <w:rPr>
                <w:rFonts w:asciiTheme="minorHAnsi" w:hAnsiTheme="minorHAnsi"/>
              </w:rPr>
              <w:t>report certain accidents and dangerous occurrences</w:t>
            </w:r>
            <w:r w:rsidR="00E73234" w:rsidRPr="008B0669">
              <w:rPr>
                <w:rFonts w:asciiTheme="minorHAnsi" w:hAnsiTheme="minorHAnsi"/>
              </w:rPr>
              <w:t xml:space="preserve"> </w:t>
            </w:r>
            <w:r w:rsidR="009A79FB" w:rsidRPr="008B0669">
              <w:rPr>
                <w:rFonts w:asciiTheme="minorHAnsi" w:hAnsiTheme="minorHAnsi"/>
              </w:rPr>
              <w:t xml:space="preserve">to </w:t>
            </w:r>
            <w:proofErr w:type="spellStart"/>
            <w:r w:rsidR="009A79FB" w:rsidRPr="008B0669">
              <w:rPr>
                <w:rFonts w:asciiTheme="minorHAnsi" w:hAnsiTheme="minorHAnsi"/>
              </w:rPr>
              <w:t>AMSA</w:t>
            </w:r>
            <w:proofErr w:type="spellEnd"/>
            <w:r w:rsidR="009A79FB" w:rsidRPr="008B0669">
              <w:rPr>
                <w:rFonts w:asciiTheme="minorHAnsi" w:hAnsiTheme="minorHAnsi"/>
              </w:rPr>
              <w:t xml:space="preserve"> and </w:t>
            </w:r>
            <w:r w:rsidR="00E43EAE" w:rsidRPr="008B0669">
              <w:rPr>
                <w:rFonts w:asciiTheme="minorHAnsi" w:hAnsiTheme="minorHAnsi"/>
              </w:rPr>
              <w:t>keep records of them.</w:t>
            </w:r>
          </w:p>
        </w:tc>
        <w:tc>
          <w:tcPr>
            <w:tcW w:w="4320" w:type="dxa"/>
          </w:tcPr>
          <w:p w:rsidR="009A79FB" w:rsidRPr="008B0669" w:rsidRDefault="00E43EAE" w:rsidP="00E73234">
            <w:pPr>
              <w:rPr>
                <w:rFonts w:asciiTheme="minorHAnsi" w:hAnsiTheme="minorHAnsi"/>
              </w:rPr>
            </w:pPr>
            <w:r w:rsidRPr="008B0669">
              <w:rPr>
                <w:rFonts w:asciiTheme="minorHAnsi" w:hAnsiTheme="minorHAnsi"/>
              </w:rPr>
              <w:t xml:space="preserve">Under Part 3 of the </w:t>
            </w:r>
            <w:r w:rsidR="009A79FB" w:rsidRPr="008B0669">
              <w:rPr>
                <w:rFonts w:asciiTheme="minorHAnsi" w:hAnsiTheme="minorHAnsi"/>
              </w:rPr>
              <w:t>model WHS Act</w:t>
            </w:r>
            <w:r w:rsidRPr="008B0669">
              <w:rPr>
                <w:rFonts w:asciiTheme="minorHAnsi" w:hAnsiTheme="minorHAnsi"/>
              </w:rPr>
              <w:t xml:space="preserve">, a </w:t>
            </w:r>
            <w:proofErr w:type="spellStart"/>
            <w:r w:rsidRPr="008B0669">
              <w:rPr>
                <w:rFonts w:asciiTheme="minorHAnsi" w:hAnsiTheme="minorHAnsi"/>
              </w:rPr>
              <w:t>PCBU</w:t>
            </w:r>
            <w:proofErr w:type="spellEnd"/>
            <w:r w:rsidRPr="008B0669">
              <w:rPr>
                <w:rFonts w:asciiTheme="minorHAnsi" w:hAnsiTheme="minorHAnsi"/>
              </w:rPr>
              <w:t xml:space="preserve"> must</w:t>
            </w:r>
            <w:r w:rsidR="009A79FB" w:rsidRPr="008B0669">
              <w:rPr>
                <w:rFonts w:asciiTheme="minorHAnsi" w:hAnsiTheme="minorHAnsi"/>
              </w:rPr>
              <w:t xml:space="preserve"> notify </w:t>
            </w:r>
            <w:r w:rsidRPr="008B0669">
              <w:rPr>
                <w:rFonts w:asciiTheme="minorHAnsi" w:hAnsiTheme="minorHAnsi"/>
              </w:rPr>
              <w:t>the regulator of specified</w:t>
            </w:r>
            <w:r w:rsidR="009A79FB" w:rsidRPr="008B0669">
              <w:rPr>
                <w:rFonts w:asciiTheme="minorHAnsi" w:hAnsiTheme="minorHAnsi"/>
              </w:rPr>
              <w:t xml:space="preserve"> </w:t>
            </w:r>
            <w:proofErr w:type="spellStart"/>
            <w:r w:rsidR="009A79FB" w:rsidRPr="008B0669">
              <w:rPr>
                <w:rFonts w:asciiTheme="minorHAnsi" w:hAnsiTheme="minorHAnsi"/>
              </w:rPr>
              <w:t>notifiable</w:t>
            </w:r>
            <w:proofErr w:type="spellEnd"/>
            <w:r w:rsidR="009A79FB" w:rsidRPr="008B0669">
              <w:rPr>
                <w:rFonts w:asciiTheme="minorHAnsi" w:hAnsiTheme="minorHAnsi"/>
              </w:rPr>
              <w:t xml:space="preserve"> incidents</w:t>
            </w:r>
            <w:r w:rsidRPr="008B0669">
              <w:rPr>
                <w:rFonts w:asciiTheme="minorHAnsi" w:hAnsiTheme="minorHAnsi"/>
              </w:rPr>
              <w:t xml:space="preserve"> (</w:t>
            </w:r>
            <w:r w:rsidR="009A79FB" w:rsidRPr="008B0669">
              <w:rPr>
                <w:rFonts w:asciiTheme="minorHAnsi" w:hAnsiTheme="minorHAnsi"/>
              </w:rPr>
              <w:t xml:space="preserve">the death of a person; a </w:t>
            </w:r>
            <w:r w:rsidRPr="008B0669">
              <w:rPr>
                <w:rFonts w:asciiTheme="minorHAnsi" w:hAnsiTheme="minorHAnsi"/>
              </w:rPr>
              <w:t xml:space="preserve">specified </w:t>
            </w:r>
            <w:r w:rsidR="009A79FB" w:rsidRPr="008B0669">
              <w:rPr>
                <w:rFonts w:asciiTheme="minorHAnsi" w:hAnsiTheme="minorHAnsi"/>
              </w:rPr>
              <w:t>serious injury or illness of a person; or a</w:t>
            </w:r>
            <w:r w:rsidR="00E73234" w:rsidRPr="008B0669">
              <w:rPr>
                <w:rFonts w:asciiTheme="minorHAnsi" w:hAnsiTheme="minorHAnsi"/>
              </w:rPr>
              <w:t xml:space="preserve"> </w:t>
            </w:r>
            <w:r w:rsidRPr="008B0669">
              <w:rPr>
                <w:rFonts w:asciiTheme="minorHAnsi" w:hAnsiTheme="minorHAnsi"/>
              </w:rPr>
              <w:t xml:space="preserve">specified </w:t>
            </w:r>
            <w:r w:rsidR="009A79FB" w:rsidRPr="008B0669">
              <w:rPr>
                <w:rFonts w:asciiTheme="minorHAnsi" w:hAnsiTheme="minorHAnsi"/>
              </w:rPr>
              <w:t>dangerous incident</w:t>
            </w:r>
            <w:r w:rsidRPr="008B0669">
              <w:rPr>
                <w:rFonts w:asciiTheme="minorHAnsi" w:hAnsiTheme="minorHAnsi"/>
              </w:rPr>
              <w:t>)</w:t>
            </w:r>
            <w:r w:rsidR="009A79FB" w:rsidRPr="008B0669">
              <w:rPr>
                <w:rFonts w:asciiTheme="minorHAnsi" w:hAnsiTheme="minorHAnsi"/>
              </w:rPr>
              <w:t>.</w:t>
            </w:r>
          </w:p>
          <w:p w:rsidR="00E43EAE" w:rsidRPr="008B0669" w:rsidRDefault="00E43EAE" w:rsidP="00E73234">
            <w:pPr>
              <w:rPr>
                <w:rFonts w:asciiTheme="minorHAnsi" w:hAnsiTheme="minorHAnsi"/>
              </w:rPr>
            </w:pPr>
          </w:p>
        </w:tc>
      </w:tr>
      <w:tr w:rsidR="00E73234" w:rsidRPr="008B0669" w:rsidTr="006D5DB7">
        <w:tc>
          <w:tcPr>
            <w:tcW w:w="2070" w:type="dxa"/>
          </w:tcPr>
          <w:p w:rsidR="009A79FB" w:rsidRPr="008B0669" w:rsidRDefault="009A79FB" w:rsidP="00013B92">
            <w:pPr>
              <w:rPr>
                <w:rFonts w:asciiTheme="minorHAnsi" w:hAnsiTheme="minorHAnsi"/>
                <w:b/>
              </w:rPr>
            </w:pPr>
            <w:r w:rsidRPr="008B0669">
              <w:rPr>
                <w:rFonts w:asciiTheme="minorHAnsi" w:hAnsiTheme="minorHAnsi"/>
                <w:b/>
              </w:rPr>
              <w:t>Inspector powers</w:t>
            </w:r>
          </w:p>
        </w:tc>
        <w:tc>
          <w:tcPr>
            <w:tcW w:w="4050" w:type="dxa"/>
          </w:tcPr>
          <w:p w:rsidR="009A79FB" w:rsidRPr="008B0669" w:rsidRDefault="009A79FB" w:rsidP="00013B92">
            <w:pPr>
              <w:rPr>
                <w:rFonts w:asciiTheme="minorHAnsi" w:hAnsiTheme="minorHAnsi"/>
              </w:rPr>
            </w:pPr>
            <w:r w:rsidRPr="008B0669">
              <w:rPr>
                <w:rFonts w:asciiTheme="minorHAnsi" w:hAnsiTheme="minorHAnsi"/>
              </w:rPr>
              <w:t>The OHS(MI) Act confers a number of functions and powers on investigators but these may only be exercised in connection with the conduct of an investigation.</w:t>
            </w:r>
          </w:p>
          <w:p w:rsidR="00E43EAE" w:rsidRPr="008B0669" w:rsidRDefault="00E43EAE" w:rsidP="00013B92">
            <w:pPr>
              <w:rPr>
                <w:rFonts w:asciiTheme="minorHAnsi" w:hAnsiTheme="minorHAnsi"/>
              </w:rPr>
            </w:pPr>
          </w:p>
        </w:tc>
        <w:tc>
          <w:tcPr>
            <w:tcW w:w="4320" w:type="dxa"/>
          </w:tcPr>
          <w:p w:rsidR="009A79FB" w:rsidRPr="008B0669" w:rsidRDefault="00E43EAE" w:rsidP="00E43EAE">
            <w:pPr>
              <w:rPr>
                <w:rFonts w:asciiTheme="minorHAnsi" w:hAnsiTheme="minorHAnsi"/>
              </w:rPr>
            </w:pPr>
            <w:r w:rsidRPr="008B0669">
              <w:rPr>
                <w:rFonts w:asciiTheme="minorHAnsi" w:hAnsiTheme="minorHAnsi"/>
              </w:rPr>
              <w:t>Part 8 of t</w:t>
            </w:r>
            <w:r w:rsidR="009A79FB" w:rsidRPr="008B0669">
              <w:rPr>
                <w:rFonts w:asciiTheme="minorHAnsi" w:hAnsiTheme="minorHAnsi"/>
              </w:rPr>
              <w:t xml:space="preserve">he model WHS Act confers a wide range of powers </w:t>
            </w:r>
            <w:r w:rsidRPr="008B0669">
              <w:rPr>
                <w:rFonts w:asciiTheme="minorHAnsi" w:hAnsiTheme="minorHAnsi"/>
              </w:rPr>
              <w:t xml:space="preserve">and functions </w:t>
            </w:r>
            <w:r w:rsidR="009A79FB" w:rsidRPr="008B0669">
              <w:rPr>
                <w:rFonts w:asciiTheme="minorHAnsi" w:hAnsiTheme="minorHAnsi"/>
              </w:rPr>
              <w:t>on inspectors. The</w:t>
            </w:r>
            <w:r w:rsidRPr="008B0669">
              <w:rPr>
                <w:rFonts w:asciiTheme="minorHAnsi" w:hAnsiTheme="minorHAnsi"/>
              </w:rPr>
              <w:t>se</w:t>
            </w:r>
            <w:r w:rsidR="009A79FB" w:rsidRPr="008B0669">
              <w:rPr>
                <w:rFonts w:asciiTheme="minorHAnsi" w:hAnsiTheme="minorHAnsi"/>
              </w:rPr>
              <w:t xml:space="preserve"> are not limited to the conduct of an investigation.</w:t>
            </w:r>
          </w:p>
        </w:tc>
      </w:tr>
      <w:tr w:rsidR="00E73234" w:rsidRPr="008B0669" w:rsidTr="006D5DB7">
        <w:trPr>
          <w:trHeight w:val="1790"/>
        </w:trPr>
        <w:tc>
          <w:tcPr>
            <w:tcW w:w="2070" w:type="dxa"/>
          </w:tcPr>
          <w:p w:rsidR="009A79FB" w:rsidRPr="008B0669" w:rsidRDefault="009A79FB" w:rsidP="00013B92">
            <w:pPr>
              <w:rPr>
                <w:rFonts w:asciiTheme="minorHAnsi" w:hAnsiTheme="minorHAnsi"/>
                <w:b/>
              </w:rPr>
            </w:pPr>
            <w:r w:rsidRPr="008B0669">
              <w:rPr>
                <w:rFonts w:asciiTheme="minorHAnsi" w:hAnsiTheme="minorHAnsi"/>
                <w:b/>
              </w:rPr>
              <w:t>Internal review of</w:t>
            </w:r>
          </w:p>
          <w:p w:rsidR="009A79FB" w:rsidRPr="008B0669" w:rsidRDefault="009A79FB" w:rsidP="00013B92">
            <w:pPr>
              <w:rPr>
                <w:rFonts w:asciiTheme="minorHAnsi" w:hAnsiTheme="minorHAnsi"/>
                <w:b/>
              </w:rPr>
            </w:pPr>
            <w:r w:rsidRPr="008B0669">
              <w:rPr>
                <w:rFonts w:asciiTheme="minorHAnsi" w:hAnsiTheme="minorHAnsi"/>
                <w:b/>
              </w:rPr>
              <w:t>statutory notices</w:t>
            </w:r>
          </w:p>
        </w:tc>
        <w:tc>
          <w:tcPr>
            <w:tcW w:w="4050" w:type="dxa"/>
          </w:tcPr>
          <w:p w:rsidR="009A79FB" w:rsidRPr="008B0669" w:rsidRDefault="009A79FB" w:rsidP="00E43EAE">
            <w:pPr>
              <w:rPr>
                <w:rFonts w:asciiTheme="minorHAnsi" w:hAnsiTheme="minorHAnsi"/>
              </w:rPr>
            </w:pPr>
            <w:r w:rsidRPr="008B0669">
              <w:rPr>
                <w:rFonts w:asciiTheme="minorHAnsi" w:hAnsiTheme="minorHAnsi"/>
              </w:rPr>
              <w:t xml:space="preserve">The OHS(MI) Act does not provide for internal review. </w:t>
            </w:r>
            <w:r w:rsidR="00E43EAE" w:rsidRPr="008B0669">
              <w:rPr>
                <w:rFonts w:asciiTheme="minorHAnsi" w:hAnsiTheme="minorHAnsi"/>
              </w:rPr>
              <w:t xml:space="preserve"> </w:t>
            </w:r>
            <w:r w:rsidRPr="008B0669">
              <w:rPr>
                <w:rFonts w:asciiTheme="minorHAnsi" w:hAnsiTheme="minorHAnsi"/>
              </w:rPr>
              <w:t>Appeals on specif</w:t>
            </w:r>
            <w:r w:rsidR="00E43EAE" w:rsidRPr="008B0669">
              <w:rPr>
                <w:rFonts w:asciiTheme="minorHAnsi" w:hAnsiTheme="minorHAnsi"/>
              </w:rPr>
              <w:t>ied matters may be made to Fair Work Australia.</w:t>
            </w:r>
          </w:p>
        </w:tc>
        <w:tc>
          <w:tcPr>
            <w:tcW w:w="4320" w:type="dxa"/>
          </w:tcPr>
          <w:p w:rsidR="009A79FB" w:rsidRPr="008B0669" w:rsidRDefault="00E43EAE" w:rsidP="008B0669">
            <w:pPr>
              <w:rPr>
                <w:rFonts w:asciiTheme="minorHAnsi" w:hAnsiTheme="minorHAnsi"/>
              </w:rPr>
            </w:pPr>
            <w:r w:rsidRPr="008B0669">
              <w:rPr>
                <w:rFonts w:asciiTheme="minorHAnsi" w:hAnsiTheme="minorHAnsi"/>
              </w:rPr>
              <w:t xml:space="preserve">Under Part 12, there is a two-stage review process </w:t>
            </w:r>
            <w:r w:rsidR="009A79FB" w:rsidRPr="008B0669">
              <w:rPr>
                <w:rFonts w:asciiTheme="minorHAnsi" w:hAnsiTheme="minorHAnsi"/>
              </w:rPr>
              <w:t>f</w:t>
            </w:r>
            <w:r w:rsidRPr="008B0669">
              <w:rPr>
                <w:rFonts w:asciiTheme="minorHAnsi" w:hAnsiTheme="minorHAnsi"/>
              </w:rPr>
              <w:t>or specified</w:t>
            </w:r>
            <w:r w:rsidR="009A79FB" w:rsidRPr="008B0669">
              <w:rPr>
                <w:rFonts w:asciiTheme="minorHAnsi" w:hAnsiTheme="minorHAnsi"/>
              </w:rPr>
              <w:t xml:space="preserve"> decisions, starting with internal review, followed by external review.</w:t>
            </w:r>
            <w:r w:rsidR="008B0669" w:rsidRPr="008B0669">
              <w:rPr>
                <w:rFonts w:asciiTheme="minorHAnsi" w:hAnsiTheme="minorHAnsi"/>
              </w:rPr>
              <w:t xml:space="preserve">  A decision may be stayed while under review.</w:t>
            </w:r>
          </w:p>
        </w:tc>
      </w:tr>
    </w:tbl>
    <w:p w:rsidR="009A79FB" w:rsidRPr="008B0669" w:rsidRDefault="009A79FB" w:rsidP="009A79FB">
      <w:pPr>
        <w:rPr>
          <w:rFonts w:asciiTheme="minorHAnsi" w:hAnsiTheme="minorHAnsi"/>
        </w:rPr>
      </w:pPr>
    </w:p>
    <w:p w:rsidR="00894696" w:rsidRPr="008B0669" w:rsidRDefault="00894696">
      <w:pPr>
        <w:ind w:left="720"/>
        <w:rPr>
          <w:rFonts w:asciiTheme="minorHAnsi" w:hAnsiTheme="minorHAnsi"/>
        </w:rPr>
      </w:pPr>
    </w:p>
    <w:sectPr w:rsidR="00894696" w:rsidRPr="008B0669" w:rsidSect="00BC1878">
      <w:footerReference w:type="default" r:id="rId12"/>
      <w:pgSz w:w="11906" w:h="16838" w:code="9"/>
      <w:pgMar w:top="1134" w:right="567" w:bottom="851" w:left="567" w:header="289" w:footer="28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28" w:rsidRDefault="00252328" w:rsidP="009C5EE0">
      <w:r>
        <w:separator/>
      </w:r>
    </w:p>
  </w:endnote>
  <w:endnote w:type="continuationSeparator" w:id="0">
    <w:p w:rsidR="00252328" w:rsidRDefault="00252328" w:rsidP="009C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auto"/>
    <w:notTrueType/>
    <w:pitch w:val="variable"/>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838660"/>
      <w:docPartObj>
        <w:docPartGallery w:val="Page Numbers (Bottom of Page)"/>
        <w:docPartUnique/>
      </w:docPartObj>
    </w:sdtPr>
    <w:sdtEndPr>
      <w:rPr>
        <w:noProof/>
      </w:rPr>
    </w:sdtEndPr>
    <w:sdtContent>
      <w:p w:rsidR="00252328" w:rsidRDefault="00252328">
        <w:pPr>
          <w:pStyle w:val="Footer"/>
          <w:jc w:val="right"/>
        </w:pPr>
        <w:r>
          <w:fldChar w:fldCharType="begin"/>
        </w:r>
        <w:r>
          <w:instrText xml:space="preserve"> PAGE   \* MERGEFORMAT </w:instrText>
        </w:r>
        <w:r>
          <w:fldChar w:fldCharType="separate"/>
        </w:r>
        <w:r w:rsidR="00733E1A">
          <w:rPr>
            <w:noProof/>
          </w:rPr>
          <w:t>27</w:t>
        </w:r>
        <w:r>
          <w:rPr>
            <w:noProof/>
          </w:rPr>
          <w:fldChar w:fldCharType="end"/>
        </w:r>
      </w:p>
    </w:sdtContent>
  </w:sdt>
  <w:p w:rsidR="00252328" w:rsidRDefault="0025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28" w:rsidRDefault="00252328" w:rsidP="009C5EE0">
      <w:r>
        <w:separator/>
      </w:r>
    </w:p>
  </w:footnote>
  <w:footnote w:type="continuationSeparator" w:id="0">
    <w:p w:rsidR="00252328" w:rsidRDefault="00252328" w:rsidP="009C5EE0">
      <w:r>
        <w:continuationSeparator/>
      </w:r>
    </w:p>
  </w:footnote>
  <w:footnote w:id="1">
    <w:p w:rsidR="00252328" w:rsidRPr="005312AE" w:rsidRDefault="00252328">
      <w:pPr>
        <w:pStyle w:val="FootnoteText"/>
        <w:rPr>
          <w:rFonts w:asciiTheme="minorHAnsi" w:hAnsiTheme="minorHAnsi"/>
          <w:lang w:val="en-US"/>
        </w:rPr>
      </w:pPr>
      <w:r>
        <w:rPr>
          <w:rStyle w:val="FootnoteReference"/>
        </w:rPr>
        <w:footnoteRef/>
      </w:r>
      <w:r>
        <w:t xml:space="preserve"> </w:t>
      </w:r>
      <w:r w:rsidRPr="005312AE">
        <w:rPr>
          <w:rFonts w:asciiTheme="minorHAnsi" w:hAnsiTheme="minorHAnsi"/>
          <w:i/>
          <w:color w:val="121212"/>
          <w:lang w:val="en"/>
        </w:rPr>
        <w:t>Marine Safety (Domestic Commercial Vessel) National Law Act 2012</w:t>
      </w:r>
      <w:r w:rsidRPr="005312AE">
        <w:rPr>
          <w:rFonts w:asciiTheme="minorHAnsi" w:hAnsiTheme="minorHAnsi"/>
          <w:color w:val="121212"/>
          <w:lang w:val="en"/>
        </w:rPr>
        <w:t xml:space="preserve"> (</w:t>
      </w:r>
      <w:proofErr w:type="spellStart"/>
      <w:r w:rsidRPr="005312AE">
        <w:rPr>
          <w:rFonts w:asciiTheme="minorHAnsi" w:hAnsiTheme="minorHAnsi"/>
          <w:color w:val="121212"/>
          <w:lang w:val="en"/>
        </w:rPr>
        <w:t>Cwth</w:t>
      </w:r>
      <w:proofErr w:type="spellEnd"/>
      <w:r w:rsidRPr="005312AE">
        <w:rPr>
          <w:rFonts w:asciiTheme="minorHAnsi" w:hAnsiTheme="minorHAnsi"/>
          <w:color w:val="121212"/>
          <w:lang w:val="en"/>
        </w:rPr>
        <w:t>), which is to be applied in the States and Territories.</w:t>
      </w:r>
    </w:p>
  </w:footnote>
  <w:footnote w:id="2">
    <w:p w:rsidR="00252328" w:rsidRPr="005312AE" w:rsidRDefault="00252328">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r w:rsidRPr="005312AE">
        <w:rPr>
          <w:rFonts w:asciiTheme="minorHAnsi" w:hAnsiTheme="minorHAnsi"/>
          <w:lang w:val="en-US"/>
        </w:rPr>
        <w:t xml:space="preserve">The Maritime </w:t>
      </w:r>
      <w:proofErr w:type="spellStart"/>
      <w:r w:rsidRPr="005312AE">
        <w:rPr>
          <w:rFonts w:asciiTheme="minorHAnsi" w:hAnsiTheme="minorHAnsi"/>
          <w:lang w:val="en-US"/>
        </w:rPr>
        <w:t>Labour</w:t>
      </w:r>
      <w:proofErr w:type="spellEnd"/>
      <w:r w:rsidRPr="005312AE">
        <w:rPr>
          <w:rFonts w:asciiTheme="minorHAnsi" w:hAnsiTheme="minorHAnsi"/>
          <w:lang w:val="en-US"/>
        </w:rPr>
        <w:t xml:space="preserve"> Convention takes effect internationally on 20 August 2013.</w:t>
      </w:r>
    </w:p>
  </w:footnote>
  <w:footnote w:id="3">
    <w:p w:rsidR="00252328" w:rsidRPr="005312AE" w:rsidRDefault="00252328" w:rsidP="002C5510">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hyperlink r:id="rId1" w:history="1">
        <w:r w:rsidRPr="005312AE">
          <w:rPr>
            <w:rStyle w:val="Hyperlink"/>
            <w:rFonts w:asciiTheme="minorHAnsi" w:hAnsiTheme="minorHAnsi"/>
          </w:rPr>
          <w:t>http://ministers.deewr.gov.au/shorten/review-national-compensation-scheme-seafarers</w:t>
        </w:r>
      </w:hyperlink>
    </w:p>
  </w:footnote>
  <w:footnote w:id="4">
    <w:p w:rsidR="00252328" w:rsidRPr="005312AE" w:rsidRDefault="00252328">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r w:rsidRPr="005312AE">
        <w:rPr>
          <w:rFonts w:asciiTheme="minorHAnsi" w:hAnsiTheme="minorHAnsi"/>
          <w:lang w:val="en-US"/>
        </w:rPr>
        <w:t>There are numerous statutes relating to the Seacare scheme.  These are set out in the later discussion relating to governance.</w:t>
      </w:r>
    </w:p>
  </w:footnote>
  <w:footnote w:id="5">
    <w:p w:rsidR="00252328" w:rsidRDefault="00252328" w:rsidP="00AF0E99">
      <w:pPr>
        <w:autoSpaceDE w:val="0"/>
        <w:autoSpaceDN w:val="0"/>
        <w:adjustRightInd w:val="0"/>
        <w:rPr>
          <w:rFonts w:asciiTheme="minorHAnsi" w:hAnsiTheme="minorHAnsi" w:cstheme="minorHAnsi"/>
          <w:color w:val="414142"/>
          <w:sz w:val="20"/>
          <w:szCs w:val="20"/>
        </w:rPr>
      </w:pPr>
      <w:r>
        <w:rPr>
          <w:rStyle w:val="FootnoteReference"/>
        </w:rPr>
        <w:footnoteRef/>
      </w:r>
      <w:r>
        <w:t xml:space="preserve"> </w:t>
      </w:r>
      <w:r w:rsidRPr="0005798D">
        <w:rPr>
          <w:rFonts w:asciiTheme="minorHAnsi" w:hAnsiTheme="minorHAnsi" w:cstheme="minorHAnsi"/>
          <w:sz w:val="20"/>
          <w:szCs w:val="20"/>
        </w:rPr>
        <w:t xml:space="preserve">Bureau of Infrastructure, Transport and Regional Economics, </w:t>
      </w:r>
      <w:r w:rsidRPr="00F3457D">
        <w:rPr>
          <w:rFonts w:asciiTheme="minorHAnsi" w:hAnsiTheme="minorHAnsi" w:cstheme="minorHAnsi"/>
          <w:i/>
          <w:sz w:val="20"/>
          <w:szCs w:val="20"/>
        </w:rPr>
        <w:t>Australian sea freight 2009–10</w:t>
      </w:r>
      <w:r w:rsidRPr="0005798D">
        <w:rPr>
          <w:rFonts w:asciiTheme="minorHAnsi" w:hAnsiTheme="minorHAnsi" w:cstheme="minorHAnsi"/>
          <w:sz w:val="20"/>
          <w:szCs w:val="20"/>
        </w:rPr>
        <w:t>, Australia, 2011</w:t>
      </w:r>
    </w:p>
    <w:p w:rsidR="00252328" w:rsidRDefault="00252328" w:rsidP="00AF0E99">
      <w:pPr>
        <w:pStyle w:val="FootnoteText"/>
      </w:pPr>
    </w:p>
  </w:footnote>
  <w:footnote w:id="6">
    <w:p w:rsidR="00252328" w:rsidRDefault="00252328">
      <w:pPr>
        <w:pStyle w:val="FootnoteText"/>
      </w:pPr>
      <w:r>
        <w:rPr>
          <w:rStyle w:val="FootnoteReference"/>
        </w:rPr>
        <w:footnoteRef/>
      </w:r>
      <w:r w:rsidRPr="00C64318">
        <w:rPr>
          <w:rFonts w:asciiTheme="minorHAnsi" w:hAnsiTheme="minorHAnsi" w:cstheme="minorHAnsi"/>
        </w:rPr>
        <w:t xml:space="preserve"> Twenty Equiv</w:t>
      </w:r>
      <w:r w:rsidR="00E95F1B">
        <w:rPr>
          <w:rFonts w:asciiTheme="minorHAnsi" w:hAnsiTheme="minorHAnsi" w:cstheme="minorHAnsi"/>
        </w:rPr>
        <w:t>a</w:t>
      </w:r>
      <w:r w:rsidRPr="00C64318">
        <w:rPr>
          <w:rFonts w:asciiTheme="minorHAnsi" w:hAnsiTheme="minorHAnsi" w:cstheme="minorHAnsi"/>
        </w:rPr>
        <w:t>l</w:t>
      </w:r>
      <w:r w:rsidR="00E95F1B">
        <w:rPr>
          <w:rFonts w:asciiTheme="minorHAnsi" w:hAnsiTheme="minorHAnsi" w:cstheme="minorHAnsi"/>
        </w:rPr>
        <w:t>e</w:t>
      </w:r>
      <w:r w:rsidRPr="00C64318">
        <w:rPr>
          <w:rFonts w:asciiTheme="minorHAnsi" w:hAnsiTheme="minorHAnsi" w:cstheme="minorHAnsi"/>
        </w:rPr>
        <w:t>nt Units (</w:t>
      </w:r>
      <w:proofErr w:type="spellStart"/>
      <w:r w:rsidRPr="00C64318">
        <w:rPr>
          <w:rFonts w:asciiTheme="minorHAnsi" w:hAnsiTheme="minorHAnsi" w:cstheme="minorHAnsi"/>
        </w:rPr>
        <w:t>TEU</w:t>
      </w:r>
      <w:proofErr w:type="spellEnd"/>
      <w:r w:rsidRPr="00C64318">
        <w:rPr>
          <w:rFonts w:asciiTheme="minorHAnsi" w:hAnsiTheme="minorHAnsi" w:cstheme="minorHAnsi"/>
        </w:rPr>
        <w:t>) is equiv</w:t>
      </w:r>
      <w:r w:rsidR="00E95F1B">
        <w:rPr>
          <w:rFonts w:asciiTheme="minorHAnsi" w:hAnsiTheme="minorHAnsi" w:cstheme="minorHAnsi"/>
        </w:rPr>
        <w:t>a</w:t>
      </w:r>
      <w:r w:rsidRPr="00C64318">
        <w:rPr>
          <w:rFonts w:asciiTheme="minorHAnsi" w:hAnsiTheme="minorHAnsi" w:cstheme="minorHAnsi"/>
        </w:rPr>
        <w:t>l</w:t>
      </w:r>
      <w:r w:rsidR="00E95F1B">
        <w:rPr>
          <w:rFonts w:asciiTheme="minorHAnsi" w:hAnsiTheme="minorHAnsi" w:cstheme="minorHAnsi"/>
        </w:rPr>
        <w:t>e</w:t>
      </w:r>
      <w:r w:rsidRPr="00C64318">
        <w:rPr>
          <w:rFonts w:asciiTheme="minorHAnsi" w:hAnsiTheme="minorHAnsi" w:cstheme="minorHAnsi"/>
        </w:rPr>
        <w:t>nt to 14 met</w:t>
      </w:r>
      <w:r w:rsidR="00E95F1B">
        <w:rPr>
          <w:rFonts w:asciiTheme="minorHAnsi" w:hAnsiTheme="minorHAnsi" w:cstheme="minorHAnsi"/>
        </w:rPr>
        <w:t>r</w:t>
      </w:r>
      <w:r w:rsidRPr="00C64318">
        <w:rPr>
          <w:rFonts w:asciiTheme="minorHAnsi" w:hAnsiTheme="minorHAnsi" w:cstheme="minorHAnsi"/>
        </w:rPr>
        <w:t>ic tonnes</w:t>
      </w:r>
    </w:p>
  </w:footnote>
  <w:footnote w:id="7">
    <w:p w:rsidR="00252328" w:rsidRPr="00725E60" w:rsidRDefault="00252328" w:rsidP="00AF0E99">
      <w:pPr>
        <w:autoSpaceDE w:val="0"/>
        <w:autoSpaceDN w:val="0"/>
        <w:adjustRightInd w:val="0"/>
        <w:rPr>
          <w:rFonts w:asciiTheme="minorHAnsi" w:hAnsiTheme="minorHAnsi" w:cstheme="minorHAnsi"/>
          <w:sz w:val="20"/>
          <w:szCs w:val="20"/>
        </w:rPr>
      </w:pPr>
      <w:r>
        <w:rPr>
          <w:rStyle w:val="FootnoteReference"/>
        </w:rPr>
        <w:footnoteRef/>
      </w:r>
      <w:r>
        <w:t xml:space="preserve"> </w:t>
      </w:r>
      <w:r w:rsidRPr="00F3457D">
        <w:rPr>
          <w:rFonts w:asciiTheme="minorHAnsi" w:hAnsiTheme="minorHAnsi" w:cstheme="minorHAnsi"/>
          <w:sz w:val="20"/>
          <w:szCs w:val="20"/>
        </w:rPr>
        <w:t>Bureau of Infrastructure, Transport and Regional Economics</w:t>
      </w:r>
      <w:r>
        <w:rPr>
          <w:rFonts w:asciiTheme="minorHAnsi" w:hAnsiTheme="minorHAnsi" w:cstheme="minorHAnsi"/>
          <w:sz w:val="20"/>
          <w:szCs w:val="20"/>
        </w:rPr>
        <w:t xml:space="preserve">, </w:t>
      </w:r>
      <w:r w:rsidRPr="00F3457D">
        <w:rPr>
          <w:rFonts w:asciiTheme="minorHAnsi" w:hAnsiTheme="minorHAnsi" w:cstheme="minorHAnsi"/>
          <w:i/>
          <w:sz w:val="20"/>
          <w:szCs w:val="20"/>
        </w:rPr>
        <w:t>Australian maritime activity to 2029–30 Statistical report</w:t>
      </w:r>
      <w:r>
        <w:rPr>
          <w:rFonts w:asciiTheme="minorHAnsi" w:hAnsiTheme="minorHAnsi" w:cstheme="minorHAnsi"/>
          <w:sz w:val="20"/>
          <w:szCs w:val="20"/>
        </w:rPr>
        <w:t xml:space="preserve">, </w:t>
      </w:r>
      <w:r>
        <w:rPr>
          <w:rFonts w:asciiTheme="minorHAnsi" w:hAnsiTheme="minorHAnsi" w:cstheme="minorHAnsi"/>
          <w:sz w:val="20"/>
          <w:szCs w:val="20"/>
        </w:rPr>
        <w:br/>
        <w:t xml:space="preserve">Australia, </w:t>
      </w:r>
      <w:r w:rsidRPr="00F3457D">
        <w:rPr>
          <w:rFonts w:asciiTheme="minorHAnsi" w:hAnsiTheme="minorHAnsi" w:cstheme="minorHAnsi"/>
          <w:sz w:val="20"/>
          <w:szCs w:val="20"/>
        </w:rPr>
        <w:t>2010</w:t>
      </w:r>
    </w:p>
    <w:p w:rsidR="00252328" w:rsidRDefault="00252328" w:rsidP="00AF0E99">
      <w:pPr>
        <w:pStyle w:val="FootnoteText"/>
      </w:pPr>
    </w:p>
  </w:footnote>
  <w:footnote w:id="8">
    <w:p w:rsidR="00252328" w:rsidRPr="005312AE" w:rsidRDefault="00252328" w:rsidP="00EB2885">
      <w:pPr>
        <w:pStyle w:val="FootnoteText"/>
        <w:rPr>
          <w:rFonts w:asciiTheme="minorHAnsi" w:hAnsiTheme="minorHAnsi"/>
          <w:lang w:val="en-US"/>
        </w:rPr>
      </w:pPr>
      <w:r>
        <w:rPr>
          <w:rStyle w:val="FootnoteReference"/>
        </w:rPr>
        <w:footnoteRef/>
      </w:r>
      <w:r w:rsidRPr="005312AE">
        <w:rPr>
          <w:rFonts w:asciiTheme="minorHAnsi" w:hAnsiTheme="minorHAnsi"/>
        </w:rPr>
        <w:t xml:space="preserve"> </w:t>
      </w:r>
      <w:hyperlink r:id="rId2" w:history="1">
        <w:r w:rsidRPr="005312AE">
          <w:rPr>
            <w:rStyle w:val="Hyperlink"/>
            <w:rFonts w:asciiTheme="minorHAnsi" w:hAnsiTheme="minorHAnsi"/>
          </w:rPr>
          <w:t>http://www.ret.gov.au/resources/Documents/Offshore%20Petroleum%20Safety/FinalGovt-response.pdf</w:t>
        </w:r>
      </w:hyperlink>
      <w:r w:rsidRPr="005312AE">
        <w:rPr>
          <w:rFonts w:asciiTheme="minorHAnsi" w:hAnsiTheme="minorHAnsi"/>
        </w:rPr>
        <w:t xml:space="preserve"> at </w:t>
      </w:r>
      <w:proofErr w:type="spellStart"/>
      <w:r w:rsidRPr="005312AE">
        <w:rPr>
          <w:rFonts w:asciiTheme="minorHAnsi" w:hAnsiTheme="minorHAnsi"/>
        </w:rPr>
        <w:t>p.18</w:t>
      </w:r>
      <w:proofErr w:type="spellEnd"/>
    </w:p>
  </w:footnote>
  <w:footnote w:id="9">
    <w:p w:rsidR="00252328" w:rsidRPr="006E761F" w:rsidRDefault="00252328">
      <w:pPr>
        <w:pStyle w:val="FootnoteText"/>
        <w:rPr>
          <w:rFonts w:asciiTheme="minorHAnsi" w:hAnsiTheme="minorHAnsi"/>
          <w:lang w:val="en-US"/>
        </w:rPr>
      </w:pPr>
      <w:r w:rsidRPr="006E761F">
        <w:rPr>
          <w:rStyle w:val="FootnoteReference"/>
          <w:rFonts w:asciiTheme="minorHAnsi" w:hAnsiTheme="minorHAnsi"/>
        </w:rPr>
        <w:footnoteRef/>
      </w:r>
      <w:r w:rsidRPr="006E761F">
        <w:rPr>
          <w:rFonts w:asciiTheme="minorHAnsi" w:hAnsiTheme="minorHAnsi"/>
        </w:rPr>
        <w:t xml:space="preserve"> </w:t>
      </w:r>
      <w:r w:rsidRPr="006E761F">
        <w:rPr>
          <w:rFonts w:asciiTheme="minorHAnsi" w:hAnsiTheme="minorHAnsi"/>
          <w:lang w:val="en-US"/>
        </w:rPr>
        <w:t>See the report of the Second Triennial Review of the Operational Effectiveness of the National Offshore Petroleum Safety Authority.</w:t>
      </w:r>
    </w:p>
  </w:footnote>
  <w:footnote w:id="10">
    <w:p w:rsidR="00252328" w:rsidRPr="005312AE" w:rsidRDefault="00252328" w:rsidP="00EB2885">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r>
        <w:rPr>
          <w:rFonts w:asciiTheme="minorHAnsi" w:hAnsiTheme="minorHAnsi"/>
          <w:lang w:val="en-US"/>
        </w:rPr>
        <w:t>See foot note 7.</w:t>
      </w:r>
    </w:p>
  </w:footnote>
  <w:footnote w:id="11">
    <w:p w:rsidR="00252328" w:rsidRPr="005312AE" w:rsidRDefault="00252328" w:rsidP="00EB2885">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r w:rsidRPr="005312AE">
        <w:rPr>
          <w:rFonts w:asciiTheme="minorHAnsi" w:hAnsiTheme="minorHAnsi"/>
          <w:lang w:val="en-US"/>
        </w:rPr>
        <w:t xml:space="preserve">Constitution, </w:t>
      </w:r>
      <w:proofErr w:type="spellStart"/>
      <w:r w:rsidRPr="005312AE">
        <w:rPr>
          <w:rFonts w:asciiTheme="minorHAnsi" w:hAnsiTheme="minorHAnsi"/>
          <w:lang w:val="en-US"/>
        </w:rPr>
        <w:t>s.109</w:t>
      </w:r>
      <w:proofErr w:type="spellEnd"/>
      <w:r w:rsidRPr="005312AE">
        <w:rPr>
          <w:rFonts w:asciiTheme="minorHAnsi" w:hAnsiTheme="minorHAnsi"/>
          <w:lang w:val="en-US"/>
        </w:rPr>
        <w:t>.</w:t>
      </w:r>
    </w:p>
  </w:footnote>
  <w:footnote w:id="12">
    <w:p w:rsidR="00252328" w:rsidRPr="005312AE" w:rsidRDefault="00252328">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w:t>
      </w:r>
      <w:hyperlink r:id="rId3" w:history="1">
        <w:r w:rsidRPr="00977FFA">
          <w:rPr>
            <w:rStyle w:val="Hyperlink"/>
            <w:rFonts w:asciiTheme="minorHAnsi" w:hAnsiTheme="minorHAnsi"/>
          </w:rPr>
          <w:t>http://www.amsa.gov.au/shipping_safety/OHS/OHSMOUs.asp</w:t>
        </w:r>
      </w:hyperlink>
    </w:p>
  </w:footnote>
  <w:footnote w:id="13">
    <w:p w:rsidR="00252328" w:rsidRPr="00C812CA" w:rsidRDefault="00252328">
      <w:pPr>
        <w:pStyle w:val="FootnoteText"/>
        <w:rPr>
          <w:lang w:val="en-US"/>
        </w:rPr>
      </w:pPr>
      <w:r w:rsidRPr="00C812CA">
        <w:rPr>
          <w:rStyle w:val="FootnoteReference"/>
          <w:rFonts w:asciiTheme="minorHAnsi" w:hAnsiTheme="minorHAnsi"/>
        </w:rPr>
        <w:footnoteRef/>
      </w:r>
      <w:r w:rsidRPr="00C812CA">
        <w:rPr>
          <w:rFonts w:asciiTheme="minorHAnsi" w:hAnsiTheme="minorHAnsi"/>
        </w:rPr>
        <w:t xml:space="preserve"> </w:t>
      </w:r>
      <w:hyperlink r:id="rId4" w:history="1">
        <w:r w:rsidRPr="009675C5">
          <w:rPr>
            <w:rStyle w:val="Hyperlink"/>
            <w:rFonts w:asciiTheme="minorHAnsi" w:hAnsiTheme="minorHAnsi"/>
          </w:rPr>
          <w:t>http://www.seacare.gov.au/data/assets/pdf_file/0004/64444/guidance-notes-coverage-under-seafarers-rehabilitation-compensation-act.pdf</w:t>
        </w:r>
      </w:hyperlink>
    </w:p>
  </w:footnote>
  <w:footnote w:id="14">
    <w:p w:rsidR="00252328" w:rsidRPr="005312AE" w:rsidRDefault="00252328" w:rsidP="00C812CA">
      <w:pPr>
        <w:pStyle w:val="FootnoteText"/>
        <w:rPr>
          <w:rFonts w:asciiTheme="minorHAnsi" w:hAnsiTheme="minorHAnsi"/>
          <w:lang w:val="en-US"/>
        </w:rPr>
      </w:pPr>
      <w:r w:rsidRPr="005312AE">
        <w:rPr>
          <w:rStyle w:val="FootnoteReference"/>
          <w:rFonts w:asciiTheme="minorHAnsi" w:hAnsiTheme="minorHAnsi"/>
        </w:rPr>
        <w:footnoteRef/>
      </w:r>
      <w:r w:rsidRPr="005312AE">
        <w:rPr>
          <w:rFonts w:asciiTheme="minorHAnsi" w:hAnsiTheme="minorHAnsi"/>
        </w:rPr>
        <w:t xml:space="preserve"> See </w:t>
      </w:r>
      <w:hyperlink r:id="rId5" w:history="1">
        <w:r w:rsidRPr="005312AE">
          <w:rPr>
            <w:rStyle w:val="Hyperlink"/>
            <w:rFonts w:asciiTheme="minorHAnsi" w:hAnsiTheme="minorHAnsi"/>
          </w:rPr>
          <w:t>http://www.infrastructure.gov.au/maritime/shipping_reform/</w:t>
        </w:r>
      </w:hyperlink>
      <w:r w:rsidRPr="005312AE">
        <w:rPr>
          <w:rFonts w:asciiTheme="minorHAnsi" w:hAnsiTheme="minorHAnsi"/>
        </w:rPr>
        <w:t xml:space="preserve"> and </w:t>
      </w:r>
      <w:hyperlink r:id="rId6" w:history="1">
        <w:r w:rsidRPr="005312AE">
          <w:rPr>
            <w:rStyle w:val="Hyperlink"/>
            <w:rFonts w:asciiTheme="minorHAnsi" w:hAnsiTheme="minorHAnsi"/>
          </w:rPr>
          <w:t>http://www.ret.gov.au/resources/upstream_petroleum/op-regulatory-regime/changes/Pages/changes.aspx</w:t>
        </w:r>
      </w:hyperlink>
    </w:p>
  </w:footnote>
  <w:footnote w:id="15">
    <w:p w:rsidR="00252328" w:rsidRPr="006B6B99" w:rsidRDefault="00252328" w:rsidP="006B6B99">
      <w:pPr>
        <w:autoSpaceDE w:val="0"/>
        <w:autoSpaceDN w:val="0"/>
        <w:adjustRightInd w:val="0"/>
        <w:rPr>
          <w:lang w:val="en-US"/>
        </w:rPr>
      </w:pPr>
      <w:r>
        <w:rPr>
          <w:rStyle w:val="FootnoteReference"/>
        </w:rPr>
        <w:footnoteRef/>
      </w:r>
      <w:r w:rsidRPr="006B6B99">
        <w:rPr>
          <w:rFonts w:asciiTheme="minorHAnsi" w:hAnsiTheme="minorHAnsi"/>
          <w:sz w:val="20"/>
          <w:szCs w:val="20"/>
        </w:rPr>
        <w:t xml:space="preserve"> </w:t>
      </w:r>
      <w:r w:rsidRPr="006B6B99">
        <w:rPr>
          <w:rFonts w:asciiTheme="minorHAnsi" w:hAnsiTheme="minorHAnsi"/>
          <w:i/>
          <w:sz w:val="20"/>
          <w:szCs w:val="20"/>
        </w:rPr>
        <w:t>Navigation (Consequential Amendments) Act 2012</w:t>
      </w:r>
    </w:p>
  </w:footnote>
  <w:footnote w:id="16">
    <w:p w:rsidR="00252328" w:rsidRPr="00C812CA" w:rsidRDefault="00252328">
      <w:pPr>
        <w:pStyle w:val="FootnoteText"/>
        <w:rPr>
          <w:lang w:val="en-US"/>
        </w:rPr>
      </w:pPr>
      <w:r w:rsidRPr="00C812CA">
        <w:rPr>
          <w:rStyle w:val="FootnoteReference"/>
          <w:rFonts w:asciiTheme="minorHAnsi" w:hAnsiTheme="minorHAnsi"/>
        </w:rPr>
        <w:footnoteRef/>
      </w:r>
      <w:r w:rsidRPr="00C812CA">
        <w:rPr>
          <w:rFonts w:asciiTheme="minorHAnsi" w:hAnsiTheme="minorHAnsi"/>
        </w:rPr>
        <w:t xml:space="preserve"> </w:t>
      </w:r>
      <w:hyperlink r:id="rId7" w:history="1">
        <w:r w:rsidRPr="00C812CA">
          <w:rPr>
            <w:rStyle w:val="Hyperlink"/>
            <w:rFonts w:asciiTheme="minorHAnsi" w:hAnsiTheme="minorHAnsi"/>
          </w:rPr>
          <w:t>http://www.seacare.gov.au/news/features_listing/seacare_jurisdictional_coveragediscussion_paper</w:t>
        </w:r>
      </w:hyperlink>
    </w:p>
  </w:footnote>
  <w:footnote w:id="17">
    <w:p w:rsidR="00252328" w:rsidRPr="004A0F59" w:rsidRDefault="00252328">
      <w:pPr>
        <w:pStyle w:val="FootnoteText"/>
        <w:rPr>
          <w:rFonts w:asciiTheme="minorHAnsi" w:hAnsiTheme="minorHAnsi"/>
        </w:rPr>
      </w:pPr>
      <w:r w:rsidRPr="004A0F59">
        <w:rPr>
          <w:rStyle w:val="FootnoteReference"/>
          <w:rFonts w:asciiTheme="minorHAnsi" w:hAnsiTheme="minorHAnsi"/>
        </w:rPr>
        <w:footnoteRef/>
      </w:r>
      <w:r w:rsidRPr="004A0F59">
        <w:rPr>
          <w:rFonts w:asciiTheme="minorHAnsi" w:hAnsiTheme="minorHAnsi"/>
        </w:rPr>
        <w:t xml:space="preserve"> </w:t>
      </w:r>
      <w:hyperlink r:id="rId8" w:history="1">
        <w:r w:rsidRPr="004A0F59">
          <w:rPr>
            <w:rStyle w:val="Hyperlink"/>
            <w:rFonts w:asciiTheme="minorHAnsi" w:hAnsiTheme="minorHAnsi"/>
          </w:rPr>
          <w:t>http://www.seacare.gov.au/compensation/coverage/exemption_from_the_seafarers_act</w:t>
        </w:r>
      </w:hyperlink>
    </w:p>
    <w:p w:rsidR="00252328" w:rsidRPr="005312AE" w:rsidRDefault="00252328">
      <w:pPr>
        <w:pStyle w:val="FootnoteText"/>
        <w:rPr>
          <w:rFonts w:asciiTheme="minorHAnsi" w:hAnsiTheme="minorHAnsi"/>
          <w:lang w:val="en-US"/>
        </w:rPr>
      </w:pPr>
    </w:p>
  </w:footnote>
  <w:footnote w:id="18">
    <w:p w:rsidR="00252328" w:rsidRPr="005B5F04" w:rsidRDefault="00252328">
      <w:pPr>
        <w:pStyle w:val="FootnoteText"/>
        <w:rPr>
          <w:rFonts w:asciiTheme="minorHAnsi" w:hAnsiTheme="minorHAnsi"/>
          <w:lang w:val="en-US"/>
        </w:rPr>
      </w:pPr>
      <w:r w:rsidRPr="005B5F04">
        <w:rPr>
          <w:rStyle w:val="FootnoteReference"/>
          <w:rFonts w:asciiTheme="minorHAnsi" w:hAnsiTheme="minorHAnsi"/>
        </w:rPr>
        <w:footnoteRef/>
      </w:r>
      <w:r w:rsidRPr="005B5F04">
        <w:rPr>
          <w:rFonts w:asciiTheme="minorHAnsi" w:hAnsiTheme="minorHAnsi"/>
        </w:rPr>
        <w:t xml:space="preserve"> </w:t>
      </w:r>
      <w:r w:rsidRPr="005B5F04">
        <w:rPr>
          <w:rFonts w:asciiTheme="minorHAnsi" w:hAnsiTheme="minorHAnsi"/>
          <w:lang w:val="en-US"/>
        </w:rPr>
        <w:t>The model W</w:t>
      </w:r>
      <w:r>
        <w:rPr>
          <w:rFonts w:asciiTheme="minorHAnsi" w:hAnsiTheme="minorHAnsi"/>
          <w:lang w:val="en-US"/>
        </w:rPr>
        <w:t>HS</w:t>
      </w:r>
      <w:r w:rsidRPr="005B5F04">
        <w:rPr>
          <w:rFonts w:asciiTheme="minorHAnsi" w:hAnsiTheme="minorHAnsi"/>
          <w:lang w:val="en-US"/>
        </w:rPr>
        <w:t xml:space="preserve"> Act was developed by Safe Work Australia </w:t>
      </w:r>
      <w:r>
        <w:rPr>
          <w:rFonts w:asciiTheme="minorHAnsi" w:hAnsiTheme="minorHAnsi"/>
          <w:lang w:val="en-US"/>
        </w:rPr>
        <w:t>under</w:t>
      </w:r>
      <w:r w:rsidRPr="005B5F04">
        <w:rPr>
          <w:rFonts w:asciiTheme="minorHAnsi" w:hAnsiTheme="minorHAnsi"/>
          <w:lang w:val="en-US"/>
        </w:rPr>
        <w:t xml:space="preserve"> the Council of Australian Governments </w:t>
      </w:r>
      <w:r w:rsidRPr="005B5F04">
        <w:rPr>
          <w:rFonts w:asciiTheme="minorHAnsi" w:hAnsiTheme="minorHAnsi" w:cs="Myriad Pro"/>
          <w:i/>
          <w:iCs/>
          <w:color w:val="000000"/>
        </w:rPr>
        <w:t>Intergovernmental Agreement for Regulatory and Operational Reform in OHS</w:t>
      </w:r>
      <w:r>
        <w:rPr>
          <w:rFonts w:asciiTheme="minorHAnsi" w:hAnsiTheme="minorHAnsi" w:cs="Myriad Pro"/>
          <w:i/>
          <w:iCs/>
          <w:color w:val="000000"/>
        </w:rPr>
        <w:t xml:space="preserve"> </w:t>
      </w:r>
      <w:r>
        <w:rPr>
          <w:rFonts w:asciiTheme="minorHAnsi" w:hAnsiTheme="minorHAnsi" w:cs="Myriad Pro"/>
          <w:iCs/>
          <w:color w:val="000000"/>
        </w:rPr>
        <w:t>(</w:t>
      </w:r>
      <w:r w:rsidRPr="005B5F04">
        <w:rPr>
          <w:rFonts w:asciiTheme="minorHAnsi" w:hAnsiTheme="minorHAnsi"/>
          <w:lang w:val="en-US"/>
        </w:rPr>
        <w:t>2008</w:t>
      </w:r>
      <w:r>
        <w:rPr>
          <w:rFonts w:asciiTheme="minorHAnsi" w:hAnsiTheme="minorHAnsi"/>
          <w:lang w:val="en-US"/>
        </w:rPr>
        <w:t>)</w:t>
      </w:r>
      <w:r w:rsidRPr="005B5F04">
        <w:rPr>
          <w:rFonts w:asciiTheme="minorHAnsi" w:hAnsiTheme="minorHAnsi" w:cs="Myriad Pro"/>
          <w:iCs/>
          <w:color w:val="000000"/>
        </w:rPr>
        <w:t>.</w:t>
      </w:r>
    </w:p>
  </w:footnote>
  <w:footnote w:id="19">
    <w:p w:rsidR="00252328" w:rsidRDefault="00252328">
      <w:pPr>
        <w:pStyle w:val="FootnoteText"/>
        <w:rPr>
          <w:rFonts w:asciiTheme="minorHAnsi" w:hAnsiTheme="minorHAnsi"/>
          <w:lang w:val="en-US"/>
        </w:rPr>
      </w:pPr>
      <w:r w:rsidRPr="00F4071E">
        <w:rPr>
          <w:rStyle w:val="FootnoteReference"/>
          <w:rFonts w:asciiTheme="minorHAnsi" w:hAnsiTheme="minorHAnsi"/>
        </w:rPr>
        <w:footnoteRef/>
      </w:r>
      <w:r w:rsidRPr="00F4071E">
        <w:rPr>
          <w:rFonts w:asciiTheme="minorHAnsi" w:hAnsiTheme="minorHAnsi"/>
        </w:rPr>
        <w:t xml:space="preserve"> </w:t>
      </w:r>
      <w:r w:rsidRPr="00F4071E">
        <w:rPr>
          <w:rFonts w:asciiTheme="minorHAnsi" w:hAnsiTheme="minorHAnsi"/>
          <w:lang w:val="en-US"/>
        </w:rPr>
        <w:t xml:space="preserve">Safe Work Australia, </w:t>
      </w:r>
      <w:r w:rsidRPr="00F4071E">
        <w:rPr>
          <w:rFonts w:asciiTheme="minorHAnsi" w:hAnsiTheme="minorHAnsi"/>
          <w:i/>
          <w:lang w:val="en-US"/>
        </w:rPr>
        <w:t>Guide to the Model Work Health and Safety Act</w:t>
      </w:r>
      <w:r>
        <w:rPr>
          <w:rFonts w:asciiTheme="minorHAnsi" w:hAnsiTheme="minorHAnsi"/>
          <w:lang w:val="en-US"/>
        </w:rPr>
        <w:t xml:space="preserve">, October 2012 – available at </w:t>
      </w:r>
      <w:hyperlink r:id="rId9" w:history="1">
        <w:r w:rsidRPr="009675C5">
          <w:rPr>
            <w:rStyle w:val="Hyperlink"/>
            <w:rFonts w:asciiTheme="minorHAnsi" w:hAnsiTheme="minorHAnsi"/>
            <w:lang w:val="en-US"/>
          </w:rPr>
          <w:t>http://www.safeworkaustralia.gov.au/sites/SWA/AboutSafeWorkAustralia/WhatWeDo/Publications/Documents/717/Guide-to-the-WHS-Act.pdf</w:t>
        </w:r>
      </w:hyperlink>
    </w:p>
    <w:p w:rsidR="00252328" w:rsidRPr="00F4071E" w:rsidRDefault="00252328">
      <w:pPr>
        <w:pStyle w:val="FootnoteText"/>
        <w:rPr>
          <w:rFonts w:asciiTheme="minorHAnsi" w:hAnsiTheme="minorHAnsi"/>
          <w:lang w:val="en-US"/>
        </w:rPr>
      </w:pPr>
    </w:p>
  </w:footnote>
  <w:footnote w:id="20">
    <w:p w:rsidR="00252328" w:rsidRPr="006100EA" w:rsidRDefault="00252328">
      <w:pPr>
        <w:pStyle w:val="FootnoteText"/>
        <w:rPr>
          <w:rFonts w:asciiTheme="minorHAnsi" w:hAnsiTheme="minorHAnsi"/>
          <w:lang w:val="en-US"/>
        </w:rPr>
      </w:pPr>
      <w:r w:rsidRPr="006100EA">
        <w:rPr>
          <w:rStyle w:val="FootnoteReference"/>
          <w:rFonts w:asciiTheme="minorHAnsi" w:hAnsiTheme="minorHAnsi"/>
        </w:rPr>
        <w:footnoteRef/>
      </w:r>
      <w:r w:rsidRPr="006100EA">
        <w:rPr>
          <w:rFonts w:asciiTheme="minorHAnsi" w:hAnsiTheme="minorHAnsi"/>
        </w:rPr>
        <w:t xml:space="preserve"> </w:t>
      </w:r>
      <w:hyperlink r:id="rId10" w:history="1">
        <w:r w:rsidRPr="006100EA">
          <w:rPr>
            <w:rStyle w:val="Hyperlink"/>
            <w:rFonts w:asciiTheme="minorHAnsi" w:hAnsiTheme="minorHAnsi"/>
          </w:rPr>
          <w:t>http://www.deewr.gov.au/WorkplaceRelations/Policies/Pages/SRCActReview.aspx</w:t>
        </w:r>
      </w:hyperlink>
    </w:p>
  </w:footnote>
  <w:footnote w:id="21">
    <w:p w:rsidR="00252328" w:rsidRPr="006100EA" w:rsidRDefault="00252328" w:rsidP="00E952AC">
      <w:pPr>
        <w:pStyle w:val="FootnoteText"/>
        <w:rPr>
          <w:rFonts w:asciiTheme="minorHAnsi" w:hAnsiTheme="minorHAnsi"/>
        </w:rPr>
      </w:pPr>
      <w:r w:rsidRPr="006100EA">
        <w:rPr>
          <w:rStyle w:val="FootnoteReference"/>
          <w:rFonts w:asciiTheme="minorHAnsi" w:hAnsiTheme="minorHAnsi"/>
        </w:rPr>
        <w:footnoteRef/>
      </w:r>
      <w:r w:rsidRPr="006100EA">
        <w:rPr>
          <w:rFonts w:asciiTheme="minorHAnsi" w:hAnsiTheme="minorHAnsi"/>
        </w:rPr>
        <w:t xml:space="preserve"> </w:t>
      </w:r>
      <w:r>
        <w:rPr>
          <w:rFonts w:asciiTheme="minorHAnsi" w:hAnsiTheme="minorHAnsi"/>
        </w:rPr>
        <w:t>Ibid, pp. 24,</w:t>
      </w:r>
      <w:r w:rsidRPr="006100EA">
        <w:rPr>
          <w:rFonts w:asciiTheme="minorHAnsi" w:hAnsiTheme="minorHAnsi"/>
        </w:rPr>
        <w:t>25.</w:t>
      </w:r>
    </w:p>
  </w:footnote>
  <w:footnote w:id="22">
    <w:p w:rsidR="00252328" w:rsidRPr="006100EA" w:rsidRDefault="00252328" w:rsidP="00E952AC">
      <w:pPr>
        <w:pStyle w:val="FootnoteText"/>
        <w:rPr>
          <w:rFonts w:asciiTheme="minorHAnsi" w:hAnsiTheme="minorHAnsi"/>
        </w:rPr>
      </w:pPr>
      <w:r w:rsidRPr="006100EA">
        <w:rPr>
          <w:rStyle w:val="FootnoteReference"/>
          <w:rFonts w:asciiTheme="minorHAnsi" w:hAnsiTheme="minorHAnsi"/>
        </w:rPr>
        <w:footnoteRef/>
      </w:r>
      <w:r w:rsidRPr="006100EA">
        <w:rPr>
          <w:rFonts w:asciiTheme="minorHAnsi" w:hAnsiTheme="minorHAnsi"/>
        </w:rPr>
        <w:t xml:space="preserve"> See: </w:t>
      </w:r>
      <w:hyperlink r:id="rId11" w:history="1">
        <w:r w:rsidRPr="006100EA">
          <w:rPr>
            <w:rStyle w:val="Hyperlink"/>
            <w:rFonts w:asciiTheme="minorHAnsi" w:hAnsiTheme="minorHAnsi"/>
          </w:rPr>
          <w:t>http://www.humanservices.gov.au/customer/enablers/centrelink/age-pension/eligibility-for-age-pension</w:t>
        </w:r>
      </w:hyperlink>
      <w:r w:rsidRPr="006100EA">
        <w:rPr>
          <w:rFonts w:asciiTheme="minorHAnsi" w:hAnsiTheme="minorHAnsi"/>
        </w:rPr>
        <w:t>.  The eligibility ages for men and women will be aligned at age 65 from 1 July 2013.</w:t>
      </w:r>
    </w:p>
  </w:footnote>
  <w:footnote w:id="23">
    <w:p w:rsidR="00252328" w:rsidRPr="006100EA" w:rsidRDefault="00252328" w:rsidP="00E952AC">
      <w:pPr>
        <w:pStyle w:val="FootnoteText"/>
        <w:rPr>
          <w:rFonts w:asciiTheme="minorHAnsi" w:hAnsiTheme="minorHAnsi"/>
        </w:rPr>
      </w:pPr>
      <w:r w:rsidRPr="006100EA">
        <w:rPr>
          <w:rStyle w:val="FootnoteReference"/>
          <w:rFonts w:asciiTheme="minorHAnsi" w:hAnsiTheme="minorHAnsi"/>
        </w:rPr>
        <w:footnoteRef/>
      </w:r>
      <w:r w:rsidRPr="006100EA">
        <w:rPr>
          <w:rFonts w:asciiTheme="minorHAnsi" w:hAnsiTheme="minorHAnsi"/>
        </w:rPr>
        <w:t xml:space="preserve"> The Australian Bureau of Statistics </w:t>
      </w:r>
      <w:r w:rsidRPr="006100EA">
        <w:rPr>
          <w:rFonts w:asciiTheme="minorHAnsi" w:hAnsiTheme="minorHAnsi"/>
          <w:i/>
          <w:iCs/>
        </w:rPr>
        <w:t>Survey of Employment Arrangements, Retirement and Superannuation 2007</w:t>
      </w:r>
      <w:r w:rsidRPr="006100EA">
        <w:rPr>
          <w:rFonts w:asciiTheme="minorHAnsi" w:hAnsiTheme="minorHAnsi"/>
        </w:rPr>
        <w:t xml:space="preserve"> indicates that the average age at retirement is currently 52 years (58 years for men and 47 years for women).</w:t>
      </w:r>
    </w:p>
  </w:footnote>
  <w:footnote w:id="24">
    <w:p w:rsidR="00252328" w:rsidRPr="006100EA" w:rsidRDefault="00252328" w:rsidP="00E952AC">
      <w:pPr>
        <w:pStyle w:val="FootnoteText"/>
        <w:rPr>
          <w:rFonts w:asciiTheme="minorHAnsi" w:hAnsiTheme="minorHAnsi"/>
        </w:rPr>
      </w:pPr>
      <w:r w:rsidRPr="006100EA">
        <w:rPr>
          <w:rStyle w:val="FootnoteReference"/>
          <w:rFonts w:asciiTheme="minorHAnsi" w:hAnsiTheme="minorHAnsi"/>
        </w:rPr>
        <w:footnoteRef/>
      </w:r>
      <w:r w:rsidRPr="006100EA">
        <w:rPr>
          <w:rFonts w:asciiTheme="minorHAnsi" w:hAnsiTheme="minorHAnsi"/>
        </w:rPr>
        <w:t xml:space="preserve"> Available at: </w:t>
      </w:r>
      <w:hyperlink r:id="rId12" w:history="1">
        <w:r w:rsidRPr="006100EA">
          <w:rPr>
            <w:rStyle w:val="Hyperlink"/>
            <w:rFonts w:asciiTheme="minorHAnsi" w:hAnsiTheme="minorHAnsi"/>
          </w:rPr>
          <w:t>http://www.aph.gov.au/Parliamentary_Business/Committees/House_of_Representatives_Committees?url=laca/olderpeople/report.htm</w:t>
        </w:r>
      </w:hyperlink>
    </w:p>
  </w:footnote>
  <w:footnote w:id="25">
    <w:p w:rsidR="00252328" w:rsidRPr="006100EA" w:rsidRDefault="00252328">
      <w:pPr>
        <w:pStyle w:val="FootnoteText"/>
        <w:rPr>
          <w:rFonts w:asciiTheme="minorHAnsi" w:hAnsiTheme="minorHAnsi"/>
        </w:rPr>
      </w:pPr>
      <w:r w:rsidRPr="006100EA">
        <w:rPr>
          <w:rStyle w:val="FootnoteReference"/>
          <w:rFonts w:asciiTheme="minorHAnsi" w:hAnsiTheme="minorHAnsi"/>
        </w:rPr>
        <w:footnoteRef/>
      </w:r>
      <w:r w:rsidRPr="006100EA">
        <w:rPr>
          <w:rFonts w:asciiTheme="minorHAnsi" w:hAnsiTheme="minorHAnsi"/>
        </w:rPr>
        <w:t xml:space="preserve"> </w:t>
      </w:r>
      <w:hyperlink r:id="rId13" w:history="1">
        <w:r w:rsidRPr="006100EA">
          <w:rPr>
            <w:rStyle w:val="Hyperlink"/>
            <w:rFonts w:asciiTheme="minorHAnsi" w:hAnsiTheme="minorHAnsi"/>
          </w:rPr>
          <w:t>http://www.alrc.gov.au/publications/grey-areas%E2%80%94age-barriers-work-commonwealth-laws-dp-78</w:t>
        </w:r>
      </w:hyperlink>
    </w:p>
    <w:p w:rsidR="00252328" w:rsidRPr="00B4787F" w:rsidRDefault="00252328">
      <w:pPr>
        <w:pStyle w:val="FootnoteText"/>
        <w:rPr>
          <w:lang w:val="en-US"/>
        </w:rPr>
      </w:pPr>
    </w:p>
  </w:footnote>
  <w:footnote w:id="26">
    <w:p w:rsidR="00252328" w:rsidRPr="007311D9" w:rsidRDefault="00252328" w:rsidP="003B5C64">
      <w:pPr>
        <w:pStyle w:val="FootnoteText"/>
        <w:rPr>
          <w:rFonts w:asciiTheme="minorHAnsi" w:hAnsiTheme="minorHAnsi"/>
        </w:rPr>
      </w:pPr>
      <w:r w:rsidRPr="007311D9">
        <w:rPr>
          <w:rStyle w:val="FootnoteReference"/>
          <w:rFonts w:asciiTheme="minorHAnsi" w:hAnsiTheme="minorHAnsi"/>
        </w:rPr>
        <w:footnoteRef/>
      </w:r>
      <w:r w:rsidRPr="007311D9">
        <w:rPr>
          <w:rFonts w:asciiTheme="minorHAnsi" w:hAnsiTheme="minorHAnsi"/>
        </w:rPr>
        <w:t xml:space="preserve"> Seafarers Act, </w:t>
      </w:r>
      <w:proofErr w:type="spellStart"/>
      <w:r w:rsidRPr="007311D9">
        <w:rPr>
          <w:rFonts w:asciiTheme="minorHAnsi" w:hAnsiTheme="minorHAnsi"/>
        </w:rPr>
        <w:t>ss.109</w:t>
      </w:r>
      <w:proofErr w:type="spellEnd"/>
      <w:r w:rsidRPr="007311D9">
        <w:rPr>
          <w:rFonts w:asciiTheme="minorHAnsi" w:hAnsiTheme="minorHAnsi"/>
        </w:rPr>
        <w:t>-111</w:t>
      </w:r>
    </w:p>
  </w:footnote>
  <w:footnote w:id="27">
    <w:p w:rsidR="00252328" w:rsidRPr="007311D9" w:rsidRDefault="00252328">
      <w:pPr>
        <w:pStyle w:val="FootnoteText"/>
        <w:rPr>
          <w:rFonts w:asciiTheme="minorHAnsi" w:hAnsiTheme="minorHAnsi"/>
          <w:lang w:val="en-US"/>
        </w:rPr>
      </w:pPr>
      <w:r w:rsidRPr="007311D9">
        <w:rPr>
          <w:rStyle w:val="FootnoteReference"/>
          <w:rFonts w:asciiTheme="minorHAnsi" w:hAnsiTheme="minorHAnsi"/>
        </w:rPr>
        <w:footnoteRef/>
      </w:r>
      <w:r w:rsidRPr="007311D9">
        <w:rPr>
          <w:rFonts w:asciiTheme="minorHAnsi" w:hAnsiTheme="minorHAnsi"/>
        </w:rPr>
        <w:t xml:space="preserve"> </w:t>
      </w:r>
      <w:r w:rsidRPr="007311D9">
        <w:rPr>
          <w:rFonts w:asciiTheme="minorHAnsi" w:hAnsiTheme="minorHAnsi"/>
          <w:lang w:val="en-US"/>
        </w:rPr>
        <w:t xml:space="preserve">Ibid, </w:t>
      </w:r>
      <w:proofErr w:type="spellStart"/>
      <w:r w:rsidRPr="007311D9">
        <w:rPr>
          <w:rFonts w:asciiTheme="minorHAnsi" w:hAnsiTheme="minorHAnsi"/>
          <w:lang w:val="en-US"/>
        </w:rPr>
        <w:t>s.125</w:t>
      </w:r>
      <w:proofErr w:type="spellEnd"/>
    </w:p>
  </w:footnote>
  <w:footnote w:id="28">
    <w:p w:rsidR="00252328" w:rsidRPr="007311D9" w:rsidRDefault="00252328" w:rsidP="003B5C64">
      <w:pPr>
        <w:pStyle w:val="FootnoteText"/>
        <w:rPr>
          <w:rFonts w:asciiTheme="minorHAnsi" w:hAnsiTheme="minorHAnsi"/>
        </w:rPr>
      </w:pPr>
      <w:r w:rsidRPr="007311D9">
        <w:rPr>
          <w:rStyle w:val="FootnoteReference"/>
          <w:rFonts w:asciiTheme="minorHAnsi" w:hAnsiTheme="minorHAnsi"/>
        </w:rPr>
        <w:footnoteRef/>
      </w:r>
      <w:r w:rsidRPr="007311D9">
        <w:rPr>
          <w:rFonts w:asciiTheme="minorHAnsi" w:hAnsiTheme="minorHAnsi"/>
        </w:rPr>
        <w:t xml:space="preserve"> Ibid, </w:t>
      </w:r>
      <w:proofErr w:type="spellStart"/>
      <w:r w:rsidRPr="007311D9">
        <w:rPr>
          <w:rFonts w:asciiTheme="minorHAnsi" w:hAnsiTheme="minorHAnsi"/>
        </w:rPr>
        <w:t>s.107</w:t>
      </w:r>
      <w:proofErr w:type="spellEnd"/>
      <w:r w:rsidRPr="007311D9">
        <w:rPr>
          <w:rFonts w:asciiTheme="minorHAnsi" w:hAnsiTheme="minorHAnsi"/>
        </w:rPr>
        <w:t xml:space="preserve">. Similarly, under </w:t>
      </w:r>
      <w:proofErr w:type="spellStart"/>
      <w:r w:rsidRPr="007311D9">
        <w:rPr>
          <w:rFonts w:asciiTheme="minorHAnsi" w:hAnsiTheme="minorHAnsi"/>
        </w:rPr>
        <w:t>s.73</w:t>
      </w:r>
      <w:proofErr w:type="spellEnd"/>
      <w:r w:rsidRPr="007311D9">
        <w:rPr>
          <w:rFonts w:asciiTheme="minorHAnsi" w:hAnsiTheme="minorHAnsi"/>
        </w:rPr>
        <w:t xml:space="preserve"> of the </w:t>
      </w:r>
      <w:proofErr w:type="spellStart"/>
      <w:r w:rsidRPr="007311D9">
        <w:rPr>
          <w:rFonts w:asciiTheme="minorHAnsi" w:hAnsiTheme="minorHAnsi"/>
        </w:rPr>
        <w:t>SRC</w:t>
      </w:r>
      <w:proofErr w:type="spellEnd"/>
      <w:r w:rsidRPr="007311D9">
        <w:rPr>
          <w:rFonts w:asciiTheme="minorHAnsi" w:hAnsiTheme="minorHAnsi"/>
        </w:rPr>
        <w:t xml:space="preserve"> Act, the Minister may give similar directions to Comcare.</w:t>
      </w:r>
    </w:p>
  </w:footnote>
  <w:footnote w:id="29">
    <w:p w:rsidR="00252328" w:rsidRPr="004A0F59" w:rsidRDefault="00252328" w:rsidP="00383F08">
      <w:pPr>
        <w:pStyle w:val="FootnoteText"/>
        <w:rPr>
          <w:rFonts w:asciiTheme="minorHAnsi" w:hAnsiTheme="minorHAnsi"/>
          <w:lang w:val="en-US"/>
        </w:rPr>
      </w:pPr>
      <w:r w:rsidRPr="004A0F59">
        <w:rPr>
          <w:rStyle w:val="FootnoteReference"/>
          <w:rFonts w:asciiTheme="minorHAnsi" w:hAnsiTheme="minorHAnsi"/>
        </w:rPr>
        <w:footnoteRef/>
      </w:r>
      <w:r w:rsidRPr="004A0F59">
        <w:rPr>
          <w:rFonts w:asciiTheme="minorHAnsi" w:hAnsiTheme="minorHAnsi"/>
        </w:rPr>
        <w:t xml:space="preserve"> </w:t>
      </w:r>
      <w:r w:rsidRPr="004A0F59">
        <w:rPr>
          <w:rFonts w:asciiTheme="minorHAnsi" w:hAnsiTheme="minorHAnsi"/>
          <w:lang w:val="en-US"/>
        </w:rPr>
        <w:t>Seafarers Act, Part 6.</w:t>
      </w:r>
    </w:p>
  </w:footnote>
  <w:footnote w:id="30">
    <w:p w:rsidR="00252328" w:rsidRPr="007311D9" w:rsidRDefault="00252328" w:rsidP="004A0F59">
      <w:pPr>
        <w:rPr>
          <w:rFonts w:asciiTheme="minorHAnsi" w:hAnsiTheme="minorHAnsi"/>
          <w:sz w:val="20"/>
          <w:szCs w:val="20"/>
          <w:lang w:val="en-US"/>
        </w:rPr>
      </w:pPr>
      <w:r w:rsidRPr="007311D9">
        <w:rPr>
          <w:rStyle w:val="FootnoteReference"/>
          <w:rFonts w:asciiTheme="minorHAnsi" w:hAnsiTheme="minorHAnsi"/>
          <w:sz w:val="20"/>
          <w:szCs w:val="20"/>
        </w:rPr>
        <w:footnoteRef/>
      </w:r>
      <w:r w:rsidRPr="007311D9">
        <w:rPr>
          <w:rFonts w:asciiTheme="minorHAnsi" w:hAnsiTheme="minorHAnsi"/>
          <w:sz w:val="20"/>
          <w:szCs w:val="20"/>
        </w:rPr>
        <w:t xml:space="preserve"> </w:t>
      </w:r>
      <w:r w:rsidRPr="007311D9">
        <w:rPr>
          <w:rFonts w:asciiTheme="minorHAnsi" w:hAnsiTheme="minorHAnsi"/>
          <w:i/>
          <w:sz w:val="20"/>
          <w:szCs w:val="20"/>
        </w:rPr>
        <w:t>Marine Navigation (Regulatory Functions) Levy Act 1991.</w:t>
      </w:r>
    </w:p>
  </w:footnote>
  <w:footnote w:id="31">
    <w:p w:rsidR="00252328" w:rsidRPr="004A0F59" w:rsidRDefault="00252328">
      <w:pPr>
        <w:pStyle w:val="FootnoteText"/>
        <w:rPr>
          <w:rFonts w:asciiTheme="minorHAnsi" w:hAnsiTheme="minorHAnsi"/>
          <w:lang w:val="en-US"/>
        </w:rPr>
      </w:pPr>
      <w:r w:rsidRPr="004A0F59">
        <w:rPr>
          <w:rStyle w:val="FootnoteReference"/>
          <w:rFonts w:asciiTheme="minorHAnsi" w:hAnsiTheme="minorHAnsi"/>
        </w:rPr>
        <w:footnoteRef/>
      </w:r>
      <w:r w:rsidRPr="004A0F59">
        <w:rPr>
          <w:rFonts w:asciiTheme="minorHAnsi" w:hAnsiTheme="minorHAnsi"/>
        </w:rPr>
        <w:t xml:space="preserve"> </w:t>
      </w:r>
      <w:r w:rsidRPr="004A0F59">
        <w:rPr>
          <w:rFonts w:asciiTheme="minorHAnsi" w:hAnsiTheme="minorHAnsi"/>
          <w:lang w:val="en-US"/>
        </w:rPr>
        <w:t>Seafarers Act, Part 7, Division 2</w:t>
      </w:r>
    </w:p>
  </w:footnote>
  <w:footnote w:id="32">
    <w:p w:rsidR="00252328" w:rsidRPr="00C94968" w:rsidRDefault="00252328">
      <w:pPr>
        <w:pStyle w:val="FootnoteText"/>
        <w:rPr>
          <w:rFonts w:asciiTheme="minorHAnsi" w:hAnsiTheme="minorHAnsi"/>
          <w:lang w:val="en-US"/>
        </w:rPr>
      </w:pPr>
      <w:r w:rsidRPr="00C94968">
        <w:rPr>
          <w:rStyle w:val="FootnoteReference"/>
          <w:rFonts w:asciiTheme="minorHAnsi" w:hAnsiTheme="minorHAnsi"/>
        </w:rPr>
        <w:footnoteRef/>
      </w:r>
      <w:r w:rsidRPr="00C94968">
        <w:rPr>
          <w:rFonts w:asciiTheme="minorHAnsi" w:hAnsiTheme="minorHAnsi"/>
        </w:rPr>
        <w:t xml:space="preserve"> </w:t>
      </w:r>
      <w:r>
        <w:rPr>
          <w:rFonts w:asciiTheme="minorHAnsi" w:hAnsiTheme="minorHAnsi"/>
        </w:rPr>
        <w:t>T</w:t>
      </w:r>
      <w:r w:rsidRPr="00C94968">
        <w:rPr>
          <w:rFonts w:asciiTheme="minorHAnsi" w:hAnsiTheme="minorHAnsi"/>
        </w:rPr>
        <w:t>he levy is imposed on seafarer berths on prescribed ships</w:t>
      </w:r>
    </w:p>
  </w:footnote>
  <w:footnote w:id="33">
    <w:p w:rsidR="00252328" w:rsidRPr="004A0F59" w:rsidRDefault="00252328" w:rsidP="00C94968">
      <w:pPr>
        <w:pStyle w:val="FootnoteText"/>
        <w:rPr>
          <w:rFonts w:asciiTheme="minorHAnsi" w:hAnsiTheme="minorHAnsi"/>
          <w:lang w:val="en-US"/>
        </w:rPr>
      </w:pPr>
      <w:r w:rsidRPr="004A0F59">
        <w:rPr>
          <w:rStyle w:val="FootnoteReference"/>
          <w:rFonts w:asciiTheme="minorHAnsi" w:hAnsiTheme="minorHAnsi"/>
        </w:rPr>
        <w:footnoteRef/>
      </w:r>
      <w:r w:rsidRPr="004A0F59">
        <w:rPr>
          <w:rFonts w:asciiTheme="minorHAnsi" w:hAnsiTheme="minorHAnsi"/>
        </w:rPr>
        <w:t xml:space="preserve"> </w:t>
      </w:r>
      <w:r w:rsidRPr="004A0F59">
        <w:rPr>
          <w:rFonts w:asciiTheme="minorHAnsi" w:hAnsiTheme="minorHAnsi"/>
          <w:lang w:val="en-US"/>
        </w:rPr>
        <w:t xml:space="preserve">Ibid, </w:t>
      </w:r>
      <w:proofErr w:type="spellStart"/>
      <w:r w:rsidRPr="004A0F59">
        <w:rPr>
          <w:rFonts w:asciiTheme="minorHAnsi" w:hAnsiTheme="minorHAnsi"/>
          <w:lang w:val="en-US"/>
        </w:rPr>
        <w:t>s.102</w:t>
      </w:r>
      <w:proofErr w:type="spellEnd"/>
      <w:r w:rsidRPr="004A0F59">
        <w:rPr>
          <w:rFonts w:asciiTheme="minorHAnsi" w:hAnsiTheme="minorHAnsi"/>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2B7"/>
    <w:multiLevelType w:val="hybridMultilevel"/>
    <w:tmpl w:val="0404728A"/>
    <w:lvl w:ilvl="0" w:tplc="E1BC7E58">
      <w:start w:val="1"/>
      <w:numFmt w:val="bullet"/>
      <w:lvlText w:val=""/>
      <w:lvlJc w:val="left"/>
      <w:pPr>
        <w:ind w:left="1296" w:hanging="360"/>
      </w:pPr>
      <w:rPr>
        <w:rFonts w:ascii="Symbol" w:hAnsi="Symbol" w:hint="default"/>
        <w:color w:val="0D0D0D"/>
      </w:rPr>
    </w:lvl>
    <w:lvl w:ilvl="1" w:tplc="04090003">
      <w:start w:val="1"/>
      <w:numFmt w:val="bullet"/>
      <w:lvlText w:val="o"/>
      <w:lvlJc w:val="left"/>
      <w:pPr>
        <w:ind w:left="948" w:hanging="360"/>
      </w:pPr>
      <w:rPr>
        <w:rFonts w:ascii="Courier New" w:hAnsi="Courier New" w:cs="Courier New" w:hint="default"/>
      </w:rPr>
    </w:lvl>
    <w:lvl w:ilvl="2" w:tplc="04090005" w:tentative="1">
      <w:start w:val="1"/>
      <w:numFmt w:val="bullet"/>
      <w:lvlText w:val=""/>
      <w:lvlJc w:val="left"/>
      <w:pPr>
        <w:ind w:left="1668" w:hanging="360"/>
      </w:pPr>
      <w:rPr>
        <w:rFonts w:ascii="Wingdings" w:hAnsi="Wingdings" w:hint="default"/>
      </w:rPr>
    </w:lvl>
    <w:lvl w:ilvl="3" w:tplc="04090001" w:tentative="1">
      <w:start w:val="1"/>
      <w:numFmt w:val="bullet"/>
      <w:lvlText w:val=""/>
      <w:lvlJc w:val="left"/>
      <w:pPr>
        <w:ind w:left="2388" w:hanging="360"/>
      </w:pPr>
      <w:rPr>
        <w:rFonts w:ascii="Symbol" w:hAnsi="Symbol" w:hint="default"/>
      </w:rPr>
    </w:lvl>
    <w:lvl w:ilvl="4" w:tplc="04090003" w:tentative="1">
      <w:start w:val="1"/>
      <w:numFmt w:val="bullet"/>
      <w:lvlText w:val="o"/>
      <w:lvlJc w:val="left"/>
      <w:pPr>
        <w:ind w:left="3108" w:hanging="360"/>
      </w:pPr>
      <w:rPr>
        <w:rFonts w:ascii="Courier New" w:hAnsi="Courier New" w:cs="Courier New" w:hint="default"/>
      </w:rPr>
    </w:lvl>
    <w:lvl w:ilvl="5" w:tplc="04090005" w:tentative="1">
      <w:start w:val="1"/>
      <w:numFmt w:val="bullet"/>
      <w:lvlText w:val=""/>
      <w:lvlJc w:val="left"/>
      <w:pPr>
        <w:ind w:left="3828" w:hanging="360"/>
      </w:pPr>
      <w:rPr>
        <w:rFonts w:ascii="Wingdings" w:hAnsi="Wingdings" w:hint="default"/>
      </w:rPr>
    </w:lvl>
    <w:lvl w:ilvl="6" w:tplc="04090001" w:tentative="1">
      <w:start w:val="1"/>
      <w:numFmt w:val="bullet"/>
      <w:lvlText w:val=""/>
      <w:lvlJc w:val="left"/>
      <w:pPr>
        <w:ind w:left="4548" w:hanging="360"/>
      </w:pPr>
      <w:rPr>
        <w:rFonts w:ascii="Symbol" w:hAnsi="Symbol" w:hint="default"/>
      </w:rPr>
    </w:lvl>
    <w:lvl w:ilvl="7" w:tplc="04090003" w:tentative="1">
      <w:start w:val="1"/>
      <w:numFmt w:val="bullet"/>
      <w:lvlText w:val="o"/>
      <w:lvlJc w:val="left"/>
      <w:pPr>
        <w:ind w:left="5268" w:hanging="360"/>
      </w:pPr>
      <w:rPr>
        <w:rFonts w:ascii="Courier New" w:hAnsi="Courier New" w:cs="Courier New" w:hint="default"/>
      </w:rPr>
    </w:lvl>
    <w:lvl w:ilvl="8" w:tplc="04090005" w:tentative="1">
      <w:start w:val="1"/>
      <w:numFmt w:val="bullet"/>
      <w:lvlText w:val=""/>
      <w:lvlJc w:val="left"/>
      <w:pPr>
        <w:ind w:left="5988" w:hanging="360"/>
      </w:pPr>
      <w:rPr>
        <w:rFonts w:ascii="Wingdings" w:hAnsi="Wingdings" w:hint="default"/>
      </w:rPr>
    </w:lvl>
  </w:abstractNum>
  <w:abstractNum w:abstractNumId="1">
    <w:nsid w:val="050E2A59"/>
    <w:multiLevelType w:val="hybridMultilevel"/>
    <w:tmpl w:val="C4F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E7FEF"/>
    <w:multiLevelType w:val="hybridMultilevel"/>
    <w:tmpl w:val="9DDCB0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866DEB"/>
    <w:multiLevelType w:val="hybridMultilevel"/>
    <w:tmpl w:val="748CB3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0BF13C22"/>
    <w:multiLevelType w:val="hybridMultilevel"/>
    <w:tmpl w:val="5DF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26035"/>
    <w:multiLevelType w:val="hybridMultilevel"/>
    <w:tmpl w:val="593C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56541"/>
    <w:multiLevelType w:val="hybridMultilevel"/>
    <w:tmpl w:val="7CE27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20A77"/>
    <w:multiLevelType w:val="hybridMultilevel"/>
    <w:tmpl w:val="2F42514A"/>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nsid w:val="0FC64F9B"/>
    <w:multiLevelType w:val="hybridMultilevel"/>
    <w:tmpl w:val="49549C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C849A8"/>
    <w:multiLevelType w:val="hybridMultilevel"/>
    <w:tmpl w:val="026AD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ED4B6A"/>
    <w:multiLevelType w:val="hybridMultilevel"/>
    <w:tmpl w:val="558AFB36"/>
    <w:lvl w:ilvl="0" w:tplc="14AEA3C4">
      <w:start w:val="1"/>
      <w:numFmt w:val="decimal"/>
      <w:lvlText w:val="%1."/>
      <w:lvlJc w:val="left"/>
      <w:pPr>
        <w:ind w:left="936" w:hanging="360"/>
      </w:pPr>
      <w:rPr>
        <w:i w:val="0"/>
        <w:sz w:val="22"/>
        <w:szCs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1A8A596A"/>
    <w:multiLevelType w:val="hybridMultilevel"/>
    <w:tmpl w:val="F21494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nsid w:val="1DCC4ADE"/>
    <w:multiLevelType w:val="hybridMultilevel"/>
    <w:tmpl w:val="8CAAE1BA"/>
    <w:lvl w:ilvl="0" w:tplc="1F1E39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1E22EC"/>
    <w:multiLevelType w:val="hybridMultilevel"/>
    <w:tmpl w:val="038C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CF24BB"/>
    <w:multiLevelType w:val="hybridMultilevel"/>
    <w:tmpl w:val="C010BA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B1666F"/>
    <w:multiLevelType w:val="hybridMultilevel"/>
    <w:tmpl w:val="17B8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CD510D"/>
    <w:multiLevelType w:val="hybridMultilevel"/>
    <w:tmpl w:val="678A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03CAB"/>
    <w:multiLevelType w:val="hybridMultilevel"/>
    <w:tmpl w:val="3768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E206F"/>
    <w:multiLevelType w:val="hybridMultilevel"/>
    <w:tmpl w:val="ECCAA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4B0FDC"/>
    <w:multiLevelType w:val="hybridMultilevel"/>
    <w:tmpl w:val="169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F749AE"/>
    <w:multiLevelType w:val="hybridMultilevel"/>
    <w:tmpl w:val="DA52F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CE69F1"/>
    <w:multiLevelType w:val="hybridMultilevel"/>
    <w:tmpl w:val="31F86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4F39F4"/>
    <w:multiLevelType w:val="hybridMultilevel"/>
    <w:tmpl w:val="E6E23156"/>
    <w:lvl w:ilvl="0" w:tplc="04090017">
      <w:start w:val="1"/>
      <w:numFmt w:val="lowerLetter"/>
      <w:lvlText w:val="%1)"/>
      <w:lvlJc w:val="left"/>
      <w:pPr>
        <w:ind w:left="1443" w:hanging="360"/>
      </w:pPr>
    </w:lvl>
    <w:lvl w:ilvl="1" w:tplc="04090019">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3">
    <w:nsid w:val="36FA449D"/>
    <w:multiLevelType w:val="hybridMultilevel"/>
    <w:tmpl w:val="083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93705A"/>
    <w:multiLevelType w:val="hybridMultilevel"/>
    <w:tmpl w:val="FF782D36"/>
    <w:lvl w:ilvl="0" w:tplc="D062D772">
      <w:start w:val="1"/>
      <w:numFmt w:val="lowerLetter"/>
      <w:pStyle w:val="TOC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CBF195C"/>
    <w:multiLevelType w:val="hybridMultilevel"/>
    <w:tmpl w:val="1C5E8856"/>
    <w:lvl w:ilvl="0" w:tplc="E1BC7E58">
      <w:start w:val="1"/>
      <w:numFmt w:val="bullet"/>
      <w:lvlText w:val=""/>
      <w:lvlJc w:val="left"/>
      <w:pPr>
        <w:ind w:left="2364" w:hanging="360"/>
      </w:pPr>
      <w:rPr>
        <w:rFonts w:ascii="Symbol" w:hAnsi="Symbol" w:hint="default"/>
        <w:color w:val="0D0D0D"/>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404A1004"/>
    <w:multiLevelType w:val="hybridMultilevel"/>
    <w:tmpl w:val="34C8383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7">
    <w:nsid w:val="414E0611"/>
    <w:multiLevelType w:val="singleLevel"/>
    <w:tmpl w:val="327654E6"/>
    <w:lvl w:ilvl="0">
      <w:start w:val="2"/>
      <w:numFmt w:val="decimal"/>
      <w:pStyle w:val="numberlist"/>
      <w:lvlText w:val="%1."/>
      <w:lvlJc w:val="left"/>
      <w:pPr>
        <w:tabs>
          <w:tab w:val="num" w:pos="360"/>
        </w:tabs>
        <w:ind w:left="360" w:hanging="360"/>
      </w:pPr>
    </w:lvl>
  </w:abstractNum>
  <w:abstractNum w:abstractNumId="28">
    <w:nsid w:val="473C1BEB"/>
    <w:multiLevelType w:val="hybridMultilevel"/>
    <w:tmpl w:val="921EF9E4"/>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nsid w:val="4B8E4620"/>
    <w:multiLevelType w:val="hybridMultilevel"/>
    <w:tmpl w:val="F43640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C645A"/>
    <w:multiLevelType w:val="hybridMultilevel"/>
    <w:tmpl w:val="24ECF4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FD57557"/>
    <w:multiLevelType w:val="hybridMultilevel"/>
    <w:tmpl w:val="A94A0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064167"/>
    <w:multiLevelType w:val="hybridMultilevel"/>
    <w:tmpl w:val="9C004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6B2A33"/>
    <w:multiLevelType w:val="hybridMultilevel"/>
    <w:tmpl w:val="2E9C5BDE"/>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5E5E0512"/>
    <w:multiLevelType w:val="hybridMultilevel"/>
    <w:tmpl w:val="8056E5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A30F46"/>
    <w:multiLevelType w:val="hybridMultilevel"/>
    <w:tmpl w:val="20DAA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D87256"/>
    <w:multiLevelType w:val="hybridMultilevel"/>
    <w:tmpl w:val="5C86E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6F000FF5"/>
    <w:multiLevelType w:val="hybridMultilevel"/>
    <w:tmpl w:val="C464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1725F9"/>
    <w:multiLevelType w:val="hybridMultilevel"/>
    <w:tmpl w:val="7F08C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5611FB"/>
    <w:multiLevelType w:val="hybridMultilevel"/>
    <w:tmpl w:val="13DAD3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15252"/>
    <w:multiLevelType w:val="hybridMultilevel"/>
    <w:tmpl w:val="A9964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6CF43DD"/>
    <w:multiLevelType w:val="hybridMultilevel"/>
    <w:tmpl w:val="8FA42868"/>
    <w:lvl w:ilvl="0" w:tplc="04090017">
      <w:start w:val="1"/>
      <w:numFmt w:val="lowerLetter"/>
      <w:lvlText w:val="%1)"/>
      <w:lvlJc w:val="left"/>
      <w:pPr>
        <w:ind w:left="1443" w:hanging="360"/>
      </w:pPr>
      <w:rPr>
        <w:rFont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2">
    <w:nsid w:val="787F050A"/>
    <w:multiLevelType w:val="hybridMultilevel"/>
    <w:tmpl w:val="01A43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BA4F0F"/>
    <w:multiLevelType w:val="hybridMultilevel"/>
    <w:tmpl w:val="33243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C884780"/>
    <w:multiLevelType w:val="hybridMultilevel"/>
    <w:tmpl w:val="C240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33"/>
  </w:num>
  <w:num w:numId="3">
    <w:abstractNumId w:val="34"/>
  </w:num>
  <w:num w:numId="4">
    <w:abstractNumId w:val="41"/>
  </w:num>
  <w:num w:numId="5">
    <w:abstractNumId w:val="25"/>
  </w:num>
  <w:num w:numId="6">
    <w:abstractNumId w:val="10"/>
  </w:num>
  <w:num w:numId="7">
    <w:abstractNumId w:val="0"/>
  </w:num>
  <w:num w:numId="8">
    <w:abstractNumId w:val="8"/>
  </w:num>
  <w:num w:numId="9">
    <w:abstractNumId w:val="30"/>
  </w:num>
  <w:num w:numId="10">
    <w:abstractNumId w:val="2"/>
  </w:num>
  <w:num w:numId="11">
    <w:abstractNumId w:val="22"/>
  </w:num>
  <w:num w:numId="12">
    <w:abstractNumId w:val="29"/>
  </w:num>
  <w:num w:numId="13">
    <w:abstractNumId w:val="31"/>
  </w:num>
  <w:num w:numId="14">
    <w:abstractNumId w:val="28"/>
  </w:num>
  <w:num w:numId="15">
    <w:abstractNumId w:val="3"/>
  </w:num>
  <w:num w:numId="16">
    <w:abstractNumId w:val="36"/>
  </w:num>
  <w:num w:numId="17">
    <w:abstractNumId w:val="11"/>
  </w:num>
  <w:num w:numId="18">
    <w:abstractNumId w:val="1"/>
  </w:num>
  <w:num w:numId="19">
    <w:abstractNumId w:val="32"/>
  </w:num>
  <w:num w:numId="20">
    <w:abstractNumId w:val="7"/>
  </w:num>
  <w:num w:numId="21">
    <w:abstractNumId w:val="35"/>
  </w:num>
  <w:num w:numId="22">
    <w:abstractNumId w:val="6"/>
  </w:num>
  <w:num w:numId="23">
    <w:abstractNumId w:val="26"/>
  </w:num>
  <w:num w:numId="24">
    <w:abstractNumId w:val="12"/>
  </w:num>
  <w:num w:numId="25">
    <w:abstractNumId w:val="43"/>
  </w:num>
  <w:num w:numId="26">
    <w:abstractNumId w:val="44"/>
  </w:num>
  <w:num w:numId="27">
    <w:abstractNumId w:val="14"/>
  </w:num>
  <w:num w:numId="28">
    <w:abstractNumId w:val="39"/>
  </w:num>
  <w:num w:numId="29">
    <w:abstractNumId w:val="24"/>
  </w:num>
  <w:num w:numId="30">
    <w:abstractNumId w:val="4"/>
  </w:num>
  <w:num w:numId="31">
    <w:abstractNumId w:val="37"/>
  </w:num>
  <w:num w:numId="32">
    <w:abstractNumId w:val="5"/>
  </w:num>
  <w:num w:numId="33">
    <w:abstractNumId w:val="18"/>
  </w:num>
  <w:num w:numId="34">
    <w:abstractNumId w:val="15"/>
  </w:num>
  <w:num w:numId="35">
    <w:abstractNumId w:val="20"/>
  </w:num>
  <w:num w:numId="36">
    <w:abstractNumId w:val="21"/>
  </w:num>
  <w:num w:numId="37">
    <w:abstractNumId w:val="40"/>
  </w:num>
  <w:num w:numId="38">
    <w:abstractNumId w:val="42"/>
  </w:num>
  <w:num w:numId="39">
    <w:abstractNumId w:val="17"/>
  </w:num>
  <w:num w:numId="40">
    <w:abstractNumId w:val="9"/>
  </w:num>
  <w:num w:numId="41">
    <w:abstractNumId w:val="38"/>
  </w:num>
  <w:num w:numId="42">
    <w:abstractNumId w:val="16"/>
  </w:num>
  <w:num w:numId="43">
    <w:abstractNumId w:val="13"/>
  </w:num>
  <w:num w:numId="44">
    <w:abstractNumId w:val="23"/>
  </w:num>
  <w:num w:numId="45">
    <w:abstractNumId w:val="19"/>
  </w:num>
  <w:num w:numId="46">
    <w:abstractNumId w:val="27"/>
  </w:num>
  <w:num w:numId="4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14"/>
    <w:rsid w:val="0000069B"/>
    <w:rsid w:val="00005358"/>
    <w:rsid w:val="00013B92"/>
    <w:rsid w:val="000153B5"/>
    <w:rsid w:val="000215A8"/>
    <w:rsid w:val="00031F9F"/>
    <w:rsid w:val="000372C4"/>
    <w:rsid w:val="00043049"/>
    <w:rsid w:val="0004690F"/>
    <w:rsid w:val="000470E8"/>
    <w:rsid w:val="00061D9C"/>
    <w:rsid w:val="00077DA0"/>
    <w:rsid w:val="000917E0"/>
    <w:rsid w:val="00092CD5"/>
    <w:rsid w:val="00094D29"/>
    <w:rsid w:val="0009677D"/>
    <w:rsid w:val="00097962"/>
    <w:rsid w:val="000A1A09"/>
    <w:rsid w:val="000B0465"/>
    <w:rsid w:val="000B2678"/>
    <w:rsid w:val="000B7965"/>
    <w:rsid w:val="000C2228"/>
    <w:rsid w:val="000C5FF0"/>
    <w:rsid w:val="000D2718"/>
    <w:rsid w:val="000D6637"/>
    <w:rsid w:val="000E18A2"/>
    <w:rsid w:val="000E2873"/>
    <w:rsid w:val="000E5FF9"/>
    <w:rsid w:val="000E6194"/>
    <w:rsid w:val="000F0309"/>
    <w:rsid w:val="001026B0"/>
    <w:rsid w:val="00107314"/>
    <w:rsid w:val="00116B09"/>
    <w:rsid w:val="00116F2D"/>
    <w:rsid w:val="00120174"/>
    <w:rsid w:val="001249D3"/>
    <w:rsid w:val="00135DC9"/>
    <w:rsid w:val="001362B3"/>
    <w:rsid w:val="0013721A"/>
    <w:rsid w:val="00142484"/>
    <w:rsid w:val="00145830"/>
    <w:rsid w:val="00155B56"/>
    <w:rsid w:val="00162A90"/>
    <w:rsid w:val="00162BAE"/>
    <w:rsid w:val="00163795"/>
    <w:rsid w:val="0016424A"/>
    <w:rsid w:val="00167593"/>
    <w:rsid w:val="0018326B"/>
    <w:rsid w:val="00187A46"/>
    <w:rsid w:val="00190DD3"/>
    <w:rsid w:val="0019305A"/>
    <w:rsid w:val="00195BD0"/>
    <w:rsid w:val="0019705A"/>
    <w:rsid w:val="001A0AD0"/>
    <w:rsid w:val="001A0AFF"/>
    <w:rsid w:val="001A1494"/>
    <w:rsid w:val="001A2FE7"/>
    <w:rsid w:val="001B070A"/>
    <w:rsid w:val="001B4D1A"/>
    <w:rsid w:val="001C08FC"/>
    <w:rsid w:val="001D26B1"/>
    <w:rsid w:val="001D5F6C"/>
    <w:rsid w:val="001E254D"/>
    <w:rsid w:val="001F0694"/>
    <w:rsid w:val="001F6A83"/>
    <w:rsid w:val="001F749D"/>
    <w:rsid w:val="00201ADB"/>
    <w:rsid w:val="0021199F"/>
    <w:rsid w:val="002125C4"/>
    <w:rsid w:val="00213757"/>
    <w:rsid w:val="002146A5"/>
    <w:rsid w:val="00222646"/>
    <w:rsid w:val="00223D6F"/>
    <w:rsid w:val="002355DD"/>
    <w:rsid w:val="002431A9"/>
    <w:rsid w:val="00246E97"/>
    <w:rsid w:val="00252328"/>
    <w:rsid w:val="00254C22"/>
    <w:rsid w:val="002554AB"/>
    <w:rsid w:val="00256D7A"/>
    <w:rsid w:val="00264526"/>
    <w:rsid w:val="00272068"/>
    <w:rsid w:val="00281BFB"/>
    <w:rsid w:val="00282A1B"/>
    <w:rsid w:val="0029429B"/>
    <w:rsid w:val="00294B22"/>
    <w:rsid w:val="002975AB"/>
    <w:rsid w:val="002A5B58"/>
    <w:rsid w:val="002B2DC1"/>
    <w:rsid w:val="002B4390"/>
    <w:rsid w:val="002C4A88"/>
    <w:rsid w:val="002C5510"/>
    <w:rsid w:val="002D3CD0"/>
    <w:rsid w:val="002D7158"/>
    <w:rsid w:val="002E1041"/>
    <w:rsid w:val="002E255C"/>
    <w:rsid w:val="002F6833"/>
    <w:rsid w:val="00301393"/>
    <w:rsid w:val="003021D1"/>
    <w:rsid w:val="00314D7B"/>
    <w:rsid w:val="003158A3"/>
    <w:rsid w:val="00320338"/>
    <w:rsid w:val="00320C7C"/>
    <w:rsid w:val="003353C4"/>
    <w:rsid w:val="00352749"/>
    <w:rsid w:val="003608E9"/>
    <w:rsid w:val="00372D7E"/>
    <w:rsid w:val="003745CF"/>
    <w:rsid w:val="003758D6"/>
    <w:rsid w:val="00383F08"/>
    <w:rsid w:val="00386125"/>
    <w:rsid w:val="0038793C"/>
    <w:rsid w:val="00390618"/>
    <w:rsid w:val="00390F81"/>
    <w:rsid w:val="00391E14"/>
    <w:rsid w:val="003A315A"/>
    <w:rsid w:val="003A3F9B"/>
    <w:rsid w:val="003B5C64"/>
    <w:rsid w:val="003D0371"/>
    <w:rsid w:val="003D13B4"/>
    <w:rsid w:val="003D6402"/>
    <w:rsid w:val="003E0A9A"/>
    <w:rsid w:val="003F0010"/>
    <w:rsid w:val="003F250D"/>
    <w:rsid w:val="003F4C52"/>
    <w:rsid w:val="00401E09"/>
    <w:rsid w:val="0040758D"/>
    <w:rsid w:val="0042131F"/>
    <w:rsid w:val="00426A7E"/>
    <w:rsid w:val="004278D0"/>
    <w:rsid w:val="0043247D"/>
    <w:rsid w:val="00437ADD"/>
    <w:rsid w:val="004471FE"/>
    <w:rsid w:val="00447643"/>
    <w:rsid w:val="00457A8F"/>
    <w:rsid w:val="00461D2B"/>
    <w:rsid w:val="00463DF9"/>
    <w:rsid w:val="0046487A"/>
    <w:rsid w:val="004708C9"/>
    <w:rsid w:val="00471410"/>
    <w:rsid w:val="00473723"/>
    <w:rsid w:val="0048473B"/>
    <w:rsid w:val="00490CA5"/>
    <w:rsid w:val="004970EE"/>
    <w:rsid w:val="00497970"/>
    <w:rsid w:val="004A0F59"/>
    <w:rsid w:val="004A1807"/>
    <w:rsid w:val="004B2312"/>
    <w:rsid w:val="004B3231"/>
    <w:rsid w:val="004C0241"/>
    <w:rsid w:val="004C07CB"/>
    <w:rsid w:val="004C34AB"/>
    <w:rsid w:val="004D23CA"/>
    <w:rsid w:val="004D39C7"/>
    <w:rsid w:val="004E562F"/>
    <w:rsid w:val="004E662C"/>
    <w:rsid w:val="004E76DF"/>
    <w:rsid w:val="004F05BD"/>
    <w:rsid w:val="004F343C"/>
    <w:rsid w:val="00500103"/>
    <w:rsid w:val="0050376D"/>
    <w:rsid w:val="00506CEE"/>
    <w:rsid w:val="005157E4"/>
    <w:rsid w:val="00517E93"/>
    <w:rsid w:val="00525214"/>
    <w:rsid w:val="005312AE"/>
    <w:rsid w:val="0053773A"/>
    <w:rsid w:val="00543013"/>
    <w:rsid w:val="005450EA"/>
    <w:rsid w:val="00556278"/>
    <w:rsid w:val="00557963"/>
    <w:rsid w:val="00557D2A"/>
    <w:rsid w:val="005722FA"/>
    <w:rsid w:val="00583C85"/>
    <w:rsid w:val="00585354"/>
    <w:rsid w:val="0058673C"/>
    <w:rsid w:val="00586E26"/>
    <w:rsid w:val="005B0984"/>
    <w:rsid w:val="005B2ABC"/>
    <w:rsid w:val="005B5F04"/>
    <w:rsid w:val="005B688A"/>
    <w:rsid w:val="005B7717"/>
    <w:rsid w:val="005C7E10"/>
    <w:rsid w:val="005D1C88"/>
    <w:rsid w:val="005D61D1"/>
    <w:rsid w:val="005E14EC"/>
    <w:rsid w:val="005F427E"/>
    <w:rsid w:val="005F46ED"/>
    <w:rsid w:val="005F5F21"/>
    <w:rsid w:val="005F61AC"/>
    <w:rsid w:val="00601425"/>
    <w:rsid w:val="006100EA"/>
    <w:rsid w:val="006202B0"/>
    <w:rsid w:val="00620528"/>
    <w:rsid w:val="00622521"/>
    <w:rsid w:val="00623A84"/>
    <w:rsid w:val="00626035"/>
    <w:rsid w:val="0062603D"/>
    <w:rsid w:val="006269B6"/>
    <w:rsid w:val="00626E59"/>
    <w:rsid w:val="0063394B"/>
    <w:rsid w:val="00640ED3"/>
    <w:rsid w:val="00641575"/>
    <w:rsid w:val="00643DB1"/>
    <w:rsid w:val="006457CC"/>
    <w:rsid w:val="0065169D"/>
    <w:rsid w:val="006565F3"/>
    <w:rsid w:val="00656D28"/>
    <w:rsid w:val="006608E7"/>
    <w:rsid w:val="00665ED5"/>
    <w:rsid w:val="00665EF7"/>
    <w:rsid w:val="0067293A"/>
    <w:rsid w:val="0068038B"/>
    <w:rsid w:val="0068375E"/>
    <w:rsid w:val="00687195"/>
    <w:rsid w:val="00687C66"/>
    <w:rsid w:val="006948F9"/>
    <w:rsid w:val="00696A17"/>
    <w:rsid w:val="006A01D4"/>
    <w:rsid w:val="006B0017"/>
    <w:rsid w:val="006B6B99"/>
    <w:rsid w:val="006B7367"/>
    <w:rsid w:val="006C28D1"/>
    <w:rsid w:val="006C7F93"/>
    <w:rsid w:val="006D3511"/>
    <w:rsid w:val="006D5DB7"/>
    <w:rsid w:val="006E2A40"/>
    <w:rsid w:val="006E2C77"/>
    <w:rsid w:val="006E579A"/>
    <w:rsid w:val="006E761F"/>
    <w:rsid w:val="006F0364"/>
    <w:rsid w:val="006F4202"/>
    <w:rsid w:val="007002D4"/>
    <w:rsid w:val="0071392F"/>
    <w:rsid w:val="00716A55"/>
    <w:rsid w:val="007311D9"/>
    <w:rsid w:val="00731EA7"/>
    <w:rsid w:val="00733E1A"/>
    <w:rsid w:val="007415D2"/>
    <w:rsid w:val="00743C27"/>
    <w:rsid w:val="00747F77"/>
    <w:rsid w:val="00752D7F"/>
    <w:rsid w:val="007538F5"/>
    <w:rsid w:val="0075422F"/>
    <w:rsid w:val="0076134D"/>
    <w:rsid w:val="0076732F"/>
    <w:rsid w:val="00771680"/>
    <w:rsid w:val="00776468"/>
    <w:rsid w:val="00777232"/>
    <w:rsid w:val="00783F90"/>
    <w:rsid w:val="00792D1A"/>
    <w:rsid w:val="007A188E"/>
    <w:rsid w:val="007A4BDC"/>
    <w:rsid w:val="007B14F9"/>
    <w:rsid w:val="007B64FC"/>
    <w:rsid w:val="007F29D7"/>
    <w:rsid w:val="00800B07"/>
    <w:rsid w:val="00805AF0"/>
    <w:rsid w:val="00812472"/>
    <w:rsid w:val="00824835"/>
    <w:rsid w:val="0082791D"/>
    <w:rsid w:val="00830B9B"/>
    <w:rsid w:val="00835440"/>
    <w:rsid w:val="008373A2"/>
    <w:rsid w:val="00844A59"/>
    <w:rsid w:val="00853CBA"/>
    <w:rsid w:val="00861A26"/>
    <w:rsid w:val="00862C28"/>
    <w:rsid w:val="00862EB1"/>
    <w:rsid w:val="0086715E"/>
    <w:rsid w:val="00867570"/>
    <w:rsid w:val="00867CB8"/>
    <w:rsid w:val="0087032F"/>
    <w:rsid w:val="00880E48"/>
    <w:rsid w:val="008837E5"/>
    <w:rsid w:val="00894696"/>
    <w:rsid w:val="00895756"/>
    <w:rsid w:val="008A7BE8"/>
    <w:rsid w:val="008B0669"/>
    <w:rsid w:val="008B2CFB"/>
    <w:rsid w:val="008B4369"/>
    <w:rsid w:val="008B5F98"/>
    <w:rsid w:val="008C42AE"/>
    <w:rsid w:val="008D1E37"/>
    <w:rsid w:val="008D3726"/>
    <w:rsid w:val="008E1276"/>
    <w:rsid w:val="008E1EA7"/>
    <w:rsid w:val="008E1F52"/>
    <w:rsid w:val="008F107B"/>
    <w:rsid w:val="009102FA"/>
    <w:rsid w:val="009158C4"/>
    <w:rsid w:val="00916534"/>
    <w:rsid w:val="00921DDE"/>
    <w:rsid w:val="009223ED"/>
    <w:rsid w:val="00923E6F"/>
    <w:rsid w:val="00926ACC"/>
    <w:rsid w:val="00930F62"/>
    <w:rsid w:val="0093289E"/>
    <w:rsid w:val="00934B73"/>
    <w:rsid w:val="009355FF"/>
    <w:rsid w:val="00937772"/>
    <w:rsid w:val="00945595"/>
    <w:rsid w:val="009526E8"/>
    <w:rsid w:val="00957735"/>
    <w:rsid w:val="009645F9"/>
    <w:rsid w:val="00975413"/>
    <w:rsid w:val="009761B2"/>
    <w:rsid w:val="00976FAB"/>
    <w:rsid w:val="009803A7"/>
    <w:rsid w:val="00980FC9"/>
    <w:rsid w:val="00981E71"/>
    <w:rsid w:val="009850D4"/>
    <w:rsid w:val="009860E1"/>
    <w:rsid w:val="00991F65"/>
    <w:rsid w:val="00992DAF"/>
    <w:rsid w:val="00993205"/>
    <w:rsid w:val="009A20D3"/>
    <w:rsid w:val="009A79FB"/>
    <w:rsid w:val="009B1C2F"/>
    <w:rsid w:val="009B45D2"/>
    <w:rsid w:val="009C5EE0"/>
    <w:rsid w:val="009D0A2E"/>
    <w:rsid w:val="009D4211"/>
    <w:rsid w:val="009E3492"/>
    <w:rsid w:val="009E4436"/>
    <w:rsid w:val="009E5EE2"/>
    <w:rsid w:val="009F4B22"/>
    <w:rsid w:val="009F5D10"/>
    <w:rsid w:val="009F7665"/>
    <w:rsid w:val="00A00AFE"/>
    <w:rsid w:val="00A16DE7"/>
    <w:rsid w:val="00A21648"/>
    <w:rsid w:val="00A23364"/>
    <w:rsid w:val="00A30AAE"/>
    <w:rsid w:val="00A40321"/>
    <w:rsid w:val="00A4697C"/>
    <w:rsid w:val="00A515F9"/>
    <w:rsid w:val="00A51A81"/>
    <w:rsid w:val="00A52B8B"/>
    <w:rsid w:val="00A53225"/>
    <w:rsid w:val="00A606F8"/>
    <w:rsid w:val="00A639A7"/>
    <w:rsid w:val="00A7169A"/>
    <w:rsid w:val="00A751DB"/>
    <w:rsid w:val="00A83D18"/>
    <w:rsid w:val="00A86580"/>
    <w:rsid w:val="00A941FF"/>
    <w:rsid w:val="00AA3ED2"/>
    <w:rsid w:val="00AA574F"/>
    <w:rsid w:val="00AA7E24"/>
    <w:rsid w:val="00AC3CEA"/>
    <w:rsid w:val="00AD1895"/>
    <w:rsid w:val="00AD1DB8"/>
    <w:rsid w:val="00AD2268"/>
    <w:rsid w:val="00AD2323"/>
    <w:rsid w:val="00AE038E"/>
    <w:rsid w:val="00AF0E99"/>
    <w:rsid w:val="00B10C47"/>
    <w:rsid w:val="00B26743"/>
    <w:rsid w:val="00B45281"/>
    <w:rsid w:val="00B4787F"/>
    <w:rsid w:val="00B54A0A"/>
    <w:rsid w:val="00B56A66"/>
    <w:rsid w:val="00B57A0A"/>
    <w:rsid w:val="00B61F3E"/>
    <w:rsid w:val="00B720BC"/>
    <w:rsid w:val="00B765CF"/>
    <w:rsid w:val="00B777FA"/>
    <w:rsid w:val="00B80602"/>
    <w:rsid w:val="00B92E62"/>
    <w:rsid w:val="00B93396"/>
    <w:rsid w:val="00B960AF"/>
    <w:rsid w:val="00BA3526"/>
    <w:rsid w:val="00BB3A4E"/>
    <w:rsid w:val="00BB6199"/>
    <w:rsid w:val="00BC1878"/>
    <w:rsid w:val="00BC53CC"/>
    <w:rsid w:val="00BC7D39"/>
    <w:rsid w:val="00BD64DB"/>
    <w:rsid w:val="00BD6701"/>
    <w:rsid w:val="00BE7831"/>
    <w:rsid w:val="00BF055E"/>
    <w:rsid w:val="00BF224E"/>
    <w:rsid w:val="00BF228E"/>
    <w:rsid w:val="00BF3560"/>
    <w:rsid w:val="00BF46EA"/>
    <w:rsid w:val="00BF7978"/>
    <w:rsid w:val="00C31319"/>
    <w:rsid w:val="00C43574"/>
    <w:rsid w:val="00C5167F"/>
    <w:rsid w:val="00C55F9E"/>
    <w:rsid w:val="00C60DF1"/>
    <w:rsid w:val="00C61D01"/>
    <w:rsid w:val="00C6360F"/>
    <w:rsid w:val="00C64318"/>
    <w:rsid w:val="00C72C14"/>
    <w:rsid w:val="00C812CA"/>
    <w:rsid w:val="00C819EA"/>
    <w:rsid w:val="00C92B83"/>
    <w:rsid w:val="00C94968"/>
    <w:rsid w:val="00C95102"/>
    <w:rsid w:val="00CA1B11"/>
    <w:rsid w:val="00CA20EC"/>
    <w:rsid w:val="00CA6919"/>
    <w:rsid w:val="00CB6C8D"/>
    <w:rsid w:val="00CB713D"/>
    <w:rsid w:val="00CC23D8"/>
    <w:rsid w:val="00CC344E"/>
    <w:rsid w:val="00CC48CF"/>
    <w:rsid w:val="00CC583A"/>
    <w:rsid w:val="00CC7EC4"/>
    <w:rsid w:val="00CD1546"/>
    <w:rsid w:val="00CD50E9"/>
    <w:rsid w:val="00CD66A1"/>
    <w:rsid w:val="00CD77CC"/>
    <w:rsid w:val="00CF19A1"/>
    <w:rsid w:val="00CF1BC7"/>
    <w:rsid w:val="00CF1C64"/>
    <w:rsid w:val="00CF341B"/>
    <w:rsid w:val="00D0393B"/>
    <w:rsid w:val="00D153D1"/>
    <w:rsid w:val="00D1782A"/>
    <w:rsid w:val="00D21A94"/>
    <w:rsid w:val="00D222AD"/>
    <w:rsid w:val="00D24125"/>
    <w:rsid w:val="00D2553C"/>
    <w:rsid w:val="00D35700"/>
    <w:rsid w:val="00D37753"/>
    <w:rsid w:val="00D40E17"/>
    <w:rsid w:val="00D432BF"/>
    <w:rsid w:val="00D45D8B"/>
    <w:rsid w:val="00D540D3"/>
    <w:rsid w:val="00D54681"/>
    <w:rsid w:val="00D6382B"/>
    <w:rsid w:val="00D7144D"/>
    <w:rsid w:val="00D761C5"/>
    <w:rsid w:val="00D77922"/>
    <w:rsid w:val="00D911E6"/>
    <w:rsid w:val="00D95636"/>
    <w:rsid w:val="00D97BB4"/>
    <w:rsid w:val="00DA447E"/>
    <w:rsid w:val="00DA74C3"/>
    <w:rsid w:val="00DB0DA4"/>
    <w:rsid w:val="00DB15A6"/>
    <w:rsid w:val="00DB31EE"/>
    <w:rsid w:val="00DB33CB"/>
    <w:rsid w:val="00DB7E51"/>
    <w:rsid w:val="00DD6795"/>
    <w:rsid w:val="00DD75B2"/>
    <w:rsid w:val="00DE635E"/>
    <w:rsid w:val="00E01366"/>
    <w:rsid w:val="00E02A2E"/>
    <w:rsid w:val="00E03AF1"/>
    <w:rsid w:val="00E04F63"/>
    <w:rsid w:val="00E076A8"/>
    <w:rsid w:val="00E112A1"/>
    <w:rsid w:val="00E265CC"/>
    <w:rsid w:val="00E33790"/>
    <w:rsid w:val="00E3592F"/>
    <w:rsid w:val="00E35BCE"/>
    <w:rsid w:val="00E43EAE"/>
    <w:rsid w:val="00E45440"/>
    <w:rsid w:val="00E47C3E"/>
    <w:rsid w:val="00E501D4"/>
    <w:rsid w:val="00E5552B"/>
    <w:rsid w:val="00E61132"/>
    <w:rsid w:val="00E715FF"/>
    <w:rsid w:val="00E73234"/>
    <w:rsid w:val="00E82B31"/>
    <w:rsid w:val="00E85353"/>
    <w:rsid w:val="00E90604"/>
    <w:rsid w:val="00E9347B"/>
    <w:rsid w:val="00E94F49"/>
    <w:rsid w:val="00E952AC"/>
    <w:rsid w:val="00E95F1B"/>
    <w:rsid w:val="00EA1F4D"/>
    <w:rsid w:val="00EA3954"/>
    <w:rsid w:val="00EA5E98"/>
    <w:rsid w:val="00EA77BE"/>
    <w:rsid w:val="00EA7A5E"/>
    <w:rsid w:val="00EB2885"/>
    <w:rsid w:val="00EB4391"/>
    <w:rsid w:val="00EB45B2"/>
    <w:rsid w:val="00EB6626"/>
    <w:rsid w:val="00EB7086"/>
    <w:rsid w:val="00EC02F1"/>
    <w:rsid w:val="00EC2662"/>
    <w:rsid w:val="00EC4BA3"/>
    <w:rsid w:val="00ED3BBA"/>
    <w:rsid w:val="00ED4E48"/>
    <w:rsid w:val="00EE1AD0"/>
    <w:rsid w:val="00EE2AF9"/>
    <w:rsid w:val="00EE4C6D"/>
    <w:rsid w:val="00EF0FAE"/>
    <w:rsid w:val="00EF15B4"/>
    <w:rsid w:val="00EF29C3"/>
    <w:rsid w:val="00EF5328"/>
    <w:rsid w:val="00EF5B77"/>
    <w:rsid w:val="00EF70F5"/>
    <w:rsid w:val="00F025E8"/>
    <w:rsid w:val="00F04098"/>
    <w:rsid w:val="00F05401"/>
    <w:rsid w:val="00F14DFB"/>
    <w:rsid w:val="00F16E1F"/>
    <w:rsid w:val="00F173DB"/>
    <w:rsid w:val="00F2137C"/>
    <w:rsid w:val="00F22571"/>
    <w:rsid w:val="00F4071E"/>
    <w:rsid w:val="00F408BD"/>
    <w:rsid w:val="00F45AAF"/>
    <w:rsid w:val="00F470AA"/>
    <w:rsid w:val="00F47126"/>
    <w:rsid w:val="00F60A88"/>
    <w:rsid w:val="00F65E47"/>
    <w:rsid w:val="00F70644"/>
    <w:rsid w:val="00F7223D"/>
    <w:rsid w:val="00F758DE"/>
    <w:rsid w:val="00F75F9D"/>
    <w:rsid w:val="00F76FBB"/>
    <w:rsid w:val="00F77B56"/>
    <w:rsid w:val="00F81D58"/>
    <w:rsid w:val="00F90AA8"/>
    <w:rsid w:val="00F91F33"/>
    <w:rsid w:val="00F9375E"/>
    <w:rsid w:val="00F93970"/>
    <w:rsid w:val="00FA1259"/>
    <w:rsid w:val="00FA5E00"/>
    <w:rsid w:val="00FA6B21"/>
    <w:rsid w:val="00FB27C7"/>
    <w:rsid w:val="00FB7039"/>
    <w:rsid w:val="00FB7A01"/>
    <w:rsid w:val="00FC2188"/>
    <w:rsid w:val="00FE2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14"/>
    <w:pPr>
      <w:spacing w:after="0" w:line="240" w:lineRule="auto"/>
    </w:pPr>
    <w:rPr>
      <w:rFonts w:ascii="Arial" w:eastAsia="Calibri" w:hAnsi="Arial" w:cs="Arial"/>
    </w:rPr>
  </w:style>
  <w:style w:type="paragraph" w:styleId="Heading1">
    <w:name w:val="heading 1"/>
    <w:basedOn w:val="Normal"/>
    <w:next w:val="Normal"/>
    <w:link w:val="Heading1Char"/>
    <w:uiPriority w:val="9"/>
    <w:qFormat/>
    <w:rsid w:val="006E2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D58"/>
    <w:pPr>
      <w:keepNext/>
      <w:keepLines/>
      <w:spacing w:before="200" w:after="12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C7EC4"/>
    <w:pPr>
      <w:keepNext/>
      <w:keepLines/>
      <w:outlineLvl w:val="2"/>
    </w:pPr>
    <w:rPr>
      <w:rFonts w:asciiTheme="minorHAnsi" w:eastAsia="Times New Roman" w:hAnsiTheme="minorHAnsi"/>
      <w:i/>
      <w:lang w:eastAsia="en-AU"/>
    </w:rPr>
  </w:style>
  <w:style w:type="paragraph" w:styleId="Heading4">
    <w:name w:val="heading 4"/>
    <w:basedOn w:val="Normal"/>
    <w:next w:val="Normal"/>
    <w:link w:val="Heading4Char"/>
    <w:uiPriority w:val="9"/>
    <w:unhideWhenUsed/>
    <w:qFormat/>
    <w:rsid w:val="00F81D58"/>
    <w:pPr>
      <w:keepNext/>
      <w:keepLines/>
      <w:spacing w:before="200" w:line="276" w:lineRule="auto"/>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1D58"/>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1D58"/>
    <w:pPr>
      <w:keepNext/>
      <w:keepLines/>
      <w:spacing w:before="200" w:line="276" w:lineRule="auto"/>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1D58"/>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1D58"/>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1D58"/>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77"/>
    <w:pPr>
      <w:ind w:left="720"/>
      <w:contextualSpacing/>
    </w:pPr>
  </w:style>
  <w:style w:type="paragraph" w:styleId="Header">
    <w:name w:val="header"/>
    <w:basedOn w:val="Normal"/>
    <w:link w:val="HeaderChar"/>
    <w:rsid w:val="00525214"/>
    <w:pPr>
      <w:tabs>
        <w:tab w:val="center" w:pos="4513"/>
        <w:tab w:val="right" w:pos="9026"/>
      </w:tabs>
    </w:pPr>
  </w:style>
  <w:style w:type="character" w:customStyle="1" w:styleId="HeaderChar">
    <w:name w:val="Header Char"/>
    <w:basedOn w:val="DefaultParagraphFont"/>
    <w:link w:val="Header"/>
    <w:rsid w:val="00525214"/>
    <w:rPr>
      <w:rFonts w:ascii="Arial" w:eastAsia="Calibri" w:hAnsi="Arial" w:cs="Arial"/>
    </w:rPr>
  </w:style>
  <w:style w:type="paragraph" w:styleId="Footer">
    <w:name w:val="footer"/>
    <w:basedOn w:val="Normal"/>
    <w:link w:val="FooterChar"/>
    <w:uiPriority w:val="99"/>
    <w:rsid w:val="00525214"/>
    <w:pPr>
      <w:tabs>
        <w:tab w:val="center" w:pos="4513"/>
        <w:tab w:val="right" w:pos="9026"/>
      </w:tabs>
    </w:pPr>
  </w:style>
  <w:style w:type="character" w:customStyle="1" w:styleId="FooterChar">
    <w:name w:val="Footer Char"/>
    <w:basedOn w:val="DefaultParagraphFont"/>
    <w:link w:val="Footer"/>
    <w:uiPriority w:val="99"/>
    <w:rsid w:val="00525214"/>
    <w:rPr>
      <w:rFonts w:ascii="Arial" w:eastAsia="Calibri" w:hAnsi="Arial" w:cs="Arial"/>
    </w:rPr>
  </w:style>
  <w:style w:type="paragraph" w:customStyle="1" w:styleId="numberlist">
    <w:name w:val="number_list"/>
    <w:basedOn w:val="Normal"/>
    <w:rsid w:val="00525214"/>
    <w:pPr>
      <w:numPr>
        <w:numId w:val="1"/>
      </w:numPr>
      <w:spacing w:after="120"/>
    </w:pPr>
    <w:rPr>
      <w:rFonts w:ascii="Times New Roman" w:eastAsia="Times New Roman" w:hAnsi="Times New Roman" w:cs="Times New Roman"/>
      <w:sz w:val="24"/>
      <w:szCs w:val="20"/>
    </w:rPr>
  </w:style>
  <w:style w:type="character" w:styleId="Emphasis">
    <w:name w:val="Emphasis"/>
    <w:basedOn w:val="DefaultParagraphFont"/>
    <w:uiPriority w:val="20"/>
    <w:qFormat/>
    <w:rsid w:val="00525214"/>
    <w:rPr>
      <w:i/>
      <w:iCs/>
    </w:rPr>
  </w:style>
  <w:style w:type="paragraph" w:styleId="NormalWeb">
    <w:name w:val="Normal (Web)"/>
    <w:basedOn w:val="Normal"/>
    <w:uiPriority w:val="99"/>
    <w:unhideWhenUsed/>
    <w:rsid w:val="00EE1AD0"/>
    <w:pPr>
      <w:spacing w:before="216" w:after="120"/>
    </w:pPr>
    <w:rPr>
      <w:rFonts w:ascii="Times New Roman" w:eastAsia="Times New Roman" w:hAnsi="Times New Roman" w:cs="Times New Roman"/>
      <w:sz w:val="24"/>
      <w:szCs w:val="24"/>
      <w:lang w:eastAsia="en-AU"/>
    </w:rPr>
  </w:style>
  <w:style w:type="paragraph" w:customStyle="1" w:styleId="Pa8">
    <w:name w:val="Pa8"/>
    <w:basedOn w:val="Normal"/>
    <w:next w:val="Normal"/>
    <w:uiPriority w:val="99"/>
    <w:rsid w:val="00F81D58"/>
    <w:pPr>
      <w:autoSpaceDE w:val="0"/>
      <w:autoSpaceDN w:val="0"/>
      <w:adjustRightInd w:val="0"/>
      <w:spacing w:line="201" w:lineRule="atLeast"/>
    </w:pPr>
    <w:rPr>
      <w:rFonts w:ascii="Helvetica 45 Light" w:eastAsiaTheme="minorHAnsi" w:hAnsi="Helvetica 45 Light" w:cstheme="minorBidi"/>
      <w:sz w:val="24"/>
      <w:szCs w:val="24"/>
    </w:rPr>
  </w:style>
  <w:style w:type="character" w:customStyle="1" w:styleId="Heading2Char">
    <w:name w:val="Heading 2 Char"/>
    <w:basedOn w:val="DefaultParagraphFont"/>
    <w:link w:val="Heading2"/>
    <w:uiPriority w:val="9"/>
    <w:rsid w:val="00F81D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7EC4"/>
    <w:rPr>
      <w:rFonts w:eastAsia="Times New Roman" w:cs="Arial"/>
      <w:i/>
      <w:lang w:eastAsia="en-AU"/>
    </w:rPr>
  </w:style>
  <w:style w:type="character" w:customStyle="1" w:styleId="Heading4Char">
    <w:name w:val="Heading 4 Char"/>
    <w:basedOn w:val="DefaultParagraphFont"/>
    <w:link w:val="Heading4"/>
    <w:uiPriority w:val="9"/>
    <w:rsid w:val="00F81D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1D5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1D5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1D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1D5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1D5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F8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2">
    <w:name w:val="Heading 1 Char2"/>
    <w:basedOn w:val="DefaultParagraphFont"/>
    <w:uiPriority w:val="9"/>
    <w:rsid w:val="00F81D58"/>
    <w:rPr>
      <w:rFonts w:asciiTheme="majorHAnsi" w:eastAsiaTheme="majorEastAsia" w:hAnsiTheme="majorHAnsi" w:cstheme="majorBidi"/>
      <w:b/>
      <w:bCs/>
      <w:color w:val="365F91" w:themeColor="accent1" w:themeShade="BF"/>
      <w:sz w:val="28"/>
      <w:szCs w:val="28"/>
    </w:rPr>
  </w:style>
  <w:style w:type="paragraph" w:customStyle="1" w:styleId="Pa14">
    <w:name w:val="Pa14"/>
    <w:basedOn w:val="Normal"/>
    <w:next w:val="Normal"/>
    <w:uiPriority w:val="99"/>
    <w:rsid w:val="00585354"/>
    <w:pPr>
      <w:autoSpaceDE w:val="0"/>
      <w:autoSpaceDN w:val="0"/>
      <w:adjustRightInd w:val="0"/>
      <w:spacing w:line="201" w:lineRule="atLeast"/>
    </w:pPr>
    <w:rPr>
      <w:rFonts w:ascii="Helvetica 45 Light" w:eastAsiaTheme="minorHAnsi" w:hAnsi="Helvetica 45 Light" w:cstheme="minorBidi"/>
      <w:sz w:val="24"/>
      <w:szCs w:val="24"/>
    </w:rPr>
  </w:style>
  <w:style w:type="character" w:styleId="CommentReference">
    <w:name w:val="annotation reference"/>
    <w:basedOn w:val="DefaultParagraphFont"/>
    <w:uiPriority w:val="99"/>
    <w:semiHidden/>
    <w:unhideWhenUsed/>
    <w:rsid w:val="00D0393B"/>
    <w:rPr>
      <w:sz w:val="16"/>
      <w:szCs w:val="16"/>
    </w:rPr>
  </w:style>
  <w:style w:type="paragraph" w:styleId="CommentText">
    <w:name w:val="annotation text"/>
    <w:basedOn w:val="Normal"/>
    <w:link w:val="CommentTextChar"/>
    <w:uiPriority w:val="99"/>
    <w:semiHidden/>
    <w:unhideWhenUsed/>
    <w:rsid w:val="00D0393B"/>
    <w:rPr>
      <w:sz w:val="20"/>
      <w:szCs w:val="20"/>
    </w:rPr>
  </w:style>
  <w:style w:type="character" w:customStyle="1" w:styleId="CommentTextChar">
    <w:name w:val="Comment Text Char"/>
    <w:basedOn w:val="DefaultParagraphFont"/>
    <w:link w:val="CommentText"/>
    <w:uiPriority w:val="99"/>
    <w:semiHidden/>
    <w:rsid w:val="00D0393B"/>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D0393B"/>
    <w:rPr>
      <w:b/>
      <w:bCs/>
    </w:rPr>
  </w:style>
  <w:style w:type="character" w:customStyle="1" w:styleId="CommentSubjectChar">
    <w:name w:val="Comment Subject Char"/>
    <w:basedOn w:val="CommentTextChar"/>
    <w:link w:val="CommentSubject"/>
    <w:uiPriority w:val="99"/>
    <w:semiHidden/>
    <w:rsid w:val="00D0393B"/>
    <w:rPr>
      <w:rFonts w:ascii="Arial" w:eastAsia="Calibri" w:hAnsi="Arial" w:cs="Arial"/>
      <w:b/>
      <w:bCs/>
      <w:sz w:val="20"/>
      <w:szCs w:val="20"/>
    </w:rPr>
  </w:style>
  <w:style w:type="paragraph" w:styleId="BalloonText">
    <w:name w:val="Balloon Text"/>
    <w:basedOn w:val="Normal"/>
    <w:link w:val="BalloonTextChar"/>
    <w:uiPriority w:val="99"/>
    <w:semiHidden/>
    <w:unhideWhenUsed/>
    <w:rsid w:val="00D0393B"/>
    <w:rPr>
      <w:rFonts w:ascii="Tahoma" w:hAnsi="Tahoma" w:cs="Tahoma"/>
      <w:sz w:val="16"/>
      <w:szCs w:val="16"/>
    </w:rPr>
  </w:style>
  <w:style w:type="character" w:customStyle="1" w:styleId="BalloonTextChar">
    <w:name w:val="Balloon Text Char"/>
    <w:basedOn w:val="DefaultParagraphFont"/>
    <w:link w:val="BalloonText"/>
    <w:uiPriority w:val="99"/>
    <w:semiHidden/>
    <w:rsid w:val="00D0393B"/>
    <w:rPr>
      <w:rFonts w:ascii="Tahoma" w:eastAsia="Calibri" w:hAnsi="Tahoma" w:cs="Tahoma"/>
      <w:sz w:val="16"/>
      <w:szCs w:val="16"/>
    </w:rPr>
  </w:style>
  <w:style w:type="paragraph" w:customStyle="1" w:styleId="Pa9">
    <w:name w:val="Pa9"/>
    <w:basedOn w:val="Normal"/>
    <w:next w:val="Normal"/>
    <w:uiPriority w:val="99"/>
    <w:rsid w:val="00D0393B"/>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D0393B"/>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7">
    <w:name w:val="Pa17"/>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862C28"/>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7">
    <w:name w:val="Pa7"/>
    <w:basedOn w:val="Default"/>
    <w:next w:val="Default"/>
    <w:uiPriority w:val="99"/>
    <w:rsid w:val="00862C28"/>
    <w:pPr>
      <w:spacing w:line="201" w:lineRule="atLeast"/>
    </w:pPr>
    <w:rPr>
      <w:rFonts w:cstheme="minorBidi"/>
      <w:color w:val="auto"/>
    </w:rPr>
  </w:style>
  <w:style w:type="character" w:customStyle="1" w:styleId="A7">
    <w:name w:val="A7"/>
    <w:uiPriority w:val="99"/>
    <w:rsid w:val="00862C28"/>
    <w:rPr>
      <w:rFonts w:cs="Helvetica 45 Light"/>
      <w:color w:val="000000"/>
      <w:sz w:val="11"/>
      <w:szCs w:val="11"/>
    </w:rPr>
  </w:style>
  <w:style w:type="paragraph" w:customStyle="1" w:styleId="Pa11">
    <w:name w:val="Pa11"/>
    <w:basedOn w:val="Default"/>
    <w:next w:val="Default"/>
    <w:uiPriority w:val="99"/>
    <w:rsid w:val="00862C28"/>
    <w:pPr>
      <w:spacing w:line="161" w:lineRule="atLeast"/>
    </w:pPr>
    <w:rPr>
      <w:rFonts w:cstheme="minorBidi"/>
      <w:color w:val="auto"/>
    </w:rPr>
  </w:style>
  <w:style w:type="paragraph" w:customStyle="1" w:styleId="Pa12">
    <w:name w:val="Pa12"/>
    <w:basedOn w:val="Default"/>
    <w:next w:val="Default"/>
    <w:uiPriority w:val="99"/>
    <w:rsid w:val="003D13B4"/>
    <w:pPr>
      <w:spacing w:line="201" w:lineRule="atLeast"/>
    </w:pPr>
    <w:rPr>
      <w:rFonts w:ascii="Helvetica 65 Medium" w:hAnsi="Helvetica 65 Medium" w:cstheme="minorBidi"/>
      <w:color w:val="auto"/>
    </w:rPr>
  </w:style>
  <w:style w:type="paragraph" w:customStyle="1" w:styleId="Pa19">
    <w:name w:val="Pa19"/>
    <w:basedOn w:val="Default"/>
    <w:next w:val="Default"/>
    <w:uiPriority w:val="99"/>
    <w:rsid w:val="00835440"/>
    <w:pPr>
      <w:spacing w:line="201" w:lineRule="atLeast"/>
    </w:pPr>
    <w:rPr>
      <w:rFonts w:cstheme="minorBidi"/>
      <w:color w:val="auto"/>
    </w:rPr>
  </w:style>
  <w:style w:type="paragraph" w:customStyle="1" w:styleId="Pa20">
    <w:name w:val="Pa20"/>
    <w:basedOn w:val="Default"/>
    <w:next w:val="Default"/>
    <w:uiPriority w:val="99"/>
    <w:rsid w:val="00835440"/>
    <w:pPr>
      <w:spacing w:line="181" w:lineRule="atLeast"/>
    </w:pPr>
    <w:rPr>
      <w:rFonts w:cstheme="minorBidi"/>
      <w:color w:val="auto"/>
    </w:rPr>
  </w:style>
  <w:style w:type="paragraph" w:customStyle="1" w:styleId="Bullets2b">
    <w:name w:val="Bullets 2b"/>
    <w:basedOn w:val="Normal"/>
    <w:uiPriority w:val="99"/>
    <w:rsid w:val="00163795"/>
    <w:pPr>
      <w:widowControl w:val="0"/>
      <w:tabs>
        <w:tab w:val="left" w:pos="760"/>
      </w:tabs>
      <w:suppressAutoHyphens/>
      <w:autoSpaceDE w:val="0"/>
      <w:autoSpaceDN w:val="0"/>
      <w:adjustRightInd w:val="0"/>
      <w:spacing w:after="170" w:line="280" w:lineRule="atLeast"/>
      <w:ind w:left="907" w:hanging="397"/>
      <w:textAlignment w:val="center"/>
    </w:pPr>
    <w:rPr>
      <w:rFonts w:ascii="HelveticaNeue-Light" w:eastAsia="Times New Roman" w:hAnsi="HelveticaNeue-Light" w:cs="HelveticaNeue-Light"/>
      <w:color w:val="000000"/>
      <w:sz w:val="20"/>
      <w:szCs w:val="20"/>
      <w:lang w:val="en-US"/>
    </w:rPr>
  </w:style>
  <w:style w:type="paragraph" w:customStyle="1" w:styleId="Bullets1b">
    <w:name w:val="Bullets 1b"/>
    <w:basedOn w:val="Normal"/>
    <w:uiPriority w:val="99"/>
    <w:rsid w:val="00163795"/>
    <w:pPr>
      <w:widowControl w:val="0"/>
      <w:tabs>
        <w:tab w:val="left" w:pos="760"/>
      </w:tabs>
      <w:suppressAutoHyphens/>
      <w:autoSpaceDE w:val="0"/>
      <w:autoSpaceDN w:val="0"/>
      <w:adjustRightInd w:val="0"/>
      <w:spacing w:after="170" w:line="280" w:lineRule="atLeast"/>
      <w:ind w:left="510" w:hanging="397"/>
      <w:textAlignment w:val="center"/>
    </w:pPr>
    <w:rPr>
      <w:rFonts w:ascii="HelveticaNeue-Light" w:eastAsia="Times New Roman" w:hAnsi="HelveticaNeue-Light" w:cs="HelveticaNeue-Light"/>
      <w:color w:val="000000"/>
      <w:sz w:val="20"/>
      <w:szCs w:val="20"/>
      <w:lang w:val="en-US"/>
    </w:rPr>
  </w:style>
  <w:style w:type="paragraph" w:styleId="FootnoteText">
    <w:name w:val="footnote text"/>
    <w:basedOn w:val="Normal"/>
    <w:link w:val="FootnoteTextChar"/>
    <w:uiPriority w:val="99"/>
    <w:unhideWhenUsed/>
    <w:rsid w:val="00116B09"/>
    <w:rPr>
      <w:sz w:val="20"/>
      <w:szCs w:val="20"/>
    </w:rPr>
  </w:style>
  <w:style w:type="character" w:customStyle="1" w:styleId="FootnoteTextChar">
    <w:name w:val="Footnote Text Char"/>
    <w:basedOn w:val="DefaultParagraphFont"/>
    <w:link w:val="FootnoteText"/>
    <w:uiPriority w:val="99"/>
    <w:rsid w:val="00116B09"/>
    <w:rPr>
      <w:rFonts w:ascii="Arial" w:eastAsia="Calibri" w:hAnsi="Arial" w:cs="Arial"/>
      <w:sz w:val="20"/>
      <w:szCs w:val="20"/>
    </w:rPr>
  </w:style>
  <w:style w:type="character" w:styleId="FootnoteReference">
    <w:name w:val="footnote reference"/>
    <w:basedOn w:val="DefaultParagraphFont"/>
    <w:uiPriority w:val="99"/>
    <w:unhideWhenUsed/>
    <w:rsid w:val="00116B09"/>
    <w:rPr>
      <w:vertAlign w:val="superscript"/>
    </w:rPr>
  </w:style>
  <w:style w:type="character" w:styleId="Hyperlink">
    <w:name w:val="Hyperlink"/>
    <w:basedOn w:val="DefaultParagraphFont"/>
    <w:uiPriority w:val="99"/>
    <w:unhideWhenUsed/>
    <w:rsid w:val="00116B09"/>
    <w:rPr>
      <w:color w:val="0000FF" w:themeColor="hyperlink"/>
      <w:u w:val="single"/>
    </w:rPr>
  </w:style>
  <w:style w:type="paragraph" w:styleId="TOCHeading">
    <w:name w:val="TOC Heading"/>
    <w:basedOn w:val="Heading1"/>
    <w:next w:val="Normal"/>
    <w:uiPriority w:val="39"/>
    <w:semiHidden/>
    <w:unhideWhenUsed/>
    <w:qFormat/>
    <w:rsid w:val="00116B09"/>
    <w:pPr>
      <w:spacing w:line="276" w:lineRule="auto"/>
      <w:outlineLvl w:val="9"/>
    </w:pPr>
    <w:rPr>
      <w:lang w:val="en-US" w:eastAsia="ja-JP"/>
    </w:rPr>
  </w:style>
  <w:style w:type="paragraph" w:styleId="TOC1">
    <w:name w:val="toc 1"/>
    <w:basedOn w:val="Normal"/>
    <w:next w:val="Normal"/>
    <w:autoRedefine/>
    <w:uiPriority w:val="39"/>
    <w:unhideWhenUsed/>
    <w:rsid w:val="00116B09"/>
    <w:pPr>
      <w:tabs>
        <w:tab w:val="right" w:leader="dot" w:pos="10762"/>
      </w:tabs>
      <w:spacing w:after="100"/>
      <w:ind w:left="720"/>
    </w:pPr>
  </w:style>
  <w:style w:type="paragraph" w:styleId="TOC2">
    <w:name w:val="toc 2"/>
    <w:basedOn w:val="Normal"/>
    <w:next w:val="Normal"/>
    <w:autoRedefine/>
    <w:uiPriority w:val="39"/>
    <w:unhideWhenUsed/>
    <w:rsid w:val="006202B0"/>
    <w:pPr>
      <w:tabs>
        <w:tab w:val="right" w:leader="dot" w:pos="10762"/>
      </w:tabs>
      <w:ind w:left="720"/>
    </w:pPr>
  </w:style>
  <w:style w:type="paragraph" w:styleId="TOC3">
    <w:name w:val="toc 3"/>
    <w:basedOn w:val="Normal"/>
    <w:next w:val="Normal"/>
    <w:autoRedefine/>
    <w:uiPriority w:val="39"/>
    <w:unhideWhenUsed/>
    <w:rsid w:val="00043049"/>
    <w:pPr>
      <w:numPr>
        <w:numId w:val="29"/>
      </w:numPr>
      <w:tabs>
        <w:tab w:val="right" w:leader="dot" w:pos="10762"/>
      </w:tabs>
      <w:spacing w:after="100"/>
    </w:pPr>
  </w:style>
  <w:style w:type="paragraph" w:customStyle="1" w:styleId="Pa3">
    <w:name w:val="Pa3"/>
    <w:basedOn w:val="Normal"/>
    <w:next w:val="Normal"/>
    <w:uiPriority w:val="99"/>
    <w:rsid w:val="006202B0"/>
    <w:pPr>
      <w:autoSpaceDE w:val="0"/>
      <w:autoSpaceDN w:val="0"/>
      <w:adjustRightInd w:val="0"/>
      <w:spacing w:line="181" w:lineRule="atLeast"/>
    </w:pPr>
    <w:rPr>
      <w:rFonts w:ascii="Helvetica 45 Light" w:eastAsiaTheme="minorHAnsi" w:hAnsi="Helvetica 45 Light" w:cstheme="minorBidi"/>
      <w:sz w:val="24"/>
      <w:szCs w:val="24"/>
      <w:lang w:val="en-US"/>
    </w:rPr>
  </w:style>
  <w:style w:type="character" w:styleId="FollowedHyperlink">
    <w:name w:val="FollowedHyperlink"/>
    <w:basedOn w:val="DefaultParagraphFont"/>
    <w:uiPriority w:val="99"/>
    <w:semiHidden/>
    <w:unhideWhenUsed/>
    <w:rsid w:val="005B0984"/>
    <w:rPr>
      <w:color w:val="800080" w:themeColor="followedHyperlink"/>
      <w:u w:val="single"/>
    </w:rPr>
  </w:style>
  <w:style w:type="paragraph" w:customStyle="1" w:styleId="Pa2">
    <w:name w:val="Pa2"/>
    <w:basedOn w:val="Default"/>
    <w:next w:val="Default"/>
    <w:uiPriority w:val="99"/>
    <w:rsid w:val="00162A90"/>
    <w:pPr>
      <w:spacing w:line="181" w:lineRule="atLeast"/>
    </w:pPr>
    <w:rPr>
      <w:rFonts w:ascii="Gotham Light" w:hAnsi="Gotham Light" w:cstheme="minorBidi"/>
      <w:color w:val="auto"/>
      <w:lang w:val="en-US"/>
    </w:rPr>
  </w:style>
  <w:style w:type="paragraph" w:customStyle="1" w:styleId="BodySectionSub">
    <w:name w:val="Body Section (Sub)"/>
    <w:next w:val="Normal"/>
    <w:link w:val="BodySectionSubChar"/>
    <w:rsid w:val="00162A90"/>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162A90"/>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F02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C18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C1878"/>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C1878"/>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C1878"/>
    <w:rPr>
      <w:rFonts w:asciiTheme="majorHAnsi" w:eastAsiaTheme="majorEastAsia" w:hAnsiTheme="majorHAnsi" w:cstheme="majorBidi"/>
      <w:i/>
      <w:iCs/>
      <w:color w:val="4F81BD" w:themeColor="accent1"/>
      <w:spacing w:val="15"/>
      <w:sz w:val="24"/>
      <w:szCs w:val="24"/>
      <w:lang w:val="en-US" w:eastAsia="ja-JP"/>
    </w:rPr>
  </w:style>
  <w:style w:type="paragraph" w:styleId="Revision">
    <w:name w:val="Revision"/>
    <w:hidden/>
    <w:uiPriority w:val="99"/>
    <w:semiHidden/>
    <w:rsid w:val="00252328"/>
    <w:pPr>
      <w:spacing w:after="0" w:line="240" w:lineRule="auto"/>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14"/>
    <w:pPr>
      <w:spacing w:after="0" w:line="240" w:lineRule="auto"/>
    </w:pPr>
    <w:rPr>
      <w:rFonts w:ascii="Arial" w:eastAsia="Calibri" w:hAnsi="Arial" w:cs="Arial"/>
    </w:rPr>
  </w:style>
  <w:style w:type="paragraph" w:styleId="Heading1">
    <w:name w:val="heading 1"/>
    <w:basedOn w:val="Normal"/>
    <w:next w:val="Normal"/>
    <w:link w:val="Heading1Char"/>
    <w:uiPriority w:val="9"/>
    <w:qFormat/>
    <w:rsid w:val="006E2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D58"/>
    <w:pPr>
      <w:keepNext/>
      <w:keepLines/>
      <w:spacing w:before="200" w:after="12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C7EC4"/>
    <w:pPr>
      <w:keepNext/>
      <w:keepLines/>
      <w:outlineLvl w:val="2"/>
    </w:pPr>
    <w:rPr>
      <w:rFonts w:asciiTheme="minorHAnsi" w:eastAsia="Times New Roman" w:hAnsiTheme="minorHAnsi"/>
      <w:i/>
      <w:lang w:eastAsia="en-AU"/>
    </w:rPr>
  </w:style>
  <w:style w:type="paragraph" w:styleId="Heading4">
    <w:name w:val="heading 4"/>
    <w:basedOn w:val="Normal"/>
    <w:next w:val="Normal"/>
    <w:link w:val="Heading4Char"/>
    <w:uiPriority w:val="9"/>
    <w:unhideWhenUsed/>
    <w:qFormat/>
    <w:rsid w:val="00F81D58"/>
    <w:pPr>
      <w:keepNext/>
      <w:keepLines/>
      <w:spacing w:before="200" w:line="276" w:lineRule="auto"/>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1D58"/>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1D58"/>
    <w:pPr>
      <w:keepNext/>
      <w:keepLines/>
      <w:spacing w:before="200" w:line="276" w:lineRule="auto"/>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1D58"/>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1D58"/>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1D58"/>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77"/>
    <w:pPr>
      <w:ind w:left="720"/>
      <w:contextualSpacing/>
    </w:pPr>
  </w:style>
  <w:style w:type="paragraph" w:styleId="Header">
    <w:name w:val="header"/>
    <w:basedOn w:val="Normal"/>
    <w:link w:val="HeaderChar"/>
    <w:rsid w:val="00525214"/>
    <w:pPr>
      <w:tabs>
        <w:tab w:val="center" w:pos="4513"/>
        <w:tab w:val="right" w:pos="9026"/>
      </w:tabs>
    </w:pPr>
  </w:style>
  <w:style w:type="character" w:customStyle="1" w:styleId="HeaderChar">
    <w:name w:val="Header Char"/>
    <w:basedOn w:val="DefaultParagraphFont"/>
    <w:link w:val="Header"/>
    <w:rsid w:val="00525214"/>
    <w:rPr>
      <w:rFonts w:ascii="Arial" w:eastAsia="Calibri" w:hAnsi="Arial" w:cs="Arial"/>
    </w:rPr>
  </w:style>
  <w:style w:type="paragraph" w:styleId="Footer">
    <w:name w:val="footer"/>
    <w:basedOn w:val="Normal"/>
    <w:link w:val="FooterChar"/>
    <w:uiPriority w:val="99"/>
    <w:rsid w:val="00525214"/>
    <w:pPr>
      <w:tabs>
        <w:tab w:val="center" w:pos="4513"/>
        <w:tab w:val="right" w:pos="9026"/>
      </w:tabs>
    </w:pPr>
  </w:style>
  <w:style w:type="character" w:customStyle="1" w:styleId="FooterChar">
    <w:name w:val="Footer Char"/>
    <w:basedOn w:val="DefaultParagraphFont"/>
    <w:link w:val="Footer"/>
    <w:uiPriority w:val="99"/>
    <w:rsid w:val="00525214"/>
    <w:rPr>
      <w:rFonts w:ascii="Arial" w:eastAsia="Calibri" w:hAnsi="Arial" w:cs="Arial"/>
    </w:rPr>
  </w:style>
  <w:style w:type="paragraph" w:customStyle="1" w:styleId="numberlist">
    <w:name w:val="number_list"/>
    <w:basedOn w:val="Normal"/>
    <w:rsid w:val="00525214"/>
    <w:pPr>
      <w:numPr>
        <w:numId w:val="1"/>
      </w:numPr>
      <w:spacing w:after="120"/>
    </w:pPr>
    <w:rPr>
      <w:rFonts w:ascii="Times New Roman" w:eastAsia="Times New Roman" w:hAnsi="Times New Roman" w:cs="Times New Roman"/>
      <w:sz w:val="24"/>
      <w:szCs w:val="20"/>
    </w:rPr>
  </w:style>
  <w:style w:type="character" w:styleId="Emphasis">
    <w:name w:val="Emphasis"/>
    <w:basedOn w:val="DefaultParagraphFont"/>
    <w:uiPriority w:val="20"/>
    <w:qFormat/>
    <w:rsid w:val="00525214"/>
    <w:rPr>
      <w:i/>
      <w:iCs/>
    </w:rPr>
  </w:style>
  <w:style w:type="paragraph" w:styleId="NormalWeb">
    <w:name w:val="Normal (Web)"/>
    <w:basedOn w:val="Normal"/>
    <w:uiPriority w:val="99"/>
    <w:unhideWhenUsed/>
    <w:rsid w:val="00EE1AD0"/>
    <w:pPr>
      <w:spacing w:before="216" w:after="120"/>
    </w:pPr>
    <w:rPr>
      <w:rFonts w:ascii="Times New Roman" w:eastAsia="Times New Roman" w:hAnsi="Times New Roman" w:cs="Times New Roman"/>
      <w:sz w:val="24"/>
      <w:szCs w:val="24"/>
      <w:lang w:eastAsia="en-AU"/>
    </w:rPr>
  </w:style>
  <w:style w:type="paragraph" w:customStyle="1" w:styleId="Pa8">
    <w:name w:val="Pa8"/>
    <w:basedOn w:val="Normal"/>
    <w:next w:val="Normal"/>
    <w:uiPriority w:val="99"/>
    <w:rsid w:val="00F81D58"/>
    <w:pPr>
      <w:autoSpaceDE w:val="0"/>
      <w:autoSpaceDN w:val="0"/>
      <w:adjustRightInd w:val="0"/>
      <w:spacing w:line="201" w:lineRule="atLeast"/>
    </w:pPr>
    <w:rPr>
      <w:rFonts w:ascii="Helvetica 45 Light" w:eastAsiaTheme="minorHAnsi" w:hAnsi="Helvetica 45 Light" w:cstheme="minorBidi"/>
      <w:sz w:val="24"/>
      <w:szCs w:val="24"/>
    </w:rPr>
  </w:style>
  <w:style w:type="character" w:customStyle="1" w:styleId="Heading2Char">
    <w:name w:val="Heading 2 Char"/>
    <w:basedOn w:val="DefaultParagraphFont"/>
    <w:link w:val="Heading2"/>
    <w:uiPriority w:val="9"/>
    <w:rsid w:val="00F81D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7EC4"/>
    <w:rPr>
      <w:rFonts w:eastAsia="Times New Roman" w:cs="Arial"/>
      <w:i/>
      <w:lang w:eastAsia="en-AU"/>
    </w:rPr>
  </w:style>
  <w:style w:type="character" w:customStyle="1" w:styleId="Heading4Char">
    <w:name w:val="Heading 4 Char"/>
    <w:basedOn w:val="DefaultParagraphFont"/>
    <w:link w:val="Heading4"/>
    <w:uiPriority w:val="9"/>
    <w:rsid w:val="00F81D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1D5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1D5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1D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1D5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1D5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F8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2">
    <w:name w:val="Heading 1 Char2"/>
    <w:basedOn w:val="DefaultParagraphFont"/>
    <w:uiPriority w:val="9"/>
    <w:rsid w:val="00F81D58"/>
    <w:rPr>
      <w:rFonts w:asciiTheme="majorHAnsi" w:eastAsiaTheme="majorEastAsia" w:hAnsiTheme="majorHAnsi" w:cstheme="majorBidi"/>
      <w:b/>
      <w:bCs/>
      <w:color w:val="365F91" w:themeColor="accent1" w:themeShade="BF"/>
      <w:sz w:val="28"/>
      <w:szCs w:val="28"/>
    </w:rPr>
  </w:style>
  <w:style w:type="paragraph" w:customStyle="1" w:styleId="Pa14">
    <w:name w:val="Pa14"/>
    <w:basedOn w:val="Normal"/>
    <w:next w:val="Normal"/>
    <w:uiPriority w:val="99"/>
    <w:rsid w:val="00585354"/>
    <w:pPr>
      <w:autoSpaceDE w:val="0"/>
      <w:autoSpaceDN w:val="0"/>
      <w:adjustRightInd w:val="0"/>
      <w:spacing w:line="201" w:lineRule="atLeast"/>
    </w:pPr>
    <w:rPr>
      <w:rFonts w:ascii="Helvetica 45 Light" w:eastAsiaTheme="minorHAnsi" w:hAnsi="Helvetica 45 Light" w:cstheme="minorBidi"/>
      <w:sz w:val="24"/>
      <w:szCs w:val="24"/>
    </w:rPr>
  </w:style>
  <w:style w:type="character" w:styleId="CommentReference">
    <w:name w:val="annotation reference"/>
    <w:basedOn w:val="DefaultParagraphFont"/>
    <w:uiPriority w:val="99"/>
    <w:semiHidden/>
    <w:unhideWhenUsed/>
    <w:rsid w:val="00D0393B"/>
    <w:rPr>
      <w:sz w:val="16"/>
      <w:szCs w:val="16"/>
    </w:rPr>
  </w:style>
  <w:style w:type="paragraph" w:styleId="CommentText">
    <w:name w:val="annotation text"/>
    <w:basedOn w:val="Normal"/>
    <w:link w:val="CommentTextChar"/>
    <w:uiPriority w:val="99"/>
    <w:semiHidden/>
    <w:unhideWhenUsed/>
    <w:rsid w:val="00D0393B"/>
    <w:rPr>
      <w:sz w:val="20"/>
      <w:szCs w:val="20"/>
    </w:rPr>
  </w:style>
  <w:style w:type="character" w:customStyle="1" w:styleId="CommentTextChar">
    <w:name w:val="Comment Text Char"/>
    <w:basedOn w:val="DefaultParagraphFont"/>
    <w:link w:val="CommentText"/>
    <w:uiPriority w:val="99"/>
    <w:semiHidden/>
    <w:rsid w:val="00D0393B"/>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D0393B"/>
    <w:rPr>
      <w:b/>
      <w:bCs/>
    </w:rPr>
  </w:style>
  <w:style w:type="character" w:customStyle="1" w:styleId="CommentSubjectChar">
    <w:name w:val="Comment Subject Char"/>
    <w:basedOn w:val="CommentTextChar"/>
    <w:link w:val="CommentSubject"/>
    <w:uiPriority w:val="99"/>
    <w:semiHidden/>
    <w:rsid w:val="00D0393B"/>
    <w:rPr>
      <w:rFonts w:ascii="Arial" w:eastAsia="Calibri" w:hAnsi="Arial" w:cs="Arial"/>
      <w:b/>
      <w:bCs/>
      <w:sz w:val="20"/>
      <w:szCs w:val="20"/>
    </w:rPr>
  </w:style>
  <w:style w:type="paragraph" w:styleId="BalloonText">
    <w:name w:val="Balloon Text"/>
    <w:basedOn w:val="Normal"/>
    <w:link w:val="BalloonTextChar"/>
    <w:uiPriority w:val="99"/>
    <w:semiHidden/>
    <w:unhideWhenUsed/>
    <w:rsid w:val="00D0393B"/>
    <w:rPr>
      <w:rFonts w:ascii="Tahoma" w:hAnsi="Tahoma" w:cs="Tahoma"/>
      <w:sz w:val="16"/>
      <w:szCs w:val="16"/>
    </w:rPr>
  </w:style>
  <w:style w:type="character" w:customStyle="1" w:styleId="BalloonTextChar">
    <w:name w:val="Balloon Text Char"/>
    <w:basedOn w:val="DefaultParagraphFont"/>
    <w:link w:val="BalloonText"/>
    <w:uiPriority w:val="99"/>
    <w:semiHidden/>
    <w:rsid w:val="00D0393B"/>
    <w:rPr>
      <w:rFonts w:ascii="Tahoma" w:eastAsia="Calibri" w:hAnsi="Tahoma" w:cs="Tahoma"/>
      <w:sz w:val="16"/>
      <w:szCs w:val="16"/>
    </w:rPr>
  </w:style>
  <w:style w:type="paragraph" w:customStyle="1" w:styleId="Pa9">
    <w:name w:val="Pa9"/>
    <w:basedOn w:val="Normal"/>
    <w:next w:val="Normal"/>
    <w:uiPriority w:val="99"/>
    <w:rsid w:val="00D0393B"/>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D0393B"/>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7">
    <w:name w:val="Pa17"/>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35274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862C28"/>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7">
    <w:name w:val="Pa7"/>
    <w:basedOn w:val="Default"/>
    <w:next w:val="Default"/>
    <w:uiPriority w:val="99"/>
    <w:rsid w:val="00862C28"/>
    <w:pPr>
      <w:spacing w:line="201" w:lineRule="atLeast"/>
    </w:pPr>
    <w:rPr>
      <w:rFonts w:cstheme="minorBidi"/>
      <w:color w:val="auto"/>
    </w:rPr>
  </w:style>
  <w:style w:type="character" w:customStyle="1" w:styleId="A7">
    <w:name w:val="A7"/>
    <w:uiPriority w:val="99"/>
    <w:rsid w:val="00862C28"/>
    <w:rPr>
      <w:rFonts w:cs="Helvetica 45 Light"/>
      <w:color w:val="000000"/>
      <w:sz w:val="11"/>
      <w:szCs w:val="11"/>
    </w:rPr>
  </w:style>
  <w:style w:type="paragraph" w:customStyle="1" w:styleId="Pa11">
    <w:name w:val="Pa11"/>
    <w:basedOn w:val="Default"/>
    <w:next w:val="Default"/>
    <w:uiPriority w:val="99"/>
    <w:rsid w:val="00862C28"/>
    <w:pPr>
      <w:spacing w:line="161" w:lineRule="atLeast"/>
    </w:pPr>
    <w:rPr>
      <w:rFonts w:cstheme="minorBidi"/>
      <w:color w:val="auto"/>
    </w:rPr>
  </w:style>
  <w:style w:type="paragraph" w:customStyle="1" w:styleId="Pa12">
    <w:name w:val="Pa12"/>
    <w:basedOn w:val="Default"/>
    <w:next w:val="Default"/>
    <w:uiPriority w:val="99"/>
    <w:rsid w:val="003D13B4"/>
    <w:pPr>
      <w:spacing w:line="201" w:lineRule="atLeast"/>
    </w:pPr>
    <w:rPr>
      <w:rFonts w:ascii="Helvetica 65 Medium" w:hAnsi="Helvetica 65 Medium" w:cstheme="minorBidi"/>
      <w:color w:val="auto"/>
    </w:rPr>
  </w:style>
  <w:style w:type="paragraph" w:customStyle="1" w:styleId="Pa19">
    <w:name w:val="Pa19"/>
    <w:basedOn w:val="Default"/>
    <w:next w:val="Default"/>
    <w:uiPriority w:val="99"/>
    <w:rsid w:val="00835440"/>
    <w:pPr>
      <w:spacing w:line="201" w:lineRule="atLeast"/>
    </w:pPr>
    <w:rPr>
      <w:rFonts w:cstheme="minorBidi"/>
      <w:color w:val="auto"/>
    </w:rPr>
  </w:style>
  <w:style w:type="paragraph" w:customStyle="1" w:styleId="Pa20">
    <w:name w:val="Pa20"/>
    <w:basedOn w:val="Default"/>
    <w:next w:val="Default"/>
    <w:uiPriority w:val="99"/>
    <w:rsid w:val="00835440"/>
    <w:pPr>
      <w:spacing w:line="181" w:lineRule="atLeast"/>
    </w:pPr>
    <w:rPr>
      <w:rFonts w:cstheme="minorBidi"/>
      <w:color w:val="auto"/>
    </w:rPr>
  </w:style>
  <w:style w:type="paragraph" w:customStyle="1" w:styleId="Bullets2b">
    <w:name w:val="Bullets 2b"/>
    <w:basedOn w:val="Normal"/>
    <w:uiPriority w:val="99"/>
    <w:rsid w:val="00163795"/>
    <w:pPr>
      <w:widowControl w:val="0"/>
      <w:tabs>
        <w:tab w:val="left" w:pos="760"/>
      </w:tabs>
      <w:suppressAutoHyphens/>
      <w:autoSpaceDE w:val="0"/>
      <w:autoSpaceDN w:val="0"/>
      <w:adjustRightInd w:val="0"/>
      <w:spacing w:after="170" w:line="280" w:lineRule="atLeast"/>
      <w:ind w:left="907" w:hanging="397"/>
      <w:textAlignment w:val="center"/>
    </w:pPr>
    <w:rPr>
      <w:rFonts w:ascii="HelveticaNeue-Light" w:eastAsia="Times New Roman" w:hAnsi="HelveticaNeue-Light" w:cs="HelveticaNeue-Light"/>
      <w:color w:val="000000"/>
      <w:sz w:val="20"/>
      <w:szCs w:val="20"/>
      <w:lang w:val="en-US"/>
    </w:rPr>
  </w:style>
  <w:style w:type="paragraph" w:customStyle="1" w:styleId="Bullets1b">
    <w:name w:val="Bullets 1b"/>
    <w:basedOn w:val="Normal"/>
    <w:uiPriority w:val="99"/>
    <w:rsid w:val="00163795"/>
    <w:pPr>
      <w:widowControl w:val="0"/>
      <w:tabs>
        <w:tab w:val="left" w:pos="760"/>
      </w:tabs>
      <w:suppressAutoHyphens/>
      <w:autoSpaceDE w:val="0"/>
      <w:autoSpaceDN w:val="0"/>
      <w:adjustRightInd w:val="0"/>
      <w:spacing w:after="170" w:line="280" w:lineRule="atLeast"/>
      <w:ind w:left="510" w:hanging="397"/>
      <w:textAlignment w:val="center"/>
    </w:pPr>
    <w:rPr>
      <w:rFonts w:ascii="HelveticaNeue-Light" w:eastAsia="Times New Roman" w:hAnsi="HelveticaNeue-Light" w:cs="HelveticaNeue-Light"/>
      <w:color w:val="000000"/>
      <w:sz w:val="20"/>
      <w:szCs w:val="20"/>
      <w:lang w:val="en-US"/>
    </w:rPr>
  </w:style>
  <w:style w:type="paragraph" w:styleId="FootnoteText">
    <w:name w:val="footnote text"/>
    <w:basedOn w:val="Normal"/>
    <w:link w:val="FootnoteTextChar"/>
    <w:uiPriority w:val="99"/>
    <w:unhideWhenUsed/>
    <w:rsid w:val="00116B09"/>
    <w:rPr>
      <w:sz w:val="20"/>
      <w:szCs w:val="20"/>
    </w:rPr>
  </w:style>
  <w:style w:type="character" w:customStyle="1" w:styleId="FootnoteTextChar">
    <w:name w:val="Footnote Text Char"/>
    <w:basedOn w:val="DefaultParagraphFont"/>
    <w:link w:val="FootnoteText"/>
    <w:uiPriority w:val="99"/>
    <w:rsid w:val="00116B09"/>
    <w:rPr>
      <w:rFonts w:ascii="Arial" w:eastAsia="Calibri" w:hAnsi="Arial" w:cs="Arial"/>
      <w:sz w:val="20"/>
      <w:szCs w:val="20"/>
    </w:rPr>
  </w:style>
  <w:style w:type="character" w:styleId="FootnoteReference">
    <w:name w:val="footnote reference"/>
    <w:basedOn w:val="DefaultParagraphFont"/>
    <w:uiPriority w:val="99"/>
    <w:unhideWhenUsed/>
    <w:rsid w:val="00116B09"/>
    <w:rPr>
      <w:vertAlign w:val="superscript"/>
    </w:rPr>
  </w:style>
  <w:style w:type="character" w:styleId="Hyperlink">
    <w:name w:val="Hyperlink"/>
    <w:basedOn w:val="DefaultParagraphFont"/>
    <w:uiPriority w:val="99"/>
    <w:unhideWhenUsed/>
    <w:rsid w:val="00116B09"/>
    <w:rPr>
      <w:color w:val="0000FF" w:themeColor="hyperlink"/>
      <w:u w:val="single"/>
    </w:rPr>
  </w:style>
  <w:style w:type="paragraph" w:styleId="TOCHeading">
    <w:name w:val="TOC Heading"/>
    <w:basedOn w:val="Heading1"/>
    <w:next w:val="Normal"/>
    <w:uiPriority w:val="39"/>
    <w:semiHidden/>
    <w:unhideWhenUsed/>
    <w:qFormat/>
    <w:rsid w:val="00116B09"/>
    <w:pPr>
      <w:spacing w:line="276" w:lineRule="auto"/>
      <w:outlineLvl w:val="9"/>
    </w:pPr>
    <w:rPr>
      <w:lang w:val="en-US" w:eastAsia="ja-JP"/>
    </w:rPr>
  </w:style>
  <w:style w:type="paragraph" w:styleId="TOC1">
    <w:name w:val="toc 1"/>
    <w:basedOn w:val="Normal"/>
    <w:next w:val="Normal"/>
    <w:autoRedefine/>
    <w:uiPriority w:val="39"/>
    <w:unhideWhenUsed/>
    <w:rsid w:val="00116B09"/>
    <w:pPr>
      <w:tabs>
        <w:tab w:val="right" w:leader="dot" w:pos="10762"/>
      </w:tabs>
      <w:spacing w:after="100"/>
      <w:ind w:left="720"/>
    </w:pPr>
  </w:style>
  <w:style w:type="paragraph" w:styleId="TOC2">
    <w:name w:val="toc 2"/>
    <w:basedOn w:val="Normal"/>
    <w:next w:val="Normal"/>
    <w:autoRedefine/>
    <w:uiPriority w:val="39"/>
    <w:unhideWhenUsed/>
    <w:rsid w:val="006202B0"/>
    <w:pPr>
      <w:tabs>
        <w:tab w:val="right" w:leader="dot" w:pos="10762"/>
      </w:tabs>
      <w:ind w:left="720"/>
    </w:pPr>
  </w:style>
  <w:style w:type="paragraph" w:styleId="TOC3">
    <w:name w:val="toc 3"/>
    <w:basedOn w:val="Normal"/>
    <w:next w:val="Normal"/>
    <w:autoRedefine/>
    <w:uiPriority w:val="39"/>
    <w:unhideWhenUsed/>
    <w:rsid w:val="00043049"/>
    <w:pPr>
      <w:numPr>
        <w:numId w:val="29"/>
      </w:numPr>
      <w:tabs>
        <w:tab w:val="right" w:leader="dot" w:pos="10762"/>
      </w:tabs>
      <w:spacing w:after="100"/>
    </w:pPr>
  </w:style>
  <w:style w:type="paragraph" w:customStyle="1" w:styleId="Pa3">
    <w:name w:val="Pa3"/>
    <w:basedOn w:val="Normal"/>
    <w:next w:val="Normal"/>
    <w:uiPriority w:val="99"/>
    <w:rsid w:val="006202B0"/>
    <w:pPr>
      <w:autoSpaceDE w:val="0"/>
      <w:autoSpaceDN w:val="0"/>
      <w:adjustRightInd w:val="0"/>
      <w:spacing w:line="181" w:lineRule="atLeast"/>
    </w:pPr>
    <w:rPr>
      <w:rFonts w:ascii="Helvetica 45 Light" w:eastAsiaTheme="minorHAnsi" w:hAnsi="Helvetica 45 Light" w:cstheme="minorBidi"/>
      <w:sz w:val="24"/>
      <w:szCs w:val="24"/>
      <w:lang w:val="en-US"/>
    </w:rPr>
  </w:style>
  <w:style w:type="character" w:styleId="FollowedHyperlink">
    <w:name w:val="FollowedHyperlink"/>
    <w:basedOn w:val="DefaultParagraphFont"/>
    <w:uiPriority w:val="99"/>
    <w:semiHidden/>
    <w:unhideWhenUsed/>
    <w:rsid w:val="005B0984"/>
    <w:rPr>
      <w:color w:val="800080" w:themeColor="followedHyperlink"/>
      <w:u w:val="single"/>
    </w:rPr>
  </w:style>
  <w:style w:type="paragraph" w:customStyle="1" w:styleId="Pa2">
    <w:name w:val="Pa2"/>
    <w:basedOn w:val="Default"/>
    <w:next w:val="Default"/>
    <w:uiPriority w:val="99"/>
    <w:rsid w:val="00162A90"/>
    <w:pPr>
      <w:spacing w:line="181" w:lineRule="atLeast"/>
    </w:pPr>
    <w:rPr>
      <w:rFonts w:ascii="Gotham Light" w:hAnsi="Gotham Light" w:cstheme="minorBidi"/>
      <w:color w:val="auto"/>
      <w:lang w:val="en-US"/>
    </w:rPr>
  </w:style>
  <w:style w:type="paragraph" w:customStyle="1" w:styleId="BodySectionSub">
    <w:name w:val="Body Section (Sub)"/>
    <w:next w:val="Normal"/>
    <w:link w:val="BodySectionSubChar"/>
    <w:rsid w:val="00162A90"/>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162A90"/>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F02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C18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C1878"/>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C1878"/>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C1878"/>
    <w:rPr>
      <w:rFonts w:asciiTheme="majorHAnsi" w:eastAsiaTheme="majorEastAsia" w:hAnsiTheme="majorHAnsi" w:cstheme="majorBidi"/>
      <w:i/>
      <w:iCs/>
      <w:color w:val="4F81BD" w:themeColor="accent1"/>
      <w:spacing w:val="15"/>
      <w:sz w:val="24"/>
      <w:szCs w:val="24"/>
      <w:lang w:val="en-US" w:eastAsia="ja-JP"/>
    </w:rPr>
  </w:style>
  <w:style w:type="paragraph" w:styleId="Revision">
    <w:name w:val="Revision"/>
    <w:hidden/>
    <w:uiPriority w:val="99"/>
    <w:semiHidden/>
    <w:rsid w:val="00252328"/>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7314">
      <w:bodyDiv w:val="1"/>
      <w:marLeft w:val="0"/>
      <w:marRight w:val="0"/>
      <w:marTop w:val="0"/>
      <w:marBottom w:val="0"/>
      <w:divBdr>
        <w:top w:val="none" w:sz="0" w:space="0" w:color="auto"/>
        <w:left w:val="none" w:sz="0" w:space="0" w:color="auto"/>
        <w:bottom w:val="none" w:sz="0" w:space="0" w:color="auto"/>
        <w:right w:val="none" w:sz="0" w:space="0" w:color="auto"/>
      </w:divBdr>
      <w:divsChild>
        <w:div w:id="1977026784">
          <w:marLeft w:val="0"/>
          <w:marRight w:val="0"/>
          <w:marTop w:val="0"/>
          <w:marBottom w:val="0"/>
          <w:divBdr>
            <w:top w:val="none" w:sz="0" w:space="0" w:color="auto"/>
            <w:left w:val="none" w:sz="0" w:space="0" w:color="auto"/>
            <w:bottom w:val="none" w:sz="0" w:space="0" w:color="auto"/>
            <w:right w:val="none" w:sz="0" w:space="0" w:color="auto"/>
          </w:divBdr>
          <w:divsChild>
            <w:div w:id="586118796">
              <w:marLeft w:val="2775"/>
              <w:marRight w:val="0"/>
              <w:marTop w:val="0"/>
              <w:marBottom w:val="0"/>
              <w:divBdr>
                <w:top w:val="none" w:sz="0" w:space="0" w:color="auto"/>
                <w:left w:val="none" w:sz="0" w:space="0" w:color="auto"/>
                <w:bottom w:val="none" w:sz="0" w:space="0" w:color="auto"/>
                <w:right w:val="none" w:sz="0" w:space="0" w:color="auto"/>
              </w:divBdr>
              <w:divsChild>
                <w:div w:id="857695630">
                  <w:marLeft w:val="0"/>
                  <w:marRight w:val="0"/>
                  <w:marTop w:val="0"/>
                  <w:marBottom w:val="0"/>
                  <w:divBdr>
                    <w:top w:val="none" w:sz="0" w:space="0" w:color="auto"/>
                    <w:left w:val="none" w:sz="0" w:space="0" w:color="auto"/>
                    <w:bottom w:val="none" w:sz="0" w:space="0" w:color="auto"/>
                    <w:right w:val="none" w:sz="0" w:space="0" w:color="auto"/>
                  </w:divBdr>
                  <w:divsChild>
                    <w:div w:id="20968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rkersCompensationPolicy@deewr.gov.au" TargetMode="External"/><Relationship Id="rId5" Type="http://schemas.microsoft.com/office/2007/relationships/stylesWithEffects" Target="stylesWithEffects.xml"/><Relationship Id="rId15" Type="http://schemas.openxmlformats.org/officeDocument/2006/relationships/customXml" Target="../customXml/item3.xml"/><Relationship Id="rId10" Type="http://schemas.openxmlformats.org/officeDocument/2006/relationships/hyperlink" Target="http://www.alrc.gov.au/publications/grey-areas%E2%80%94age-barriers-work-commonwealth-laws-dp-7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eacare.gov.au/compensation/coverage/exemption_from_the_seafarers_act" TargetMode="External"/><Relationship Id="rId13" Type="http://schemas.openxmlformats.org/officeDocument/2006/relationships/hyperlink" Target="http://www.alrc.gov.au/publications/grey-areas%E2%80%94age-barriers-work-commonwealth-laws-dp-78" TargetMode="External"/><Relationship Id="rId3" Type="http://schemas.openxmlformats.org/officeDocument/2006/relationships/hyperlink" Target="http://www.amsa.gov.au/shipping_safety/OHS/OHSMOUs.asp" TargetMode="External"/><Relationship Id="rId7" Type="http://schemas.openxmlformats.org/officeDocument/2006/relationships/hyperlink" Target="http://www.seacare.gov.au/news/features_listing/seacare_jurisdictional_coveragediscussion_paper" TargetMode="External"/><Relationship Id="rId12" Type="http://schemas.openxmlformats.org/officeDocument/2006/relationships/hyperlink" Target="http://www.aph.gov.au/Parliamentary_Business/Committees/House_of_Representatives_Committees?url=laca/olderpeople/report.htm" TargetMode="External"/><Relationship Id="rId2" Type="http://schemas.openxmlformats.org/officeDocument/2006/relationships/hyperlink" Target="http://www.ret.gov.au/resources/Documents/Offshore%20Petroleum%20Safety/FinalGovt-response.pdf" TargetMode="External"/><Relationship Id="rId1" Type="http://schemas.openxmlformats.org/officeDocument/2006/relationships/hyperlink" Target="http://ministers.deewr.gov.au/shorten/review-national-compensation-scheme-seafarers" TargetMode="External"/><Relationship Id="rId6" Type="http://schemas.openxmlformats.org/officeDocument/2006/relationships/hyperlink" Target="http://www.ret.gov.au/resources/upstream_petroleum/op-regulatory-regime/changes/Pages/changes.aspx" TargetMode="External"/><Relationship Id="rId11" Type="http://schemas.openxmlformats.org/officeDocument/2006/relationships/hyperlink" Target="http://www.humanservices.gov.au/customer/enablers/centrelink/age-pension/eligibility-for-age-pension" TargetMode="External"/><Relationship Id="rId5" Type="http://schemas.openxmlformats.org/officeDocument/2006/relationships/hyperlink" Target="http://www.infrastructure.gov.au/maritime/shipping_reform/" TargetMode="External"/><Relationship Id="rId10" Type="http://schemas.openxmlformats.org/officeDocument/2006/relationships/hyperlink" Target="http://www.deewr.gov.au/WorkplaceRelations/Policies/Pages/SRCActReview.aspx" TargetMode="External"/><Relationship Id="rId4" Type="http://schemas.openxmlformats.org/officeDocument/2006/relationships/hyperlink" Target="http://www.seacare.gov.au/data/assets/pdf_file/0004/64444/guidance-notes-coverage-under-seafarers-rehabilitation-compensation-act.pdf" TargetMode="External"/><Relationship Id="rId9" Type="http://schemas.openxmlformats.org/officeDocument/2006/relationships/hyperlink" Target="http://www.safeworkaustralia.gov.au/sites/SWA/AboutSafeWorkAustralia/WhatWeDo/Publications/Documents/717/Guide-to-the-WHS-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discussion paper provides information for interested persons and illustrates the type of matters that they may wish to raise in their written submissions or discussions with the Review.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80BB970A-FC6B-4204-9FEC-44519067E0B7}"/>
</file>

<file path=customXml/itemProps3.xml><?xml version="1.0" encoding="utf-8"?>
<ds:datastoreItem xmlns:ds="http://schemas.openxmlformats.org/officeDocument/2006/customXml" ds:itemID="{AB67FF19-CCEB-42B6-9276-3710F1B39119}"/>
</file>

<file path=customXml/itemProps4.xml><?xml version="1.0" encoding="utf-8"?>
<ds:datastoreItem xmlns:ds="http://schemas.openxmlformats.org/officeDocument/2006/customXml" ds:itemID="{27F0774F-2FFA-46DC-A1AA-A08CBD7E347E}"/>
</file>

<file path=customXml/itemProps5.xml><?xml version="1.0" encoding="utf-8"?>
<ds:datastoreItem xmlns:ds="http://schemas.openxmlformats.org/officeDocument/2006/customXml" ds:itemID="{9E6C1D39-0A5F-4040-B1B5-9B26732455AB}"/>
</file>

<file path=docProps/app.xml><?xml version="1.0" encoding="utf-8"?>
<Properties xmlns="http://schemas.openxmlformats.org/officeDocument/2006/extended-properties" xmlns:vt="http://schemas.openxmlformats.org/officeDocument/2006/docPropsVTypes">
  <Template>ABD8BD72.dotm</Template>
  <TotalTime>0</TotalTime>
  <Pages>28</Pages>
  <Words>9973</Words>
  <Characters>56847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seacare scheme review</vt:lpstr>
    </vt:vector>
  </TitlesOfParts>
  <Company>Australian Government</Company>
  <LinksUpToDate>false</LinksUpToDate>
  <CharactersWithSpaces>66687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SEACARE Scheme Review Discussion Paper</dc:title>
  <dc:subject>Discussion Paper</dc:subject>
  <dc:creator>nikki Armour</dc:creator>
  <cp:lastModifiedBy>Daniel Egan</cp:lastModifiedBy>
  <cp:revision>2</cp:revision>
  <cp:lastPrinted>2012-11-22T05:48:00Z</cp:lastPrinted>
  <dcterms:created xsi:type="dcterms:W3CDTF">2012-11-22T05:48:00Z</dcterms:created>
  <dcterms:modified xsi:type="dcterms:W3CDTF">2012-11-22T05:48:00Z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