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95EC" w14:textId="487919DB" w:rsidR="00537BB2" w:rsidRPr="00E4683E" w:rsidRDefault="00537BB2" w:rsidP="00967A9F">
      <w:pPr>
        <w:pStyle w:val="Title"/>
      </w:pPr>
      <w:r w:rsidRPr="00E4683E">
        <w:t>Prisoner Employment Services</w:t>
      </w:r>
      <w:r w:rsidR="00561E11" w:rsidRPr="00E4683E">
        <w:t xml:space="preserve"> for First Nations Peoples</w:t>
      </w:r>
      <w:r w:rsidRPr="00E4683E">
        <w:t>: Consultation Guide</w:t>
      </w:r>
    </w:p>
    <w:p w14:paraId="5720F0A9" w14:textId="75558920" w:rsidR="00A72031" w:rsidRPr="00E4683E" w:rsidRDefault="00A72031" w:rsidP="00967A9F">
      <w:pPr>
        <w:pStyle w:val="Heading2"/>
      </w:pPr>
      <w:r w:rsidRPr="00E4683E">
        <w:t>Acknowledgement of Country</w:t>
      </w:r>
    </w:p>
    <w:p w14:paraId="1D9787B4" w14:textId="25BD74C3" w:rsidR="00A72031" w:rsidRDefault="00A72031" w:rsidP="008824B3">
      <w:r>
        <w:t xml:space="preserve">The Department of Employment and Workplace Relations acknowledges the traditional owners and custodians of country throughout Australia and their continuing connection to land, </w:t>
      </w:r>
      <w:proofErr w:type="gramStart"/>
      <w:r>
        <w:t>waters</w:t>
      </w:r>
      <w:proofErr w:type="gramEnd"/>
      <w:r>
        <w:t xml:space="preserve"> and community. We pay our respects to them and their cultures, and Elders past, present and emerging.</w:t>
      </w:r>
    </w:p>
    <w:p w14:paraId="1482F326" w14:textId="77777777" w:rsidR="00A90B76" w:rsidRPr="005E0ADB" w:rsidRDefault="00A90B76" w:rsidP="00967A9F">
      <w:pPr>
        <w:pStyle w:val="Heading2"/>
      </w:pPr>
      <w:r>
        <w:t>Aim</w:t>
      </w:r>
    </w:p>
    <w:p w14:paraId="7EB6A5AF" w14:textId="67015AA8" w:rsidR="00A90B76" w:rsidRDefault="00A90B76" w:rsidP="00A90B76">
      <w:r>
        <w:t xml:space="preserve">The aim of this consultation is to see how future services for First Nations </w:t>
      </w:r>
      <w:r w:rsidR="00A07B4E">
        <w:t>people who are in</w:t>
      </w:r>
      <w:r w:rsidR="00FE0434">
        <w:t>carcerated</w:t>
      </w:r>
      <w:r w:rsidR="00A07B4E">
        <w:t xml:space="preserve"> </w:t>
      </w:r>
      <w:r>
        <w:t>could be designed to ensure:</w:t>
      </w:r>
    </w:p>
    <w:p w14:paraId="4B55A9AF" w14:textId="3D28478E" w:rsidR="00CE07B2" w:rsidRDefault="00CE07B2" w:rsidP="00CE07B2">
      <w:pPr>
        <w:pStyle w:val="ListParagraph"/>
        <w:numPr>
          <w:ilvl w:val="0"/>
          <w:numId w:val="41"/>
        </w:numPr>
      </w:pPr>
      <w:r>
        <w:t>more participants get a job</w:t>
      </w:r>
      <w:r w:rsidR="00FE0434">
        <w:t xml:space="preserve"> after release,</w:t>
      </w:r>
      <w:r w:rsidR="00FE0434" w:rsidRPr="00FE0434">
        <w:t xml:space="preserve"> </w:t>
      </w:r>
      <w:r w:rsidR="00FE0434">
        <w:t>and</w:t>
      </w:r>
    </w:p>
    <w:p w14:paraId="3FFF2336" w14:textId="6D33B98D" w:rsidR="00A90B76" w:rsidRDefault="00CE07B2" w:rsidP="00A90B76">
      <w:pPr>
        <w:pStyle w:val="ListParagraph"/>
        <w:numPr>
          <w:ilvl w:val="0"/>
          <w:numId w:val="41"/>
        </w:numPr>
      </w:pPr>
      <w:r>
        <w:t>m</w:t>
      </w:r>
      <w:r w:rsidR="00A90B76">
        <w:t xml:space="preserve">ore First Nations organisations deliver </w:t>
      </w:r>
      <w:r w:rsidR="006E4CBD">
        <w:t xml:space="preserve">employment support </w:t>
      </w:r>
      <w:r w:rsidR="00A90B76">
        <w:t>services</w:t>
      </w:r>
      <w:r w:rsidR="00FE0434">
        <w:t>.</w:t>
      </w:r>
      <w:r w:rsidR="00A90B76">
        <w:t xml:space="preserve"> </w:t>
      </w:r>
    </w:p>
    <w:p w14:paraId="45D33864" w14:textId="1892BD1A" w:rsidR="0055229C" w:rsidRPr="00F51C18" w:rsidRDefault="005932C3" w:rsidP="00967A9F">
      <w:pPr>
        <w:pStyle w:val="Heading2"/>
      </w:pPr>
      <w:r>
        <w:t>Introduction</w:t>
      </w:r>
    </w:p>
    <w:p w14:paraId="08AE5682" w14:textId="44491681" w:rsidR="0086574A" w:rsidRDefault="00155964" w:rsidP="0086574A">
      <w:r>
        <w:t xml:space="preserve">We deliver </w:t>
      </w:r>
      <w:r w:rsidR="005E0ADB">
        <w:t xml:space="preserve">the Time to Work Employment Service (TWES) </w:t>
      </w:r>
      <w:r>
        <w:t>to help</w:t>
      </w:r>
      <w:r w:rsidR="005E0ADB" w:rsidRPr="00CE3684">
        <w:t xml:space="preserve"> </w:t>
      </w:r>
      <w:r w:rsidR="005E0ADB">
        <w:t>First Nations</w:t>
      </w:r>
      <w:r w:rsidR="005E0ADB" w:rsidRPr="00CE3684">
        <w:t xml:space="preserve"> </w:t>
      </w:r>
      <w:r w:rsidR="00A46982">
        <w:t>people who have been in</w:t>
      </w:r>
      <w:r w:rsidR="009A065D">
        <w:t>carcerated</w:t>
      </w:r>
      <w:r w:rsidR="00A46982">
        <w:t xml:space="preserve"> </w:t>
      </w:r>
      <w:r w:rsidR="00C56E96">
        <w:t>get ready</w:t>
      </w:r>
      <w:r w:rsidR="005E0ADB" w:rsidRPr="00CE3684">
        <w:t xml:space="preserve"> to find </w:t>
      </w:r>
      <w:r w:rsidR="00C56E96">
        <w:t>work</w:t>
      </w:r>
      <w:r w:rsidR="00C56E96" w:rsidRPr="00CE3684">
        <w:t xml:space="preserve"> </w:t>
      </w:r>
      <w:r w:rsidR="005E0ADB" w:rsidRPr="00CE3684">
        <w:t xml:space="preserve">and </w:t>
      </w:r>
      <w:r>
        <w:t>settle back</w:t>
      </w:r>
      <w:r w:rsidRPr="00CE3684">
        <w:t xml:space="preserve"> </w:t>
      </w:r>
      <w:r w:rsidR="005E0ADB" w:rsidRPr="00CE3684">
        <w:t xml:space="preserve">into the community </w:t>
      </w:r>
      <w:r>
        <w:t>after</w:t>
      </w:r>
      <w:r w:rsidRPr="00CE3684">
        <w:t xml:space="preserve"> </w:t>
      </w:r>
      <w:r w:rsidR="005E0ADB" w:rsidRPr="00CE3684">
        <w:t>their release.</w:t>
      </w:r>
      <w:r w:rsidR="005E0ADB">
        <w:t xml:space="preserve"> TWES </w:t>
      </w:r>
      <w:r>
        <w:t>will</w:t>
      </w:r>
      <w:r w:rsidR="005E0ADB">
        <w:t xml:space="preserve"> end in 2024 </w:t>
      </w:r>
      <w:r>
        <w:t xml:space="preserve">and </w:t>
      </w:r>
      <w:r w:rsidRPr="008824B3">
        <w:rPr>
          <w:b/>
          <w:bCs/>
        </w:rPr>
        <w:t>we want</w:t>
      </w:r>
      <w:r w:rsidR="005E0ADB" w:rsidRPr="008824B3">
        <w:rPr>
          <w:b/>
          <w:bCs/>
        </w:rPr>
        <w:t xml:space="preserve"> to </w:t>
      </w:r>
      <w:r w:rsidRPr="008824B3">
        <w:rPr>
          <w:b/>
          <w:bCs/>
        </w:rPr>
        <w:t>hear from you</w:t>
      </w:r>
      <w:r>
        <w:t xml:space="preserve"> about how</w:t>
      </w:r>
      <w:r w:rsidR="005E0ADB">
        <w:t xml:space="preserve"> to improve </w:t>
      </w:r>
      <w:r w:rsidR="00C56E96">
        <w:t>these</w:t>
      </w:r>
      <w:r w:rsidR="005E0ADB">
        <w:t xml:space="preserve"> transitions for First Nations people.</w:t>
      </w:r>
    </w:p>
    <w:p w14:paraId="7FFE9AD0" w14:textId="3378DAE8" w:rsidR="00892029" w:rsidRDefault="00892029" w:rsidP="0086574A">
      <w:r w:rsidRPr="00F82B27">
        <w:t xml:space="preserve">An evaluation of TWES </w:t>
      </w:r>
      <w:r>
        <w:t xml:space="preserve">found </w:t>
      </w:r>
      <w:r w:rsidRPr="00F82B27">
        <w:t>that the program was not successfully achieving its aims</w:t>
      </w:r>
      <w:r>
        <w:t xml:space="preserve">. It </w:t>
      </w:r>
      <w:r w:rsidRPr="00F82B27">
        <w:t>had low take-up rates and low success rates in connecting participants to employment services after release.</w:t>
      </w:r>
    </w:p>
    <w:p w14:paraId="1F2E5295" w14:textId="1E3A89C0" w:rsidR="0086574A" w:rsidRDefault="00D47686" w:rsidP="0086574A">
      <w:r w:rsidRPr="00D47686">
        <w:t>Finding work after release</w:t>
      </w:r>
      <w:r w:rsidR="00E8781F">
        <w:t xml:space="preserve"> helps </w:t>
      </w:r>
      <w:r w:rsidR="00C56E96">
        <w:t>a person</w:t>
      </w:r>
      <w:r w:rsidR="008118F8">
        <w:t xml:space="preserve"> </w:t>
      </w:r>
      <w:r w:rsidR="00C56E96">
        <w:t>connect to their community</w:t>
      </w:r>
      <w:r w:rsidR="008118F8">
        <w:t>, feel empowered,</w:t>
      </w:r>
      <w:r w:rsidR="00E8781F">
        <w:t xml:space="preserve"> and</w:t>
      </w:r>
      <w:r w:rsidR="00C56E96">
        <w:t xml:space="preserve"> </w:t>
      </w:r>
      <w:r w:rsidR="0086574A">
        <w:t>get on track with their life goals</w:t>
      </w:r>
      <w:r w:rsidR="00E8781F">
        <w:t>.</w:t>
      </w:r>
      <w:r w:rsidR="00E8781F" w:rsidRPr="00763F1B">
        <w:t xml:space="preserve"> </w:t>
      </w:r>
      <w:r w:rsidR="005932C3">
        <w:t xml:space="preserve">People who have been incarcerated may need extra support to get into work. </w:t>
      </w:r>
      <w:r w:rsidR="00E8781F">
        <w:t xml:space="preserve">Government supports </w:t>
      </w:r>
      <w:r w:rsidR="00340BC9">
        <w:t xml:space="preserve">can </w:t>
      </w:r>
      <w:r w:rsidR="00E8781F">
        <w:t xml:space="preserve">play a </w:t>
      </w:r>
      <w:r w:rsidR="00C56E96">
        <w:t>big part</w:t>
      </w:r>
      <w:r w:rsidR="00E8781F">
        <w:t xml:space="preserve"> in making </w:t>
      </w:r>
      <w:r w:rsidR="00C56E96">
        <w:t>these</w:t>
      </w:r>
      <w:r w:rsidR="00E8781F">
        <w:t xml:space="preserve"> transition</w:t>
      </w:r>
      <w:r w:rsidR="00C56E96">
        <w:t>s</w:t>
      </w:r>
      <w:r w:rsidR="00E8781F">
        <w:t xml:space="preserve"> smooth and successful.</w:t>
      </w:r>
      <w:r w:rsidR="0086574A" w:rsidRPr="0086574A">
        <w:t xml:space="preserve"> </w:t>
      </w:r>
      <w:r w:rsidR="0086574A">
        <w:t xml:space="preserve">We want to make sure services </w:t>
      </w:r>
      <w:r w:rsidR="005932C3">
        <w:t xml:space="preserve">for First Nations people </w:t>
      </w:r>
      <w:r w:rsidR="0086574A">
        <w:t xml:space="preserve">are culturally safe, tailored to the needs of each person and give effective support after release. </w:t>
      </w:r>
    </w:p>
    <w:p w14:paraId="4924A9B8" w14:textId="77777777" w:rsidR="00A90B76" w:rsidRDefault="00A90B76" w:rsidP="00A90B76">
      <w:r>
        <w:t>The National Agreement on Closing the Gap (</w:t>
      </w:r>
      <w:hyperlink r:id="rId8" w:history="1">
        <w:r w:rsidRPr="00455AF7">
          <w:rPr>
            <w:rStyle w:val="Hyperlink"/>
          </w:rPr>
          <w:t>www.closingthegap.gov.au/national-agreement</w:t>
        </w:r>
      </w:hyperlink>
      <w:r>
        <w:t>) was developed and agreed in partnership with Aboriginal and Torres Strait Islander people and all levels of government. The National Agreement has four important Priority Reforms. We want to use these to make the services that we fund better. The Priority Reforms are:</w:t>
      </w:r>
    </w:p>
    <w:p w14:paraId="1E8FD834" w14:textId="77777777" w:rsidR="00A90B76" w:rsidRDefault="00A90B76" w:rsidP="00A90B76">
      <w:pPr>
        <w:pStyle w:val="Quote"/>
        <w:tabs>
          <w:tab w:val="left" w:pos="2977"/>
        </w:tabs>
        <w:ind w:left="360" w:right="848"/>
        <w:jc w:val="left"/>
      </w:pPr>
      <w:r w:rsidRPr="00A90B76">
        <w:rPr>
          <w:b/>
          <w:bCs/>
        </w:rPr>
        <w:t>Priority Reform One:</w:t>
      </w:r>
      <w:r>
        <w:t xml:space="preserve"> </w:t>
      </w:r>
      <w:r>
        <w:tab/>
        <w:t>Formal Partnerships and Shared Decision Making</w:t>
      </w:r>
    </w:p>
    <w:p w14:paraId="0F660CFF" w14:textId="77777777" w:rsidR="00A90B76" w:rsidRDefault="00A90B76" w:rsidP="00A90B76">
      <w:pPr>
        <w:pStyle w:val="Quote"/>
        <w:tabs>
          <w:tab w:val="left" w:pos="2977"/>
        </w:tabs>
        <w:ind w:left="360" w:right="848"/>
        <w:jc w:val="left"/>
      </w:pPr>
      <w:r w:rsidRPr="00A90B76">
        <w:rPr>
          <w:b/>
          <w:bCs/>
        </w:rPr>
        <w:t>Priority Reform Two:</w:t>
      </w:r>
      <w:r>
        <w:t xml:space="preserve"> </w:t>
      </w:r>
      <w:r>
        <w:tab/>
        <w:t>Building the Community-Controlled Sector</w:t>
      </w:r>
    </w:p>
    <w:p w14:paraId="590D5EC3" w14:textId="77777777" w:rsidR="00A90B76" w:rsidRDefault="00A90B76" w:rsidP="00A90B76">
      <w:pPr>
        <w:pStyle w:val="Quote"/>
        <w:tabs>
          <w:tab w:val="left" w:pos="2977"/>
        </w:tabs>
        <w:ind w:left="360" w:right="848"/>
        <w:jc w:val="left"/>
      </w:pPr>
      <w:r w:rsidRPr="00A90B76">
        <w:rPr>
          <w:b/>
          <w:bCs/>
        </w:rPr>
        <w:t>Priority Reform Three:</w:t>
      </w:r>
      <w:r>
        <w:t xml:space="preserve"> </w:t>
      </w:r>
      <w:r>
        <w:tab/>
        <w:t>Transforming Government Organisations</w:t>
      </w:r>
    </w:p>
    <w:p w14:paraId="0A924BE4" w14:textId="375E5BA8" w:rsidR="005932C3" w:rsidRDefault="00A90B76" w:rsidP="00892029">
      <w:pPr>
        <w:pStyle w:val="Quote"/>
        <w:tabs>
          <w:tab w:val="left" w:pos="2977"/>
        </w:tabs>
        <w:ind w:left="360" w:right="848"/>
        <w:jc w:val="left"/>
        <w:rPr>
          <w:rFonts w:ascii="Calibri" w:eastAsiaTheme="minorEastAsia" w:hAnsi="Calibri"/>
          <w:color w:val="789B4A"/>
          <w:spacing w:val="15"/>
          <w:sz w:val="40"/>
        </w:rPr>
      </w:pPr>
      <w:r w:rsidRPr="00A90B76">
        <w:rPr>
          <w:b/>
          <w:bCs/>
        </w:rPr>
        <w:t>Priority Reform Four:</w:t>
      </w:r>
      <w:r>
        <w:t xml:space="preserve"> </w:t>
      </w:r>
      <w:r>
        <w:tab/>
        <w:t>Shared Access to Data and Information at a Regional Level</w:t>
      </w:r>
      <w:r w:rsidR="005932C3">
        <w:br w:type="page"/>
      </w:r>
    </w:p>
    <w:p w14:paraId="522D8C72" w14:textId="506D4238" w:rsidR="000D179B" w:rsidRDefault="000D179B" w:rsidP="00967A9F">
      <w:pPr>
        <w:pStyle w:val="Heading2"/>
      </w:pPr>
      <w:r>
        <w:lastRenderedPageBreak/>
        <w:t xml:space="preserve">Who </w:t>
      </w:r>
      <w:r w:rsidR="008824B3">
        <w:t>can contribute</w:t>
      </w:r>
      <w:r>
        <w:t>?</w:t>
      </w:r>
    </w:p>
    <w:p w14:paraId="2246EDF3" w14:textId="22C29E87" w:rsidR="00634749" w:rsidRDefault="000D179B" w:rsidP="000D179B">
      <w:r>
        <w:t xml:space="preserve">We are seeking views from </w:t>
      </w:r>
      <w:r w:rsidR="00C56E96">
        <w:t>everyone</w:t>
      </w:r>
      <w:r w:rsidR="004466F7">
        <w:t xml:space="preserve"> who wants to help shape services </w:t>
      </w:r>
      <w:r w:rsidR="005932C3">
        <w:t>to support</w:t>
      </w:r>
      <w:r w:rsidR="004466F7">
        <w:t xml:space="preserve"> First Nations</w:t>
      </w:r>
      <w:r w:rsidR="009A065D">
        <w:t xml:space="preserve"> peoples</w:t>
      </w:r>
      <w:r w:rsidR="00C56E96">
        <w:t>. We want to hear from</w:t>
      </w:r>
      <w:r w:rsidR="004466F7">
        <w:t xml:space="preserve"> current and past TWES</w:t>
      </w:r>
      <w:r w:rsidR="00A72031">
        <w:t xml:space="preserve"> participants</w:t>
      </w:r>
      <w:r w:rsidR="004466F7">
        <w:t xml:space="preserve"> and from</w:t>
      </w:r>
      <w:r w:rsidR="00C56E96">
        <w:t xml:space="preserve"> </w:t>
      </w:r>
      <w:r w:rsidR="004466F7">
        <w:t xml:space="preserve">other </w:t>
      </w:r>
      <w:r>
        <w:t xml:space="preserve">First Nations people </w:t>
      </w:r>
      <w:r w:rsidR="00C56E96">
        <w:t xml:space="preserve">who have been </w:t>
      </w:r>
      <w:r w:rsidR="009A065D">
        <w:t>incarcerated</w:t>
      </w:r>
      <w:r w:rsidR="00C56E96">
        <w:t xml:space="preserve">. We </w:t>
      </w:r>
      <w:r w:rsidR="00A72031">
        <w:t xml:space="preserve">also </w:t>
      </w:r>
      <w:r w:rsidR="00C56E96">
        <w:t xml:space="preserve">want to hear from </w:t>
      </w:r>
      <w:r w:rsidR="004466F7">
        <w:t>people</w:t>
      </w:r>
      <w:r>
        <w:t xml:space="preserve"> who have </w:t>
      </w:r>
      <w:r w:rsidR="004466F7">
        <w:t>helped</w:t>
      </w:r>
      <w:r>
        <w:t xml:space="preserve"> </w:t>
      </w:r>
      <w:r w:rsidR="00C56E96">
        <w:t>people</w:t>
      </w:r>
      <w:r>
        <w:t xml:space="preserve"> </w:t>
      </w:r>
      <w:r w:rsidR="009A065D">
        <w:t>who were incarcerated</w:t>
      </w:r>
      <w:r w:rsidR="004466F7">
        <w:t xml:space="preserve"> or after their release</w:t>
      </w:r>
      <w:r w:rsidR="00A72031">
        <w:t>, through their work or volunteering</w:t>
      </w:r>
      <w:r w:rsidR="004466F7">
        <w:t>.</w:t>
      </w:r>
    </w:p>
    <w:p w14:paraId="7EA6D951" w14:textId="1680CC70" w:rsidR="000D179B" w:rsidRDefault="00A72031" w:rsidP="000D179B">
      <w:r>
        <w:t>Anyone can contribute, including</w:t>
      </w:r>
      <w:r w:rsidR="004466F7">
        <w:t xml:space="preserve"> individuals, governments at all levels, social enterprises, community organisations, advocacy groups</w:t>
      </w:r>
      <w:r w:rsidR="00830B1B">
        <w:t>, employers and unions</w:t>
      </w:r>
      <w:r w:rsidR="004466F7">
        <w:t xml:space="preserve">. </w:t>
      </w:r>
      <w:r w:rsidR="0086574A">
        <w:t>As well as seeking views through this discussion paper, w</w:t>
      </w:r>
      <w:r w:rsidR="00C56E96">
        <w:t xml:space="preserve">e </w:t>
      </w:r>
      <w:r>
        <w:t>are</w:t>
      </w:r>
      <w:r w:rsidR="00C56E96">
        <w:t xml:space="preserve"> </w:t>
      </w:r>
      <w:r>
        <w:t>meeting with key stakeholders and</w:t>
      </w:r>
      <w:r w:rsidR="000D179B">
        <w:t xml:space="preserve"> </w:t>
      </w:r>
      <w:r>
        <w:t xml:space="preserve">asking our contracted providers to help us </w:t>
      </w:r>
      <w:r w:rsidR="000D179B">
        <w:t xml:space="preserve">seek the views of </w:t>
      </w:r>
      <w:r w:rsidR="007F21D6">
        <w:t>participants.</w:t>
      </w:r>
    </w:p>
    <w:p w14:paraId="7235A943" w14:textId="2FCA09D6" w:rsidR="008824B3" w:rsidRPr="00ED7F4A" w:rsidRDefault="008824B3" w:rsidP="00967A9F">
      <w:pPr>
        <w:pStyle w:val="Heading2"/>
      </w:pPr>
      <w:r>
        <w:t>What can you tell us?</w:t>
      </w:r>
    </w:p>
    <w:p w14:paraId="0FAB638F" w14:textId="32688DCF" w:rsidR="008824B3" w:rsidRDefault="008824B3" w:rsidP="008824B3">
      <w:r>
        <w:t xml:space="preserve">We want to know how you think future services could be designed to </w:t>
      </w:r>
      <w:r w:rsidR="005932C3">
        <w:t>help</w:t>
      </w:r>
      <w:r>
        <w:t xml:space="preserve"> First Nations people who are or have </w:t>
      </w:r>
      <w:r w:rsidR="00FA4210">
        <w:t>been incarcerat</w:t>
      </w:r>
      <w:r w:rsidR="007F0969">
        <w:t>ed</w:t>
      </w:r>
      <w:r w:rsidR="005932C3">
        <w:t xml:space="preserve"> transition into employment</w:t>
      </w:r>
      <w:r w:rsidR="007F0969">
        <w:t xml:space="preserve">. </w:t>
      </w:r>
      <w:r>
        <w:t xml:space="preserve"> </w:t>
      </w:r>
    </w:p>
    <w:p w14:paraId="2D4C0253" w14:textId="521212F9" w:rsidR="00A07B4E" w:rsidRDefault="00A07B4E" w:rsidP="008824B3">
      <w:r w:rsidRPr="00A07B4E">
        <w:t>You may choose to use these discussion questions to guide your input:</w:t>
      </w:r>
    </w:p>
    <w:p w14:paraId="13AD6A69" w14:textId="2961EE58" w:rsidR="00A07B4E" w:rsidRPr="006A37F7" w:rsidRDefault="00A07B4E" w:rsidP="00A07B4E">
      <w:pPr>
        <w:pStyle w:val="ListNumber"/>
        <w:numPr>
          <w:ilvl w:val="0"/>
          <w:numId w:val="42"/>
        </w:numPr>
      </w:pPr>
      <w:bookmarkStart w:id="0" w:name="_Hlk139968404"/>
      <w:bookmarkStart w:id="1" w:name="_Hlk135920634"/>
      <w:r>
        <w:t xml:space="preserve">How should the </w:t>
      </w:r>
      <w:r w:rsidRPr="006A37F7">
        <w:t>Priority Reforms from the National Agreement on Closing the Gap be embedded in a Commonwealth-funded prison employment service?</w:t>
      </w:r>
    </w:p>
    <w:p w14:paraId="3EE618E0" w14:textId="000AD512" w:rsidR="003608E5" w:rsidRPr="006A37F7" w:rsidRDefault="00A021F2" w:rsidP="00F00820">
      <w:pPr>
        <w:pStyle w:val="ListNumber"/>
        <w:numPr>
          <w:ilvl w:val="0"/>
          <w:numId w:val="42"/>
        </w:numPr>
        <w:tabs>
          <w:tab w:val="left" w:pos="720"/>
        </w:tabs>
      </w:pPr>
      <w:bookmarkStart w:id="2" w:name="_Hlk138153398"/>
      <w:bookmarkStart w:id="3" w:name="_Hlk140056844"/>
      <w:r w:rsidRPr="006A37F7">
        <w:t xml:space="preserve">How can </w:t>
      </w:r>
      <w:r w:rsidR="00D41930" w:rsidRPr="006A37F7">
        <w:t>we design</w:t>
      </w:r>
      <w:r w:rsidR="00193F77" w:rsidRPr="006A37F7">
        <w:t xml:space="preserve"> and deliver</w:t>
      </w:r>
      <w:r w:rsidR="00D41930" w:rsidRPr="006A37F7">
        <w:t xml:space="preserve"> a</w:t>
      </w:r>
      <w:r w:rsidRPr="006A37F7">
        <w:t xml:space="preserve"> culturally competent service?</w:t>
      </w:r>
    </w:p>
    <w:p w14:paraId="5AD1EC8F" w14:textId="0A0D982D" w:rsidR="00045769" w:rsidRDefault="00D41930" w:rsidP="00A07B4E">
      <w:pPr>
        <w:pStyle w:val="ListNumber"/>
        <w:numPr>
          <w:ilvl w:val="0"/>
          <w:numId w:val="42"/>
        </w:numPr>
      </w:pPr>
      <w:bookmarkStart w:id="4" w:name="_Hlk140223543"/>
      <w:bookmarkEnd w:id="2"/>
      <w:bookmarkEnd w:id="3"/>
      <w:r>
        <w:t>What sorts of supports does the service need to provide to participants while they are in prison?</w:t>
      </w:r>
      <w:bookmarkEnd w:id="4"/>
    </w:p>
    <w:p w14:paraId="3571BF4F" w14:textId="5BA7B28A" w:rsidR="00A07B4E" w:rsidRDefault="00193F77" w:rsidP="00A07B4E">
      <w:pPr>
        <w:pStyle w:val="ListNumber"/>
        <w:numPr>
          <w:ilvl w:val="0"/>
          <w:numId w:val="42"/>
        </w:numPr>
      </w:pPr>
      <w:bookmarkStart w:id="5" w:name="_Hlk140223563"/>
      <w:r>
        <w:t xml:space="preserve">How can the service help First Nations people who have been </w:t>
      </w:r>
      <w:r w:rsidRPr="006A37F7">
        <w:t>incarcerated</w:t>
      </w:r>
      <w:r w:rsidR="00A07B4E" w:rsidRPr="006A37F7">
        <w:t xml:space="preserve"> </w:t>
      </w:r>
      <w:r w:rsidRPr="006A37F7">
        <w:t>after</w:t>
      </w:r>
      <w:r w:rsidR="00A07B4E" w:rsidRPr="006A37F7">
        <w:t xml:space="preserve"> release</w:t>
      </w:r>
      <w:r w:rsidR="00A07B4E">
        <w:t xml:space="preserve"> (including connection to mainstream services, family supports or paid work)? </w:t>
      </w:r>
      <w:bookmarkEnd w:id="5"/>
    </w:p>
    <w:p w14:paraId="5F0EAC17" w14:textId="17F24DB8" w:rsidR="00CA4A8E" w:rsidRDefault="00193F77" w:rsidP="00CA4A8E">
      <w:pPr>
        <w:pStyle w:val="ListNumber"/>
        <w:numPr>
          <w:ilvl w:val="0"/>
          <w:numId w:val="42"/>
        </w:numPr>
        <w:tabs>
          <w:tab w:val="left" w:pos="720"/>
        </w:tabs>
      </w:pPr>
      <w:bookmarkStart w:id="6" w:name="_Hlk140223581"/>
      <w:bookmarkEnd w:id="0"/>
      <w:bookmarkEnd w:id="1"/>
      <w:r>
        <w:t>How can the service help employers to hire First Nations people who have been incarcerated?</w:t>
      </w:r>
      <w:bookmarkEnd w:id="6"/>
    </w:p>
    <w:p w14:paraId="2434FC45" w14:textId="77777777" w:rsidR="008824B3" w:rsidRDefault="008824B3" w:rsidP="008824B3">
      <w:r w:rsidRPr="00286CAF">
        <w:t xml:space="preserve">We would also like to hear from you </w:t>
      </w:r>
      <w:r>
        <w:t xml:space="preserve">on any other </w:t>
      </w:r>
      <w:r w:rsidRPr="00286CAF">
        <w:t>areas we should explore.</w:t>
      </w:r>
      <w:r>
        <w:t xml:space="preserve"> </w:t>
      </w:r>
    </w:p>
    <w:p w14:paraId="1E62F041" w14:textId="6C2F22E9" w:rsidR="00634749" w:rsidRDefault="007F21D6" w:rsidP="008824B3">
      <w:pPr>
        <w:rPr>
          <w:rFonts w:ascii="Calibri" w:eastAsiaTheme="majorEastAsia" w:hAnsi="Calibri" w:cs="Times New Roman (Headings CS)"/>
          <w:sz w:val="46"/>
          <w:szCs w:val="32"/>
        </w:rPr>
      </w:pPr>
      <w:r>
        <w:t>Your knowledge</w:t>
      </w:r>
      <w:r w:rsidR="004466F7">
        <w:t xml:space="preserve">, </w:t>
      </w:r>
      <w:r>
        <w:t>experiences</w:t>
      </w:r>
      <w:r w:rsidR="004466F7">
        <w:t xml:space="preserve"> and </w:t>
      </w:r>
      <w:r w:rsidR="008824B3">
        <w:t>views</w:t>
      </w:r>
      <w:r>
        <w:t xml:space="preserve"> will </w:t>
      </w:r>
      <w:r w:rsidR="008824B3">
        <w:t xml:space="preserve">help </w:t>
      </w:r>
      <w:r>
        <w:t xml:space="preserve">inform the design of any future service. </w:t>
      </w:r>
      <w:r w:rsidR="00634749">
        <w:t xml:space="preserve">If you agree, your submission will also be published on our website, so everyone can benefit from </w:t>
      </w:r>
      <w:r w:rsidR="008824B3">
        <w:t>the</w:t>
      </w:r>
      <w:r w:rsidR="00634749">
        <w:t xml:space="preserve"> sharing of ideas.</w:t>
      </w:r>
      <w:bookmarkStart w:id="7" w:name="_Hlk138768724"/>
    </w:p>
    <w:bookmarkEnd w:id="7"/>
    <w:p w14:paraId="6F89E6A1" w14:textId="77777777" w:rsidR="00A90B76" w:rsidRDefault="00A90B76">
      <w:pPr>
        <w:spacing w:after="160" w:line="259" w:lineRule="auto"/>
        <w:rPr>
          <w:rFonts w:ascii="Calibri" w:eastAsiaTheme="minorEastAsia" w:hAnsi="Calibri"/>
          <w:color w:val="789B4A"/>
          <w:spacing w:val="15"/>
          <w:sz w:val="40"/>
        </w:rPr>
      </w:pPr>
      <w:r>
        <w:br w:type="page"/>
      </w:r>
    </w:p>
    <w:p w14:paraId="6329BA31" w14:textId="244BFC91" w:rsidR="00EC20DC" w:rsidRDefault="008824B3" w:rsidP="00967A9F">
      <w:pPr>
        <w:pStyle w:val="Heading2"/>
      </w:pPr>
      <w:r>
        <w:lastRenderedPageBreak/>
        <w:t>Making a submission</w:t>
      </w:r>
    </w:p>
    <w:p w14:paraId="2D36C3BE" w14:textId="4CE3D4FA" w:rsidR="00EC20DC" w:rsidRDefault="00E8781F" w:rsidP="00916564">
      <w:r w:rsidRPr="00667B61">
        <w:t>You can make a submission</w:t>
      </w:r>
      <w:r w:rsidR="00EC20DC">
        <w:t xml:space="preserve"> of as few or as many words as you choose. You</w:t>
      </w:r>
      <w:r w:rsidR="008824B3">
        <w:t xml:space="preserve"> can choose for you</w:t>
      </w:r>
      <w:r w:rsidR="00EC20DC">
        <w:t xml:space="preserve">r submission </w:t>
      </w:r>
      <w:r w:rsidR="008824B3">
        <w:t>to</w:t>
      </w:r>
      <w:r w:rsidR="00EC20DC">
        <w:t xml:space="preserve"> be anonymous. A </w:t>
      </w:r>
      <w:r w:rsidR="00C41549">
        <w:t>P</w:t>
      </w:r>
      <w:r w:rsidR="00EC20DC">
        <w:t xml:space="preserve">rivacy </w:t>
      </w:r>
      <w:r w:rsidR="00C41549">
        <w:t>Statement and Copyright N</w:t>
      </w:r>
      <w:r w:rsidR="00EC20DC">
        <w:t xml:space="preserve">otice </w:t>
      </w:r>
      <w:r w:rsidR="00C41549">
        <w:t>are</w:t>
      </w:r>
      <w:r w:rsidR="00EC20DC">
        <w:t xml:space="preserve"> available in the Discussion Paper on our website at the address below.</w:t>
      </w:r>
      <w:r w:rsidR="008824B3">
        <w:t xml:space="preserve"> Please </w:t>
      </w:r>
      <w:r w:rsidR="00EC20DC">
        <w:t xml:space="preserve">provide your </w:t>
      </w:r>
      <w:r w:rsidR="008824B3">
        <w:t>submission</w:t>
      </w:r>
      <w:r w:rsidR="00EC20DC">
        <w:t>:</w:t>
      </w:r>
    </w:p>
    <w:p w14:paraId="42FFA36E" w14:textId="0BE26C75" w:rsidR="00EC0926" w:rsidRDefault="00EC0926" w:rsidP="00E8781F">
      <w:pPr>
        <w:pStyle w:val="ListBullet"/>
      </w:pPr>
      <w:r>
        <w:t xml:space="preserve">Through the DEWR website at </w:t>
      </w:r>
      <w:hyperlink r:id="rId9" w:history="1">
        <w:r w:rsidRPr="004F0427">
          <w:rPr>
            <w:rStyle w:val="Hyperlink"/>
          </w:rPr>
          <w:t>www.dewr.gov.au/time-work-employment-service/consultations/have-your-say-improving-prison-employment-services-first-nations-peoples</w:t>
        </w:r>
      </w:hyperlink>
    </w:p>
    <w:p w14:paraId="6143CE80" w14:textId="1379CECF" w:rsidR="00E8781F" w:rsidRDefault="00EC20DC" w:rsidP="00E8781F">
      <w:pPr>
        <w:pStyle w:val="ListBullet"/>
      </w:pPr>
      <w:r>
        <w:t>By e</w:t>
      </w:r>
      <w:r w:rsidR="00E8781F" w:rsidRPr="00667B61">
        <w:t xml:space="preserve">mail to </w:t>
      </w:r>
      <w:hyperlink r:id="rId10" w:history="1">
        <w:r w:rsidR="00E8781F">
          <w:rPr>
            <w:u w:val="single"/>
          </w:rPr>
          <w:t>TWESconsultation</w:t>
        </w:r>
        <w:r w:rsidR="00E8781F" w:rsidRPr="00A142EA">
          <w:rPr>
            <w:u w:val="single"/>
          </w:rPr>
          <w:t>@dewr.gov.au</w:t>
        </w:r>
      </w:hyperlink>
      <w:r w:rsidR="00E8781F">
        <w:t xml:space="preserve"> </w:t>
      </w:r>
    </w:p>
    <w:p w14:paraId="0155F798" w14:textId="4838AE72" w:rsidR="00E8781F" w:rsidRDefault="00EC20DC" w:rsidP="00E8781F">
      <w:pPr>
        <w:pStyle w:val="ListBullet"/>
      </w:pPr>
      <w:r>
        <w:t>By p</w:t>
      </w:r>
      <w:r w:rsidR="00E8781F" w:rsidRPr="00667B61">
        <w:t>ost</w:t>
      </w:r>
      <w:r w:rsidR="00E8781F">
        <w:t xml:space="preserve"> to</w:t>
      </w:r>
      <w:r w:rsidR="00E8781F" w:rsidRPr="00667B61">
        <w:t xml:space="preserve"> </w:t>
      </w:r>
      <w:r w:rsidR="00E8781F">
        <w:tab/>
      </w:r>
    </w:p>
    <w:p w14:paraId="5A0835B1" w14:textId="77777777" w:rsidR="00E8781F" w:rsidRDefault="00E8781F" w:rsidP="00E8781F">
      <w:pPr>
        <w:pStyle w:val="ListBullet"/>
        <w:numPr>
          <w:ilvl w:val="0"/>
          <w:numId w:val="0"/>
        </w:numPr>
        <w:ind w:left="2552" w:hanging="567"/>
      </w:pPr>
      <w:r>
        <w:t xml:space="preserve">TWES Consultation </w:t>
      </w:r>
    </w:p>
    <w:p w14:paraId="0800BF57" w14:textId="77777777" w:rsidR="00E8781F" w:rsidRDefault="00E8781F" w:rsidP="00E8781F">
      <w:pPr>
        <w:pStyle w:val="ListBullet"/>
        <w:numPr>
          <w:ilvl w:val="0"/>
          <w:numId w:val="0"/>
        </w:numPr>
        <w:ind w:left="2552" w:hanging="567"/>
      </w:pPr>
      <w:r>
        <w:t xml:space="preserve">Department of Employment and Workplace Relations </w:t>
      </w:r>
    </w:p>
    <w:p w14:paraId="1FB92B19" w14:textId="77777777" w:rsidR="00E8781F" w:rsidRDefault="00E8781F" w:rsidP="00E8781F">
      <w:pPr>
        <w:pStyle w:val="ListBullet"/>
        <w:numPr>
          <w:ilvl w:val="0"/>
          <w:numId w:val="0"/>
        </w:numPr>
        <w:ind w:left="2552" w:hanging="567"/>
      </w:pPr>
      <w:r>
        <w:t>GPO Box 9828</w:t>
      </w:r>
    </w:p>
    <w:p w14:paraId="3F5636C0" w14:textId="7D216095" w:rsidR="00E8781F" w:rsidRDefault="00E8781F" w:rsidP="00E8781F">
      <w:pPr>
        <w:pStyle w:val="ListBullet"/>
        <w:numPr>
          <w:ilvl w:val="0"/>
          <w:numId w:val="0"/>
        </w:numPr>
        <w:ind w:left="2552" w:hanging="567"/>
      </w:pPr>
      <w:r>
        <w:t>LOC: 12M4 Canberra ACT  2601</w:t>
      </w:r>
    </w:p>
    <w:p w14:paraId="5B7334BE" w14:textId="1E6ACE20" w:rsidR="005A5BAF" w:rsidRPr="002814F6" w:rsidRDefault="0055229C" w:rsidP="002814F6">
      <w:pPr>
        <w:rPr>
          <w:b/>
          <w:bCs/>
          <w:sz w:val="28"/>
          <w:szCs w:val="28"/>
        </w:rPr>
      </w:pPr>
      <w:r w:rsidRPr="002814F6">
        <w:rPr>
          <w:b/>
          <w:bCs/>
          <w:sz w:val="28"/>
          <w:szCs w:val="28"/>
        </w:rPr>
        <w:t xml:space="preserve">Submissions close on </w:t>
      </w:r>
      <w:r w:rsidR="006A37F7" w:rsidRPr="002814F6">
        <w:rPr>
          <w:b/>
          <w:bCs/>
          <w:sz w:val="28"/>
          <w:szCs w:val="28"/>
        </w:rPr>
        <w:t>16</w:t>
      </w:r>
      <w:r w:rsidRPr="002814F6">
        <w:rPr>
          <w:b/>
          <w:bCs/>
          <w:sz w:val="28"/>
          <w:szCs w:val="28"/>
        </w:rPr>
        <w:t xml:space="preserve"> August 2023.</w:t>
      </w:r>
    </w:p>
    <w:sectPr w:rsidR="005A5BAF" w:rsidRPr="002814F6" w:rsidSect="00BE737E">
      <w:headerReference w:type="default" r:id="rId11"/>
      <w:footerReference w:type="default" r:id="rId12"/>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18F5" w14:textId="77777777" w:rsidR="00D1606C" w:rsidRDefault="00D1606C" w:rsidP="0051352E">
      <w:pPr>
        <w:spacing w:after="0" w:line="240" w:lineRule="auto"/>
      </w:pPr>
      <w:r>
        <w:separator/>
      </w:r>
    </w:p>
  </w:endnote>
  <w:endnote w:type="continuationSeparator" w:id="0">
    <w:p w14:paraId="0088A2CE" w14:textId="77777777" w:rsidR="00D1606C" w:rsidRDefault="00D1606C" w:rsidP="0051352E">
      <w:pPr>
        <w:spacing w:after="0" w:line="240" w:lineRule="auto"/>
      </w:pPr>
      <w:r>
        <w:continuationSeparator/>
      </w:r>
    </w:p>
  </w:endnote>
  <w:endnote w:type="continuationNotice" w:id="1">
    <w:p w14:paraId="1BFE1947" w14:textId="77777777" w:rsidR="00D1606C" w:rsidRDefault="00D16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dy C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68959E71" w:rsidR="00EA67FC" w:rsidRDefault="008824B3" w:rsidP="00F65097">
    <w:pPr>
      <w:pStyle w:val="Footer"/>
      <w:tabs>
        <w:tab w:val="clear" w:pos="9026"/>
      </w:tabs>
      <w:ind w:right="706"/>
      <w:jc w:val="right"/>
    </w:pPr>
    <w:bookmarkStart w:id="8" w:name="_Hlk139980612"/>
    <w:r w:rsidRPr="008824B3">
      <w:t>Prison Employment Services</w:t>
    </w:r>
    <w:r w:rsidR="00561E11">
      <w:t xml:space="preserve"> for First Nations Peoples</w:t>
    </w:r>
    <w:bookmarkEnd w:id="8"/>
    <w:r w:rsidRPr="008824B3">
      <w:t xml:space="preserve">: </w:t>
    </w:r>
    <w:r w:rsidR="0093189A">
      <w:t>Consultation Guide</w:t>
    </w:r>
    <w:r w:rsidR="00993DB5">
      <w:t xml:space="preserve">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EB43411" w:rsidR="00EA67FC" w:rsidRDefault="00EA67FC">
    <w:pPr>
      <w:pStyle w:val="Footer"/>
    </w:pPr>
  </w:p>
  <w:p w14:paraId="5C473406" w14:textId="77777777" w:rsidR="005E3BF5" w:rsidRDefault="005E3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9CD1" w14:textId="77777777" w:rsidR="00D1606C" w:rsidRDefault="00D1606C" w:rsidP="0051352E">
      <w:pPr>
        <w:spacing w:after="0" w:line="240" w:lineRule="auto"/>
      </w:pPr>
      <w:r>
        <w:separator/>
      </w:r>
    </w:p>
  </w:footnote>
  <w:footnote w:type="continuationSeparator" w:id="0">
    <w:p w14:paraId="61F4DD22" w14:textId="77777777" w:rsidR="00D1606C" w:rsidRDefault="00D1606C" w:rsidP="0051352E">
      <w:pPr>
        <w:spacing w:after="0" w:line="240" w:lineRule="auto"/>
      </w:pPr>
      <w:r>
        <w:continuationSeparator/>
      </w:r>
    </w:p>
  </w:footnote>
  <w:footnote w:type="continuationNotice" w:id="1">
    <w:p w14:paraId="2F9065B9" w14:textId="77777777" w:rsidR="00D1606C" w:rsidRDefault="00D16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223E37A9" w:rsidR="00EA67FC" w:rsidRDefault="00F65097">
    <w:pPr>
      <w:pStyle w:val="Header"/>
    </w:pPr>
    <w:r>
      <w:rPr>
        <w:noProof/>
      </w:rPr>
      <w:drawing>
        <wp:anchor distT="0" distB="0" distL="114300" distR="114300" simplePos="0" relativeHeight="251658240" behindDoc="1" locked="0" layoutInCell="1" allowOverlap="1" wp14:anchorId="6B10AB74" wp14:editId="50142CF4">
          <wp:simplePos x="0" y="0"/>
          <wp:positionH relativeFrom="column">
            <wp:posOffset>-900431</wp:posOffset>
          </wp:positionH>
          <wp:positionV relativeFrom="page">
            <wp:posOffset>0</wp:posOffset>
          </wp:positionV>
          <wp:extent cx="7560963" cy="106870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859" cy="10695384"/>
                  </a:xfrm>
                  <a:prstGeom prst="rect">
                    <a:avLst/>
                  </a:prstGeom>
                </pic:spPr>
              </pic:pic>
            </a:graphicData>
          </a:graphic>
          <wp14:sizeRelH relativeFrom="page">
            <wp14:pctWidth>0</wp14:pctWidth>
          </wp14:sizeRelH>
          <wp14:sizeRelV relativeFrom="page">
            <wp14:pctHeight>0</wp14:pctHeight>
          </wp14:sizeRelV>
        </wp:anchor>
      </w:drawing>
    </w:r>
  </w:p>
  <w:p w14:paraId="377B15E1" w14:textId="77777777" w:rsidR="005E3BF5" w:rsidRDefault="005E3B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E4CF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7A0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36FD3"/>
    <w:multiLevelType w:val="hybridMultilevel"/>
    <w:tmpl w:val="92427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762091"/>
    <w:multiLevelType w:val="hybridMultilevel"/>
    <w:tmpl w:val="1D885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BB1EE1D8">
      <w:numFmt w:val="bullet"/>
      <w:lvlText w:val="·"/>
      <w:lvlJc w:val="left"/>
      <w:pPr>
        <w:ind w:left="3600" w:hanging="360"/>
      </w:pPr>
      <w:rPr>
        <w:rFonts w:ascii="Calibri" w:eastAsia="Times New Roman"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DB971B1"/>
    <w:multiLevelType w:val="hybridMultilevel"/>
    <w:tmpl w:val="6826D36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Calibri" w:eastAsia="Times New Roman" w:hAnsi="Calibri"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737B16"/>
    <w:multiLevelType w:val="hybridMultilevel"/>
    <w:tmpl w:val="C3705A44"/>
    <w:lvl w:ilvl="0" w:tplc="0C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991CAA"/>
    <w:multiLevelType w:val="hybridMultilevel"/>
    <w:tmpl w:val="951E3C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75560"/>
    <w:multiLevelType w:val="hybridMultilevel"/>
    <w:tmpl w:val="F6966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EA335A"/>
    <w:multiLevelType w:val="hybridMultilevel"/>
    <w:tmpl w:val="38F45604"/>
    <w:lvl w:ilvl="0" w:tplc="0A42CF52">
      <w:numFmt w:val="bullet"/>
      <w:lvlText w:val=""/>
      <w:lvlJc w:val="left"/>
      <w:pPr>
        <w:ind w:left="720" w:hanging="360"/>
      </w:pPr>
      <w:rPr>
        <w:rFonts w:ascii="Symbol" w:eastAsiaTheme="minorHAnsi" w:hAnsi="Symbol" w:cs="Arial (Body C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C38C8"/>
    <w:multiLevelType w:val="hybridMultilevel"/>
    <w:tmpl w:val="7A00C826"/>
    <w:lvl w:ilvl="0" w:tplc="0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Calibri" w:eastAsia="Times New Roman" w:hAnsi="Calibri"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1C66AA"/>
    <w:multiLevelType w:val="hybridMultilevel"/>
    <w:tmpl w:val="94224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4419C2"/>
    <w:multiLevelType w:val="hybridMultilevel"/>
    <w:tmpl w:val="E4F8C44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AF6BA1"/>
    <w:multiLevelType w:val="hybridMultilevel"/>
    <w:tmpl w:val="7CEE4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C56CD0"/>
    <w:multiLevelType w:val="hybridMultilevel"/>
    <w:tmpl w:val="2936738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B0491C"/>
    <w:multiLevelType w:val="hybridMultilevel"/>
    <w:tmpl w:val="0AEEB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6C66E9"/>
    <w:multiLevelType w:val="multilevel"/>
    <w:tmpl w:val="D178866C"/>
    <w:name w:val="List number4"/>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3241271">
    <w:abstractNumId w:val="9"/>
  </w:num>
  <w:num w:numId="2" w16cid:durableId="1926182317">
    <w:abstractNumId w:val="7"/>
  </w:num>
  <w:num w:numId="3" w16cid:durableId="1595742632">
    <w:abstractNumId w:val="6"/>
  </w:num>
  <w:num w:numId="4" w16cid:durableId="68041850">
    <w:abstractNumId w:val="5"/>
  </w:num>
  <w:num w:numId="5" w16cid:durableId="552930631">
    <w:abstractNumId w:val="4"/>
  </w:num>
  <w:num w:numId="6" w16cid:durableId="758988308">
    <w:abstractNumId w:val="8"/>
  </w:num>
  <w:num w:numId="7" w16cid:durableId="1910382052">
    <w:abstractNumId w:val="3"/>
  </w:num>
  <w:num w:numId="8" w16cid:durableId="192808764">
    <w:abstractNumId w:val="2"/>
  </w:num>
  <w:num w:numId="9" w16cid:durableId="88044422">
    <w:abstractNumId w:val="1"/>
  </w:num>
  <w:num w:numId="10" w16cid:durableId="989599275">
    <w:abstractNumId w:val="0"/>
  </w:num>
  <w:num w:numId="11" w16cid:durableId="1799882438">
    <w:abstractNumId w:val="11"/>
  </w:num>
  <w:num w:numId="12" w16cid:durableId="667830983">
    <w:abstractNumId w:val="16"/>
  </w:num>
  <w:num w:numId="13" w16cid:durableId="935752152">
    <w:abstractNumId w:val="18"/>
  </w:num>
  <w:num w:numId="14" w16cid:durableId="1020545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9730701">
    <w:abstractNumId w:val="22"/>
  </w:num>
  <w:num w:numId="16" w16cid:durableId="1046102474">
    <w:abstractNumId w:val="24"/>
  </w:num>
  <w:num w:numId="17" w16cid:durableId="566502169">
    <w:abstractNumId w:val="23"/>
  </w:num>
  <w:num w:numId="18" w16cid:durableId="619843584">
    <w:abstractNumId w:val="10"/>
  </w:num>
  <w:num w:numId="19" w16cid:durableId="1403600697">
    <w:abstractNumId w:val="12"/>
  </w:num>
  <w:num w:numId="20" w16cid:durableId="314724654">
    <w:abstractNumId w:val="19"/>
  </w:num>
  <w:num w:numId="21" w16cid:durableId="1839610142">
    <w:abstractNumId w:val="15"/>
  </w:num>
  <w:num w:numId="22" w16cid:durableId="230772810">
    <w:abstractNumId w:val="16"/>
  </w:num>
  <w:num w:numId="23" w16cid:durableId="1585609862">
    <w:abstractNumId w:val="16"/>
  </w:num>
  <w:num w:numId="24" w16cid:durableId="186602006">
    <w:abstractNumId w:val="16"/>
  </w:num>
  <w:num w:numId="25" w16cid:durableId="1774595667">
    <w:abstractNumId w:val="16"/>
  </w:num>
  <w:num w:numId="26" w16cid:durableId="281621849">
    <w:abstractNumId w:val="11"/>
  </w:num>
  <w:num w:numId="27" w16cid:durableId="209462766">
    <w:abstractNumId w:val="11"/>
  </w:num>
  <w:num w:numId="28" w16cid:durableId="1849640832">
    <w:abstractNumId w:val="13"/>
  </w:num>
  <w:num w:numId="29" w16cid:durableId="1775589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1188654">
    <w:abstractNumId w:val="16"/>
  </w:num>
  <w:num w:numId="31" w16cid:durableId="1464032439">
    <w:abstractNumId w:val="17"/>
  </w:num>
  <w:num w:numId="32" w16cid:durableId="360597027">
    <w:abstractNumId w:val="16"/>
  </w:num>
  <w:num w:numId="33" w16cid:durableId="759956361">
    <w:abstractNumId w:val="16"/>
  </w:num>
  <w:num w:numId="34" w16cid:durableId="1279410679">
    <w:abstractNumId w:val="25"/>
  </w:num>
  <w:num w:numId="35" w16cid:durableId="397750607">
    <w:abstractNumId w:val="16"/>
  </w:num>
  <w:num w:numId="36" w16cid:durableId="331956181">
    <w:abstractNumId w:val="16"/>
  </w:num>
  <w:num w:numId="37" w16cid:durableId="1434326713">
    <w:abstractNumId w:val="26"/>
  </w:num>
  <w:num w:numId="38" w16cid:durableId="671033298">
    <w:abstractNumId w:val="9"/>
  </w:num>
  <w:num w:numId="39" w16cid:durableId="1915818432">
    <w:abstractNumId w:val="14"/>
  </w:num>
  <w:num w:numId="40" w16cid:durableId="55976923">
    <w:abstractNumId w:val="21"/>
  </w:num>
  <w:num w:numId="41" w16cid:durableId="447162113">
    <w:abstractNumId w:val="20"/>
  </w:num>
  <w:num w:numId="42" w16cid:durableId="1746223671">
    <w:abstractNumId w:val="27"/>
  </w:num>
  <w:num w:numId="43" w16cid:durableId="3626331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3320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0820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2042"/>
    <w:rsid w:val="000035B7"/>
    <w:rsid w:val="00024569"/>
    <w:rsid w:val="0003071E"/>
    <w:rsid w:val="00030D99"/>
    <w:rsid w:val="00035945"/>
    <w:rsid w:val="000425B8"/>
    <w:rsid w:val="00042C73"/>
    <w:rsid w:val="00044E90"/>
    <w:rsid w:val="00045769"/>
    <w:rsid w:val="00046FF7"/>
    <w:rsid w:val="000526C1"/>
    <w:rsid w:val="00052BBC"/>
    <w:rsid w:val="00053554"/>
    <w:rsid w:val="00057F6F"/>
    <w:rsid w:val="00061D8F"/>
    <w:rsid w:val="00087C44"/>
    <w:rsid w:val="000A453D"/>
    <w:rsid w:val="000C0366"/>
    <w:rsid w:val="000C04D1"/>
    <w:rsid w:val="000C383F"/>
    <w:rsid w:val="000D179B"/>
    <w:rsid w:val="000D2843"/>
    <w:rsid w:val="000E3D80"/>
    <w:rsid w:val="000F0795"/>
    <w:rsid w:val="000F3221"/>
    <w:rsid w:val="0010409C"/>
    <w:rsid w:val="001114FC"/>
    <w:rsid w:val="001124BE"/>
    <w:rsid w:val="001238EA"/>
    <w:rsid w:val="00145AFE"/>
    <w:rsid w:val="00150B4B"/>
    <w:rsid w:val="00155964"/>
    <w:rsid w:val="00156B12"/>
    <w:rsid w:val="00157F35"/>
    <w:rsid w:val="00165F6C"/>
    <w:rsid w:val="001910D9"/>
    <w:rsid w:val="00191C6B"/>
    <w:rsid w:val="00192B16"/>
    <w:rsid w:val="00193F77"/>
    <w:rsid w:val="00196D9E"/>
    <w:rsid w:val="001A1019"/>
    <w:rsid w:val="001A34CD"/>
    <w:rsid w:val="001B25B1"/>
    <w:rsid w:val="001B2728"/>
    <w:rsid w:val="001B4FD5"/>
    <w:rsid w:val="001B72DB"/>
    <w:rsid w:val="001B73D7"/>
    <w:rsid w:val="001C213D"/>
    <w:rsid w:val="001C6155"/>
    <w:rsid w:val="001C7242"/>
    <w:rsid w:val="001D5311"/>
    <w:rsid w:val="001E64AC"/>
    <w:rsid w:val="001E6563"/>
    <w:rsid w:val="001F1CF1"/>
    <w:rsid w:val="001F659F"/>
    <w:rsid w:val="001F76FC"/>
    <w:rsid w:val="002029BF"/>
    <w:rsid w:val="002112C1"/>
    <w:rsid w:val="00214190"/>
    <w:rsid w:val="00217EAB"/>
    <w:rsid w:val="00222B4D"/>
    <w:rsid w:val="0022498C"/>
    <w:rsid w:val="00227E11"/>
    <w:rsid w:val="00266E80"/>
    <w:rsid w:val="002724D0"/>
    <w:rsid w:val="002814F6"/>
    <w:rsid w:val="002839FD"/>
    <w:rsid w:val="002B0B70"/>
    <w:rsid w:val="002B1CE5"/>
    <w:rsid w:val="002D4B8B"/>
    <w:rsid w:val="002E4AA9"/>
    <w:rsid w:val="002F1B99"/>
    <w:rsid w:val="002F4DB3"/>
    <w:rsid w:val="002F7A89"/>
    <w:rsid w:val="00300A80"/>
    <w:rsid w:val="00301471"/>
    <w:rsid w:val="00305084"/>
    <w:rsid w:val="00305158"/>
    <w:rsid w:val="00305BA4"/>
    <w:rsid w:val="00311EC2"/>
    <w:rsid w:val="003315F8"/>
    <w:rsid w:val="00337D19"/>
    <w:rsid w:val="00340BC9"/>
    <w:rsid w:val="00350FFA"/>
    <w:rsid w:val="0035398B"/>
    <w:rsid w:val="00355BD8"/>
    <w:rsid w:val="003608E5"/>
    <w:rsid w:val="00367667"/>
    <w:rsid w:val="00382F07"/>
    <w:rsid w:val="003840BD"/>
    <w:rsid w:val="00384892"/>
    <w:rsid w:val="003946F9"/>
    <w:rsid w:val="003B1558"/>
    <w:rsid w:val="003B18DB"/>
    <w:rsid w:val="003C087B"/>
    <w:rsid w:val="003D1275"/>
    <w:rsid w:val="003D605D"/>
    <w:rsid w:val="003F211C"/>
    <w:rsid w:val="00404E8D"/>
    <w:rsid w:val="004075B6"/>
    <w:rsid w:val="00411A17"/>
    <w:rsid w:val="0041295C"/>
    <w:rsid w:val="00415F16"/>
    <w:rsid w:val="0042106A"/>
    <w:rsid w:val="00443931"/>
    <w:rsid w:val="00444524"/>
    <w:rsid w:val="004466F7"/>
    <w:rsid w:val="004478B3"/>
    <w:rsid w:val="00447B0A"/>
    <w:rsid w:val="00450C80"/>
    <w:rsid w:val="00453C04"/>
    <w:rsid w:val="00460187"/>
    <w:rsid w:val="004606D0"/>
    <w:rsid w:val="00461955"/>
    <w:rsid w:val="004708BD"/>
    <w:rsid w:val="004765F9"/>
    <w:rsid w:val="00490793"/>
    <w:rsid w:val="00493610"/>
    <w:rsid w:val="00497764"/>
    <w:rsid w:val="004A17D3"/>
    <w:rsid w:val="004A188E"/>
    <w:rsid w:val="004A301E"/>
    <w:rsid w:val="004A48AB"/>
    <w:rsid w:val="004A689A"/>
    <w:rsid w:val="004B707D"/>
    <w:rsid w:val="004C4739"/>
    <w:rsid w:val="004E03D2"/>
    <w:rsid w:val="004E192A"/>
    <w:rsid w:val="00503731"/>
    <w:rsid w:val="005050E7"/>
    <w:rsid w:val="0050659C"/>
    <w:rsid w:val="0051352E"/>
    <w:rsid w:val="00517C0C"/>
    <w:rsid w:val="00517DA7"/>
    <w:rsid w:val="00520A33"/>
    <w:rsid w:val="0052286D"/>
    <w:rsid w:val="005242E0"/>
    <w:rsid w:val="00527749"/>
    <w:rsid w:val="00527AE4"/>
    <w:rsid w:val="00536AFD"/>
    <w:rsid w:val="00536E45"/>
    <w:rsid w:val="00537BB2"/>
    <w:rsid w:val="0054014D"/>
    <w:rsid w:val="005466CC"/>
    <w:rsid w:val="0055229C"/>
    <w:rsid w:val="005569E6"/>
    <w:rsid w:val="00561E11"/>
    <w:rsid w:val="00566817"/>
    <w:rsid w:val="00571E1C"/>
    <w:rsid w:val="005721BF"/>
    <w:rsid w:val="0058535E"/>
    <w:rsid w:val="00591798"/>
    <w:rsid w:val="005932C3"/>
    <w:rsid w:val="00594CCF"/>
    <w:rsid w:val="005955C0"/>
    <w:rsid w:val="00596674"/>
    <w:rsid w:val="005A298E"/>
    <w:rsid w:val="005A306E"/>
    <w:rsid w:val="005A3C2B"/>
    <w:rsid w:val="005A549F"/>
    <w:rsid w:val="005A5BAF"/>
    <w:rsid w:val="005A6302"/>
    <w:rsid w:val="005C0279"/>
    <w:rsid w:val="005C3C75"/>
    <w:rsid w:val="005C5905"/>
    <w:rsid w:val="005C5B2C"/>
    <w:rsid w:val="005D0952"/>
    <w:rsid w:val="005D26FD"/>
    <w:rsid w:val="005E0068"/>
    <w:rsid w:val="005E0ADB"/>
    <w:rsid w:val="005E3BF5"/>
    <w:rsid w:val="005F0925"/>
    <w:rsid w:val="005F311A"/>
    <w:rsid w:val="005F5BFC"/>
    <w:rsid w:val="005F7AA6"/>
    <w:rsid w:val="0060696D"/>
    <w:rsid w:val="0061253F"/>
    <w:rsid w:val="00614AC6"/>
    <w:rsid w:val="006169FE"/>
    <w:rsid w:val="00623534"/>
    <w:rsid w:val="00630DDF"/>
    <w:rsid w:val="00634749"/>
    <w:rsid w:val="0063788A"/>
    <w:rsid w:val="006536A3"/>
    <w:rsid w:val="00661B65"/>
    <w:rsid w:val="00667A30"/>
    <w:rsid w:val="00677B26"/>
    <w:rsid w:val="006804B5"/>
    <w:rsid w:val="00682A43"/>
    <w:rsid w:val="00686056"/>
    <w:rsid w:val="006967A3"/>
    <w:rsid w:val="006A0125"/>
    <w:rsid w:val="006A37F7"/>
    <w:rsid w:val="006B35FA"/>
    <w:rsid w:val="006B4DAC"/>
    <w:rsid w:val="006C2275"/>
    <w:rsid w:val="006D2040"/>
    <w:rsid w:val="006D2D1A"/>
    <w:rsid w:val="006E4CBD"/>
    <w:rsid w:val="006E5D6E"/>
    <w:rsid w:val="006F081B"/>
    <w:rsid w:val="00703327"/>
    <w:rsid w:val="00703B69"/>
    <w:rsid w:val="007150DD"/>
    <w:rsid w:val="00716EA8"/>
    <w:rsid w:val="00721B03"/>
    <w:rsid w:val="00730416"/>
    <w:rsid w:val="00742E23"/>
    <w:rsid w:val="00747A3B"/>
    <w:rsid w:val="00761737"/>
    <w:rsid w:val="00761D84"/>
    <w:rsid w:val="00766A92"/>
    <w:rsid w:val="007670F1"/>
    <w:rsid w:val="00776B1C"/>
    <w:rsid w:val="007855CC"/>
    <w:rsid w:val="00797F82"/>
    <w:rsid w:val="007B1ABA"/>
    <w:rsid w:val="007B74C5"/>
    <w:rsid w:val="007C748F"/>
    <w:rsid w:val="007D2D74"/>
    <w:rsid w:val="007E6AD1"/>
    <w:rsid w:val="007E7835"/>
    <w:rsid w:val="007F0969"/>
    <w:rsid w:val="007F21D6"/>
    <w:rsid w:val="008118F8"/>
    <w:rsid w:val="008143C5"/>
    <w:rsid w:val="008259BB"/>
    <w:rsid w:val="00825AC9"/>
    <w:rsid w:val="00830B1B"/>
    <w:rsid w:val="00837CFB"/>
    <w:rsid w:val="008507C1"/>
    <w:rsid w:val="00850B4E"/>
    <w:rsid w:val="00850B59"/>
    <w:rsid w:val="00861934"/>
    <w:rsid w:val="00861F42"/>
    <w:rsid w:val="00864B89"/>
    <w:rsid w:val="0086574A"/>
    <w:rsid w:val="00876312"/>
    <w:rsid w:val="0088046C"/>
    <w:rsid w:val="008824B3"/>
    <w:rsid w:val="00887355"/>
    <w:rsid w:val="00892029"/>
    <w:rsid w:val="00892E87"/>
    <w:rsid w:val="008963E4"/>
    <w:rsid w:val="008A1B9A"/>
    <w:rsid w:val="008B3703"/>
    <w:rsid w:val="008B441A"/>
    <w:rsid w:val="008C712E"/>
    <w:rsid w:val="008E2854"/>
    <w:rsid w:val="008E495F"/>
    <w:rsid w:val="008E65E3"/>
    <w:rsid w:val="008F0209"/>
    <w:rsid w:val="008F0AC9"/>
    <w:rsid w:val="008F1E29"/>
    <w:rsid w:val="00901173"/>
    <w:rsid w:val="00911B56"/>
    <w:rsid w:val="009131B8"/>
    <w:rsid w:val="009132CA"/>
    <w:rsid w:val="00916564"/>
    <w:rsid w:val="00917BEA"/>
    <w:rsid w:val="009212C8"/>
    <w:rsid w:val="00923E85"/>
    <w:rsid w:val="00925ECB"/>
    <w:rsid w:val="00930CDA"/>
    <w:rsid w:val="0093189A"/>
    <w:rsid w:val="00933AFA"/>
    <w:rsid w:val="0093473D"/>
    <w:rsid w:val="009440EE"/>
    <w:rsid w:val="0095636C"/>
    <w:rsid w:val="00956FB3"/>
    <w:rsid w:val="00960C88"/>
    <w:rsid w:val="009664BC"/>
    <w:rsid w:val="00966C9E"/>
    <w:rsid w:val="00967A9F"/>
    <w:rsid w:val="00971E0C"/>
    <w:rsid w:val="00972F57"/>
    <w:rsid w:val="009737B3"/>
    <w:rsid w:val="00975C45"/>
    <w:rsid w:val="0098385E"/>
    <w:rsid w:val="00984FB8"/>
    <w:rsid w:val="00993DB5"/>
    <w:rsid w:val="00994BEC"/>
    <w:rsid w:val="00995280"/>
    <w:rsid w:val="00997B19"/>
    <w:rsid w:val="009A065D"/>
    <w:rsid w:val="009A7898"/>
    <w:rsid w:val="009B4846"/>
    <w:rsid w:val="009B78D6"/>
    <w:rsid w:val="009C6798"/>
    <w:rsid w:val="009D0E3B"/>
    <w:rsid w:val="009D10C3"/>
    <w:rsid w:val="009E08F6"/>
    <w:rsid w:val="009E5F93"/>
    <w:rsid w:val="009E6303"/>
    <w:rsid w:val="009F6497"/>
    <w:rsid w:val="00A014E0"/>
    <w:rsid w:val="00A021F2"/>
    <w:rsid w:val="00A07B4E"/>
    <w:rsid w:val="00A142EA"/>
    <w:rsid w:val="00A214E4"/>
    <w:rsid w:val="00A22849"/>
    <w:rsid w:val="00A24E6E"/>
    <w:rsid w:val="00A31E7E"/>
    <w:rsid w:val="00A35C43"/>
    <w:rsid w:val="00A43694"/>
    <w:rsid w:val="00A46982"/>
    <w:rsid w:val="00A50BCF"/>
    <w:rsid w:val="00A55FBF"/>
    <w:rsid w:val="00A56FC7"/>
    <w:rsid w:val="00A65D1A"/>
    <w:rsid w:val="00A72031"/>
    <w:rsid w:val="00A72575"/>
    <w:rsid w:val="00A74071"/>
    <w:rsid w:val="00A74401"/>
    <w:rsid w:val="00A74EEB"/>
    <w:rsid w:val="00A836F2"/>
    <w:rsid w:val="00A90B76"/>
    <w:rsid w:val="00A96264"/>
    <w:rsid w:val="00AA124A"/>
    <w:rsid w:val="00AA2A96"/>
    <w:rsid w:val="00AB0316"/>
    <w:rsid w:val="00AB11DA"/>
    <w:rsid w:val="00AB6391"/>
    <w:rsid w:val="00AC0C27"/>
    <w:rsid w:val="00AC2986"/>
    <w:rsid w:val="00AC2BB5"/>
    <w:rsid w:val="00AC4CE4"/>
    <w:rsid w:val="00AD669B"/>
    <w:rsid w:val="00AE3BC7"/>
    <w:rsid w:val="00AE4E46"/>
    <w:rsid w:val="00B073A7"/>
    <w:rsid w:val="00B100CC"/>
    <w:rsid w:val="00B14A35"/>
    <w:rsid w:val="00B14B2B"/>
    <w:rsid w:val="00B35FCA"/>
    <w:rsid w:val="00B44E7B"/>
    <w:rsid w:val="00B4642B"/>
    <w:rsid w:val="00B47FA7"/>
    <w:rsid w:val="00B51B94"/>
    <w:rsid w:val="00B545D2"/>
    <w:rsid w:val="00B61370"/>
    <w:rsid w:val="00B661AE"/>
    <w:rsid w:val="00B6689D"/>
    <w:rsid w:val="00B72368"/>
    <w:rsid w:val="00B73287"/>
    <w:rsid w:val="00B74901"/>
    <w:rsid w:val="00B750EF"/>
    <w:rsid w:val="00B820F1"/>
    <w:rsid w:val="00B83431"/>
    <w:rsid w:val="00B968AE"/>
    <w:rsid w:val="00BA0537"/>
    <w:rsid w:val="00BA6BF7"/>
    <w:rsid w:val="00BC1D74"/>
    <w:rsid w:val="00BC4E34"/>
    <w:rsid w:val="00BD3E6F"/>
    <w:rsid w:val="00BE737E"/>
    <w:rsid w:val="00C12412"/>
    <w:rsid w:val="00C15746"/>
    <w:rsid w:val="00C2736F"/>
    <w:rsid w:val="00C35385"/>
    <w:rsid w:val="00C36101"/>
    <w:rsid w:val="00C364D4"/>
    <w:rsid w:val="00C41549"/>
    <w:rsid w:val="00C54D58"/>
    <w:rsid w:val="00C55432"/>
    <w:rsid w:val="00C56E96"/>
    <w:rsid w:val="00C573E1"/>
    <w:rsid w:val="00C62E7E"/>
    <w:rsid w:val="00C65C12"/>
    <w:rsid w:val="00C750D5"/>
    <w:rsid w:val="00C77C9B"/>
    <w:rsid w:val="00C8678F"/>
    <w:rsid w:val="00C90260"/>
    <w:rsid w:val="00C95910"/>
    <w:rsid w:val="00C95DF6"/>
    <w:rsid w:val="00C9688C"/>
    <w:rsid w:val="00CA4A8E"/>
    <w:rsid w:val="00CB1543"/>
    <w:rsid w:val="00CC7469"/>
    <w:rsid w:val="00CD24A1"/>
    <w:rsid w:val="00CD5770"/>
    <w:rsid w:val="00CD5920"/>
    <w:rsid w:val="00CE07B2"/>
    <w:rsid w:val="00CE1233"/>
    <w:rsid w:val="00CE181C"/>
    <w:rsid w:val="00CF37AF"/>
    <w:rsid w:val="00D125B7"/>
    <w:rsid w:val="00D1606C"/>
    <w:rsid w:val="00D17BA3"/>
    <w:rsid w:val="00D2207F"/>
    <w:rsid w:val="00D36F9F"/>
    <w:rsid w:val="00D41930"/>
    <w:rsid w:val="00D44C18"/>
    <w:rsid w:val="00D47686"/>
    <w:rsid w:val="00D477C0"/>
    <w:rsid w:val="00D535C9"/>
    <w:rsid w:val="00D62184"/>
    <w:rsid w:val="00D626C7"/>
    <w:rsid w:val="00D801DD"/>
    <w:rsid w:val="00D954B1"/>
    <w:rsid w:val="00DA1B7B"/>
    <w:rsid w:val="00DA20A5"/>
    <w:rsid w:val="00DB2BCD"/>
    <w:rsid w:val="00DB3EB6"/>
    <w:rsid w:val="00DB58F6"/>
    <w:rsid w:val="00DB7401"/>
    <w:rsid w:val="00DB79DF"/>
    <w:rsid w:val="00DC1CBB"/>
    <w:rsid w:val="00DC5C82"/>
    <w:rsid w:val="00DC6C9C"/>
    <w:rsid w:val="00DD106E"/>
    <w:rsid w:val="00DD2A70"/>
    <w:rsid w:val="00DD59AE"/>
    <w:rsid w:val="00DE2177"/>
    <w:rsid w:val="00DE3082"/>
    <w:rsid w:val="00DE4697"/>
    <w:rsid w:val="00DF153F"/>
    <w:rsid w:val="00E022D7"/>
    <w:rsid w:val="00E220B2"/>
    <w:rsid w:val="00E30BA6"/>
    <w:rsid w:val="00E3389A"/>
    <w:rsid w:val="00E36887"/>
    <w:rsid w:val="00E36E89"/>
    <w:rsid w:val="00E4431A"/>
    <w:rsid w:val="00E4683E"/>
    <w:rsid w:val="00E46B55"/>
    <w:rsid w:val="00E47DB2"/>
    <w:rsid w:val="00E5664B"/>
    <w:rsid w:val="00E65C9C"/>
    <w:rsid w:val="00E66C53"/>
    <w:rsid w:val="00E73B9C"/>
    <w:rsid w:val="00E866AC"/>
    <w:rsid w:val="00E8781F"/>
    <w:rsid w:val="00E96FB5"/>
    <w:rsid w:val="00EA14F1"/>
    <w:rsid w:val="00EA15DB"/>
    <w:rsid w:val="00EA32F7"/>
    <w:rsid w:val="00EA4B83"/>
    <w:rsid w:val="00EA67FC"/>
    <w:rsid w:val="00EB7648"/>
    <w:rsid w:val="00EC0926"/>
    <w:rsid w:val="00EC20DC"/>
    <w:rsid w:val="00EC3468"/>
    <w:rsid w:val="00EC4FBA"/>
    <w:rsid w:val="00ED01AC"/>
    <w:rsid w:val="00ED1AB6"/>
    <w:rsid w:val="00ED3309"/>
    <w:rsid w:val="00EE72B4"/>
    <w:rsid w:val="00F04041"/>
    <w:rsid w:val="00F067BE"/>
    <w:rsid w:val="00F0699A"/>
    <w:rsid w:val="00F230CD"/>
    <w:rsid w:val="00F2722A"/>
    <w:rsid w:val="00F45754"/>
    <w:rsid w:val="00F50115"/>
    <w:rsid w:val="00F51C18"/>
    <w:rsid w:val="00F57110"/>
    <w:rsid w:val="00F57447"/>
    <w:rsid w:val="00F62785"/>
    <w:rsid w:val="00F64DEB"/>
    <w:rsid w:val="00F65097"/>
    <w:rsid w:val="00F85F46"/>
    <w:rsid w:val="00FA31E2"/>
    <w:rsid w:val="00FA4210"/>
    <w:rsid w:val="00FB6BC0"/>
    <w:rsid w:val="00FB7015"/>
    <w:rsid w:val="00FC3D12"/>
    <w:rsid w:val="00FC7C60"/>
    <w:rsid w:val="00FD22A9"/>
    <w:rsid w:val="00FD26E9"/>
    <w:rsid w:val="00FE0434"/>
    <w:rsid w:val="00FF0470"/>
    <w:rsid w:val="00FF5B70"/>
    <w:rsid w:val="00FF5BB9"/>
    <w:rsid w:val="00FF61BE"/>
    <w:rsid w:val="214136C8"/>
    <w:rsid w:val="297A2A2C"/>
    <w:rsid w:val="3A175698"/>
    <w:rsid w:val="52FA5983"/>
    <w:rsid w:val="5D29E231"/>
    <w:rsid w:val="66C59B5C"/>
    <w:rsid w:val="75B77C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40"/>
    <w:pPr>
      <w:spacing w:after="200" w:line="276" w:lineRule="auto"/>
    </w:pPr>
    <w:rPr>
      <w:rFonts w:cs="Arial (Body CS)"/>
      <w:color w:val="051532"/>
    </w:rPr>
  </w:style>
  <w:style w:type="paragraph" w:styleId="Heading1">
    <w:name w:val="heading 1"/>
    <w:basedOn w:val="Normal"/>
    <w:next w:val="Normal"/>
    <w:link w:val="Heading1Char"/>
    <w:uiPriority w:val="9"/>
    <w:qFormat/>
    <w:rsid w:val="006D2040"/>
    <w:pPr>
      <w:keepNext/>
      <w:keepLines/>
      <w:spacing w:before="240" w:after="0"/>
      <w:outlineLvl w:val="0"/>
    </w:pPr>
    <w:rPr>
      <w:rFonts w:ascii="Calibri" w:eastAsiaTheme="majorEastAsia" w:hAnsi="Calibri" w:cs="Times New Roman (Headings CS)"/>
      <w:sz w:val="46"/>
      <w:szCs w:val="32"/>
    </w:rPr>
  </w:style>
  <w:style w:type="paragraph" w:styleId="Heading2">
    <w:name w:val="heading 2"/>
    <w:basedOn w:val="Subtitle"/>
    <w:next w:val="Normal"/>
    <w:link w:val="Heading2Char"/>
    <w:uiPriority w:val="9"/>
    <w:unhideWhenUsed/>
    <w:qFormat/>
    <w:rsid w:val="00E4683E"/>
    <w:pPr>
      <w:outlineLvl w:val="1"/>
    </w:pPr>
  </w:style>
  <w:style w:type="paragraph" w:styleId="Heading3">
    <w:name w:val="heading 3"/>
    <w:basedOn w:val="Normal"/>
    <w:next w:val="Normal"/>
    <w:link w:val="Heading3Char"/>
    <w:uiPriority w:val="9"/>
    <w:unhideWhenUsed/>
    <w:qFormat/>
    <w:rsid w:val="006D2040"/>
    <w:pPr>
      <w:keepNext/>
      <w:keepLines/>
      <w:spacing w:before="240" w:after="0"/>
      <w:outlineLvl w:val="2"/>
    </w:pPr>
    <w:rPr>
      <w:rFonts w:ascii="Calibri" w:eastAsiaTheme="majorEastAsia" w:hAnsi="Calibri" w:cs="Times New Roman (Headings CS)"/>
      <w:b/>
      <w:sz w:val="24"/>
      <w:szCs w:val="24"/>
    </w:rPr>
  </w:style>
  <w:style w:type="paragraph" w:styleId="Heading4">
    <w:name w:val="heading 4"/>
    <w:basedOn w:val="Normal"/>
    <w:next w:val="Normal"/>
    <w:link w:val="Heading4Char"/>
    <w:uiPriority w:val="9"/>
    <w:unhideWhenUsed/>
    <w:qFormat/>
    <w:rsid w:val="009440EE"/>
    <w:pPr>
      <w:keepNext/>
      <w:keepLines/>
      <w:spacing w:before="240" w:after="0"/>
      <w:outlineLvl w:val="3"/>
    </w:pPr>
    <w:rPr>
      <w:rFonts w:ascii="Calibri" w:eastAsiaTheme="majorEastAsia" w:hAnsi="Calibri" w:cstheme="majorBidi"/>
      <w:iCs/>
      <w:color w:val="5F6369"/>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7"/>
    <w:qFormat/>
    <w:rsid w:val="00E4683E"/>
    <w:pPr>
      <w:spacing w:after="240"/>
    </w:pPr>
    <w:rPr>
      <w:sz w:val="48"/>
      <w:szCs w:val="26"/>
    </w:rPr>
  </w:style>
  <w:style w:type="character" w:customStyle="1" w:styleId="TitleChar">
    <w:name w:val="Title Char"/>
    <w:basedOn w:val="DefaultParagraphFont"/>
    <w:link w:val="Title"/>
    <w:uiPriority w:val="7"/>
    <w:rsid w:val="00E4683E"/>
    <w:rPr>
      <w:rFonts w:ascii="Calibri" w:eastAsiaTheme="majorEastAsia" w:hAnsi="Calibri" w:cs="Times New Roman (Headings CS)"/>
      <w:color w:val="051532"/>
      <w:sz w:val="48"/>
      <w:szCs w:val="2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6D2040"/>
    <w:rPr>
      <w:rFonts w:ascii="Calibri" w:eastAsiaTheme="majorEastAsia" w:hAnsi="Calibri" w:cs="Times New Roman (Headings CS)"/>
      <w:color w:val="051532"/>
      <w:sz w:val="46"/>
      <w:szCs w:val="32"/>
    </w:rPr>
  </w:style>
  <w:style w:type="character" w:customStyle="1" w:styleId="Heading2Char">
    <w:name w:val="Heading 2 Char"/>
    <w:basedOn w:val="DefaultParagraphFont"/>
    <w:link w:val="Heading2"/>
    <w:uiPriority w:val="9"/>
    <w:rsid w:val="00E4683E"/>
    <w:rPr>
      <w:rFonts w:ascii="Calibri" w:eastAsiaTheme="minorEastAsia" w:hAnsi="Calibri" w:cs="Arial (Body CS)"/>
      <w:color w:val="789B4A"/>
      <w:spacing w:val="15"/>
      <w:sz w:val="40"/>
    </w:rPr>
  </w:style>
  <w:style w:type="character" w:customStyle="1" w:styleId="Heading3Char">
    <w:name w:val="Heading 3 Char"/>
    <w:basedOn w:val="DefaultParagraphFont"/>
    <w:link w:val="Heading3"/>
    <w:uiPriority w:val="9"/>
    <w:rsid w:val="006D2040"/>
    <w:rPr>
      <w:rFonts w:ascii="Calibri" w:eastAsiaTheme="majorEastAsia" w:hAnsi="Calibri" w:cs="Times New Roman (Headings CS)"/>
      <w:b/>
      <w:color w:val="051532"/>
      <w:sz w:val="24"/>
      <w:szCs w:val="24"/>
    </w:rPr>
  </w:style>
  <w:style w:type="character" w:customStyle="1" w:styleId="Heading4Char">
    <w:name w:val="Heading 4 Char"/>
    <w:basedOn w:val="DefaultParagraphFont"/>
    <w:link w:val="Heading4"/>
    <w:uiPriority w:val="9"/>
    <w:rsid w:val="009440EE"/>
    <w:rPr>
      <w:rFonts w:ascii="Calibri" w:eastAsiaTheme="majorEastAsia" w:hAnsi="Calibri" w:cstheme="majorBidi"/>
      <w:iCs/>
      <w:color w:val="5F6369"/>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D2207F"/>
    <w:pPr>
      <w:tabs>
        <w:tab w:val="right" w:leader="dot" w:pos="9060"/>
      </w:tabs>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51532" w:themeColor="followedHyperlink"/>
      <w:u w:val="single"/>
    </w:rPr>
  </w:style>
  <w:style w:type="character" w:styleId="PlaceholderText">
    <w:name w:val="Placeholder Text"/>
    <w:basedOn w:val="DefaultParagraphFont"/>
    <w:uiPriority w:val="99"/>
    <w:semiHidden/>
    <w:rsid w:val="004A17D3"/>
    <w:rPr>
      <w:color w:val="808080"/>
    </w:rPr>
  </w:style>
  <w:style w:type="character" w:styleId="CommentReference">
    <w:name w:val="annotation reference"/>
    <w:basedOn w:val="DefaultParagraphFont"/>
    <w:uiPriority w:val="99"/>
    <w:semiHidden/>
    <w:unhideWhenUsed/>
    <w:rsid w:val="0055229C"/>
    <w:rPr>
      <w:sz w:val="16"/>
      <w:szCs w:val="16"/>
    </w:rPr>
  </w:style>
  <w:style w:type="paragraph" w:styleId="CommentText">
    <w:name w:val="annotation text"/>
    <w:basedOn w:val="Normal"/>
    <w:link w:val="CommentTextChar"/>
    <w:uiPriority w:val="99"/>
    <w:unhideWhenUsed/>
    <w:rsid w:val="0055229C"/>
    <w:pPr>
      <w:spacing w:line="240" w:lineRule="auto"/>
    </w:pPr>
    <w:rPr>
      <w:sz w:val="20"/>
      <w:szCs w:val="20"/>
    </w:rPr>
  </w:style>
  <w:style w:type="character" w:customStyle="1" w:styleId="CommentTextChar">
    <w:name w:val="Comment Text Char"/>
    <w:basedOn w:val="DefaultParagraphFont"/>
    <w:link w:val="CommentText"/>
    <w:uiPriority w:val="99"/>
    <w:rsid w:val="0055229C"/>
    <w:rPr>
      <w:rFonts w:cs="Arial (Body CS)"/>
      <w:color w:val="051532"/>
      <w:sz w:val="20"/>
      <w:szCs w:val="20"/>
    </w:rPr>
  </w:style>
  <w:style w:type="paragraph" w:styleId="CommentSubject">
    <w:name w:val="annotation subject"/>
    <w:basedOn w:val="CommentText"/>
    <w:next w:val="CommentText"/>
    <w:link w:val="CommentSubjectChar"/>
    <w:uiPriority w:val="99"/>
    <w:semiHidden/>
    <w:unhideWhenUsed/>
    <w:rsid w:val="0055229C"/>
    <w:rPr>
      <w:b/>
      <w:bCs/>
    </w:rPr>
  </w:style>
  <w:style w:type="character" w:customStyle="1" w:styleId="CommentSubjectChar">
    <w:name w:val="Comment Subject Char"/>
    <w:basedOn w:val="CommentTextChar"/>
    <w:link w:val="CommentSubject"/>
    <w:uiPriority w:val="99"/>
    <w:semiHidden/>
    <w:rsid w:val="0055229C"/>
    <w:rPr>
      <w:rFonts w:cs="Arial (Body CS)"/>
      <w:b/>
      <w:bCs/>
      <w:color w:val="051532"/>
      <w:sz w:val="20"/>
      <w:szCs w:val="20"/>
    </w:rPr>
  </w:style>
  <w:style w:type="paragraph" w:styleId="FootnoteText">
    <w:name w:val="footnote text"/>
    <w:basedOn w:val="Normal"/>
    <w:link w:val="FootnoteTextChar"/>
    <w:uiPriority w:val="99"/>
    <w:unhideWhenUsed/>
    <w:rsid w:val="0055229C"/>
    <w:pPr>
      <w:spacing w:after="0" w:line="240" w:lineRule="auto"/>
    </w:pPr>
    <w:rPr>
      <w:rFonts w:ascii="Calibri" w:hAnsi="Calibri" w:cs="Calibri"/>
      <w:color w:val="auto"/>
      <w:sz w:val="20"/>
      <w:szCs w:val="20"/>
    </w:rPr>
  </w:style>
  <w:style w:type="character" w:customStyle="1" w:styleId="FootnoteTextChar">
    <w:name w:val="Footnote Text Char"/>
    <w:basedOn w:val="DefaultParagraphFont"/>
    <w:link w:val="FootnoteText"/>
    <w:uiPriority w:val="99"/>
    <w:rsid w:val="0055229C"/>
    <w:rPr>
      <w:rFonts w:ascii="Calibri" w:hAnsi="Calibri" w:cs="Calibri"/>
      <w:sz w:val="20"/>
      <w:szCs w:val="20"/>
    </w:rPr>
  </w:style>
  <w:style w:type="character" w:styleId="FootnoteReference">
    <w:name w:val="footnote reference"/>
    <w:basedOn w:val="DefaultParagraphFont"/>
    <w:uiPriority w:val="99"/>
    <w:unhideWhenUsed/>
    <w:rsid w:val="0055229C"/>
    <w:rPr>
      <w:vertAlign w:val="superscript"/>
    </w:rPr>
  </w:style>
  <w:style w:type="table" w:customStyle="1" w:styleId="ListTable7Colorful-Accent31">
    <w:name w:val="List Table 7 Colorful - Accent 31"/>
    <w:basedOn w:val="TableNormal"/>
    <w:next w:val="ListTable7Colorful-Accent3"/>
    <w:uiPriority w:val="52"/>
    <w:rsid w:val="0055229C"/>
    <w:pPr>
      <w:spacing w:after="0" w:line="240" w:lineRule="auto"/>
    </w:pPr>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5229C"/>
    <w:pPr>
      <w:spacing w:after="0" w:line="240" w:lineRule="auto"/>
    </w:pPr>
    <w:rPr>
      <w:color w:val="3657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753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753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753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7537" w:themeColor="accent3"/>
        </w:tcBorders>
        <w:shd w:val="clear" w:color="auto" w:fill="FFFFFF" w:themeFill="background1"/>
      </w:tcPr>
    </w:tblStylePr>
    <w:tblStylePr w:type="band1Vert">
      <w:tblPr/>
      <w:tcPr>
        <w:shd w:val="clear" w:color="auto" w:fill="D7E9D0" w:themeFill="accent3" w:themeFillTint="33"/>
      </w:tcPr>
    </w:tblStylePr>
    <w:tblStylePr w:type="band1Horz">
      <w:tblPr/>
      <w:tcPr>
        <w:shd w:val="clear" w:color="auto" w:fill="D7E9D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9D10C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B58F6"/>
    <w:pPr>
      <w:spacing w:after="0" w:line="240" w:lineRule="auto"/>
    </w:pPr>
    <w:rPr>
      <w:rFonts w:cs="Arial (Body CS)"/>
      <w:color w:val="051532"/>
    </w:rPr>
  </w:style>
  <w:style w:type="character" w:styleId="UnresolvedMention">
    <w:name w:val="Unresolved Mention"/>
    <w:basedOn w:val="DefaultParagraphFont"/>
    <w:uiPriority w:val="99"/>
    <w:semiHidden/>
    <w:unhideWhenUsed/>
    <w:rsid w:val="00DB58F6"/>
    <w:rPr>
      <w:color w:val="605E5C"/>
      <w:shd w:val="clear" w:color="auto" w:fill="E1DFDD"/>
    </w:rPr>
  </w:style>
  <w:style w:type="paragraph" w:styleId="EndnoteText">
    <w:name w:val="endnote text"/>
    <w:basedOn w:val="Normal"/>
    <w:link w:val="EndnoteTextChar"/>
    <w:uiPriority w:val="99"/>
    <w:semiHidden/>
    <w:unhideWhenUsed/>
    <w:rsid w:val="005C59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905"/>
    <w:rPr>
      <w:rFonts w:cs="Arial (Body CS)"/>
      <w:color w:val="051532"/>
      <w:sz w:val="20"/>
      <w:szCs w:val="20"/>
    </w:rPr>
  </w:style>
  <w:style w:type="character" w:styleId="EndnoteReference">
    <w:name w:val="endnote reference"/>
    <w:basedOn w:val="DefaultParagraphFont"/>
    <w:uiPriority w:val="99"/>
    <w:semiHidden/>
    <w:unhideWhenUsed/>
    <w:rsid w:val="005C5905"/>
    <w:rPr>
      <w:vertAlign w:val="superscript"/>
    </w:rPr>
  </w:style>
  <w:style w:type="character" w:customStyle="1" w:styleId="cf01">
    <w:name w:val="cf01"/>
    <w:basedOn w:val="DefaultParagraphFont"/>
    <w:rsid w:val="005466CC"/>
    <w:rPr>
      <w:rFonts w:ascii="Segoe UI" w:hAnsi="Segoe UI" w:cs="Segoe UI" w:hint="default"/>
      <w:color w:val="051532"/>
      <w:sz w:val="18"/>
      <w:szCs w:val="18"/>
    </w:rPr>
  </w:style>
  <w:style w:type="character" w:customStyle="1" w:styleId="ui-provider">
    <w:name w:val="ui-provider"/>
    <w:basedOn w:val="DefaultParagraphFont"/>
    <w:rsid w:val="00EC0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704">
      <w:bodyDiv w:val="1"/>
      <w:marLeft w:val="0"/>
      <w:marRight w:val="0"/>
      <w:marTop w:val="0"/>
      <w:marBottom w:val="0"/>
      <w:divBdr>
        <w:top w:val="none" w:sz="0" w:space="0" w:color="auto"/>
        <w:left w:val="none" w:sz="0" w:space="0" w:color="auto"/>
        <w:bottom w:val="none" w:sz="0" w:space="0" w:color="auto"/>
        <w:right w:val="none" w:sz="0" w:space="0" w:color="auto"/>
      </w:divBdr>
    </w:div>
    <w:div w:id="178004543">
      <w:bodyDiv w:val="1"/>
      <w:marLeft w:val="0"/>
      <w:marRight w:val="0"/>
      <w:marTop w:val="0"/>
      <w:marBottom w:val="0"/>
      <w:divBdr>
        <w:top w:val="none" w:sz="0" w:space="0" w:color="auto"/>
        <w:left w:val="none" w:sz="0" w:space="0" w:color="auto"/>
        <w:bottom w:val="none" w:sz="0" w:space="0" w:color="auto"/>
        <w:right w:val="none" w:sz="0" w:space="0" w:color="auto"/>
      </w:divBdr>
    </w:div>
    <w:div w:id="1135177793">
      <w:bodyDiv w:val="1"/>
      <w:marLeft w:val="0"/>
      <w:marRight w:val="0"/>
      <w:marTop w:val="0"/>
      <w:marBottom w:val="0"/>
      <w:divBdr>
        <w:top w:val="none" w:sz="0" w:space="0" w:color="auto"/>
        <w:left w:val="none" w:sz="0" w:space="0" w:color="auto"/>
        <w:bottom w:val="none" w:sz="0" w:space="0" w:color="auto"/>
        <w:right w:val="none" w:sz="0" w:space="0" w:color="auto"/>
      </w:divBdr>
    </w:div>
    <w:div w:id="1169829364">
      <w:bodyDiv w:val="1"/>
      <w:marLeft w:val="0"/>
      <w:marRight w:val="0"/>
      <w:marTop w:val="0"/>
      <w:marBottom w:val="0"/>
      <w:divBdr>
        <w:top w:val="none" w:sz="0" w:space="0" w:color="auto"/>
        <w:left w:val="none" w:sz="0" w:space="0" w:color="auto"/>
        <w:bottom w:val="none" w:sz="0" w:space="0" w:color="auto"/>
        <w:right w:val="none" w:sz="0" w:space="0" w:color="auto"/>
      </w:divBdr>
    </w:div>
    <w:div w:id="1452088756">
      <w:bodyDiv w:val="1"/>
      <w:marLeft w:val="0"/>
      <w:marRight w:val="0"/>
      <w:marTop w:val="0"/>
      <w:marBottom w:val="0"/>
      <w:divBdr>
        <w:top w:val="none" w:sz="0" w:space="0" w:color="auto"/>
        <w:left w:val="none" w:sz="0" w:space="0" w:color="auto"/>
        <w:bottom w:val="none" w:sz="0" w:space="0" w:color="auto"/>
        <w:right w:val="none" w:sz="0" w:space="0" w:color="auto"/>
      </w:divBdr>
    </w:div>
    <w:div w:id="1465267717">
      <w:bodyDiv w:val="1"/>
      <w:marLeft w:val="0"/>
      <w:marRight w:val="0"/>
      <w:marTop w:val="0"/>
      <w:marBottom w:val="0"/>
      <w:divBdr>
        <w:top w:val="none" w:sz="0" w:space="0" w:color="auto"/>
        <w:left w:val="none" w:sz="0" w:space="0" w:color="auto"/>
        <w:bottom w:val="none" w:sz="0" w:space="0" w:color="auto"/>
        <w:right w:val="none" w:sz="0" w:space="0" w:color="auto"/>
      </w:divBdr>
    </w:div>
    <w:div w:id="176726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osingthegap.gov.au/national-agreemen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xx@dewr.gov.au" TargetMode="External"/><Relationship Id="rId4" Type="http://schemas.openxmlformats.org/officeDocument/2006/relationships/settings" Target="settings.xml"/><Relationship Id="rId9" Type="http://schemas.openxmlformats.org/officeDocument/2006/relationships/hyperlink" Target="http://www.dewr.gov.au/time-work-employment-service/consultations/have-your-say-improving-prison-employment-services-first-nations-peop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Links>
    <vt:vector size="306" baseType="variant">
      <vt:variant>
        <vt:i4>3080246</vt:i4>
      </vt:variant>
      <vt:variant>
        <vt:i4>201</vt:i4>
      </vt:variant>
      <vt:variant>
        <vt:i4>0</vt:i4>
      </vt:variant>
      <vt:variant>
        <vt:i4>5</vt:i4>
      </vt:variant>
      <vt:variant>
        <vt:lpwstr>https://cij.org.au/news-and-views/reducing-barriers-to-employment-for-aboriginal-people-rethinking-the-role-of-criminal-record-checks-project/</vt:lpwstr>
      </vt:variant>
      <vt:variant>
        <vt:lpwstr/>
      </vt:variant>
      <vt:variant>
        <vt:i4>2555955</vt:i4>
      </vt:variant>
      <vt:variant>
        <vt:i4>198</vt:i4>
      </vt:variant>
      <vt:variant>
        <vt:i4>0</vt:i4>
      </vt:variant>
      <vt:variant>
        <vt:i4>5</vt:i4>
      </vt:variant>
      <vt:variant>
        <vt:lpwstr>https://www.annualreviews.org/doi/abs/10.1146/annurev.soc.29.010202.095931</vt:lpwstr>
      </vt:variant>
      <vt:variant>
        <vt:lpwstr/>
      </vt:variant>
      <vt:variant>
        <vt:i4>5111921</vt:i4>
      </vt:variant>
      <vt:variant>
        <vt:i4>195</vt:i4>
      </vt:variant>
      <vt:variant>
        <vt:i4>0</vt:i4>
      </vt:variant>
      <vt:variant>
        <vt:i4>5</vt:i4>
      </vt:variant>
      <vt:variant>
        <vt:lpwstr>https://www.researchgate.net/publication/283890261_Transitional_jobs_after_release_from_prison_effects_on_employment_and_recidivism</vt:lpwstr>
      </vt:variant>
      <vt:variant>
        <vt:lpwstr/>
      </vt:variant>
      <vt:variant>
        <vt:i4>5308454</vt:i4>
      </vt:variant>
      <vt:variant>
        <vt:i4>192</vt:i4>
      </vt:variant>
      <vt:variant>
        <vt:i4>0</vt:i4>
      </vt:variant>
      <vt:variant>
        <vt:i4>5</vt:i4>
      </vt:variant>
      <vt:variant>
        <vt:lpwstr>https://www.researchgate.net/publication/345444986_Prison_education_in_Norway_-_The_importance_for_work_and_life_after_release</vt:lpwstr>
      </vt:variant>
      <vt:variant>
        <vt:lpwstr/>
      </vt:variant>
      <vt:variant>
        <vt:i4>2162743</vt:i4>
      </vt:variant>
      <vt:variant>
        <vt:i4>189</vt:i4>
      </vt:variant>
      <vt:variant>
        <vt:i4>0</vt:i4>
      </vt:variant>
      <vt:variant>
        <vt:i4>5</vt:i4>
      </vt:variant>
      <vt:variant>
        <vt:lpwstr>https://journals.sagepub.com/doi/10.1177/206622031300500103</vt:lpwstr>
      </vt:variant>
      <vt:variant>
        <vt:lpwstr>bibliography</vt:lpwstr>
      </vt:variant>
      <vt:variant>
        <vt:i4>1114188</vt:i4>
      </vt:variant>
      <vt:variant>
        <vt:i4>186</vt:i4>
      </vt:variant>
      <vt:variant>
        <vt:i4>0</vt:i4>
      </vt:variant>
      <vt:variant>
        <vt:i4>5</vt:i4>
      </vt:variant>
      <vt:variant>
        <vt:lpwstr>https://www.pc.gov.au/ongoing/report-on-government-services/2023/justice/corrective-services</vt:lpwstr>
      </vt:variant>
      <vt:variant>
        <vt:lpwstr/>
      </vt:variant>
      <vt:variant>
        <vt:i4>5308421</vt:i4>
      </vt:variant>
      <vt:variant>
        <vt:i4>183</vt:i4>
      </vt:variant>
      <vt:variant>
        <vt:i4>0</vt:i4>
      </vt:variant>
      <vt:variant>
        <vt:i4>5</vt:i4>
      </vt:variant>
      <vt:variant>
        <vt:lpwstr>https://www.pc.gov.au/closing-the-gap-data/dashboard</vt:lpwstr>
      </vt:variant>
      <vt:variant>
        <vt:lpwstr/>
      </vt:variant>
      <vt:variant>
        <vt:i4>7012475</vt:i4>
      </vt:variant>
      <vt:variant>
        <vt:i4>180</vt:i4>
      </vt:variant>
      <vt:variant>
        <vt:i4>0</vt:i4>
      </vt:variant>
      <vt:variant>
        <vt:i4>5</vt:i4>
      </vt:variant>
      <vt:variant>
        <vt:lpwstr>https://www.closingthegap.gov.au/national-agreement</vt:lpwstr>
      </vt:variant>
      <vt:variant>
        <vt:lpwstr/>
      </vt:variant>
      <vt:variant>
        <vt:i4>2162811</vt:i4>
      </vt:variant>
      <vt:variant>
        <vt:i4>177</vt:i4>
      </vt:variant>
      <vt:variant>
        <vt:i4>0</vt:i4>
      </vt:variant>
      <vt:variant>
        <vt:i4>5</vt:i4>
      </vt:variant>
      <vt:variant>
        <vt:lpwstr>https://academic.oup.com/book/3852</vt:lpwstr>
      </vt:variant>
      <vt:variant>
        <vt:lpwstr/>
      </vt:variant>
      <vt:variant>
        <vt:i4>8126513</vt:i4>
      </vt:variant>
      <vt:variant>
        <vt:i4>174</vt:i4>
      </vt:variant>
      <vt:variant>
        <vt:i4>0</vt:i4>
      </vt:variant>
      <vt:variant>
        <vt:i4>5</vt:i4>
      </vt:variant>
      <vt:variant>
        <vt:lpwstr>https://www.cambridge.org/core/books/what-works-in-corrections/D10E55C780D8BBF78FB0EDA19D6D1AD3</vt:lpwstr>
      </vt:variant>
      <vt:variant>
        <vt:lpwstr/>
      </vt:variant>
      <vt:variant>
        <vt:i4>5308488</vt:i4>
      </vt:variant>
      <vt:variant>
        <vt:i4>171</vt:i4>
      </vt:variant>
      <vt:variant>
        <vt:i4>0</vt:i4>
      </vt:variant>
      <vt:variant>
        <vt:i4>5</vt:i4>
      </vt:variant>
      <vt:variant>
        <vt:lpwstr>https://www.niaa.gov.au/resource-centre/indigenous-affairs/evaluation-time-work-employment-service-twes-final-report</vt:lpwstr>
      </vt:variant>
      <vt:variant>
        <vt:lpwstr/>
      </vt:variant>
      <vt:variant>
        <vt:i4>8126513</vt:i4>
      </vt:variant>
      <vt:variant>
        <vt:i4>168</vt:i4>
      </vt:variant>
      <vt:variant>
        <vt:i4>0</vt:i4>
      </vt:variant>
      <vt:variant>
        <vt:i4>5</vt:i4>
      </vt:variant>
      <vt:variant>
        <vt:lpwstr>https://www.cambridge.org/core/books/what-works-in-corrections/D10E55C780D8BBF78FB0EDA19D6D1AD3</vt:lpwstr>
      </vt:variant>
      <vt:variant>
        <vt:lpwstr/>
      </vt:variant>
      <vt:variant>
        <vt:i4>8323189</vt:i4>
      </vt:variant>
      <vt:variant>
        <vt:i4>165</vt:i4>
      </vt:variant>
      <vt:variant>
        <vt:i4>0</vt:i4>
      </vt:variant>
      <vt:variant>
        <vt:i4>5</vt:i4>
      </vt:variant>
      <vt:variant>
        <vt:lpwstr>https://onlinelibrary.wiley.com/doi/abs/10.1002/j.1839-4655.2010.tb00177.x</vt:lpwstr>
      </vt:variant>
      <vt:variant>
        <vt:lpwstr/>
      </vt:variant>
      <vt:variant>
        <vt:i4>7602285</vt:i4>
      </vt:variant>
      <vt:variant>
        <vt:i4>162</vt:i4>
      </vt:variant>
      <vt:variant>
        <vt:i4>0</vt:i4>
      </vt:variant>
      <vt:variant>
        <vt:i4>5</vt:i4>
      </vt:variant>
      <vt:variant>
        <vt:lpwstr>https://www.aph.gov.au/binaries/house/committee/atsia/sentencing/report/fullreport.pdf</vt:lpwstr>
      </vt:variant>
      <vt:variant>
        <vt:lpwstr/>
      </vt:variant>
      <vt:variant>
        <vt:i4>983117</vt:i4>
      </vt:variant>
      <vt:variant>
        <vt:i4>159</vt:i4>
      </vt:variant>
      <vt:variant>
        <vt:i4>0</vt:i4>
      </vt:variant>
      <vt:variant>
        <vt:i4>5</vt:i4>
      </vt:variant>
      <vt:variant>
        <vt:lpwstr>https://onlinelibrary.wiley.com/doi/abs/10.1002/pam.21741</vt:lpwstr>
      </vt:variant>
      <vt:variant>
        <vt:lpwstr/>
      </vt:variant>
      <vt:variant>
        <vt:i4>327698</vt:i4>
      </vt:variant>
      <vt:variant>
        <vt:i4>156</vt:i4>
      </vt:variant>
      <vt:variant>
        <vt:i4>0</vt:i4>
      </vt:variant>
      <vt:variant>
        <vt:i4>5</vt:i4>
      </vt:variant>
      <vt:variant>
        <vt:lpwstr>https://www.researchgate.net/publication/315594639_A_Rapid_Evidence_Assessment_of_the_effectiveness_of_prison_education_in_reducing_recidivism_and_increasing_employment</vt:lpwstr>
      </vt:variant>
      <vt:variant>
        <vt:lpwstr/>
      </vt:variant>
      <vt:variant>
        <vt:i4>7012382</vt:i4>
      </vt:variant>
      <vt:variant>
        <vt:i4>153</vt:i4>
      </vt:variant>
      <vt:variant>
        <vt:i4>0</vt:i4>
      </vt:variant>
      <vt:variant>
        <vt:i4>5</vt:i4>
      </vt:variant>
      <vt:variant>
        <vt:lpwstr>https://www.researchgate.net/publication/350701789_Prisoners%27_Perspectives_on_Limited_Rehabilitative_Program_Opportunities</vt:lpwstr>
      </vt:variant>
      <vt:variant>
        <vt:lpwstr/>
      </vt:variant>
      <vt:variant>
        <vt:i4>7340069</vt:i4>
      </vt:variant>
      <vt:variant>
        <vt:i4>150</vt:i4>
      </vt:variant>
      <vt:variant>
        <vt:i4>0</vt:i4>
      </vt:variant>
      <vt:variant>
        <vt:i4>5</vt:i4>
      </vt:variant>
      <vt:variant>
        <vt:lpwstr>https://labourmarketinsights.gov.au/media/v30bhok4/report-supporting-ex-offenders-into-the-jobs-market.pdf</vt:lpwstr>
      </vt:variant>
      <vt:variant>
        <vt:lpwstr/>
      </vt:variant>
      <vt:variant>
        <vt:i4>6553632</vt:i4>
      </vt:variant>
      <vt:variant>
        <vt:i4>147</vt:i4>
      </vt:variant>
      <vt:variant>
        <vt:i4>0</vt:i4>
      </vt:variant>
      <vt:variant>
        <vt:i4>5</vt:i4>
      </vt:variant>
      <vt:variant>
        <vt:lpwstr>https://www.ojp.gov/ncjrs/virtual-library/abstracts/experimental-evaluation-comprehensive-employment-oriented-prisoner</vt:lpwstr>
      </vt:variant>
      <vt:variant>
        <vt:lpwstr/>
      </vt:variant>
      <vt:variant>
        <vt:i4>1572946</vt:i4>
      </vt:variant>
      <vt:variant>
        <vt:i4>144</vt:i4>
      </vt:variant>
      <vt:variant>
        <vt:i4>0</vt:i4>
      </vt:variant>
      <vt:variant>
        <vt:i4>5</vt:i4>
      </vt:variant>
      <vt:variant>
        <vt:lpwstr>http://hdl.voced.edu.au/10707/447685</vt:lpwstr>
      </vt:variant>
      <vt:variant>
        <vt:lpwstr/>
      </vt:variant>
      <vt:variant>
        <vt:i4>1572891</vt:i4>
      </vt:variant>
      <vt:variant>
        <vt:i4>141</vt:i4>
      </vt:variant>
      <vt:variant>
        <vt:i4>0</vt:i4>
      </vt:variant>
      <vt:variant>
        <vt:i4>5</vt:i4>
      </vt:variant>
      <vt:variant>
        <vt:lpwstr>https://www.ceda.com.au/ResearchAndPolicies/Research/Institutions/Double-jeopardy-The-economic-and-social-costs-of-k</vt:lpwstr>
      </vt:variant>
      <vt:variant>
        <vt:lpwstr/>
      </vt:variant>
      <vt:variant>
        <vt:i4>7602283</vt:i4>
      </vt:variant>
      <vt:variant>
        <vt:i4>138</vt:i4>
      </vt:variant>
      <vt:variant>
        <vt:i4>0</vt:i4>
      </vt:variant>
      <vt:variant>
        <vt:i4>5</vt:i4>
      </vt:variant>
      <vt:variant>
        <vt:lpwstr>https://www.aihw.gov.au/reports/indigenous-australians/strategies-to-enhance-employment-of-indigenous-ex/contents/table-of-contents</vt:lpwstr>
      </vt:variant>
      <vt:variant>
        <vt:lpwstr/>
      </vt:variant>
      <vt:variant>
        <vt:i4>4456477</vt:i4>
      </vt:variant>
      <vt:variant>
        <vt:i4>135</vt:i4>
      </vt:variant>
      <vt:variant>
        <vt:i4>0</vt:i4>
      </vt:variant>
      <vt:variant>
        <vt:i4>5</vt:i4>
      </vt:variant>
      <vt:variant>
        <vt:lpwstr>https://www.abs.gov.au/statistics/people/crime-and-justice/prisoners-australia/latest-release</vt:lpwstr>
      </vt:variant>
      <vt:variant>
        <vt:lpwstr/>
      </vt:variant>
      <vt:variant>
        <vt:i4>5767239</vt:i4>
      </vt:variant>
      <vt:variant>
        <vt:i4>132</vt:i4>
      </vt:variant>
      <vt:variant>
        <vt:i4>0</vt:i4>
      </vt:variant>
      <vt:variant>
        <vt:i4>5</vt:i4>
      </vt:variant>
      <vt:variant>
        <vt:lpwstr>https://www.abs.gov.au/statistics/people/crime-and-justice/corrective-services-australia/dec-quarter-2022</vt:lpwstr>
      </vt:variant>
      <vt:variant>
        <vt:lpwstr/>
      </vt:variant>
      <vt:variant>
        <vt:i4>5636148</vt:i4>
      </vt:variant>
      <vt:variant>
        <vt:i4>129</vt:i4>
      </vt:variant>
      <vt:variant>
        <vt:i4>0</vt:i4>
      </vt:variant>
      <vt:variant>
        <vt:i4>5</vt:i4>
      </vt:variant>
      <vt:variant>
        <vt:lpwstr>https://www.abs.gov.au/ausstats/abs@.nsf/mf/4714.0</vt:lpwstr>
      </vt:variant>
      <vt:variant>
        <vt:lpwstr/>
      </vt:variant>
      <vt:variant>
        <vt:i4>1114201</vt:i4>
      </vt:variant>
      <vt:variant>
        <vt:i4>126</vt:i4>
      </vt:variant>
      <vt:variant>
        <vt:i4>0</vt:i4>
      </vt:variant>
      <vt:variant>
        <vt:i4>5</vt:i4>
      </vt:variant>
      <vt:variant>
        <vt:lpwstr>https://www.transparency.gov.au/annual-reports/australian-criminal-intelligence-commission/reporting-year/2020-21-15</vt:lpwstr>
      </vt:variant>
      <vt:variant>
        <vt:lpwstr/>
      </vt:variant>
      <vt:variant>
        <vt:i4>3997821</vt:i4>
      </vt:variant>
      <vt:variant>
        <vt:i4>123</vt:i4>
      </vt:variant>
      <vt:variant>
        <vt:i4>0</vt:i4>
      </vt:variant>
      <vt:variant>
        <vt:i4>5</vt:i4>
      </vt:variant>
      <vt:variant>
        <vt:lpwstr>https://www.dewr.gov.au/using-site/privacy</vt:lpwstr>
      </vt:variant>
      <vt:variant>
        <vt:lpwstr/>
      </vt:variant>
      <vt:variant>
        <vt:i4>3997774</vt:i4>
      </vt:variant>
      <vt:variant>
        <vt:i4>120</vt:i4>
      </vt:variant>
      <vt:variant>
        <vt:i4>0</vt:i4>
      </vt:variant>
      <vt:variant>
        <vt:i4>5</vt:i4>
      </vt:variant>
      <vt:variant>
        <vt:lpwstr>mailto:xx@dewr.gov.au</vt:lpwstr>
      </vt:variant>
      <vt:variant>
        <vt:lpwstr/>
      </vt:variant>
      <vt:variant>
        <vt:i4>4194372</vt:i4>
      </vt:variant>
      <vt:variant>
        <vt:i4>117</vt:i4>
      </vt:variant>
      <vt:variant>
        <vt:i4>0</vt:i4>
      </vt:variant>
      <vt:variant>
        <vt:i4>5</vt:i4>
      </vt:variant>
      <vt:variant>
        <vt:lpwstr>https://humanrights.gov.au/our-work/rights-and-freedoms/publications/human-rights-record</vt:lpwstr>
      </vt:variant>
      <vt:variant>
        <vt:lpwstr/>
      </vt:variant>
      <vt:variant>
        <vt:i4>5570652</vt:i4>
      </vt:variant>
      <vt:variant>
        <vt:i4>114</vt:i4>
      </vt:variant>
      <vt:variant>
        <vt:i4>0</vt:i4>
      </vt:variant>
      <vt:variant>
        <vt:i4>5</vt:i4>
      </vt:variant>
      <vt:variant>
        <vt:lpwstr>https://engage.dss.gov.au/new-disability-employment-support-model/new-disability-employment-support-model-consultation-paper/</vt:lpwstr>
      </vt:variant>
      <vt:variant>
        <vt:lpwstr/>
      </vt:variant>
      <vt:variant>
        <vt:i4>6881328</vt:i4>
      </vt:variant>
      <vt:variant>
        <vt:i4>111</vt:i4>
      </vt:variant>
      <vt:variant>
        <vt:i4>0</vt:i4>
      </vt:variant>
      <vt:variant>
        <vt:i4>5</vt:i4>
      </vt:variant>
      <vt:variant>
        <vt:lpwstr>https://www.dewr.gov.au/employment</vt:lpwstr>
      </vt:variant>
      <vt:variant>
        <vt:lpwstr/>
      </vt:variant>
      <vt:variant>
        <vt:i4>1835060</vt:i4>
      </vt:variant>
      <vt:variant>
        <vt:i4>104</vt:i4>
      </vt:variant>
      <vt:variant>
        <vt:i4>0</vt:i4>
      </vt:variant>
      <vt:variant>
        <vt:i4>5</vt:i4>
      </vt:variant>
      <vt:variant>
        <vt:lpwstr/>
      </vt:variant>
      <vt:variant>
        <vt:lpwstr>_Toc137109204</vt:lpwstr>
      </vt:variant>
      <vt:variant>
        <vt:i4>1835060</vt:i4>
      </vt:variant>
      <vt:variant>
        <vt:i4>98</vt:i4>
      </vt:variant>
      <vt:variant>
        <vt:i4>0</vt:i4>
      </vt:variant>
      <vt:variant>
        <vt:i4>5</vt:i4>
      </vt:variant>
      <vt:variant>
        <vt:lpwstr/>
      </vt:variant>
      <vt:variant>
        <vt:lpwstr>_Toc137109203</vt:lpwstr>
      </vt:variant>
      <vt:variant>
        <vt:i4>1835060</vt:i4>
      </vt:variant>
      <vt:variant>
        <vt:i4>92</vt:i4>
      </vt:variant>
      <vt:variant>
        <vt:i4>0</vt:i4>
      </vt:variant>
      <vt:variant>
        <vt:i4>5</vt:i4>
      </vt:variant>
      <vt:variant>
        <vt:lpwstr/>
      </vt:variant>
      <vt:variant>
        <vt:lpwstr>_Toc137109202</vt:lpwstr>
      </vt:variant>
      <vt:variant>
        <vt:i4>1835060</vt:i4>
      </vt:variant>
      <vt:variant>
        <vt:i4>86</vt:i4>
      </vt:variant>
      <vt:variant>
        <vt:i4>0</vt:i4>
      </vt:variant>
      <vt:variant>
        <vt:i4>5</vt:i4>
      </vt:variant>
      <vt:variant>
        <vt:lpwstr/>
      </vt:variant>
      <vt:variant>
        <vt:lpwstr>_Toc137109201</vt:lpwstr>
      </vt:variant>
      <vt:variant>
        <vt:i4>1835060</vt:i4>
      </vt:variant>
      <vt:variant>
        <vt:i4>80</vt:i4>
      </vt:variant>
      <vt:variant>
        <vt:i4>0</vt:i4>
      </vt:variant>
      <vt:variant>
        <vt:i4>5</vt:i4>
      </vt:variant>
      <vt:variant>
        <vt:lpwstr/>
      </vt:variant>
      <vt:variant>
        <vt:lpwstr>_Toc137109200</vt:lpwstr>
      </vt:variant>
      <vt:variant>
        <vt:i4>1376311</vt:i4>
      </vt:variant>
      <vt:variant>
        <vt:i4>74</vt:i4>
      </vt:variant>
      <vt:variant>
        <vt:i4>0</vt:i4>
      </vt:variant>
      <vt:variant>
        <vt:i4>5</vt:i4>
      </vt:variant>
      <vt:variant>
        <vt:lpwstr/>
      </vt:variant>
      <vt:variant>
        <vt:lpwstr>_Toc137109199</vt:lpwstr>
      </vt:variant>
      <vt:variant>
        <vt:i4>1376311</vt:i4>
      </vt:variant>
      <vt:variant>
        <vt:i4>68</vt:i4>
      </vt:variant>
      <vt:variant>
        <vt:i4>0</vt:i4>
      </vt:variant>
      <vt:variant>
        <vt:i4>5</vt:i4>
      </vt:variant>
      <vt:variant>
        <vt:lpwstr/>
      </vt:variant>
      <vt:variant>
        <vt:lpwstr>_Toc137109198</vt:lpwstr>
      </vt:variant>
      <vt:variant>
        <vt:i4>1376311</vt:i4>
      </vt:variant>
      <vt:variant>
        <vt:i4>62</vt:i4>
      </vt:variant>
      <vt:variant>
        <vt:i4>0</vt:i4>
      </vt:variant>
      <vt:variant>
        <vt:i4>5</vt:i4>
      </vt:variant>
      <vt:variant>
        <vt:lpwstr/>
      </vt:variant>
      <vt:variant>
        <vt:lpwstr>_Toc137109197</vt:lpwstr>
      </vt:variant>
      <vt:variant>
        <vt:i4>1376311</vt:i4>
      </vt:variant>
      <vt:variant>
        <vt:i4>56</vt:i4>
      </vt:variant>
      <vt:variant>
        <vt:i4>0</vt:i4>
      </vt:variant>
      <vt:variant>
        <vt:i4>5</vt:i4>
      </vt:variant>
      <vt:variant>
        <vt:lpwstr/>
      </vt:variant>
      <vt:variant>
        <vt:lpwstr>_Toc137109196</vt:lpwstr>
      </vt:variant>
      <vt:variant>
        <vt:i4>1376311</vt:i4>
      </vt:variant>
      <vt:variant>
        <vt:i4>50</vt:i4>
      </vt:variant>
      <vt:variant>
        <vt:i4>0</vt:i4>
      </vt:variant>
      <vt:variant>
        <vt:i4>5</vt:i4>
      </vt:variant>
      <vt:variant>
        <vt:lpwstr/>
      </vt:variant>
      <vt:variant>
        <vt:lpwstr>_Toc137109195</vt:lpwstr>
      </vt:variant>
      <vt:variant>
        <vt:i4>1376311</vt:i4>
      </vt:variant>
      <vt:variant>
        <vt:i4>44</vt:i4>
      </vt:variant>
      <vt:variant>
        <vt:i4>0</vt:i4>
      </vt:variant>
      <vt:variant>
        <vt:i4>5</vt:i4>
      </vt:variant>
      <vt:variant>
        <vt:lpwstr/>
      </vt:variant>
      <vt:variant>
        <vt:lpwstr>_Toc137109194</vt:lpwstr>
      </vt:variant>
      <vt:variant>
        <vt:i4>1376311</vt:i4>
      </vt:variant>
      <vt:variant>
        <vt:i4>38</vt:i4>
      </vt:variant>
      <vt:variant>
        <vt:i4>0</vt:i4>
      </vt:variant>
      <vt:variant>
        <vt:i4>5</vt:i4>
      </vt:variant>
      <vt:variant>
        <vt:lpwstr/>
      </vt:variant>
      <vt:variant>
        <vt:lpwstr>_Toc137109193</vt:lpwstr>
      </vt:variant>
      <vt:variant>
        <vt:i4>1376311</vt:i4>
      </vt:variant>
      <vt:variant>
        <vt:i4>32</vt:i4>
      </vt:variant>
      <vt:variant>
        <vt:i4>0</vt:i4>
      </vt:variant>
      <vt:variant>
        <vt:i4>5</vt:i4>
      </vt:variant>
      <vt:variant>
        <vt:lpwstr/>
      </vt:variant>
      <vt:variant>
        <vt:lpwstr>_Toc137109192</vt:lpwstr>
      </vt:variant>
      <vt:variant>
        <vt:i4>1376311</vt:i4>
      </vt:variant>
      <vt:variant>
        <vt:i4>26</vt:i4>
      </vt:variant>
      <vt:variant>
        <vt:i4>0</vt:i4>
      </vt:variant>
      <vt:variant>
        <vt:i4>5</vt:i4>
      </vt:variant>
      <vt:variant>
        <vt:lpwstr/>
      </vt:variant>
      <vt:variant>
        <vt:lpwstr>_Toc137109191</vt:lpwstr>
      </vt:variant>
      <vt:variant>
        <vt:i4>1376311</vt:i4>
      </vt:variant>
      <vt:variant>
        <vt:i4>20</vt:i4>
      </vt:variant>
      <vt:variant>
        <vt:i4>0</vt:i4>
      </vt:variant>
      <vt:variant>
        <vt:i4>5</vt:i4>
      </vt:variant>
      <vt:variant>
        <vt:lpwstr/>
      </vt:variant>
      <vt:variant>
        <vt:lpwstr>_Toc137109190</vt:lpwstr>
      </vt:variant>
      <vt:variant>
        <vt:i4>1310775</vt:i4>
      </vt:variant>
      <vt:variant>
        <vt:i4>14</vt:i4>
      </vt:variant>
      <vt:variant>
        <vt:i4>0</vt:i4>
      </vt:variant>
      <vt:variant>
        <vt:i4>5</vt:i4>
      </vt:variant>
      <vt:variant>
        <vt:lpwstr/>
      </vt:variant>
      <vt:variant>
        <vt:lpwstr>_Toc137109189</vt:lpwstr>
      </vt:variant>
      <vt:variant>
        <vt:i4>1310775</vt:i4>
      </vt:variant>
      <vt:variant>
        <vt:i4>8</vt:i4>
      </vt:variant>
      <vt:variant>
        <vt:i4>0</vt:i4>
      </vt:variant>
      <vt:variant>
        <vt:i4>5</vt:i4>
      </vt:variant>
      <vt:variant>
        <vt:lpwstr/>
      </vt:variant>
      <vt:variant>
        <vt:lpwstr>_Toc137109188</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7012475</vt:i4>
      </vt:variant>
      <vt:variant>
        <vt:i4>0</vt:i4>
      </vt:variant>
      <vt:variant>
        <vt:i4>0</vt:i4>
      </vt:variant>
      <vt:variant>
        <vt:i4>5</vt:i4>
      </vt:variant>
      <vt:variant>
        <vt:lpwstr>https://www.closingthegap.gov.au/national-agreement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Prison Employment Services for First Nations Peoples: Consultation Guide</dc:title>
  <dc:subject/>
  <dc:creator/>
  <cp:keywords/>
  <dc:description/>
  <cp:lastModifiedBy/>
  <cp:revision>1</cp:revision>
  <dcterms:created xsi:type="dcterms:W3CDTF">2023-07-17T02:33:00Z</dcterms:created>
  <dcterms:modified xsi:type="dcterms:W3CDTF">2023-07-17T02:33:00Z</dcterms:modified>
</cp:coreProperties>
</file>