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9F15C" w14:textId="2532D631" w:rsidR="00067075" w:rsidRDefault="003A2EFF" w:rsidP="00E14881">
      <w:r>
        <w:rPr>
          <w:noProof/>
        </w:rPr>
        <w:drawing>
          <wp:inline distT="0" distB="0" distL="0" distR="0" wp14:anchorId="0368C25A" wp14:editId="3F5FB616">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3220BE44">
            <wp:simplePos x="0" y="0"/>
            <wp:positionH relativeFrom="character">
              <wp:posOffset>-900430</wp:posOffset>
            </wp:positionH>
            <wp:positionV relativeFrom="paragraph">
              <wp:posOffset>-540385</wp:posOffset>
            </wp:positionV>
            <wp:extent cx="7560000" cy="16776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0"/>
                    <a:stretch>
                      <a:fillRect/>
                    </a:stretch>
                  </pic:blipFill>
                  <pic:spPr>
                    <a:xfrm>
                      <a:off x="0" y="0"/>
                      <a:ext cx="7560000" cy="1677600"/>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122E94">
      <w:pPr>
        <w:spacing w:before="100" w:beforeAutospacing="1" w:after="0"/>
        <w:sectPr w:rsidR="00EC6A53" w:rsidSect="00DE0402">
          <w:footerReference w:type="default" r:id="rId11"/>
          <w:footerReference w:type="first" r:id="rId12"/>
          <w:type w:val="continuous"/>
          <w:pgSz w:w="11906" w:h="16838"/>
          <w:pgMar w:top="851" w:right="1418" w:bottom="1418" w:left="1418" w:header="0" w:footer="709" w:gutter="0"/>
          <w:cols w:space="708"/>
          <w:titlePg/>
          <w:docGrid w:linePitch="360"/>
        </w:sectPr>
      </w:pPr>
    </w:p>
    <w:p w14:paraId="30FC1237" w14:textId="42D4A867" w:rsidR="006D154E" w:rsidRPr="00E36EF8" w:rsidRDefault="00E26CEE" w:rsidP="009C2572">
      <w:pPr>
        <w:pStyle w:val="Title"/>
        <w:spacing w:before="840"/>
      </w:pPr>
      <w:r>
        <w:t>Secure Jobs, Better Pay Review</w:t>
      </w:r>
    </w:p>
    <w:p w14:paraId="1E16FA53" w14:textId="5F6978D3" w:rsidR="002B1CE5" w:rsidRDefault="00E26CEE" w:rsidP="006D154E">
      <w:pPr>
        <w:pStyle w:val="Subtitle"/>
      </w:pPr>
      <w:r>
        <w:t>Terms of Reference</w:t>
      </w:r>
    </w:p>
    <w:p w14:paraId="457997FA" w14:textId="51368F66" w:rsidR="00E26CEE" w:rsidRPr="00CF3CB0" w:rsidRDefault="00E26CEE" w:rsidP="00E26CEE">
      <w:r w:rsidRPr="00BB1120">
        <w:t xml:space="preserve">The </w:t>
      </w:r>
      <w:r>
        <w:t xml:space="preserve">Review Panel </w:t>
      </w:r>
      <w:r w:rsidR="00F91D49">
        <w:t xml:space="preserve">are </w:t>
      </w:r>
      <w:r w:rsidRPr="007D4B33">
        <w:t>conduct</w:t>
      </w:r>
      <w:r w:rsidR="00F91D49">
        <w:t>ing</w:t>
      </w:r>
      <w:r w:rsidRPr="007D4B33">
        <w:t xml:space="preserve"> </w:t>
      </w:r>
      <w:r w:rsidRPr="00643171">
        <w:t>a joint</w:t>
      </w:r>
      <w:r w:rsidRPr="00756987">
        <w:t xml:space="preserve"> </w:t>
      </w:r>
      <w:r w:rsidRPr="00BB1120">
        <w:t xml:space="preserve">review of the operation of </w:t>
      </w:r>
      <w:r w:rsidRPr="00E26CEE">
        <w:rPr>
          <w:i/>
          <w:iCs/>
        </w:rPr>
        <w:t>the Fair Work Legislation Amendment (Secure Jobs, Better Pay) Act 2022</w:t>
      </w:r>
      <w:r w:rsidRPr="00BB1120">
        <w:t xml:space="preserve"> </w:t>
      </w:r>
      <w:r w:rsidRPr="00CF3CB0">
        <w:t>(</w:t>
      </w:r>
      <w:r w:rsidRPr="00643171">
        <w:t xml:space="preserve">Secure Jobs, Better Pay </w:t>
      </w:r>
      <w:r w:rsidRPr="00CF3CB0">
        <w:t>Act)</w:t>
      </w:r>
      <w:r w:rsidRPr="00643171">
        <w:t xml:space="preserve"> and of the amendments made by Part 16A of Schedule 1 of the </w:t>
      </w:r>
      <w:r w:rsidRPr="00E26CEE">
        <w:rPr>
          <w:i/>
          <w:iCs/>
        </w:rPr>
        <w:t>Fair Work Legislation Amendment (Closing Loopholes) Act 2023</w:t>
      </w:r>
      <w:r w:rsidRPr="00643171">
        <w:t xml:space="preserve"> (Closing Loopholes Act)</w:t>
      </w:r>
      <w:r>
        <w:t xml:space="preserve"> (the </w:t>
      </w:r>
      <w:r w:rsidRPr="004A505F">
        <w:t>Secure Jobs</w:t>
      </w:r>
      <w:r>
        <w:t>,</w:t>
      </w:r>
      <w:r w:rsidRPr="004A505F">
        <w:t xml:space="preserve"> Better Pay </w:t>
      </w:r>
      <w:r>
        <w:t>Review)</w:t>
      </w:r>
      <w:r w:rsidRPr="00CF3CB0">
        <w:t>.</w:t>
      </w:r>
      <w:r w:rsidRPr="00643171">
        <w:t> </w:t>
      </w:r>
      <w:r w:rsidRPr="00CF3CB0">
        <w:t> </w:t>
      </w:r>
    </w:p>
    <w:p w14:paraId="6F5902F2" w14:textId="270DE976" w:rsidR="002B1CE5" w:rsidRPr="00F51C18" w:rsidRDefault="00E26CEE" w:rsidP="006145B2">
      <w:pPr>
        <w:pStyle w:val="Heading4"/>
      </w:pPr>
      <w:r>
        <w:t>Sco</w:t>
      </w:r>
      <w:r w:rsidR="006145B2">
        <w:t>p</w:t>
      </w:r>
      <w:r>
        <w:t>e of the Review</w:t>
      </w:r>
    </w:p>
    <w:p w14:paraId="24B02A46" w14:textId="77777777" w:rsidR="00E26CEE" w:rsidRDefault="00E26CEE" w:rsidP="00E26CEE">
      <w:bookmarkStart w:id="0" w:name="_Toc30065224"/>
      <w:r>
        <w:t xml:space="preserve">The requirement for the </w:t>
      </w:r>
      <w:r w:rsidRPr="004A505F">
        <w:t>Secure Jobs</w:t>
      </w:r>
      <w:r>
        <w:t>,</w:t>
      </w:r>
      <w:r w:rsidRPr="004A505F">
        <w:t xml:space="preserve"> Better Pay Review</w:t>
      </w:r>
      <w:r>
        <w:t xml:space="preserve"> is outlined in the respective Acts:</w:t>
      </w:r>
    </w:p>
    <w:p w14:paraId="155285A4" w14:textId="77777777" w:rsidR="00E26CEE" w:rsidRDefault="00E26CEE" w:rsidP="00E26CEE">
      <w:pPr>
        <w:pStyle w:val="ListParagraph"/>
        <w:numPr>
          <w:ilvl w:val="0"/>
          <w:numId w:val="22"/>
        </w:numPr>
      </w:pPr>
      <w:r w:rsidRPr="00C40FEA">
        <w:t>Secure Jobs, Better Pay Act</w:t>
      </w:r>
      <w:r>
        <w:t>:</w:t>
      </w:r>
      <w:r w:rsidRPr="00B452D1">
        <w:t xml:space="preserve"> Section 4 of the </w:t>
      </w:r>
      <w:r w:rsidRPr="008620CD">
        <w:t>Secure Jobs, Better Pay</w:t>
      </w:r>
      <w:r w:rsidRPr="00B452D1">
        <w:t xml:space="preserve"> Act requires the Minister for Employment and Workplace Relations (the Minister) to cause a review of the</w:t>
      </w:r>
      <w:r>
        <w:t xml:space="preserve"> amendments made by the</w:t>
      </w:r>
      <w:r w:rsidRPr="00B452D1">
        <w:t xml:space="preserve"> Act to be conducted</w:t>
      </w:r>
      <w:r>
        <w:t>.</w:t>
      </w:r>
    </w:p>
    <w:p w14:paraId="19DD9FA0" w14:textId="77777777" w:rsidR="00E26CEE" w:rsidRPr="005D6E97" w:rsidRDefault="00E26CEE" w:rsidP="00E26CEE">
      <w:pPr>
        <w:pStyle w:val="ListParagraph"/>
        <w:numPr>
          <w:ilvl w:val="0"/>
          <w:numId w:val="22"/>
        </w:numPr>
      </w:pPr>
      <w:r w:rsidRPr="00E26CEE">
        <w:t xml:space="preserve">Closing Loopholes Act: </w:t>
      </w:r>
      <w:r w:rsidRPr="005D6E97">
        <w:t xml:space="preserve">Section 4A of the </w:t>
      </w:r>
      <w:r w:rsidRPr="002C446C">
        <w:t>Act</w:t>
      </w:r>
      <w:r>
        <w:t xml:space="preserve"> </w:t>
      </w:r>
      <w:r w:rsidRPr="005D6E97">
        <w:t xml:space="preserve">requires the Minister to cause a review of the </w:t>
      </w:r>
      <w:r>
        <w:t xml:space="preserve">operation of the </w:t>
      </w:r>
      <w:r w:rsidRPr="005D6E97">
        <w:t>amendments made by Part 16A of Schedule 1 of the</w:t>
      </w:r>
      <w:r>
        <w:t xml:space="preserve"> Closing Loopholes</w:t>
      </w:r>
      <w:r w:rsidRPr="005D6E97">
        <w:t xml:space="preserve"> Act to be conducted. </w:t>
      </w:r>
    </w:p>
    <w:p w14:paraId="664175B2" w14:textId="77777777" w:rsidR="00E26CEE" w:rsidRDefault="00E26CEE" w:rsidP="00E26CEE">
      <w:r w:rsidRPr="00E26CEE">
        <w:t>Both Acts require that</w:t>
      </w:r>
      <w:r w:rsidRPr="005D6E97">
        <w:t xml:space="preserve"> the</w:t>
      </w:r>
      <w:r>
        <w:t>:</w:t>
      </w:r>
    </w:p>
    <w:p w14:paraId="784D0CD2" w14:textId="2A137D22" w:rsidR="00E26CEE" w:rsidRPr="00E26CEE" w:rsidRDefault="00E26CEE" w:rsidP="00E26CEE">
      <w:pPr>
        <w:pStyle w:val="ListParagraph"/>
        <w:numPr>
          <w:ilvl w:val="0"/>
          <w:numId w:val="23"/>
        </w:numPr>
      </w:pPr>
      <w:r w:rsidRPr="00E26CEE">
        <w:t>persons who conduct the review must give the Minister a written report of the review within 6 months of the commencement of the review</w:t>
      </w:r>
    </w:p>
    <w:p w14:paraId="3EF1C85A" w14:textId="77777777" w:rsidR="00E26CEE" w:rsidRPr="00E26CEE" w:rsidRDefault="00E26CEE" w:rsidP="00E26CEE">
      <w:pPr>
        <w:pStyle w:val="ListParagraph"/>
        <w:numPr>
          <w:ilvl w:val="0"/>
          <w:numId w:val="23"/>
        </w:numPr>
      </w:pPr>
      <w:r w:rsidRPr="00E26CEE">
        <w:t>Minister must cause a copy of the report or the review to be tabled in each House of the Parliament within 15 sitting days after the Minister receives it.</w:t>
      </w:r>
    </w:p>
    <w:p w14:paraId="5CA00C78" w14:textId="7E2662EB" w:rsidR="00E26CEE" w:rsidRDefault="00E26CEE" w:rsidP="00E26CEE">
      <w:r w:rsidRPr="00B452D1">
        <w:t xml:space="preserve">The </w:t>
      </w:r>
      <w:r w:rsidRPr="004A505F">
        <w:t>Secure Jobs</w:t>
      </w:r>
      <w:r>
        <w:t>,</w:t>
      </w:r>
      <w:r w:rsidRPr="004A505F">
        <w:t xml:space="preserve"> Better Pay Review</w:t>
      </w:r>
      <w:r>
        <w:t xml:space="preserve"> </w:t>
      </w:r>
      <w:r w:rsidR="60B9319F">
        <w:t>commenced on 2</w:t>
      </w:r>
      <w:r>
        <w:t xml:space="preserve"> </w:t>
      </w:r>
      <w:r w:rsidR="4C45F27E">
        <w:t>October 2024.</w:t>
      </w:r>
      <w:r w:rsidRPr="00B452D1">
        <w:t xml:space="preserve"> </w:t>
      </w:r>
      <w:r w:rsidR="6BB2BA3D">
        <w:t>A</w:t>
      </w:r>
      <w:r w:rsidRPr="00B452D1">
        <w:t xml:space="preserve"> </w:t>
      </w:r>
      <w:r w:rsidR="00513D6B">
        <w:t xml:space="preserve">draft </w:t>
      </w:r>
      <w:r w:rsidRPr="00B452D1">
        <w:t>Report</w:t>
      </w:r>
      <w:r>
        <w:t xml:space="preserve"> </w:t>
      </w:r>
      <w:r w:rsidR="6713E986">
        <w:t xml:space="preserve">must </w:t>
      </w:r>
      <w:r w:rsidR="7EEA5B1F">
        <w:t xml:space="preserve">be provided </w:t>
      </w:r>
      <w:r>
        <w:t>to the department</w:t>
      </w:r>
      <w:r w:rsidRPr="00B452D1">
        <w:t xml:space="preserve"> </w:t>
      </w:r>
      <w:r w:rsidR="00380025">
        <w:t>on or before</w:t>
      </w:r>
      <w:r w:rsidR="00380025" w:rsidRPr="00740E9A">
        <w:t xml:space="preserve"> </w:t>
      </w:r>
      <w:r w:rsidRPr="00740E9A">
        <w:t xml:space="preserve">Friday, </w:t>
      </w:r>
      <w:r>
        <w:t>31 January</w:t>
      </w:r>
      <w:r w:rsidRPr="00740E9A">
        <w:t xml:space="preserve"> 202</w:t>
      </w:r>
      <w:r>
        <w:t>5</w:t>
      </w:r>
      <w:r w:rsidRPr="00740E9A">
        <w:t>.</w:t>
      </w:r>
      <w:r w:rsidRPr="00B452D1">
        <w:t xml:space="preserve"> </w:t>
      </w:r>
      <w:r w:rsidR="00BA5D66">
        <w:t>The draft Report is</w:t>
      </w:r>
      <w:r w:rsidR="00A0573C">
        <w:t xml:space="preserve"> to include preliminary findings and </w:t>
      </w:r>
      <w:r w:rsidR="00927B4E">
        <w:t>draft</w:t>
      </w:r>
      <w:r w:rsidR="00A0573C">
        <w:t xml:space="preserve"> recommendations and is </w:t>
      </w:r>
      <w:r w:rsidR="00BA5D66">
        <w:t>to be published</w:t>
      </w:r>
      <w:r w:rsidR="00F6155F">
        <w:t xml:space="preserve"> for stakeholder comment.</w:t>
      </w:r>
    </w:p>
    <w:p w14:paraId="237D9A8F" w14:textId="21ADBC85" w:rsidR="004B02FD" w:rsidRPr="00B452D1" w:rsidRDefault="004B02FD" w:rsidP="00E26CEE">
      <w:r>
        <w:t xml:space="preserve">A final Report is to be delivered to the Minister </w:t>
      </w:r>
      <w:r w:rsidR="00380025">
        <w:t>on or before</w:t>
      </w:r>
      <w:r>
        <w:t xml:space="preserve"> </w:t>
      </w:r>
      <w:r w:rsidR="756B3C8A">
        <w:t xml:space="preserve">31 March </w:t>
      </w:r>
      <w:r>
        <w:t>2025.</w:t>
      </w:r>
    </w:p>
    <w:p w14:paraId="030B4764" w14:textId="77777777" w:rsidR="00E26CEE" w:rsidRPr="00B452D1" w:rsidRDefault="00E26CEE" w:rsidP="00E26CEE">
      <w:r w:rsidRPr="00E26CEE">
        <w:t xml:space="preserve">Without limiting the matters that may be considered when conducting the review of the </w:t>
      </w:r>
      <w:r>
        <w:t>Secure Jobs, Better Pay</w:t>
      </w:r>
      <w:r w:rsidRPr="000A09B5">
        <w:t xml:space="preserve"> Act</w:t>
      </w:r>
      <w:r>
        <w:t xml:space="preserve"> and </w:t>
      </w:r>
      <w:r w:rsidRPr="00E26CEE">
        <w:t xml:space="preserve">Part 16A of </w:t>
      </w:r>
      <w:r>
        <w:t>the Closing Loopholes Act,</w:t>
      </w:r>
      <w:r w:rsidRPr="00E26CEE">
        <w:t xml:space="preserve"> the review must:</w:t>
      </w:r>
    </w:p>
    <w:p w14:paraId="62BE7B1A" w14:textId="77777777" w:rsidR="00E26CEE" w:rsidRPr="00B452D1" w:rsidRDefault="00E26CEE" w:rsidP="00E26CEE">
      <w:pPr>
        <w:pStyle w:val="ListParagraph"/>
        <w:numPr>
          <w:ilvl w:val="0"/>
          <w:numId w:val="24"/>
        </w:numPr>
      </w:pPr>
      <w:r w:rsidRPr="00B452D1">
        <w:t xml:space="preserve">consider whether the operation of the </w:t>
      </w:r>
      <w:r>
        <w:t xml:space="preserve">amendments </w:t>
      </w:r>
      <w:proofErr w:type="gramStart"/>
      <w:r>
        <w:t>are</w:t>
      </w:r>
      <w:proofErr w:type="gramEnd"/>
      <w:r w:rsidRPr="00B452D1">
        <w:t xml:space="preserve"> appropriate and effective    </w:t>
      </w:r>
    </w:p>
    <w:p w14:paraId="408581FE" w14:textId="77777777" w:rsidR="00E26CEE" w:rsidRPr="00B452D1" w:rsidRDefault="00E26CEE" w:rsidP="00E26CEE">
      <w:pPr>
        <w:pStyle w:val="ListParagraph"/>
        <w:numPr>
          <w:ilvl w:val="0"/>
          <w:numId w:val="24"/>
        </w:numPr>
      </w:pPr>
      <w:r w:rsidRPr="00B452D1">
        <w:t xml:space="preserve">identify any unintended consequences of the amendments </w:t>
      </w:r>
    </w:p>
    <w:p w14:paraId="5CD8CD2E" w14:textId="77777777" w:rsidR="00E26CEE" w:rsidRPr="00E26CEE" w:rsidRDefault="00E26CEE" w:rsidP="00E26CEE">
      <w:pPr>
        <w:pStyle w:val="ListParagraph"/>
        <w:numPr>
          <w:ilvl w:val="0"/>
          <w:numId w:val="24"/>
        </w:numPr>
      </w:pPr>
      <w:r>
        <w:lastRenderedPageBreak/>
        <w:t xml:space="preserve">consider whether further amendments to the </w:t>
      </w:r>
      <w:r w:rsidRPr="00E26CEE">
        <w:t>Fair Work Act 2009,</w:t>
      </w:r>
      <w:r>
        <w:t xml:space="preserve"> or any other legislation, are necessa</w:t>
      </w:r>
      <w:r w:rsidRPr="5FF274BB">
        <w:t xml:space="preserve">ry to: improve the operation of the amendments or rectify any unintended consequences </w:t>
      </w:r>
      <w:r>
        <w:t xml:space="preserve">that are </w:t>
      </w:r>
      <w:r w:rsidRPr="5FF274BB">
        <w:t>identified.</w:t>
      </w:r>
    </w:p>
    <w:bookmarkEnd w:id="0"/>
    <w:p w14:paraId="6E2C2E0E" w14:textId="7DAD2D7D" w:rsidR="002B1CE5" w:rsidRDefault="00E26CEE" w:rsidP="006145B2">
      <w:pPr>
        <w:pStyle w:val="Heading5"/>
      </w:pPr>
      <w:r>
        <w:t>Secure Jobs, Better Pay Act</w:t>
      </w:r>
    </w:p>
    <w:p w14:paraId="2FEFAED8" w14:textId="2F694D1C" w:rsidR="002B1CE5" w:rsidRDefault="00E26CEE" w:rsidP="002B1CE5">
      <w:r w:rsidRPr="00E26CEE">
        <w:t>The Act is the first of a series of workplace relations reforms introduced by the Australian Government and includes reforms in the following areas:</w:t>
      </w:r>
    </w:p>
    <w:p w14:paraId="16529CEA" w14:textId="77777777" w:rsidR="00E26CEE" w:rsidRDefault="00E26CEE" w:rsidP="00E26CEE">
      <w:pPr>
        <w:pStyle w:val="ListParagraph"/>
        <w:numPr>
          <w:ilvl w:val="0"/>
          <w:numId w:val="26"/>
        </w:numPr>
      </w:pPr>
      <w:r w:rsidRPr="5FF274BB">
        <w:t xml:space="preserve">Enterprise bargaining </w:t>
      </w:r>
    </w:p>
    <w:p w14:paraId="7A5A810A" w14:textId="77777777" w:rsidR="00E26CEE" w:rsidRDefault="00E26CEE" w:rsidP="00E26CEE">
      <w:pPr>
        <w:pStyle w:val="ListParagraph"/>
        <w:numPr>
          <w:ilvl w:val="0"/>
          <w:numId w:val="26"/>
        </w:numPr>
      </w:pPr>
      <w:r w:rsidRPr="5FF274BB">
        <w:t>Job security and gender equality</w:t>
      </w:r>
    </w:p>
    <w:p w14:paraId="7D155A22" w14:textId="77777777" w:rsidR="00E26CEE" w:rsidRDefault="00E26CEE" w:rsidP="00E26CEE">
      <w:pPr>
        <w:pStyle w:val="ListParagraph"/>
        <w:numPr>
          <w:ilvl w:val="0"/>
          <w:numId w:val="26"/>
        </w:numPr>
      </w:pPr>
      <w:r w:rsidRPr="5FF274BB">
        <w:t>Compliance and enforcement</w:t>
      </w:r>
    </w:p>
    <w:p w14:paraId="372FD425" w14:textId="77777777" w:rsidR="00E26CEE" w:rsidRDefault="00E26CEE" w:rsidP="00E26CEE">
      <w:pPr>
        <w:pStyle w:val="ListParagraph"/>
        <w:numPr>
          <w:ilvl w:val="0"/>
          <w:numId w:val="26"/>
        </w:numPr>
      </w:pPr>
      <w:r w:rsidRPr="5FF274BB">
        <w:t>Workplace conditions and protections</w:t>
      </w:r>
    </w:p>
    <w:p w14:paraId="40EA6AC7" w14:textId="77777777" w:rsidR="00E26CEE" w:rsidRDefault="00E26CEE" w:rsidP="00E26CEE">
      <w:pPr>
        <w:pStyle w:val="ListParagraph"/>
        <w:numPr>
          <w:ilvl w:val="0"/>
          <w:numId w:val="26"/>
        </w:numPr>
      </w:pPr>
      <w:r w:rsidRPr="5FF274BB">
        <w:t>Workplace relations institutions</w:t>
      </w:r>
    </w:p>
    <w:p w14:paraId="7C0F3E3D" w14:textId="77777777" w:rsidR="00E26CEE" w:rsidRDefault="00E26CEE" w:rsidP="00E26CEE">
      <w:pPr>
        <w:pStyle w:val="ListParagraph"/>
        <w:numPr>
          <w:ilvl w:val="0"/>
          <w:numId w:val="26"/>
        </w:numPr>
      </w:pPr>
      <w:r w:rsidRPr="5FF274BB">
        <w:t>Workers’ compensation.</w:t>
      </w:r>
    </w:p>
    <w:p w14:paraId="2D35D73A" w14:textId="1D6855C4" w:rsidR="00E26CEE" w:rsidRPr="00E26CEE" w:rsidRDefault="00E26CEE" w:rsidP="00E26CEE">
      <w:r w:rsidRPr="00E26CEE">
        <w:t xml:space="preserve">Further information is available at </w:t>
      </w:r>
      <w:hyperlink r:id="rId13" w:history="1">
        <w:r w:rsidRPr="00907A73">
          <w:rPr>
            <w:rStyle w:val="Hyperlink"/>
          </w:rPr>
          <w:t>https://www.dewr.gov.au/secure-jobs-better-pay</w:t>
        </w:r>
      </w:hyperlink>
      <w:r w:rsidRPr="00E26CEE">
        <w:t>.</w:t>
      </w:r>
      <w:r>
        <w:t xml:space="preserve"> </w:t>
      </w:r>
    </w:p>
    <w:p w14:paraId="191373B5" w14:textId="027ADE51" w:rsidR="002B1CE5" w:rsidRPr="00E26CEE" w:rsidRDefault="00E26CEE" w:rsidP="006145B2">
      <w:pPr>
        <w:pStyle w:val="Heading5"/>
      </w:pPr>
      <w:r>
        <w:t>Part 16A of the Closing Loopholes Act</w:t>
      </w:r>
    </w:p>
    <w:p w14:paraId="2A3FC340" w14:textId="19A5B6AF" w:rsidR="00E26CEE" w:rsidRPr="00E26CEE" w:rsidRDefault="00E26CEE" w:rsidP="00E26CEE">
      <w:r w:rsidRPr="00E26CEE">
        <w:t xml:space="preserve">Part 16A of the Closing Loopholes Act amends section 494 of the </w:t>
      </w:r>
      <w:r w:rsidRPr="006145B2">
        <w:rPr>
          <w:i/>
          <w:iCs/>
        </w:rPr>
        <w:t>Fair Work Act 2009</w:t>
      </w:r>
      <w:r w:rsidRPr="00E26CEE">
        <w:t xml:space="preserve"> (Fair Work Act) to give effect to ‘Recommendation 8: Workplace entry of union officials when providing assistance to an HSR’ of the ‘2018 Review of the model WHS laws’ conducted by Marie Boland and published on 20 March 2020. Recommendation 8 provided that Safe Work Australia work with relevant agencies to consider how to achieve the policy intention that a union official accessing a workplace to </w:t>
      </w:r>
      <w:proofErr w:type="gramStart"/>
      <w:r w:rsidRPr="00E26CEE">
        <w:t xml:space="preserve">provide assistance </w:t>
      </w:r>
      <w:r w:rsidRPr="00C77668">
        <w:t>to</w:t>
      </w:r>
      <w:proofErr w:type="gramEnd"/>
      <w:r w:rsidRPr="00C77668">
        <w:t xml:space="preserve"> a</w:t>
      </w:r>
      <w:r w:rsidR="00C77668" w:rsidRPr="00C77668">
        <w:t xml:space="preserve"> </w:t>
      </w:r>
      <w:r w:rsidR="00C77668" w:rsidRPr="00C77668">
        <w:rPr>
          <w:rFonts w:eastAsia="Arial"/>
          <w:color w:val="000000" w:themeColor="text1"/>
          <w:szCs w:val="18"/>
        </w:rPr>
        <w:t>health and safety representative</w:t>
      </w:r>
      <w:r w:rsidRPr="00C77668">
        <w:t xml:space="preserve"> is not required</w:t>
      </w:r>
      <w:r w:rsidRPr="00E26CEE">
        <w:t xml:space="preserve"> to hold an entry permit under the Fair Work Act or another industrial law, taking into account the interaction between Commonwealth, state and territory laws. </w:t>
      </w:r>
    </w:p>
    <w:p w14:paraId="2B4F8F8A" w14:textId="405F5CB6" w:rsidR="00E26CEE" w:rsidRPr="00E26CEE" w:rsidRDefault="00E26CEE" w:rsidP="00E26CEE">
      <w:r w:rsidRPr="00E26CEE">
        <w:t xml:space="preserve">For further information about the Closing Loopholes Act is available at </w:t>
      </w:r>
      <w:hyperlink r:id="rId14" w:history="1">
        <w:r w:rsidRPr="00E26CEE">
          <w:rPr>
            <w:rStyle w:val="Hyperlink"/>
          </w:rPr>
          <w:t>https://www.dewr.gov.au/closing-loopholes</w:t>
        </w:r>
      </w:hyperlink>
      <w:r w:rsidRPr="00E26CEE">
        <w:t>.</w:t>
      </w:r>
      <w:r>
        <w:t xml:space="preserve"> </w:t>
      </w:r>
    </w:p>
    <w:p w14:paraId="121A9029" w14:textId="462F9AB9" w:rsidR="00E26CEE" w:rsidRPr="00E26CEE" w:rsidRDefault="00E26CEE" w:rsidP="00E26CEE">
      <w:r w:rsidRPr="00E26CEE">
        <w:t xml:space="preserve">Further information about the Review of the model WHS laws is available at </w:t>
      </w:r>
      <w:hyperlink r:id="rId15" w:history="1">
        <w:r w:rsidRPr="00E26CEE">
          <w:rPr>
            <w:rStyle w:val="Hyperlink"/>
          </w:rPr>
          <w:t>https://www.safeworkaustralia.gov.au/doc/review-model-whs-laws-final-report</w:t>
        </w:r>
      </w:hyperlink>
      <w:r w:rsidRPr="00E26CEE">
        <w:t>.</w:t>
      </w:r>
      <w:r>
        <w:t xml:space="preserve"> </w:t>
      </w:r>
    </w:p>
    <w:p w14:paraId="3A454408" w14:textId="0B2F5788" w:rsidR="002B1CE5" w:rsidRDefault="006145B2" w:rsidP="006145B2">
      <w:pPr>
        <w:pStyle w:val="Heading4"/>
      </w:pPr>
      <w:r>
        <w:t>Conduct of the review</w:t>
      </w:r>
    </w:p>
    <w:p w14:paraId="056A345E" w14:textId="77777777" w:rsidR="006145B2" w:rsidRDefault="006145B2" w:rsidP="006145B2">
      <w:r>
        <w:t xml:space="preserve">In conducting the Secure Jobs, Better Pay Review, the Review Panel will consider available qualitative and quantitative research. </w:t>
      </w:r>
    </w:p>
    <w:p w14:paraId="5667A77B" w14:textId="77777777" w:rsidR="006145B2" w:rsidRDefault="006145B2" w:rsidP="006145B2">
      <w:r>
        <w:t xml:space="preserve">The review must be informed by stakeholder perspectives and stakeholders must be given an opportunity to provide submissions and evidence on the matters to be considered by the review. </w:t>
      </w:r>
    </w:p>
    <w:p w14:paraId="656EDA65" w14:textId="127AC66E" w:rsidR="002641E5" w:rsidRDefault="002641E5" w:rsidP="006145B2">
      <w:r>
        <w:t xml:space="preserve">Stakeholders must be given an opportunity to provide submissions </w:t>
      </w:r>
      <w:r w:rsidR="004B02FD">
        <w:t xml:space="preserve">in response to the draft </w:t>
      </w:r>
      <w:r w:rsidR="00F6155F">
        <w:t>R</w:t>
      </w:r>
      <w:r w:rsidR="004B02FD">
        <w:t>eport.</w:t>
      </w:r>
    </w:p>
    <w:p w14:paraId="6190EF66" w14:textId="77777777" w:rsidR="006145B2" w:rsidRDefault="006145B2" w:rsidP="006145B2">
      <w:r>
        <w:t>All submissions and evidence received must be published and be publicly accessible, where appropriate.</w:t>
      </w:r>
    </w:p>
    <w:p w14:paraId="0E4FA9BF" w14:textId="6B716DE5" w:rsidR="002B1CE5" w:rsidRDefault="006145B2" w:rsidP="006145B2">
      <w:r>
        <w:lastRenderedPageBreak/>
        <w:t xml:space="preserve">The </w:t>
      </w:r>
      <w:r w:rsidR="00F91D49">
        <w:t xml:space="preserve">final </w:t>
      </w:r>
      <w:r>
        <w:t>Report must detail the Review Panel’s findings and recommendations about each of the matters to be considered by the review.</w:t>
      </w:r>
    </w:p>
    <w:p w14:paraId="212FB8C4" w14:textId="60D6B91F" w:rsidR="002B1CE5" w:rsidRDefault="006145B2" w:rsidP="006145B2">
      <w:pPr>
        <w:pStyle w:val="Heading4"/>
      </w:pPr>
      <w:r>
        <w:t>Publication</w:t>
      </w:r>
    </w:p>
    <w:p w14:paraId="184725F0" w14:textId="6F7FAF5A" w:rsidR="006145B2" w:rsidRDefault="006145B2" w:rsidP="006145B2">
      <w:r>
        <w:t xml:space="preserve">The </w:t>
      </w:r>
      <w:r w:rsidR="00F91D49">
        <w:t xml:space="preserve">final </w:t>
      </w:r>
      <w:r>
        <w:t xml:space="preserve">Report must be presented to the Minister in a high-quality standard. This includes ensuring that the </w:t>
      </w:r>
      <w:r w:rsidR="00F91D49">
        <w:t xml:space="preserve">final </w:t>
      </w:r>
      <w:r>
        <w:t>Report is cohesive</w:t>
      </w:r>
      <w:r w:rsidR="3FC90D8C">
        <w:t xml:space="preserve"> and</w:t>
      </w:r>
      <w:r>
        <w:t xml:space="preserve"> written in plain English</w:t>
      </w:r>
      <w:r w:rsidR="6E7810CE">
        <w:t>.</w:t>
      </w:r>
      <w:r w:rsidR="5380BC19">
        <w:t xml:space="preserve"> After provision to the Minister the Report must</w:t>
      </w:r>
      <w:r w:rsidR="00B24C99">
        <w:t xml:space="preserve"> </w:t>
      </w:r>
      <w:r w:rsidR="1E93B3E4">
        <w:t>be</w:t>
      </w:r>
      <w:r>
        <w:t xml:space="preserve"> professionally copy edited and proof-read </w:t>
      </w:r>
      <w:r w:rsidR="00F01CBE">
        <w:t>to suppo</w:t>
      </w:r>
      <w:r w:rsidR="00BA5D66">
        <w:t xml:space="preserve">rt </w:t>
      </w:r>
      <w:r w:rsidR="00F6155F">
        <w:t xml:space="preserve">publication and </w:t>
      </w:r>
      <w:r w:rsidR="00DE0F6F">
        <w:t>tabling in Parliament</w:t>
      </w:r>
      <w:r>
        <w:t>.</w:t>
      </w:r>
    </w:p>
    <w:p w14:paraId="3ECFE968" w14:textId="7913E66F" w:rsidR="002B1CE5" w:rsidRDefault="006145B2" w:rsidP="006145B2">
      <w:r>
        <w:t>The</w:t>
      </w:r>
      <w:r w:rsidR="00F91D49">
        <w:t xml:space="preserve"> final</w:t>
      </w:r>
      <w:r>
        <w:t xml:space="preserve"> Report and any website or associated material must comply with Web Content Accessibility Guidelines. For more information please visit: </w:t>
      </w:r>
      <w:hyperlink r:id="rId16" w:history="1">
        <w:r w:rsidRPr="00907A73">
          <w:rPr>
            <w:rStyle w:val="Hyperlink"/>
          </w:rPr>
          <w:t>https://www.stylemanual.gov.au/accessible-and-inclusive-content/make-content-accessible</w:t>
        </w:r>
      </w:hyperlink>
      <w:r>
        <w:t>.</w:t>
      </w:r>
    </w:p>
    <w:sectPr w:rsidR="002B1CE5" w:rsidSect="00122E94">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CF880" w14:textId="77777777" w:rsidR="001B5713" w:rsidRDefault="001B5713" w:rsidP="0051352E">
      <w:pPr>
        <w:spacing w:after="0" w:line="240" w:lineRule="auto"/>
      </w:pPr>
      <w:r>
        <w:separator/>
      </w:r>
    </w:p>
  </w:endnote>
  <w:endnote w:type="continuationSeparator" w:id="0">
    <w:p w14:paraId="62221B05" w14:textId="77777777" w:rsidR="001B5713" w:rsidRDefault="001B5713" w:rsidP="0051352E">
      <w:pPr>
        <w:spacing w:after="0" w:line="240" w:lineRule="auto"/>
      </w:pPr>
      <w:r>
        <w:continuationSeparator/>
      </w:r>
    </w:p>
  </w:endnote>
  <w:endnote w:type="continuationNotice" w:id="1">
    <w:p w14:paraId="555191E1" w14:textId="77777777" w:rsidR="001B5713" w:rsidRDefault="001B57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C0874" w14:textId="1381267D" w:rsidR="00662A42" w:rsidRDefault="00662A42">
    <w:pPr>
      <w:pStyle w:val="Footer"/>
    </w:pPr>
    <w:r>
      <w:rPr>
        <w:noProof/>
      </w:rPr>
      <mc:AlternateContent>
        <mc:Choice Requires="wps">
          <w:drawing>
            <wp:anchor distT="0" distB="0" distL="114300" distR="114300" simplePos="0" relativeHeight="251658241"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049C7" id="Rectangle 5" o:spid="_x0000_s1026" alt="&quot;&quot;"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A6251" w14:textId="724AA478" w:rsidR="00662A42" w:rsidRDefault="00662A42">
    <w:pPr>
      <w:pStyle w:val="Footer"/>
    </w:pPr>
    <w:r>
      <w:rPr>
        <w:noProof/>
      </w:rPr>
      <mc:AlternateContent>
        <mc:Choice Requires="wps">
          <w:drawing>
            <wp:anchor distT="0" distB="0" distL="114300" distR="114300" simplePos="0" relativeHeight="251658240"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5A614" id="Rectangle 4" o:spid="_x0000_s1026" alt="&quot;&quot;"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D9049" w14:textId="77777777" w:rsidR="001B5713" w:rsidRDefault="001B5713" w:rsidP="0051352E">
      <w:pPr>
        <w:spacing w:after="0" w:line="240" w:lineRule="auto"/>
      </w:pPr>
      <w:r>
        <w:separator/>
      </w:r>
    </w:p>
  </w:footnote>
  <w:footnote w:type="continuationSeparator" w:id="0">
    <w:p w14:paraId="68F5AEB7" w14:textId="77777777" w:rsidR="001B5713" w:rsidRDefault="001B5713" w:rsidP="0051352E">
      <w:pPr>
        <w:spacing w:after="0" w:line="240" w:lineRule="auto"/>
      </w:pPr>
      <w:r>
        <w:continuationSeparator/>
      </w:r>
    </w:p>
  </w:footnote>
  <w:footnote w:type="continuationNotice" w:id="1">
    <w:p w14:paraId="14C12AAE" w14:textId="77777777" w:rsidR="001B5713" w:rsidRDefault="001B57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67C33"/>
    <w:multiLevelType w:val="hybridMultilevel"/>
    <w:tmpl w:val="E68C3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372FD2"/>
    <w:multiLevelType w:val="hybridMultilevel"/>
    <w:tmpl w:val="A158178C"/>
    <w:lvl w:ilvl="0" w:tplc="0C090001">
      <w:start w:val="1"/>
      <w:numFmt w:val="bullet"/>
      <w:lvlText w:val=""/>
      <w:lvlJc w:val="left"/>
      <w:pPr>
        <w:ind w:left="50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84D299E"/>
    <w:multiLevelType w:val="hybridMultilevel"/>
    <w:tmpl w:val="0464B698"/>
    <w:lvl w:ilvl="0" w:tplc="0C090001">
      <w:start w:val="1"/>
      <w:numFmt w:val="bullet"/>
      <w:lvlText w:val=""/>
      <w:lvlJc w:val="left"/>
      <w:pPr>
        <w:ind w:left="50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A0318FA"/>
    <w:multiLevelType w:val="hybridMultilevel"/>
    <w:tmpl w:val="C6B46CFE"/>
    <w:lvl w:ilvl="0" w:tplc="FFFFFFFF">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DA388A"/>
    <w:multiLevelType w:val="hybridMultilevel"/>
    <w:tmpl w:val="6B16B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0C387F"/>
    <w:multiLevelType w:val="hybridMultilevel"/>
    <w:tmpl w:val="30463BD6"/>
    <w:lvl w:ilvl="0" w:tplc="FFFFFFFF">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48E33EB"/>
    <w:multiLevelType w:val="hybridMultilevel"/>
    <w:tmpl w:val="DEE8EDD2"/>
    <w:lvl w:ilvl="0" w:tplc="FFFFFFFF">
      <w:start w:val="1"/>
      <w:numFmt w:val="bullet"/>
      <w:lvlText w:val="-"/>
      <w:lvlJc w:val="left"/>
      <w:pPr>
        <w:ind w:left="509"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7B11C48"/>
    <w:multiLevelType w:val="hybridMultilevel"/>
    <w:tmpl w:val="3D30B6A6"/>
    <w:lvl w:ilvl="0" w:tplc="FFFFFFFF">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1"/>
  </w:num>
  <w:num w:numId="12" w16cid:durableId="1523323380">
    <w:abstractNumId w:val="13"/>
  </w:num>
  <w:num w:numId="13" w16cid:durableId="933829800">
    <w:abstractNumId w:val="14"/>
  </w:num>
  <w:num w:numId="14" w16cid:durableId="1181817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5928808">
    <w:abstractNumId w:val="13"/>
  </w:num>
  <w:num w:numId="16" w16cid:durableId="1166021225">
    <w:abstractNumId w:val="14"/>
  </w:num>
  <w:num w:numId="17" w16cid:durableId="1814981661">
    <w:abstractNumId w:val="11"/>
  </w:num>
  <w:num w:numId="18" w16cid:durableId="560095881">
    <w:abstractNumId w:val="20"/>
  </w:num>
  <w:num w:numId="19" w16cid:durableId="1294288093">
    <w:abstractNumId w:val="16"/>
  </w:num>
  <w:num w:numId="20" w16cid:durableId="1232042317">
    <w:abstractNumId w:val="15"/>
  </w:num>
  <w:num w:numId="21" w16cid:durableId="2005237604">
    <w:abstractNumId w:val="12"/>
  </w:num>
  <w:num w:numId="22" w16cid:durableId="595405032">
    <w:abstractNumId w:val="10"/>
  </w:num>
  <w:num w:numId="23" w16cid:durableId="1004623285">
    <w:abstractNumId w:val="18"/>
  </w:num>
  <w:num w:numId="24" w16cid:durableId="1657414332">
    <w:abstractNumId w:val="17"/>
  </w:num>
  <w:num w:numId="25" w16cid:durableId="1016419559">
    <w:abstractNumId w:val="21"/>
  </w:num>
  <w:num w:numId="26" w16cid:durableId="13467093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154DD"/>
    <w:rsid w:val="00052BBC"/>
    <w:rsid w:val="00067075"/>
    <w:rsid w:val="00085EBA"/>
    <w:rsid w:val="000A453D"/>
    <w:rsid w:val="000B3CD6"/>
    <w:rsid w:val="000C1F5B"/>
    <w:rsid w:val="00111085"/>
    <w:rsid w:val="00122E94"/>
    <w:rsid w:val="00140A92"/>
    <w:rsid w:val="00157F35"/>
    <w:rsid w:val="001B5713"/>
    <w:rsid w:val="001E6DFE"/>
    <w:rsid w:val="0020799C"/>
    <w:rsid w:val="00217EAB"/>
    <w:rsid w:val="0022498C"/>
    <w:rsid w:val="0022626C"/>
    <w:rsid w:val="00233954"/>
    <w:rsid w:val="00246FBA"/>
    <w:rsid w:val="00257903"/>
    <w:rsid w:val="002641E5"/>
    <w:rsid w:val="002724D0"/>
    <w:rsid w:val="002A7840"/>
    <w:rsid w:val="002B1CE5"/>
    <w:rsid w:val="002F4DB3"/>
    <w:rsid w:val="003203D7"/>
    <w:rsid w:val="00350FFA"/>
    <w:rsid w:val="00380025"/>
    <w:rsid w:val="00382F07"/>
    <w:rsid w:val="003A2EFF"/>
    <w:rsid w:val="004062AC"/>
    <w:rsid w:val="00414677"/>
    <w:rsid w:val="0042077F"/>
    <w:rsid w:val="0044257E"/>
    <w:rsid w:val="00453C04"/>
    <w:rsid w:val="00495658"/>
    <w:rsid w:val="00497764"/>
    <w:rsid w:val="004B02FD"/>
    <w:rsid w:val="004C483F"/>
    <w:rsid w:val="0051352E"/>
    <w:rsid w:val="00513D6B"/>
    <w:rsid w:val="00517DA7"/>
    <w:rsid w:val="00520A33"/>
    <w:rsid w:val="005221A3"/>
    <w:rsid w:val="00527AE4"/>
    <w:rsid w:val="00527E4D"/>
    <w:rsid w:val="00531911"/>
    <w:rsid w:val="0055569D"/>
    <w:rsid w:val="00596A88"/>
    <w:rsid w:val="005D7CE7"/>
    <w:rsid w:val="00610A38"/>
    <w:rsid w:val="006145B2"/>
    <w:rsid w:val="00630DDF"/>
    <w:rsid w:val="00662A42"/>
    <w:rsid w:val="00676C2D"/>
    <w:rsid w:val="006B0B39"/>
    <w:rsid w:val="006D154E"/>
    <w:rsid w:val="006E5D6E"/>
    <w:rsid w:val="006F2A4E"/>
    <w:rsid w:val="00704585"/>
    <w:rsid w:val="00721B03"/>
    <w:rsid w:val="00721DA8"/>
    <w:rsid w:val="007570DC"/>
    <w:rsid w:val="00764C29"/>
    <w:rsid w:val="00774CC2"/>
    <w:rsid w:val="007840D0"/>
    <w:rsid w:val="007A1459"/>
    <w:rsid w:val="007B1ABA"/>
    <w:rsid w:val="007B74C5"/>
    <w:rsid w:val="007C28B8"/>
    <w:rsid w:val="007C4686"/>
    <w:rsid w:val="00842C50"/>
    <w:rsid w:val="008507C1"/>
    <w:rsid w:val="00851054"/>
    <w:rsid w:val="00861934"/>
    <w:rsid w:val="008B00B6"/>
    <w:rsid w:val="008B796D"/>
    <w:rsid w:val="008E22BA"/>
    <w:rsid w:val="008F0AC9"/>
    <w:rsid w:val="00900F7F"/>
    <w:rsid w:val="00927B4E"/>
    <w:rsid w:val="0093473D"/>
    <w:rsid w:val="00944ECC"/>
    <w:rsid w:val="00972F57"/>
    <w:rsid w:val="00995280"/>
    <w:rsid w:val="009A4869"/>
    <w:rsid w:val="009C2572"/>
    <w:rsid w:val="009D7491"/>
    <w:rsid w:val="00A0573C"/>
    <w:rsid w:val="00A072E1"/>
    <w:rsid w:val="00A1444E"/>
    <w:rsid w:val="00A14B02"/>
    <w:rsid w:val="00A24E6E"/>
    <w:rsid w:val="00A43694"/>
    <w:rsid w:val="00A56FC7"/>
    <w:rsid w:val="00A668BF"/>
    <w:rsid w:val="00A71146"/>
    <w:rsid w:val="00A72575"/>
    <w:rsid w:val="00A74071"/>
    <w:rsid w:val="00A754E4"/>
    <w:rsid w:val="00A7644E"/>
    <w:rsid w:val="00AA124A"/>
    <w:rsid w:val="00AA2A96"/>
    <w:rsid w:val="00AC24CE"/>
    <w:rsid w:val="00AC63B0"/>
    <w:rsid w:val="00B100CC"/>
    <w:rsid w:val="00B16045"/>
    <w:rsid w:val="00B24C99"/>
    <w:rsid w:val="00B456C5"/>
    <w:rsid w:val="00B56AFA"/>
    <w:rsid w:val="00B6689D"/>
    <w:rsid w:val="00B72368"/>
    <w:rsid w:val="00BA04E1"/>
    <w:rsid w:val="00BA5D66"/>
    <w:rsid w:val="00BC1EF3"/>
    <w:rsid w:val="00BC4399"/>
    <w:rsid w:val="00C17B4D"/>
    <w:rsid w:val="00C54D58"/>
    <w:rsid w:val="00C573E1"/>
    <w:rsid w:val="00C60222"/>
    <w:rsid w:val="00C736D3"/>
    <w:rsid w:val="00C763A4"/>
    <w:rsid w:val="00C77668"/>
    <w:rsid w:val="00C93CC8"/>
    <w:rsid w:val="00C95DF6"/>
    <w:rsid w:val="00CB3A76"/>
    <w:rsid w:val="00CC180D"/>
    <w:rsid w:val="00CC3BA4"/>
    <w:rsid w:val="00CE726F"/>
    <w:rsid w:val="00D8750D"/>
    <w:rsid w:val="00DA1B7B"/>
    <w:rsid w:val="00DB79DF"/>
    <w:rsid w:val="00DD36FA"/>
    <w:rsid w:val="00DE0402"/>
    <w:rsid w:val="00DE0F6F"/>
    <w:rsid w:val="00DE1D12"/>
    <w:rsid w:val="00E02099"/>
    <w:rsid w:val="00E118C4"/>
    <w:rsid w:val="00E14881"/>
    <w:rsid w:val="00E26CEE"/>
    <w:rsid w:val="00E36EF8"/>
    <w:rsid w:val="00E377B1"/>
    <w:rsid w:val="00E67289"/>
    <w:rsid w:val="00E70158"/>
    <w:rsid w:val="00E9345D"/>
    <w:rsid w:val="00E93617"/>
    <w:rsid w:val="00EA32F7"/>
    <w:rsid w:val="00EC6A53"/>
    <w:rsid w:val="00EE5EEB"/>
    <w:rsid w:val="00F01CBE"/>
    <w:rsid w:val="00F20506"/>
    <w:rsid w:val="00F214C0"/>
    <w:rsid w:val="00F230CD"/>
    <w:rsid w:val="00F51C18"/>
    <w:rsid w:val="00F52802"/>
    <w:rsid w:val="00F56A90"/>
    <w:rsid w:val="00F57277"/>
    <w:rsid w:val="00F6155F"/>
    <w:rsid w:val="00F72902"/>
    <w:rsid w:val="00F76F18"/>
    <w:rsid w:val="00F91D49"/>
    <w:rsid w:val="00FA31E2"/>
    <w:rsid w:val="00FB6477"/>
    <w:rsid w:val="00FF5B70"/>
    <w:rsid w:val="00FF5BB9"/>
    <w:rsid w:val="16DB7646"/>
    <w:rsid w:val="1B5282AD"/>
    <w:rsid w:val="1E93B3E4"/>
    <w:rsid w:val="24FBD1EC"/>
    <w:rsid w:val="3FC90D8C"/>
    <w:rsid w:val="44289203"/>
    <w:rsid w:val="4C45F27E"/>
    <w:rsid w:val="5380BC19"/>
    <w:rsid w:val="60B9319F"/>
    <w:rsid w:val="6713E986"/>
    <w:rsid w:val="6BB2BA3D"/>
    <w:rsid w:val="6E7810CE"/>
    <w:rsid w:val="756B3C8A"/>
    <w:rsid w:val="7EEA5B1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B02"/>
    <w:pPr>
      <w:spacing w:after="200" w:line="276" w:lineRule="auto"/>
    </w:pPr>
    <w:rPr>
      <w:rFonts w:ascii="Aptos Display" w:hAnsi="Aptos Display"/>
    </w:rPr>
  </w:style>
  <w:style w:type="paragraph" w:styleId="Heading1">
    <w:name w:val="heading 1"/>
    <w:basedOn w:val="Normal"/>
    <w:next w:val="Normal"/>
    <w:link w:val="Heading1Char"/>
    <w:uiPriority w:val="9"/>
    <w:qFormat/>
    <w:rsid w:val="00A14B02"/>
    <w:pPr>
      <w:keepNext/>
      <w:keepLines/>
      <w:spacing w:before="600" w:after="0"/>
      <w:outlineLvl w:val="0"/>
    </w:pPr>
    <w:rPr>
      <w:rFonts w:eastAsiaTheme="majorEastAsia" w:cstheme="majorBidi"/>
      <w:b/>
      <w:color w:val="5D7A38" w:themeColor="accent1"/>
      <w:sz w:val="50"/>
      <w:szCs w:val="32"/>
    </w:rPr>
  </w:style>
  <w:style w:type="paragraph" w:styleId="Heading2">
    <w:name w:val="heading 2"/>
    <w:basedOn w:val="Normal"/>
    <w:next w:val="Normal"/>
    <w:link w:val="Heading2Char"/>
    <w:uiPriority w:val="9"/>
    <w:unhideWhenUsed/>
    <w:qFormat/>
    <w:rsid w:val="00A14B02"/>
    <w:pPr>
      <w:keepNext/>
      <w:keepLines/>
      <w:spacing w:before="240" w:after="0"/>
      <w:outlineLvl w:val="1"/>
    </w:pPr>
    <w:rPr>
      <w:rFonts w:eastAsiaTheme="majorEastAsia" w:cstheme="majorBidi"/>
      <w:b/>
      <w:color w:val="404246" w:themeColor="text2"/>
      <w:sz w:val="44"/>
      <w:szCs w:val="26"/>
    </w:rPr>
  </w:style>
  <w:style w:type="paragraph" w:styleId="Heading3">
    <w:name w:val="heading 3"/>
    <w:basedOn w:val="Normal"/>
    <w:next w:val="Normal"/>
    <w:link w:val="Heading3Char"/>
    <w:uiPriority w:val="9"/>
    <w:unhideWhenUsed/>
    <w:qFormat/>
    <w:rsid w:val="00A14B02"/>
    <w:pPr>
      <w:keepNext/>
      <w:keepLines/>
      <w:spacing w:before="240" w:after="0"/>
      <w:outlineLvl w:val="2"/>
    </w:pPr>
    <w:rPr>
      <w:rFonts w:ascii="Aptos SemiBold" w:eastAsiaTheme="majorEastAsia" w:hAnsi="Aptos SemiBold" w:cstheme="majorBidi"/>
      <w:color w:val="62165C" w:themeColor="accent2"/>
      <w:sz w:val="36"/>
      <w:szCs w:val="24"/>
    </w:rPr>
  </w:style>
  <w:style w:type="paragraph" w:styleId="Heading4">
    <w:name w:val="heading 4"/>
    <w:basedOn w:val="Normal"/>
    <w:next w:val="Normal"/>
    <w:link w:val="Heading4Char"/>
    <w:uiPriority w:val="9"/>
    <w:unhideWhenUsed/>
    <w:qFormat/>
    <w:rsid w:val="00A14B02"/>
    <w:pPr>
      <w:keepNext/>
      <w:keepLines/>
      <w:spacing w:before="240" w:after="0"/>
      <w:outlineLvl w:val="3"/>
    </w:pPr>
    <w:rPr>
      <w:rFonts w:ascii="Aptos SemiBold" w:eastAsiaTheme="majorEastAsia" w:hAnsi="Aptos SemiBold" w:cstheme="majorBidi"/>
      <w:iCs/>
      <w:color w:val="0D2C6C" w:themeColor="accent5"/>
      <w:sz w:val="28"/>
    </w:rPr>
  </w:style>
  <w:style w:type="paragraph" w:styleId="Heading5">
    <w:name w:val="heading 5"/>
    <w:basedOn w:val="Normal"/>
    <w:next w:val="Normal"/>
    <w:link w:val="Heading5Char"/>
    <w:uiPriority w:val="9"/>
    <w:unhideWhenUsed/>
    <w:qFormat/>
    <w:rsid w:val="00A14B02"/>
    <w:pPr>
      <w:keepNext/>
      <w:keepLines/>
      <w:spacing w:before="240" w:after="0"/>
      <w:outlineLvl w:val="4"/>
    </w:pPr>
    <w:rPr>
      <w:rFonts w:eastAsiaTheme="majorEastAsia" w:cstheme="majorBidi"/>
      <w:b/>
      <w:color w:val="404246" w:themeColor="text2"/>
      <w:sz w:val="24"/>
    </w:rPr>
  </w:style>
  <w:style w:type="paragraph" w:styleId="Heading6">
    <w:name w:val="heading 6"/>
    <w:basedOn w:val="Normal"/>
    <w:next w:val="Normal"/>
    <w:link w:val="Heading6Char"/>
    <w:uiPriority w:val="9"/>
    <w:unhideWhenUsed/>
    <w:qFormat/>
    <w:rsid w:val="00A14B02"/>
    <w:pPr>
      <w:keepNext/>
      <w:keepLines/>
      <w:spacing w:before="240" w:after="0"/>
      <w:outlineLvl w:val="5"/>
    </w:pPr>
    <w:rPr>
      <w:rFonts w:ascii="Aptos SemiBold" w:eastAsiaTheme="majorEastAsia" w:hAnsi="Aptos SemiBold" w:cstheme="majorBidi"/>
      <w:color w:val="5D7A38" w:themeColor="accent1"/>
    </w:rPr>
  </w:style>
  <w:style w:type="paragraph" w:styleId="Heading7">
    <w:name w:val="heading 7"/>
    <w:basedOn w:val="Normal"/>
    <w:next w:val="Normal"/>
    <w:link w:val="Heading7Char"/>
    <w:uiPriority w:val="9"/>
    <w:unhideWhenUsed/>
    <w:qFormat/>
    <w:rsid w:val="00A14B02"/>
    <w:pPr>
      <w:keepNext/>
      <w:keepLines/>
      <w:spacing w:before="40" w:after="60"/>
      <w:outlineLvl w:val="6"/>
    </w:pPr>
    <w:rPr>
      <w:rFonts w:ascii="Aptos SemiBold" w:eastAsiaTheme="majorEastAsia" w:hAnsi="Aptos SemiBold" w:cstheme="majorBidi"/>
      <w:i/>
      <w:iCs/>
      <w:color w:val="0D2C6C"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A14B02"/>
    <w:pPr>
      <w:spacing w:before="720" w:after="0" w:line="240" w:lineRule="auto"/>
    </w:pPr>
    <w:rPr>
      <w:rFonts w:ascii="Aptos SemiBold" w:eastAsiaTheme="majorEastAsia" w:hAnsi="Aptos SemiBold" w:cstheme="majorBidi"/>
      <w:b/>
      <w:color w:val="404246" w:themeColor="text2"/>
      <w:spacing w:val="-10"/>
      <w:kern w:val="28"/>
      <w:sz w:val="66"/>
      <w:szCs w:val="56"/>
    </w:rPr>
  </w:style>
  <w:style w:type="character" w:customStyle="1" w:styleId="TitleChar">
    <w:name w:val="Title Char"/>
    <w:basedOn w:val="DefaultParagraphFont"/>
    <w:link w:val="Title"/>
    <w:uiPriority w:val="7"/>
    <w:rsid w:val="00A14B02"/>
    <w:rPr>
      <w:rFonts w:ascii="Aptos SemiBold" w:eastAsiaTheme="majorEastAsia" w:hAnsi="Aptos SemiBold" w:cstheme="majorBidi"/>
      <w:b/>
      <w:color w:val="404246" w:themeColor="text2"/>
      <w:spacing w:val="-10"/>
      <w:kern w:val="28"/>
      <w:sz w:val="66"/>
      <w:szCs w:val="56"/>
    </w:rPr>
  </w:style>
  <w:style w:type="paragraph" w:styleId="Subtitle">
    <w:name w:val="Subtitle"/>
    <w:basedOn w:val="Normal"/>
    <w:next w:val="Normal"/>
    <w:link w:val="SubtitleChar"/>
    <w:uiPriority w:val="8"/>
    <w:qFormat/>
    <w:rsid w:val="00A14B02"/>
    <w:pPr>
      <w:numPr>
        <w:ilvl w:val="1"/>
      </w:numPr>
      <w:spacing w:after="0"/>
    </w:pPr>
    <w:rPr>
      <w:rFonts w:eastAsiaTheme="minorEastAsia"/>
      <w:color w:val="98AB64"/>
      <w:spacing w:val="15"/>
      <w:sz w:val="40"/>
    </w:rPr>
  </w:style>
  <w:style w:type="character" w:customStyle="1" w:styleId="SubtitleChar">
    <w:name w:val="Subtitle Char"/>
    <w:basedOn w:val="DefaultParagraphFont"/>
    <w:link w:val="Subtitle"/>
    <w:uiPriority w:val="8"/>
    <w:rsid w:val="00A14B02"/>
    <w:rPr>
      <w:rFonts w:ascii="Aptos Display" w:eastAsiaTheme="minorEastAsia" w:hAnsi="Aptos Display"/>
      <w:color w:val="98AB64"/>
      <w:spacing w:val="15"/>
      <w:sz w:val="40"/>
    </w:rPr>
  </w:style>
  <w:style w:type="character" w:customStyle="1" w:styleId="Heading1Char">
    <w:name w:val="Heading 1 Char"/>
    <w:basedOn w:val="DefaultParagraphFont"/>
    <w:link w:val="Heading1"/>
    <w:uiPriority w:val="9"/>
    <w:rsid w:val="00A14B02"/>
    <w:rPr>
      <w:rFonts w:ascii="Aptos Display" w:eastAsiaTheme="majorEastAsia" w:hAnsi="Aptos Display" w:cstheme="majorBidi"/>
      <w:b/>
      <w:color w:val="5D7A38" w:themeColor="accent1"/>
      <w:sz w:val="50"/>
      <w:szCs w:val="32"/>
    </w:rPr>
  </w:style>
  <w:style w:type="character" w:customStyle="1" w:styleId="Heading2Char">
    <w:name w:val="Heading 2 Char"/>
    <w:basedOn w:val="DefaultParagraphFont"/>
    <w:link w:val="Heading2"/>
    <w:uiPriority w:val="9"/>
    <w:rsid w:val="00A14B02"/>
    <w:rPr>
      <w:rFonts w:ascii="Aptos Display" w:eastAsiaTheme="majorEastAsia" w:hAnsi="Aptos Display" w:cstheme="majorBidi"/>
      <w:b/>
      <w:color w:val="404246" w:themeColor="text2"/>
      <w:sz w:val="44"/>
      <w:szCs w:val="26"/>
    </w:rPr>
  </w:style>
  <w:style w:type="character" w:customStyle="1" w:styleId="Heading3Char">
    <w:name w:val="Heading 3 Char"/>
    <w:basedOn w:val="DefaultParagraphFont"/>
    <w:link w:val="Heading3"/>
    <w:uiPriority w:val="9"/>
    <w:rsid w:val="00A14B02"/>
    <w:rPr>
      <w:rFonts w:ascii="Aptos SemiBold" w:eastAsiaTheme="majorEastAsia" w:hAnsi="Aptos SemiBold" w:cstheme="majorBidi"/>
      <w:color w:val="62165C" w:themeColor="accent2"/>
      <w:sz w:val="36"/>
      <w:szCs w:val="24"/>
    </w:rPr>
  </w:style>
  <w:style w:type="character" w:customStyle="1" w:styleId="Heading4Char">
    <w:name w:val="Heading 4 Char"/>
    <w:basedOn w:val="DefaultParagraphFont"/>
    <w:link w:val="Heading4"/>
    <w:uiPriority w:val="9"/>
    <w:rsid w:val="00A14B02"/>
    <w:rPr>
      <w:rFonts w:ascii="Aptos SemiBold" w:eastAsiaTheme="majorEastAsia" w:hAnsi="Aptos SemiBold" w:cstheme="majorBidi"/>
      <w:iCs/>
      <w:color w:val="0D2C6C" w:themeColor="accent5"/>
      <w:sz w:val="28"/>
    </w:rPr>
  </w:style>
  <w:style w:type="character" w:customStyle="1" w:styleId="Heading5Char">
    <w:name w:val="Heading 5 Char"/>
    <w:basedOn w:val="DefaultParagraphFont"/>
    <w:link w:val="Heading5"/>
    <w:uiPriority w:val="9"/>
    <w:rsid w:val="00A14B02"/>
    <w:rPr>
      <w:rFonts w:ascii="Aptos Display" w:eastAsiaTheme="majorEastAsia" w:hAnsi="Aptos Display" w:cstheme="majorBidi"/>
      <w:b/>
      <w:color w:val="404246" w:themeColor="text2"/>
      <w:sz w:val="24"/>
    </w:rPr>
  </w:style>
  <w:style w:type="character" w:customStyle="1" w:styleId="Heading6Char">
    <w:name w:val="Heading 6 Char"/>
    <w:basedOn w:val="DefaultParagraphFont"/>
    <w:link w:val="Heading6"/>
    <w:uiPriority w:val="9"/>
    <w:rsid w:val="00A14B02"/>
    <w:rPr>
      <w:rFonts w:ascii="Aptos SemiBold" w:eastAsiaTheme="majorEastAsia" w:hAnsi="Aptos SemiBold" w:cstheme="majorBidi"/>
      <w:color w:val="5D7A38" w:themeColor="accent1"/>
    </w:rPr>
  </w:style>
  <w:style w:type="character" w:styleId="Hyperlink">
    <w:name w:val="Hyperlink"/>
    <w:basedOn w:val="DefaultParagraphFont"/>
    <w:uiPriority w:val="99"/>
    <w:unhideWhenUsed/>
    <w:qFormat/>
    <w:rsid w:val="00A14B02"/>
    <w:rPr>
      <w:color w:val="287DB2"/>
      <w:u w:val="single"/>
    </w:rPr>
  </w:style>
  <w:style w:type="character" w:customStyle="1" w:styleId="UnresolvedMention1">
    <w:name w:val="Unresolved Mention1"/>
    <w:basedOn w:val="DefaultParagraphFont"/>
    <w:uiPriority w:val="99"/>
    <w:semiHidden/>
    <w:unhideWhenUsed/>
    <w:rsid w:val="00A14B02"/>
    <w:rPr>
      <w:color w:val="605E5C"/>
      <w:shd w:val="clear" w:color="auto" w:fill="E1DFDD"/>
    </w:rPr>
  </w:style>
  <w:style w:type="character" w:styleId="Strong">
    <w:name w:val="Strong"/>
    <w:basedOn w:val="DefaultParagraphFont"/>
    <w:uiPriority w:val="11"/>
    <w:qFormat/>
    <w:rsid w:val="00A14B02"/>
    <w:rPr>
      <w:b/>
      <w:bCs/>
    </w:rPr>
  </w:style>
  <w:style w:type="table" w:styleId="TableGrid">
    <w:name w:val="Table Grid"/>
    <w:basedOn w:val="TableNormal"/>
    <w:uiPriority w:val="39"/>
    <w:rsid w:val="00A14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A14B02"/>
    <w:pPr>
      <w:spacing w:before="240" w:after="40" w:line="240" w:lineRule="auto"/>
    </w:pPr>
    <w:rPr>
      <w:b/>
      <w:iCs/>
      <w:szCs w:val="18"/>
    </w:rPr>
  </w:style>
  <w:style w:type="paragraph" w:styleId="Quote">
    <w:name w:val="Quote"/>
    <w:basedOn w:val="Normal"/>
    <w:next w:val="Normal"/>
    <w:link w:val="QuoteChar"/>
    <w:uiPriority w:val="29"/>
    <w:qFormat/>
    <w:rsid w:val="00A14B02"/>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A14B02"/>
    <w:rPr>
      <w:rFonts w:ascii="Aptos Display" w:hAnsi="Aptos Display"/>
      <w:iCs/>
      <w:color w:val="595959" w:themeColor="text1" w:themeTint="A6"/>
    </w:rPr>
  </w:style>
  <w:style w:type="paragraph" w:customStyle="1" w:styleId="Source">
    <w:name w:val="Source"/>
    <w:basedOn w:val="Normal"/>
    <w:uiPriority w:val="17"/>
    <w:qFormat/>
    <w:rsid w:val="00A14B02"/>
    <w:pPr>
      <w:spacing w:before="80" w:after="320"/>
    </w:pPr>
    <w:rPr>
      <w:sz w:val="18"/>
    </w:rPr>
  </w:style>
  <w:style w:type="table" w:customStyle="1" w:styleId="DESE">
    <w:name w:val="DESE"/>
    <w:basedOn w:val="TableNormal"/>
    <w:uiPriority w:val="99"/>
    <w:rsid w:val="00A14B02"/>
    <w:pPr>
      <w:spacing w:before="100" w:beforeAutospacing="1" w:after="100" w:afterAutospacing="1" w:line="240" w:lineRule="auto"/>
    </w:pPr>
    <w:rPr>
      <w:rFonts w:ascii="Aptos Display" w:hAnsi="Aptos Displa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Aptos Display" w:hAnsi="Aptos Display"/>
        <w:b/>
        <w:color w:val="FFFFFF" w:themeColor="background1"/>
      </w:rPr>
      <w:tblPr/>
      <w:tcPr>
        <w:shd w:val="clear" w:color="auto" w:fill="5D7A38" w:themeFill="accent1"/>
      </w:tcPr>
    </w:tblStylePr>
    <w:tblStylePr w:type="firstCol">
      <w:rPr>
        <w:b w:val="0"/>
      </w:rPr>
    </w:tblStylePr>
    <w:tblStylePr w:type="nwCell">
      <w:rPr>
        <w:b w:val="0"/>
      </w:rPr>
    </w:tblStylePr>
  </w:style>
  <w:style w:type="paragraph" w:styleId="ListParagraph">
    <w:name w:val="List Paragraph"/>
    <w:basedOn w:val="Normal"/>
    <w:uiPriority w:val="34"/>
    <w:qFormat/>
    <w:rsid w:val="00140A92"/>
    <w:pPr>
      <w:spacing w:line="360" w:lineRule="auto"/>
      <w:ind w:left="720"/>
      <w:contextualSpacing/>
    </w:pPr>
  </w:style>
  <w:style w:type="paragraph" w:styleId="ListNumber">
    <w:name w:val="List Number"/>
    <w:basedOn w:val="Normal"/>
    <w:uiPriority w:val="99"/>
    <w:unhideWhenUsed/>
    <w:qFormat/>
    <w:rsid w:val="00A14B02"/>
    <w:pPr>
      <w:numPr>
        <w:numId w:val="17"/>
      </w:numPr>
      <w:spacing w:line="360" w:lineRule="auto"/>
      <w:contextualSpacing/>
    </w:pPr>
  </w:style>
  <w:style w:type="paragraph" w:styleId="ListBullet">
    <w:name w:val="List Bullet"/>
    <w:basedOn w:val="Normal"/>
    <w:uiPriority w:val="99"/>
    <w:unhideWhenUsed/>
    <w:qFormat/>
    <w:rsid w:val="00A14B02"/>
    <w:pPr>
      <w:numPr>
        <w:numId w:val="15"/>
      </w:numPr>
      <w:spacing w:line="360" w:lineRule="auto"/>
      <w:contextualSpacing/>
    </w:pPr>
  </w:style>
  <w:style w:type="paragraph" w:styleId="List">
    <w:name w:val="List"/>
    <w:basedOn w:val="ListBullet"/>
    <w:uiPriority w:val="99"/>
    <w:unhideWhenUsed/>
    <w:qFormat/>
    <w:rsid w:val="00A14B02"/>
    <w:pPr>
      <w:numPr>
        <w:numId w:val="16"/>
      </w:numPr>
    </w:pPr>
  </w:style>
  <w:style w:type="paragraph" w:styleId="Header">
    <w:name w:val="header"/>
    <w:basedOn w:val="Normal"/>
    <w:link w:val="HeaderChar"/>
    <w:uiPriority w:val="99"/>
    <w:unhideWhenUsed/>
    <w:rsid w:val="00A14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B02"/>
    <w:rPr>
      <w:rFonts w:ascii="Aptos Display" w:hAnsi="Aptos Display"/>
    </w:rPr>
  </w:style>
  <w:style w:type="paragraph" w:styleId="Footer">
    <w:name w:val="footer"/>
    <w:basedOn w:val="Normal"/>
    <w:link w:val="FooterChar"/>
    <w:uiPriority w:val="99"/>
    <w:unhideWhenUsed/>
    <w:rsid w:val="00A14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B02"/>
    <w:rPr>
      <w:rFonts w:ascii="Aptos Display" w:hAnsi="Aptos Display"/>
    </w:rPr>
  </w:style>
  <w:style w:type="paragraph" w:styleId="TOC1">
    <w:name w:val="toc 1"/>
    <w:basedOn w:val="Normal"/>
    <w:next w:val="Normal"/>
    <w:autoRedefine/>
    <w:uiPriority w:val="39"/>
    <w:unhideWhenUsed/>
    <w:rsid w:val="00A14B02"/>
    <w:pPr>
      <w:spacing w:after="100"/>
    </w:pPr>
    <w:rPr>
      <w:b/>
    </w:rPr>
  </w:style>
  <w:style w:type="paragraph" w:styleId="TOC2">
    <w:name w:val="toc 2"/>
    <w:basedOn w:val="Normal"/>
    <w:next w:val="Normal"/>
    <w:autoRedefine/>
    <w:uiPriority w:val="39"/>
    <w:unhideWhenUsed/>
    <w:rsid w:val="00A14B02"/>
    <w:pPr>
      <w:spacing w:after="100"/>
      <w:ind w:left="220"/>
    </w:pPr>
  </w:style>
  <w:style w:type="paragraph" w:styleId="TOC3">
    <w:name w:val="toc 3"/>
    <w:basedOn w:val="Normal"/>
    <w:next w:val="Normal"/>
    <w:autoRedefine/>
    <w:uiPriority w:val="39"/>
    <w:unhideWhenUsed/>
    <w:rsid w:val="00A14B02"/>
    <w:pPr>
      <w:spacing w:after="100"/>
      <w:ind w:left="440"/>
    </w:pPr>
  </w:style>
  <w:style w:type="paragraph" w:styleId="TOCHeading">
    <w:name w:val="TOC Heading"/>
    <w:basedOn w:val="Heading1"/>
    <w:next w:val="Normal"/>
    <w:uiPriority w:val="39"/>
    <w:unhideWhenUsed/>
    <w:qFormat/>
    <w:rsid w:val="00A14B02"/>
    <w:pPr>
      <w:spacing w:after="240"/>
      <w:outlineLvl w:val="9"/>
    </w:pPr>
  </w:style>
  <w:style w:type="paragraph" w:styleId="BalloonText">
    <w:name w:val="Balloon Text"/>
    <w:basedOn w:val="Normal"/>
    <w:link w:val="BalloonTextChar"/>
    <w:uiPriority w:val="99"/>
    <w:semiHidden/>
    <w:unhideWhenUsed/>
    <w:rsid w:val="00A14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B02"/>
    <w:rPr>
      <w:rFonts w:ascii="Segoe UI" w:hAnsi="Segoe UI" w:cs="Segoe UI"/>
      <w:sz w:val="18"/>
      <w:szCs w:val="18"/>
    </w:rPr>
  </w:style>
  <w:style w:type="character" w:customStyle="1" w:styleId="Heading7Char">
    <w:name w:val="Heading 7 Char"/>
    <w:basedOn w:val="DefaultParagraphFont"/>
    <w:link w:val="Heading7"/>
    <w:uiPriority w:val="9"/>
    <w:rsid w:val="00A14B02"/>
    <w:rPr>
      <w:rFonts w:ascii="Aptos SemiBold" w:eastAsiaTheme="majorEastAsia" w:hAnsi="Aptos SemiBold" w:cstheme="majorBidi"/>
      <w:i/>
      <w:iCs/>
      <w:color w:val="0D2C6C" w:themeColor="accent5"/>
    </w:rPr>
  </w:style>
  <w:style w:type="paragraph" w:customStyle="1" w:styleId="numberedpara">
    <w:name w:val="numbered para"/>
    <w:basedOn w:val="Normal"/>
    <w:rsid w:val="00140A92"/>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A14B02"/>
    <w:rPr>
      <w:color w:val="7055A3" w:themeColor="followedHyperlink"/>
      <w:u w:val="single"/>
    </w:rPr>
  </w:style>
  <w:style w:type="paragraph" w:customStyle="1" w:styleId="ValueStyle">
    <w:name w:val="Value Style"/>
    <w:basedOn w:val="Normal"/>
    <w:qFormat/>
    <w:rsid w:val="00E26CE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pPr>
    <w:rPr>
      <w:rFonts w:ascii="Arial" w:eastAsia="Times New Roman" w:hAnsi="Arial" w:cs="Arial"/>
      <w:color w:val="000000"/>
      <w:sz w:val="18"/>
      <w:szCs w:val="20"/>
    </w:rPr>
  </w:style>
  <w:style w:type="character" w:styleId="UnresolvedMention">
    <w:name w:val="Unresolved Mention"/>
    <w:basedOn w:val="DefaultParagraphFont"/>
    <w:uiPriority w:val="99"/>
    <w:semiHidden/>
    <w:unhideWhenUsed/>
    <w:rsid w:val="00E26CEE"/>
    <w:rPr>
      <w:color w:val="605E5C"/>
      <w:shd w:val="clear" w:color="auto" w:fill="E1DFDD"/>
    </w:rPr>
  </w:style>
  <w:style w:type="paragraph" w:styleId="Revision">
    <w:name w:val="Revision"/>
    <w:hidden/>
    <w:uiPriority w:val="99"/>
    <w:semiHidden/>
    <w:rsid w:val="00527E4D"/>
    <w:pPr>
      <w:spacing w:after="0" w:line="240" w:lineRule="auto"/>
    </w:pPr>
    <w:rPr>
      <w:rFonts w:ascii="Aptos Display" w:hAnsi="Aptos Display"/>
    </w:rPr>
  </w:style>
  <w:style w:type="paragraph" w:styleId="CommentText">
    <w:name w:val="annotation text"/>
    <w:basedOn w:val="Normal"/>
    <w:link w:val="CommentTextChar"/>
    <w:uiPriority w:val="99"/>
    <w:unhideWhenUsed/>
    <w:rsid w:val="00AC24CE"/>
    <w:pPr>
      <w:spacing w:line="240" w:lineRule="auto"/>
    </w:pPr>
    <w:rPr>
      <w:sz w:val="20"/>
      <w:szCs w:val="20"/>
    </w:rPr>
  </w:style>
  <w:style w:type="character" w:customStyle="1" w:styleId="CommentTextChar">
    <w:name w:val="Comment Text Char"/>
    <w:basedOn w:val="DefaultParagraphFont"/>
    <w:link w:val="CommentText"/>
    <w:uiPriority w:val="99"/>
    <w:rsid w:val="00AC24CE"/>
    <w:rPr>
      <w:rFonts w:ascii="Aptos Display" w:hAnsi="Aptos Display"/>
      <w:sz w:val="20"/>
      <w:szCs w:val="20"/>
    </w:rPr>
  </w:style>
  <w:style w:type="character" w:styleId="CommentReference">
    <w:name w:val="annotation reference"/>
    <w:basedOn w:val="DefaultParagraphFont"/>
    <w:uiPriority w:val="99"/>
    <w:semiHidden/>
    <w:unhideWhenUsed/>
    <w:rsid w:val="00AC24CE"/>
    <w:rPr>
      <w:sz w:val="16"/>
      <w:szCs w:val="16"/>
    </w:rPr>
  </w:style>
  <w:style w:type="paragraph" w:styleId="CommentSubject">
    <w:name w:val="annotation subject"/>
    <w:basedOn w:val="CommentText"/>
    <w:next w:val="CommentText"/>
    <w:link w:val="CommentSubjectChar"/>
    <w:uiPriority w:val="99"/>
    <w:semiHidden/>
    <w:unhideWhenUsed/>
    <w:rsid w:val="00F91D49"/>
    <w:rPr>
      <w:b/>
      <w:bCs/>
    </w:rPr>
  </w:style>
  <w:style w:type="character" w:customStyle="1" w:styleId="CommentSubjectChar">
    <w:name w:val="Comment Subject Char"/>
    <w:basedOn w:val="CommentTextChar"/>
    <w:link w:val="CommentSubject"/>
    <w:uiPriority w:val="99"/>
    <w:semiHidden/>
    <w:rsid w:val="00F91D49"/>
    <w:rPr>
      <w:rFonts w:ascii="Aptos Display" w:hAnsi="Aptos Display"/>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ewr.gov.au/secure-jobs-better-pa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tylemanual.gov.au/accessible-and-inclusive-content/make-content-accessib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afeworkaustralia.gov.au/doc/review-model-whs-laws-final-report"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dewr.gov.au/closing-loopholes" TargetMode="External"/></Relationships>
</file>

<file path=word/theme/theme1.xml><?xml version="1.0" encoding="utf-8"?>
<a:theme xmlns:a="http://schemas.openxmlformats.org/drawingml/2006/main" name="Office Theme">
  <a:themeElements>
    <a:clrScheme name="DEWR">
      <a:dk1>
        <a:sysClr val="windowText" lastClr="000000"/>
      </a:dk1>
      <a:lt1>
        <a:sysClr val="window" lastClr="FFFFFF"/>
      </a:lt1>
      <a:dk2>
        <a:srgbClr val="404246"/>
      </a:dk2>
      <a:lt2>
        <a:srgbClr val="7A9F4C"/>
      </a:lt2>
      <a:accent1>
        <a:srgbClr val="5D7A38"/>
      </a:accent1>
      <a:accent2>
        <a:srgbClr val="62165C"/>
      </a:accent2>
      <a:accent3>
        <a:srgbClr val="B5C427"/>
      </a:accent3>
      <a:accent4>
        <a:srgbClr val="009B9F"/>
      </a:accent4>
      <a:accent5>
        <a:srgbClr val="0D2C6C"/>
      </a:accent5>
      <a:accent6>
        <a:srgbClr val="91040D"/>
      </a:accent6>
      <a:hlink>
        <a:srgbClr val="287DB2"/>
      </a:hlink>
      <a:folHlink>
        <a:srgbClr val="7055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Links>
    <vt:vector size="24" baseType="variant">
      <vt:variant>
        <vt:i4>3014772</vt:i4>
      </vt:variant>
      <vt:variant>
        <vt:i4>9</vt:i4>
      </vt:variant>
      <vt:variant>
        <vt:i4>0</vt:i4>
      </vt:variant>
      <vt:variant>
        <vt:i4>5</vt:i4>
      </vt:variant>
      <vt:variant>
        <vt:lpwstr>https://www.stylemanual.gov.au/accessible-and-inclusive-content/make-content-accessible</vt:lpwstr>
      </vt:variant>
      <vt:variant>
        <vt:lpwstr/>
      </vt:variant>
      <vt:variant>
        <vt:i4>7602209</vt:i4>
      </vt:variant>
      <vt:variant>
        <vt:i4>6</vt:i4>
      </vt:variant>
      <vt:variant>
        <vt:i4>0</vt:i4>
      </vt:variant>
      <vt:variant>
        <vt:i4>5</vt:i4>
      </vt:variant>
      <vt:variant>
        <vt:lpwstr>https://www.safeworkaustralia.gov.au/doc/review-model-whs-laws-final-report</vt:lpwstr>
      </vt:variant>
      <vt:variant>
        <vt:lpwstr/>
      </vt:variant>
      <vt:variant>
        <vt:i4>4784204</vt:i4>
      </vt:variant>
      <vt:variant>
        <vt:i4>3</vt:i4>
      </vt:variant>
      <vt:variant>
        <vt:i4>0</vt:i4>
      </vt:variant>
      <vt:variant>
        <vt:i4>5</vt:i4>
      </vt:variant>
      <vt:variant>
        <vt:lpwstr>https://www.dewr.gov.au/closing-loopholes</vt:lpwstr>
      </vt:variant>
      <vt:variant>
        <vt:lpwstr/>
      </vt:variant>
      <vt:variant>
        <vt:i4>3801125</vt:i4>
      </vt:variant>
      <vt:variant>
        <vt:i4>0</vt:i4>
      </vt:variant>
      <vt:variant>
        <vt:i4>0</vt:i4>
      </vt:variant>
      <vt:variant>
        <vt:i4>5</vt:i4>
      </vt:variant>
      <vt:variant>
        <vt:lpwstr>https://www.dewr.gov.au/secure-jobs-better-pay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Secure Jobs, Better Pay Review – Terms of Reference</dc:title>
  <dc:subject/>
  <dc:creator/>
  <cp:keywords/>
  <dc:description/>
  <cp:lastModifiedBy/>
  <cp:revision>1</cp:revision>
  <dcterms:created xsi:type="dcterms:W3CDTF">2024-11-01T04:48:00Z</dcterms:created>
  <dcterms:modified xsi:type="dcterms:W3CDTF">2024-11-01T04:48:00Z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2024-11-01T04:48:33Z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926884a0-5f4e-43dd-8422-5b7fd4cc9ce1</vt:lpwstr>
  </property>
  <property fmtid="{D5CDD505-2E9C-101B-9397-08002B2CF9AE}" pid="8" name="MSIP_Label_79d889eb-932f-4752-8739-64d25806ef64_ContentBits">
    <vt:lpwstr>0</vt:lpwstr>
  </property>
</Properties>
</file>